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60"/>
        <w:spacing w:after="0"/>
        <w:rPr>
          <w:sz w:val="20"/>
          <w:szCs w:val="20"/>
          <w:color w:val="auto"/>
        </w:rPr>
      </w:pPr>
      <w:r>
        <w:rPr>
          <w:rFonts w:ascii="Arial" w:cs="Arial" w:eastAsia="Arial" w:hAnsi="Arial"/>
          <w:sz w:val="14"/>
          <w:szCs w:val="14"/>
          <w:color w:val="auto"/>
        </w:rPr>
        <w:t>UNITED STATES</w:t>
      </w:r>
    </w:p>
    <w:p>
      <w:pPr>
        <w:spacing w:after="0" w:line="29"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SECURITIES AND EXCHANGE COMMISSION</w:t>
      </w:r>
    </w:p>
    <w:p>
      <w:pPr>
        <w:spacing w:after="0" w:line="15" w:lineRule="exact"/>
        <w:rPr>
          <w:sz w:val="24"/>
          <w:szCs w:val="24"/>
          <w:color w:val="auto"/>
        </w:rPr>
      </w:pPr>
    </w:p>
    <w:p>
      <w:pPr>
        <w:ind w:left="4840"/>
        <w:spacing w:after="0"/>
        <w:rPr>
          <w:sz w:val="20"/>
          <w:szCs w:val="20"/>
          <w:color w:val="auto"/>
        </w:rPr>
      </w:pPr>
      <w:r>
        <w:rPr>
          <w:rFonts w:ascii="Arial" w:cs="Arial" w:eastAsia="Arial" w:hAnsi="Arial"/>
          <w:sz w:val="14"/>
          <w:szCs w:val="14"/>
          <w:color w:val="auto"/>
        </w:rPr>
        <w:t>Washington, D.C. 20549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10-Q</w:t>
      </w:r>
    </w:p>
    <w:p>
      <w:pPr>
        <w:spacing w:after="0" w:line="15" w:lineRule="exact"/>
        <w:rPr>
          <w:sz w:val="24"/>
          <w:szCs w:val="24"/>
          <w:color w:val="auto"/>
        </w:rPr>
      </w:pPr>
    </w:p>
    <w:p>
      <w:pPr>
        <w:ind w:left="4900"/>
        <w:spacing w:after="0"/>
        <w:rPr>
          <w:sz w:val="20"/>
          <w:szCs w:val="20"/>
          <w:color w:val="auto"/>
        </w:rPr>
      </w:pPr>
      <w:r>
        <w:rPr>
          <w:rFonts w:ascii="Arial" w:cs="Arial" w:eastAsia="Arial" w:hAnsi="Arial"/>
          <w:sz w:val="14"/>
          <w:szCs w:val="14"/>
          <w:color w:val="auto"/>
        </w:rPr>
        <w:t>__________________</w:t>
      </w:r>
    </w:p>
    <w:p>
      <w:pPr>
        <w:spacing w:after="0" w:line="11" w:lineRule="exact"/>
        <w:rPr>
          <w:sz w:val="24"/>
          <w:szCs w:val="24"/>
          <w:color w:val="auto"/>
        </w:rPr>
      </w:pPr>
    </w:p>
    <w:p>
      <w:pPr>
        <w:ind w:left="3680" w:hanging="185"/>
        <w:spacing w:after="0"/>
        <w:tabs>
          <w:tab w:leader="none" w:pos="36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w:t>
      </w:r>
    </w:p>
    <w:p>
      <w:pPr>
        <w:spacing w:after="0" w:line="17" w:lineRule="exact"/>
        <w:rPr>
          <w:rFonts w:ascii="MS PGothic" w:cs="MS PGothic" w:eastAsia="MS PGothic" w:hAnsi="MS PGothic"/>
          <w:sz w:val="14"/>
          <w:szCs w:val="14"/>
          <w:color w:val="auto"/>
        </w:rPr>
      </w:pPr>
    </w:p>
    <w:p>
      <w:pPr>
        <w:jc w:val="center"/>
        <w:ind w:left="4140" w:right="4020" w:hanging="115"/>
        <w:spacing w:after="0" w:line="271" w:lineRule="auto"/>
        <w:rPr>
          <w:rFonts w:ascii="MS PGothic" w:cs="MS PGothic" w:eastAsia="MS PGothic" w:hAnsi="MS PGothic"/>
          <w:sz w:val="14"/>
          <w:szCs w:val="14"/>
          <w:color w:val="auto"/>
        </w:rPr>
      </w:pPr>
      <w:r>
        <w:rPr>
          <w:rFonts w:ascii="Arial" w:cs="Arial" w:eastAsia="Arial" w:hAnsi="Arial"/>
          <w:sz w:val="14"/>
          <w:szCs w:val="14"/>
          <w:color w:val="auto"/>
        </w:rPr>
        <w:t xml:space="preserve">OF THE SECURITIES EXCHANGE ACT OF 1934 For the quarterly period ended </w:t>
      </w:r>
      <w:r>
        <w:rPr>
          <w:rFonts w:ascii="Arial" w:cs="Arial" w:eastAsia="Arial" w:hAnsi="Arial"/>
          <w:sz w:val="14"/>
          <w:szCs w:val="14"/>
          <w:u w:val="single" w:color="auto"/>
          <w:color w:val="auto"/>
        </w:rPr>
        <w:t>March 31, 2025</w:t>
      </w:r>
    </w:p>
    <w:p>
      <w:pPr>
        <w:jc w:val="center"/>
        <w:ind w:right="-19"/>
        <w:spacing w:after="0"/>
        <w:rPr>
          <w:sz w:val="20"/>
          <w:szCs w:val="20"/>
          <w:color w:val="auto"/>
        </w:rPr>
      </w:pPr>
      <w:r>
        <w:rPr>
          <w:rFonts w:ascii="Arial" w:cs="Arial" w:eastAsia="Arial" w:hAnsi="Arial"/>
          <w:sz w:val="14"/>
          <w:szCs w:val="14"/>
          <w:color w:val="auto"/>
        </w:rPr>
        <w:t>OR</w:t>
      </w:r>
    </w:p>
    <w:p>
      <w:pPr>
        <w:spacing w:after="0" w:line="25" w:lineRule="exact"/>
        <w:rPr>
          <w:sz w:val="24"/>
          <w:szCs w:val="24"/>
          <w:color w:val="auto"/>
        </w:rPr>
      </w:pPr>
    </w:p>
    <w:p>
      <w:pPr>
        <w:ind w:left="3660" w:hanging="167"/>
        <w:spacing w:after="0"/>
        <w:tabs>
          <w:tab w:leader="none" w:pos="3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w:t>
      </w:r>
    </w:p>
    <w:p>
      <w:pPr>
        <w:spacing w:after="0" w:line="17" w:lineRule="exact"/>
        <w:rPr>
          <w:rFonts w:ascii="MS PGothic" w:cs="MS PGothic" w:eastAsia="MS PGothic" w:hAnsi="MS PGothic"/>
          <w:sz w:val="14"/>
          <w:szCs w:val="14"/>
          <w:color w:val="auto"/>
        </w:rPr>
      </w:pPr>
    </w:p>
    <w:p>
      <w:pPr>
        <w:jc w:val="center"/>
        <w:ind w:left="4140" w:right="4020" w:hanging="119"/>
        <w:spacing w:after="0" w:line="241" w:lineRule="auto"/>
        <w:rPr>
          <w:rFonts w:ascii="MS PGothic" w:cs="MS PGothic" w:eastAsia="MS PGothic" w:hAnsi="MS PGothic"/>
          <w:sz w:val="14"/>
          <w:szCs w:val="14"/>
          <w:color w:val="auto"/>
        </w:rPr>
      </w:pPr>
      <w:r>
        <w:rPr>
          <w:rFonts w:ascii="Arial" w:cs="Arial" w:eastAsia="Arial" w:hAnsi="Arial"/>
          <w:sz w:val="14"/>
          <w:szCs w:val="14"/>
          <w:color w:val="auto"/>
        </w:rPr>
        <w:t>OF THE SECURITIES EXCHANGE ACT OF 1934 For the transition period from ______ to _____</w:t>
      </w:r>
    </w:p>
    <w:p>
      <w:pPr>
        <w:ind w:left="4600"/>
        <w:spacing w:after="0"/>
        <w:rPr>
          <w:rFonts w:ascii="MS PGothic" w:cs="MS PGothic" w:eastAsia="MS PGothic" w:hAnsi="MS PGothic"/>
          <w:sz w:val="14"/>
          <w:szCs w:val="14"/>
          <w:color w:val="auto"/>
        </w:rPr>
      </w:pPr>
      <w:r>
        <w:rPr>
          <w:rFonts w:ascii="Arial" w:cs="Arial" w:eastAsia="Arial" w:hAnsi="Arial"/>
          <w:sz w:val="14"/>
          <w:szCs w:val="14"/>
          <w:color w:val="auto"/>
        </w:rPr>
        <w:t xml:space="preserve">Commission file number </w:t>
      </w:r>
      <w:r>
        <w:rPr>
          <w:rFonts w:ascii="Arial" w:cs="Arial" w:eastAsia="Arial" w:hAnsi="Arial"/>
          <w:sz w:val="14"/>
          <w:szCs w:val="14"/>
          <w:u w:val="single" w:color="auto"/>
          <w:color w:val="auto"/>
        </w:rPr>
        <w:t>1-8974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6350</wp:posOffset>
            </wp:positionV>
            <wp:extent cx="1757045"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704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Honeywell International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1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2"/>
          </w:tcPr>
          <w:p>
            <w:pPr>
              <w:jc w:val="center"/>
              <w:ind w:left="648"/>
              <w:spacing w:after="0"/>
              <w:rPr>
                <w:sz w:val="20"/>
                <w:szCs w:val="20"/>
                <w:color w:val="auto"/>
              </w:rPr>
            </w:pPr>
            <w:r>
              <w:rPr>
                <w:rFonts w:ascii="Arial" w:cs="Arial" w:eastAsia="Arial" w:hAnsi="Arial"/>
                <w:sz w:val="14"/>
                <w:szCs w:val="14"/>
                <w:color w:val="auto"/>
              </w:rPr>
              <w:t>Delaware</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22-2640650</w:t>
            </w:r>
          </w:p>
        </w:tc>
        <w:tc>
          <w:tcPr>
            <w:tcW w:w="720" w:type="dxa"/>
            <w:vAlign w:val="bottom"/>
            <w:tcBorders>
              <w:bottom w:val="single" w:sz="8" w:color="auto"/>
            </w:tcBorders>
          </w:tcPr>
          <w:p>
            <w:pPr>
              <w:spacing w:after="0"/>
              <w:rPr>
                <w:sz w:val="16"/>
                <w:szCs w:val="16"/>
                <w:color w:val="auto"/>
              </w:rPr>
            </w:pPr>
          </w:p>
        </w:tc>
        <w:tc>
          <w:tcPr>
            <w:tcW w:w="1040" w:type="dxa"/>
            <w:vAlign w:val="bottom"/>
          </w:tcPr>
          <w:p>
            <w:pPr>
              <w:spacing w:after="0"/>
              <w:rPr>
                <w:sz w:val="16"/>
                <w:szCs w:val="16"/>
                <w:color w:val="auto"/>
              </w:rPr>
            </w:pPr>
          </w:p>
        </w:tc>
      </w:tr>
      <w:tr>
        <w:trPr>
          <w:trHeight w:val="150"/>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40" w:type="dxa"/>
            <w:vAlign w:val="bottom"/>
            <w:gridSpan w:val="2"/>
          </w:tcPr>
          <w:p>
            <w:pPr>
              <w:jc w:val="center"/>
              <w:ind w:left="648"/>
              <w:spacing w:after="0" w:line="151" w:lineRule="exact"/>
              <w:rPr>
                <w:sz w:val="20"/>
                <w:szCs w:val="20"/>
                <w:color w:val="auto"/>
              </w:rPr>
            </w:pPr>
            <w:r>
              <w:rPr>
                <w:rFonts w:ascii="Arial" w:cs="Arial" w:eastAsia="Arial" w:hAnsi="Arial"/>
                <w:sz w:val="14"/>
                <w:szCs w:val="14"/>
                <w:color w:val="auto"/>
              </w:rPr>
              <w:t>(State or other jurisdiction of</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40" w:type="dxa"/>
            <w:vAlign w:val="bottom"/>
            <w:gridSpan w:val="2"/>
          </w:tcPr>
          <w:p>
            <w:pPr>
              <w:jc w:val="center"/>
              <w:ind w:right="160"/>
              <w:spacing w:after="0" w:line="151" w:lineRule="exact"/>
              <w:rPr>
                <w:sz w:val="20"/>
                <w:szCs w:val="20"/>
                <w:color w:val="auto"/>
              </w:rPr>
            </w:pPr>
            <w:r>
              <w:rPr>
                <w:rFonts w:ascii="Arial" w:cs="Arial" w:eastAsia="Arial" w:hAnsi="Arial"/>
                <w:sz w:val="14"/>
                <w:szCs w:val="14"/>
                <w:color w:val="auto"/>
              </w:rPr>
              <w:t>(I.R.S. Employer</w:t>
            </w:r>
          </w:p>
        </w:tc>
        <w:tc>
          <w:tcPr>
            <w:tcW w:w="1040" w:type="dxa"/>
            <w:vAlign w:val="bottom"/>
          </w:tcPr>
          <w:p>
            <w:pPr>
              <w:spacing w:after="0"/>
              <w:rPr>
                <w:sz w:val="13"/>
                <w:szCs w:val="13"/>
                <w:color w:val="auto"/>
              </w:rPr>
            </w:pPr>
          </w:p>
        </w:tc>
      </w:tr>
      <w:tr>
        <w:trPr>
          <w:trHeight w:val="190"/>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40" w:type="dxa"/>
            <w:vAlign w:val="bottom"/>
            <w:gridSpan w:val="2"/>
          </w:tcPr>
          <w:p>
            <w:pPr>
              <w:jc w:val="center"/>
              <w:ind w:left="648"/>
              <w:spacing w:after="0"/>
              <w:rPr>
                <w:sz w:val="20"/>
                <w:szCs w:val="20"/>
                <w:color w:val="auto"/>
              </w:rPr>
            </w:pPr>
            <w:r>
              <w:rPr>
                <w:rFonts w:ascii="Arial" w:cs="Arial" w:eastAsia="Arial" w:hAnsi="Arial"/>
                <w:sz w:val="14"/>
                <w:szCs w:val="14"/>
                <w:color w:val="auto"/>
              </w:rPr>
              <w:t>incorporation or organization)</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40" w:type="dxa"/>
            <w:vAlign w:val="bottom"/>
            <w:gridSpan w:val="2"/>
          </w:tcPr>
          <w:p>
            <w:pPr>
              <w:jc w:val="center"/>
              <w:ind w:right="180"/>
              <w:spacing w:after="0"/>
              <w:rPr>
                <w:sz w:val="20"/>
                <w:szCs w:val="20"/>
                <w:color w:val="auto"/>
              </w:rPr>
            </w:pPr>
            <w:r>
              <w:rPr>
                <w:rFonts w:ascii="Arial" w:cs="Arial" w:eastAsia="Arial" w:hAnsi="Arial"/>
                <w:sz w:val="14"/>
                <w:szCs w:val="14"/>
                <w:color w:val="auto"/>
              </w:rPr>
              <w:t>Identification No.)</w:t>
            </w:r>
          </w:p>
        </w:tc>
        <w:tc>
          <w:tcPr>
            <w:tcW w:w="1040" w:type="dxa"/>
            <w:vAlign w:val="bottom"/>
          </w:tcPr>
          <w:p>
            <w:pPr>
              <w:spacing w:after="0"/>
              <w:rPr>
                <w:sz w:val="16"/>
                <w:szCs w:val="16"/>
                <w:color w:val="auto"/>
              </w:rPr>
            </w:pPr>
          </w:p>
        </w:tc>
      </w:tr>
      <w:tr>
        <w:trPr>
          <w:trHeight w:val="297"/>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40" w:type="dxa"/>
            <w:vAlign w:val="bottom"/>
            <w:gridSpan w:val="2"/>
          </w:tcPr>
          <w:p>
            <w:pPr>
              <w:jc w:val="center"/>
              <w:ind w:left="648"/>
              <w:spacing w:after="0"/>
              <w:rPr>
                <w:sz w:val="20"/>
                <w:szCs w:val="20"/>
                <w:color w:val="auto"/>
              </w:rPr>
            </w:pPr>
            <w:r>
              <w:rPr>
                <w:rFonts w:ascii="Arial" w:cs="Arial" w:eastAsia="Arial" w:hAnsi="Arial"/>
                <w:sz w:val="14"/>
                <w:szCs w:val="14"/>
                <w:color w:val="auto"/>
              </w:rPr>
              <w:t>855 South Mint Street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1"/>
        </w:trPr>
        <w:tc>
          <w:tcPr>
            <w:tcW w:w="12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color w:val="auto"/>
              </w:rPr>
              <w:t>Charlotte, North Carolina</w:t>
            </w:r>
          </w:p>
        </w:tc>
        <w:tc>
          <w:tcPr>
            <w:tcW w:w="1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jc w:val="right"/>
              <w:ind w:right="1168"/>
              <w:spacing w:after="0"/>
              <w:rPr>
                <w:sz w:val="20"/>
                <w:szCs w:val="20"/>
                <w:color w:val="auto"/>
              </w:rPr>
            </w:pPr>
            <w:r>
              <w:rPr>
                <w:rFonts w:ascii="Arial" w:cs="Arial" w:eastAsia="Arial" w:hAnsi="Arial"/>
                <w:sz w:val="14"/>
                <w:szCs w:val="14"/>
                <w:color w:val="auto"/>
              </w:rPr>
              <w:t>28202</w:t>
            </w:r>
          </w:p>
        </w:tc>
        <w:tc>
          <w:tcPr>
            <w:tcW w:w="720" w:type="dxa"/>
            <w:vAlign w:val="bottom"/>
            <w:tcBorders>
              <w:bottom w:val="single" w:sz="8" w:color="auto"/>
            </w:tcBorders>
          </w:tcPr>
          <w:p>
            <w:pPr>
              <w:spacing w:after="0"/>
              <w:rPr>
                <w:sz w:val="22"/>
                <w:szCs w:val="22"/>
                <w:color w:val="auto"/>
              </w:rPr>
            </w:pPr>
          </w:p>
        </w:tc>
        <w:tc>
          <w:tcPr>
            <w:tcW w:w="1040" w:type="dxa"/>
            <w:vAlign w:val="bottom"/>
          </w:tcPr>
          <w:p>
            <w:pPr>
              <w:spacing w:after="0"/>
              <w:rPr>
                <w:sz w:val="22"/>
                <w:szCs w:val="22"/>
                <w:color w:val="auto"/>
              </w:rPr>
            </w:pPr>
          </w:p>
        </w:tc>
      </w:tr>
      <w:tr>
        <w:trPr>
          <w:trHeight w:val="192"/>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100" w:type="dxa"/>
            <w:vAlign w:val="bottom"/>
            <w:gridSpan w:val="6"/>
          </w:tcPr>
          <w:p>
            <w:pPr>
              <w:jc w:val="center"/>
              <w:ind w:right="720"/>
              <w:spacing w:after="0"/>
              <w:rPr>
                <w:sz w:val="20"/>
                <w:szCs w:val="20"/>
                <w:color w:val="auto"/>
              </w:rPr>
            </w:pPr>
            <w:r>
              <w:rPr>
                <w:rFonts w:ascii="Arial" w:cs="Arial" w:eastAsia="Arial" w:hAnsi="Arial"/>
                <w:sz w:val="14"/>
                <w:szCs w:val="14"/>
                <w:color w:val="auto"/>
              </w:rPr>
              <w:t>(Address of principal executive offices)</w:t>
            </w:r>
          </w:p>
        </w:tc>
        <w:tc>
          <w:tcPr>
            <w:tcW w:w="4140" w:type="dxa"/>
            <w:vAlign w:val="bottom"/>
            <w:gridSpan w:val="2"/>
          </w:tcPr>
          <w:p>
            <w:pPr>
              <w:jc w:val="center"/>
              <w:ind w:right="180"/>
              <w:spacing w:after="0"/>
              <w:rPr>
                <w:sz w:val="20"/>
                <w:szCs w:val="20"/>
                <w:color w:val="auto"/>
              </w:rPr>
            </w:pPr>
            <w:r>
              <w:rPr>
                <w:rFonts w:ascii="Arial" w:cs="Arial" w:eastAsia="Arial" w:hAnsi="Arial"/>
                <w:sz w:val="14"/>
                <w:szCs w:val="14"/>
                <w:color w:val="auto"/>
              </w:rPr>
              <w:t>(Zip Code)</w:t>
            </w:r>
          </w:p>
        </w:tc>
        <w:tc>
          <w:tcPr>
            <w:tcW w:w="1040" w:type="dxa"/>
            <w:vAlign w:val="bottom"/>
          </w:tcPr>
          <w:p>
            <w:pPr>
              <w:spacing w:after="0"/>
              <w:rPr>
                <w:sz w:val="16"/>
                <w:szCs w:val="16"/>
                <w:color w:val="auto"/>
              </w:rPr>
            </w:pPr>
          </w:p>
        </w:tc>
      </w:tr>
      <w:tr>
        <w:trPr>
          <w:trHeight w:val="328"/>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(704) 627-6200</w:t>
            </w:r>
          </w:p>
        </w:tc>
        <w:tc>
          <w:tcPr>
            <w:tcW w:w="34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2"/>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40" w:type="dxa"/>
            <w:vAlign w:val="bottom"/>
            <w:gridSpan w:val="8"/>
          </w:tcPr>
          <w:p>
            <w:pPr>
              <w:ind w:left="2080"/>
              <w:spacing w:after="0"/>
              <w:rPr>
                <w:sz w:val="20"/>
                <w:szCs w:val="20"/>
                <w:color w:val="auto"/>
              </w:rPr>
            </w:pPr>
            <w:r>
              <w:rPr>
                <w:rFonts w:ascii="Arial" w:cs="Arial" w:eastAsia="Arial" w:hAnsi="Arial"/>
                <w:sz w:val="14"/>
                <w:szCs w:val="14"/>
                <w:color w:val="auto"/>
              </w:rPr>
              <w:t>(Registrant’s telephone number, including area code)</w:t>
            </w:r>
          </w:p>
        </w:tc>
        <w:tc>
          <w:tcPr>
            <w:tcW w:w="1040" w:type="dxa"/>
            <w:vAlign w:val="bottom"/>
          </w:tcPr>
          <w:p>
            <w:pPr>
              <w:spacing w:after="0"/>
              <w:rPr>
                <w:sz w:val="16"/>
                <w:szCs w:val="16"/>
                <w:color w:val="auto"/>
              </w:rPr>
            </w:pPr>
          </w:p>
        </w:tc>
      </w:tr>
      <w:tr>
        <w:trPr>
          <w:trHeight w:val="283"/>
        </w:trPr>
        <w:tc>
          <w:tcPr>
            <w:tcW w:w="438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7"/>
        </w:trPr>
        <w:tc>
          <w:tcPr>
            <w:tcW w:w="12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2"/>
          </w:tcPr>
          <w:p>
            <w:pPr>
              <w:jc w:val="center"/>
              <w:ind w:right="1208"/>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17"/>
                <w:szCs w:val="17"/>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Trading Symbol(s)</w:t>
            </w:r>
          </w:p>
        </w:tc>
        <w:tc>
          <w:tcPr>
            <w:tcW w:w="100" w:type="dxa"/>
            <w:vAlign w:val="bottom"/>
          </w:tcPr>
          <w:p>
            <w:pPr>
              <w:spacing w:after="0"/>
              <w:rPr>
                <w:sz w:val="17"/>
                <w:szCs w:val="17"/>
                <w:color w:val="auto"/>
              </w:rPr>
            </w:pPr>
          </w:p>
        </w:tc>
        <w:tc>
          <w:tcPr>
            <w:tcW w:w="4140" w:type="dxa"/>
            <w:vAlign w:val="bottom"/>
            <w:tcBorders>
              <w:bottom w:val="single" w:sz="8" w:color="auto"/>
            </w:tcBorders>
            <w:gridSpan w:val="2"/>
          </w:tcPr>
          <w:p>
            <w:pPr>
              <w:jc w:val="center"/>
              <w:ind w:left="968"/>
              <w:spacing w:after="0"/>
              <w:rPr>
                <w:sz w:val="20"/>
                <w:szCs w:val="20"/>
                <w:color w:val="auto"/>
              </w:rPr>
            </w:pPr>
            <w:r>
              <w:rPr>
                <w:rFonts w:ascii="Arial" w:cs="Arial" w:eastAsia="Arial" w:hAnsi="Arial"/>
                <w:sz w:val="14"/>
                <w:szCs w:val="14"/>
                <w:color w:val="auto"/>
              </w:rPr>
              <w:t>Name of each exchange on which registered</w:t>
            </w:r>
          </w:p>
        </w:tc>
        <w:tc>
          <w:tcPr>
            <w:tcW w:w="1040" w:type="dxa"/>
            <w:vAlign w:val="bottom"/>
            <w:tcBorders>
              <w:bottom w:val="single" w:sz="8" w:color="auto"/>
            </w:tcBorders>
          </w:tcPr>
          <w:p>
            <w:pPr>
              <w:spacing w:after="0"/>
              <w:rPr>
                <w:sz w:val="17"/>
                <w:szCs w:val="17"/>
                <w:color w:val="auto"/>
              </w:rPr>
            </w:pPr>
          </w:p>
        </w:tc>
      </w:tr>
      <w:tr>
        <w:trPr>
          <w:trHeight w:val="192"/>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Common Stock, par value $1 per share</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6"/>
                <w:szCs w:val="16"/>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3.500% Senior Notes due 2027</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27</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2.250% Senior Notes due 2028</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28A</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3.375% Senior Notes due 2030</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30</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0.750% Senior Notes due 2032</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32</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3.750% Senior Notes due 2032</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32A</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4.125% Senior Notes due 2034</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34</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3.750% Senior Notes due 2036</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36</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bl>
    <w:p>
      <w:pPr>
        <w:spacing w:after="0" w:line="147" w:lineRule="exact"/>
        <w:rPr>
          <w:sz w:val="24"/>
          <w:szCs w:val="24"/>
          <w:color w:val="auto"/>
        </w:rPr>
      </w:pPr>
    </w:p>
    <w:p>
      <w:pPr>
        <w:ind w:right="6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4" w:lineRule="exact"/>
        <w:rPr>
          <w:sz w:val="24"/>
          <w:szCs w:val="24"/>
          <w:color w:val="auto"/>
        </w:rPr>
      </w:pPr>
    </w:p>
    <w:p>
      <w:pPr>
        <w:ind w:right="2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20" w:type="dxa"/>
            <w:vAlign w:val="bottom"/>
          </w:tcPr>
          <w:p>
            <w:pPr>
              <w:ind w:left="460"/>
              <w:spacing w:after="0"/>
              <w:rPr>
                <w:sz w:val="20"/>
                <w:szCs w:val="20"/>
                <w:color w:val="auto"/>
              </w:rPr>
            </w:pPr>
            <w:r>
              <w:rPr>
                <w:rFonts w:ascii="Wingdings" w:cs="Wingdings" w:eastAsia="Wingdings" w:hAnsi="Wingdings"/>
                <w:sz w:val="14"/>
                <w:szCs w:val="14"/>
                <w:b w:val="1"/>
                <w:bCs w:val="1"/>
                <w:color w:val="auto"/>
              </w:rPr>
              <w:t>x</w:t>
            </w:r>
          </w:p>
        </w:tc>
        <w:tc>
          <w:tcPr>
            <w:tcW w:w="3640" w:type="dxa"/>
            <w:vAlign w:val="bottom"/>
          </w:tcPr>
          <w:p>
            <w:pPr>
              <w:ind w:left="142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20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ind w:left="142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40" w:type="dxa"/>
            <w:vAlign w:val="bottom"/>
          </w:tcPr>
          <w:p>
            <w:pPr>
              <w:ind w:left="142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1"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2" w:lineRule="exact"/>
        <w:rPr>
          <w:sz w:val="24"/>
          <w:szCs w:val="24"/>
          <w:color w:val="auto"/>
        </w:rPr>
      </w:pPr>
    </w:p>
    <w:p>
      <w:pPr>
        <w:ind w:right="3100"/>
        <w:spacing w:after="0" w:line="25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Wingdings" w:cs="Wingdings" w:eastAsia="Wingdings" w:hAnsi="Wingdings"/>
          <w:sz w:val="16"/>
          <w:szCs w:val="16"/>
          <w:b w:val="1"/>
          <w:bCs w:val="1"/>
          <w:color w:val="auto"/>
        </w:rPr>
        <w:t>x</w:t>
      </w:r>
      <w:r>
        <w:rPr>
          <w:rFonts w:ascii="Arial" w:cs="Arial" w:eastAsia="Arial" w:hAnsi="Arial"/>
          <w:sz w:val="14"/>
          <w:szCs w:val="14"/>
          <w:color w:val="auto"/>
        </w:rPr>
        <w:t xml:space="preserve"> There were 642,682,909 shares of Common Stock outstanding at March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1" w:name="page2"/>
    <w:bookmarkEnd w:id="1"/>
    <w:p>
      <w:pPr>
        <w:spacing w:after="0"/>
        <w:rPr>
          <w:sz w:val="20"/>
          <w:szCs w:val="20"/>
          <w:color w:val="auto"/>
        </w:rPr>
      </w:pPr>
      <w:r>
        <w:rPr>
          <w:rFonts w:ascii="Arial" w:cs="Arial" w:eastAsia="Arial" w:hAnsi="Arial"/>
          <w:sz w:val="36"/>
          <w:szCs w:val="36"/>
          <w:b w:val="1"/>
          <w:bCs w:val="1"/>
          <w:color w:val="auto"/>
        </w:rPr>
        <w:t>TABLE OF CONTENTS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760" w:type="dxa"/>
            <w:vAlign w:val="bottom"/>
            <w:tcBorders>
              <w:top w:val="single" w:sz="8" w:color="61656A"/>
              <w:bottom w:val="single" w:sz="8" w:color="61656A"/>
            </w:tcBorders>
          </w:tcPr>
          <w:p>
            <w:pPr>
              <w:spacing w:after="0"/>
              <w:rPr>
                <w:sz w:val="19"/>
                <w:szCs w:val="19"/>
                <w:color w:val="auto"/>
              </w:rPr>
            </w:pPr>
          </w:p>
        </w:tc>
        <w:tc>
          <w:tcPr>
            <w:tcW w:w="9260" w:type="dxa"/>
            <w:vAlign w:val="bottom"/>
            <w:tcBorders>
              <w:top w:val="single" w:sz="8" w:color="61656A"/>
              <w:bottom w:val="single" w:sz="8" w:color="61656A"/>
            </w:tcBorders>
          </w:tcPr>
          <w:p>
            <w:pPr>
              <w:ind w:left="120"/>
              <w:spacing w:after="0"/>
              <w:rPr>
                <w:sz w:val="20"/>
                <w:szCs w:val="20"/>
                <w:color w:val="auto"/>
              </w:rPr>
            </w:pPr>
            <w:r>
              <w:rPr>
                <w:rFonts w:ascii="Arial" w:cs="Arial" w:eastAsia="Arial" w:hAnsi="Arial"/>
                <w:sz w:val="16"/>
                <w:szCs w:val="16"/>
                <w:color w:val="auto"/>
              </w:rPr>
              <w:t>Cautionary Statement about Forward-Looking Statements</w:t>
            </w:r>
          </w:p>
        </w:tc>
        <w:tc>
          <w:tcPr>
            <w:tcW w:w="116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D7282F"/>
            </w:tcBorders>
          </w:tcPr>
          <w:p>
            <w:pPr>
              <w:spacing w:after="0"/>
              <w:rPr>
                <w:sz w:val="18"/>
                <w:szCs w:val="18"/>
                <w:color w:val="auto"/>
              </w:rPr>
            </w:pPr>
          </w:p>
        </w:tc>
        <w:tc>
          <w:tcPr>
            <w:tcW w:w="9260" w:type="dxa"/>
            <w:vAlign w:val="bottom"/>
            <w:tcBorders>
              <w:bottom w:val="single" w:sz="8" w:color="D7282F"/>
            </w:tcBorders>
          </w:tcPr>
          <w:p>
            <w:pPr>
              <w:ind w:left="120"/>
              <w:spacing w:after="0"/>
              <w:rPr>
                <w:sz w:val="20"/>
                <w:szCs w:val="20"/>
                <w:color w:val="auto"/>
              </w:rPr>
            </w:pPr>
            <w:r>
              <w:rPr>
                <w:rFonts w:ascii="Arial" w:cs="Arial" w:eastAsia="Arial" w:hAnsi="Arial"/>
                <w:sz w:val="16"/>
                <w:szCs w:val="16"/>
                <w:color w:val="auto"/>
              </w:rPr>
              <w:t>About Honeywell</w:t>
            </w:r>
          </w:p>
        </w:tc>
        <w:tc>
          <w:tcPr>
            <w:tcW w:w="1160" w:type="dxa"/>
            <w:vAlign w:val="bottom"/>
            <w:tcBorders>
              <w:bottom w:val="single" w:sz="8" w:color="D7282F"/>
            </w:tcBorders>
          </w:tcPr>
          <w:p>
            <w:pPr>
              <w:jc w:val="right"/>
              <w:spacing w:after="0"/>
              <w:rPr>
                <w:sz w:val="20"/>
                <w:szCs w:val="20"/>
                <w:color w:val="auto"/>
              </w:rPr>
            </w:pPr>
            <w:r>
              <w:rPr>
                <w:rFonts w:ascii="Arial" w:cs="Arial" w:eastAsia="Arial" w:hAnsi="Arial"/>
                <w:sz w:val="16"/>
                <w:szCs w:val="16"/>
                <w:b w:val="1"/>
                <w:bCs w:val="1"/>
                <w:color w:val="D7282F"/>
              </w:rPr>
              <w:t>2</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D7282F"/>
            </w:tcBorders>
          </w:tcPr>
          <w:p>
            <w:pPr>
              <w:spacing w:after="0"/>
              <w:rPr>
                <w:sz w:val="20"/>
                <w:szCs w:val="20"/>
                <w:color w:val="auto"/>
              </w:rPr>
            </w:pPr>
            <w:r>
              <w:rPr>
                <w:rFonts w:ascii="Arial" w:cs="Arial" w:eastAsia="Arial" w:hAnsi="Arial"/>
                <w:sz w:val="16"/>
                <w:szCs w:val="16"/>
                <w:b w:val="1"/>
                <w:bCs w:val="1"/>
                <w:color w:val="D7282F"/>
              </w:rPr>
              <w:t>PART I</w:t>
            </w:r>
          </w:p>
        </w:tc>
        <w:tc>
          <w:tcPr>
            <w:tcW w:w="9260" w:type="dxa"/>
            <w:vAlign w:val="bottom"/>
            <w:tcBorders>
              <w:bottom w:val="single" w:sz="8" w:color="D7282F"/>
            </w:tcBorders>
          </w:tcPr>
          <w:p>
            <w:pPr>
              <w:ind w:left="120"/>
              <w:spacing w:after="0"/>
              <w:rPr>
                <w:sz w:val="20"/>
                <w:szCs w:val="20"/>
                <w:color w:val="auto"/>
              </w:rPr>
            </w:pPr>
            <w:r>
              <w:rPr>
                <w:rFonts w:ascii="Arial" w:cs="Arial" w:eastAsia="Arial" w:hAnsi="Arial"/>
                <w:sz w:val="16"/>
                <w:szCs w:val="16"/>
                <w:b w:val="1"/>
                <w:bCs w:val="1"/>
                <w:color w:val="D7282F"/>
              </w:rPr>
              <w:t>Financial Information</w:t>
            </w:r>
          </w:p>
        </w:tc>
        <w:tc>
          <w:tcPr>
            <w:tcW w:w="1160" w:type="dxa"/>
            <w:vAlign w:val="bottom"/>
            <w:tcBorders>
              <w:bottom w:val="single" w:sz="8" w:color="D7282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1</w:t>
            </w: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Financial Statements and Supplementary Data (unaudited):</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Operations (unaudited) – Three Months Ended March 31, 2025, and 2024</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Comprehensive Income (unaudited) – Three Months Ended March 31, 2025, and 2024</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Balance Sheet (unaudited) – March 31, 2025, and December 31, 2024</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Cash Flows (unaudited) – Three Months Ended March 31, 2025, and 2024</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6</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Shareowners' Equity (unaudited) – Three Months Ended March 31, 2025, and 2024</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7</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 – Basis of Presentation</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8</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2 – Summary of Significant Accounting Policies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8</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3 – Acquisitions, Divestitures, and Assets and Liabilities Held for Sale</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9</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4 – Revenue Recognition and Contracts with Customers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12</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5 – Repositioning and Other Charges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15</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6 – Income Taxes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16</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7 – Inventories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16</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8 – Goodwill and Other Intangible Assets—Net</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17</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9 – Debt and Credit Agreements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18</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10 – Leases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19</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11 – Derivative Instruments and Hedging Transactions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20</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12 – Fair Value Measurements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22</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13 – Earnings Per Share</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23</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14 – Accumulated Other Comprehensive Loss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24</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15 – Commitments and Contingencies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24</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16 – Pension Benefits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27</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17 – Other (Income) Expense</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28</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18 – Segment Financial Data</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28</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2</w:t>
            </w: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31</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3</w:t>
            </w: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Quantitative and Qualitative Disclosures about Market Risks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47</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D7282F"/>
            </w:tcBorders>
          </w:tcPr>
          <w:p>
            <w:pPr>
              <w:spacing w:after="0"/>
              <w:rPr>
                <w:sz w:val="20"/>
                <w:szCs w:val="20"/>
                <w:color w:val="auto"/>
              </w:rPr>
            </w:pPr>
            <w:r>
              <w:rPr>
                <w:rFonts w:ascii="Arial" w:cs="Arial" w:eastAsia="Arial" w:hAnsi="Arial"/>
                <w:sz w:val="16"/>
                <w:szCs w:val="16"/>
                <w:b w:val="1"/>
                <w:bCs w:val="1"/>
                <w:color w:val="auto"/>
              </w:rPr>
              <w:t>ITEM 4</w:t>
            </w:r>
          </w:p>
        </w:tc>
        <w:tc>
          <w:tcPr>
            <w:tcW w:w="9260" w:type="dxa"/>
            <w:vAlign w:val="bottom"/>
            <w:tcBorders>
              <w:bottom w:val="single" w:sz="8" w:color="D7282F"/>
            </w:tcBorders>
          </w:tcPr>
          <w:p>
            <w:pPr>
              <w:ind w:left="120"/>
              <w:spacing w:after="0"/>
              <w:rPr>
                <w:sz w:val="20"/>
                <w:szCs w:val="20"/>
                <w:color w:val="auto"/>
              </w:rPr>
            </w:pPr>
            <w:r>
              <w:rPr>
                <w:rFonts w:ascii="Arial" w:cs="Arial" w:eastAsia="Arial" w:hAnsi="Arial"/>
                <w:sz w:val="16"/>
                <w:szCs w:val="16"/>
                <w:color w:val="auto"/>
              </w:rPr>
              <w:t>Controls and Procedures</w:t>
            </w:r>
          </w:p>
        </w:tc>
        <w:tc>
          <w:tcPr>
            <w:tcW w:w="1160" w:type="dxa"/>
            <w:vAlign w:val="bottom"/>
            <w:tcBorders>
              <w:bottom w:val="single" w:sz="8" w:color="D7282F"/>
            </w:tcBorders>
          </w:tcPr>
          <w:p>
            <w:pPr>
              <w:jc w:val="right"/>
              <w:spacing w:after="0"/>
              <w:rPr>
                <w:sz w:val="20"/>
                <w:szCs w:val="20"/>
                <w:color w:val="auto"/>
              </w:rPr>
            </w:pPr>
            <w:r>
              <w:rPr>
                <w:rFonts w:ascii="Arial" w:cs="Arial" w:eastAsia="Arial" w:hAnsi="Arial"/>
                <w:sz w:val="16"/>
                <w:szCs w:val="16"/>
                <w:b w:val="1"/>
                <w:bCs w:val="1"/>
                <w:color w:val="D7282F"/>
              </w:rPr>
              <w:t>48</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D7282F"/>
            </w:tcBorders>
          </w:tcPr>
          <w:p>
            <w:pPr>
              <w:spacing w:after="0"/>
              <w:rPr>
                <w:sz w:val="20"/>
                <w:szCs w:val="20"/>
                <w:color w:val="auto"/>
              </w:rPr>
            </w:pPr>
            <w:r>
              <w:rPr>
                <w:rFonts w:ascii="Arial" w:cs="Arial" w:eastAsia="Arial" w:hAnsi="Arial"/>
                <w:sz w:val="16"/>
                <w:szCs w:val="16"/>
                <w:b w:val="1"/>
                <w:bCs w:val="1"/>
                <w:color w:val="D7282F"/>
              </w:rPr>
              <w:t>PART II</w:t>
            </w:r>
          </w:p>
        </w:tc>
        <w:tc>
          <w:tcPr>
            <w:tcW w:w="9260" w:type="dxa"/>
            <w:vAlign w:val="bottom"/>
            <w:tcBorders>
              <w:bottom w:val="single" w:sz="8" w:color="D7282F"/>
            </w:tcBorders>
          </w:tcPr>
          <w:p>
            <w:pPr>
              <w:ind w:left="120"/>
              <w:spacing w:after="0"/>
              <w:rPr>
                <w:sz w:val="20"/>
                <w:szCs w:val="20"/>
                <w:color w:val="auto"/>
              </w:rPr>
            </w:pPr>
            <w:r>
              <w:rPr>
                <w:rFonts w:ascii="Arial" w:cs="Arial" w:eastAsia="Arial" w:hAnsi="Arial"/>
                <w:sz w:val="16"/>
                <w:szCs w:val="16"/>
                <w:b w:val="1"/>
                <w:bCs w:val="1"/>
                <w:color w:val="D7282F"/>
              </w:rPr>
              <w:t>Other Information</w:t>
            </w:r>
          </w:p>
        </w:tc>
        <w:tc>
          <w:tcPr>
            <w:tcW w:w="1160" w:type="dxa"/>
            <w:vAlign w:val="bottom"/>
            <w:tcBorders>
              <w:bottom w:val="single" w:sz="8" w:color="D7282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1</w:t>
            </w: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Legal Proceedings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49</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1A</w:t>
            </w: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Risk Factors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49</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2</w:t>
            </w: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Unregistered Sales of Equity Securities and Use of Proceeds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50</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4</w:t>
            </w: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Mine Safety Disclosures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50</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5</w:t>
            </w: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Other Information</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50</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6</w:t>
            </w: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Exhibits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51</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2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Signatures</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52</w:t>
            </w:r>
          </w:p>
        </w:tc>
        <w:tc>
          <w:tcPr>
            <w:tcW w:w="20" w:type="dxa"/>
            <w:vAlign w:val="bottom"/>
          </w:tcPr>
          <w:p>
            <w:pPr>
              <w:spacing w:after="0"/>
              <w:rPr>
                <w:sz w:val="18"/>
                <w:szCs w:val="18"/>
                <w:color w:val="auto"/>
              </w:rPr>
            </w:pPr>
          </w:p>
        </w:tc>
      </w:tr>
      <w:tr>
        <w:trPr>
          <w:trHeight w:val="1256"/>
        </w:trPr>
        <w:tc>
          <w:tcPr>
            <w:tcW w:w="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60"/>
        <w:spacing w:after="0" w:line="297" w:lineRule="auto"/>
        <w:rPr>
          <w:sz w:val="20"/>
          <w:szCs w:val="20"/>
          <w:color w:val="auto"/>
        </w:rPr>
      </w:pPr>
      <w:r>
        <w:rPr>
          <w:rFonts w:ascii="Arial" w:cs="Arial" w:eastAsia="Arial" w:hAnsi="Arial"/>
          <w:sz w:val="36"/>
          <w:szCs w:val="36"/>
          <w:b w:val="1"/>
          <w:bCs w:val="1"/>
          <w:color w:val="auto"/>
        </w:rPr>
        <w:t>CAUTIONARY STATEMENT ABOUT FORWARD-LOOKING STATEMENTS</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We describe many of the trends and other factors that drive our business and future results in the section titled </w:t>
      </w:r>
      <w:r>
        <w:rPr>
          <w:rFonts w:ascii="Arial" w:cs="Arial" w:eastAsia="Arial" w:hAnsi="Arial"/>
          <w:sz w:val="16"/>
          <w:szCs w:val="16"/>
          <w:u w:val="single" w:color="auto"/>
          <w:color w:val="0000FF"/>
        </w:rPr>
        <w:t>Management’s Discussion and Analysis of</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Financial Condition and Results of Operations</w:t>
      </w:r>
      <w:r>
        <w:rPr>
          <w:rFonts w:ascii="Arial" w:cs="Arial" w:eastAsia="Arial" w:hAnsi="Arial"/>
          <w:sz w:val="16"/>
          <w:szCs w:val="16"/>
          <w:color w:val="0000FF"/>
        </w:rPr>
        <w:t xml:space="preserve"> </w:t>
      </w:r>
      <w:r>
        <w:rPr>
          <w:rFonts w:ascii="Arial" w:cs="Arial" w:eastAsia="Arial" w:hAnsi="Arial"/>
          <w:sz w:val="16"/>
          <w:szCs w:val="16"/>
          <w:color w:val="000000"/>
        </w:rPr>
        <w:t>and in other parts of this report (including</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Part II, Item 1A Risk Factors</w:t>
      </w:r>
      <w:r>
        <w:rPr>
          <w:rFonts w:ascii="Arial" w:cs="Arial" w:eastAsia="Arial" w:hAnsi="Arial"/>
          <w:sz w:val="16"/>
          <w:szCs w:val="16"/>
          <w:color w:val="000000"/>
        </w:rPr>
        <w:t xml:space="preserve">). Such discussions contain forward-looking statements within the meaning of Section 21E of the Securities Exchange Act of 1934, as amended (the Exchange Act), including statements related to the proposed spin-off of the Company's Advanced Materials business into Solstice Advanced Materials, a standalone, publicly traded company, the proposed separation of Automation and Aerospace Technologies, the sale of the personal protective equipment business, and the acquisition of Sundyne. Forward-looking statements are those that address activities, events, or developments that we or our management intend, expect, project, believe, or anticipate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our control, including Honeywell's current expectations, estimates, and projections regarding, among other things, the proposed spin-off of the Company's Advanced Materials business into Solstice Advanced Materials, a standalone, publicly traded company, the proposed separation of Automation and Aerospace Technologies, the sale of the personal protective equipment business, and the acquisition of Sundyne. They are not guarantees of future performance, and actual results, developments, and business decisions may differ significantly from those envisaged by our forward-looking statements, including the consummation of the spin-off of the Advanced Materials business into Solstice Advanced Materials, the proposed separation of Automation and Aerospace Technologies, the sale of our personal protective equipment business, and the acquisition of Sundyne, and the anticipated benefits of each. We do not undertake to update or revise any of our forward-looking statements, except as required by applicable securities law. Our forward-looking statements are also subject to material risks and uncertainties, including ongoing macroeconomic and geopolitical risks, such as the impacts of tariffs and other trade barriers and restrictions, lower GDP growth or recession in the U.S. or globally, supply chain disruptions, capital markets volatility, inflation, and certain regional conflicts, which can affect our performance in both the near and long term. In addition, no assurance can be given that any plan, initiative, projection, goal, commitment, expectation, or prospect set forth in this Form 10-Q can or will be achieved. These forward-looking statements should be considered in light of the information included in this report and our other filings with the Securities and Exchange Commission (SEC), including, without limitation, the </w:t>
      </w:r>
      <w:r>
        <w:rPr>
          <w:rFonts w:ascii="Arial" w:cs="Arial" w:eastAsia="Arial" w:hAnsi="Arial"/>
          <w:sz w:val="16"/>
          <w:szCs w:val="16"/>
          <w:u w:val="single" w:color="auto"/>
          <w:color w:val="0000FF"/>
        </w:rPr>
        <w:t>Risk Factors</w:t>
      </w:r>
      <w:r>
        <w:rPr>
          <w:rFonts w:ascii="Arial" w:cs="Arial" w:eastAsia="Arial" w:hAnsi="Arial"/>
          <w:sz w:val="16"/>
          <w:szCs w:val="16"/>
          <w:color w:val="000000"/>
        </w:rPr>
        <w:t xml:space="preserve">, as well as the description of trends and other factors in </w:t>
      </w:r>
      <w:r>
        <w:rPr>
          <w:rFonts w:ascii="Arial" w:cs="Arial" w:eastAsia="Arial" w:hAnsi="Arial"/>
          <w:sz w:val="16"/>
          <w:szCs w:val="16"/>
          <w:u w:val="single" w:color="auto"/>
          <w:color w:val="0000FF"/>
        </w:rPr>
        <w:t>Management’s Discussion and Analysis of Financial Condition and</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Results of Operations</w:t>
      </w:r>
      <w:r>
        <w:rPr>
          <w:rFonts w:ascii="Arial" w:cs="Arial" w:eastAsia="Arial" w:hAnsi="Arial"/>
          <w:sz w:val="16"/>
          <w:szCs w:val="16"/>
          <w:color w:val="000000"/>
        </w:rPr>
        <w:t>, set forth in this report and our 2024 Annual Report on Form 10-K. Any forward-looking plans described herein are not final and may</w:t>
      </w:r>
      <w:r>
        <w:rPr>
          <w:rFonts w:ascii="Arial" w:cs="Arial" w:eastAsia="Arial" w:hAnsi="Arial"/>
          <w:sz w:val="16"/>
          <w:szCs w:val="16"/>
          <w:color w:val="0000FF"/>
        </w:rPr>
        <w:t xml:space="preserve"> </w:t>
      </w:r>
      <w:r>
        <w:rPr>
          <w:rFonts w:ascii="Arial" w:cs="Arial" w:eastAsia="Arial" w:hAnsi="Arial"/>
          <w:sz w:val="16"/>
          <w:szCs w:val="16"/>
          <w:color w:val="000000"/>
        </w:rPr>
        <w:t>be modified or abandoned at any time.</w:t>
      </w:r>
    </w:p>
    <w:p>
      <w:pPr>
        <w:spacing w:after="0" w:line="200" w:lineRule="exact"/>
        <w:rPr>
          <w:sz w:val="20"/>
          <w:szCs w:val="20"/>
          <w:color w:val="auto"/>
        </w:rPr>
      </w:pPr>
    </w:p>
    <w:p>
      <w:pPr>
        <w:spacing w:after="0" w:line="276"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ABOUT HONEYWELL</w:t>
      </w:r>
    </w:p>
    <w:p>
      <w:pPr>
        <w:spacing w:after="0" w:line="39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Honeywell International Inc. (Honeywell, we, us, our, or the Company) is an integrated operating company serving a broad range of industries and geographies around the world. Our products and solutions enable a safer, more comfortable, and more productive world, enhancing the quality of life of people around the globe. Our business is aligned with three powerful megatrends – automation, the future of aviation, and energy transition – underpinned by our Honeywell Accelerator operating system and Honeywell Forge Internet of Things (IoT) platform. Our portfolio of solutions is uniquely positioned to blend physical products with software to serve customers worldwide. As a trusted partner, we help organizations solve the world's toughest, most complex challenges, providing actionable solutions and innovations through our Aerospace Technologies, Industrial Automation, Building Automation, and Energy and Sustainability Solutions business segments that help make the world smarter and safer, as well as more secure and sustainable. The Honeywell brand dates back to 1906, and the Company was incorporated in Delaware in 1985.</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Annual Report on Form 10-K, Quarterly Reports on Form 10-Q, Current Reports on Form 8-K, and any amendments to those reports, are available free of charge on our Investor Relations website (investor.honeywell.com) under the heading Financials (see SEC Filings) immediately after they are filed with, or furnished to, the SEC. Honeywell uses our Investor Relations website, along with press releases on our primary Honeywell website (honeywell.com) under the heading News &amp; Media, as a means of disclosing information which may be of interest or material to our investors and for complying with disclosure obligations under Regulation FD. Accordingly, investors should monitor our Investor Relations website and Honeywell News feed, in addition to following our press releases, SEC filings, public conference calls, webcasts, and social media. Information contained on or accessible through, including any reports available on, our website is not a part of, and is not incorporated by reference into, this Quarterly Report on Form 10-Q or any other report or document we file with the SEC. Any reference to our website in this Form 10-Q is intended to be an inactive textual reference only.</w:t>
      </w:r>
    </w:p>
    <w:p>
      <w:pPr>
        <w:spacing w:after="0" w:line="200" w:lineRule="exact"/>
        <w:rPr>
          <w:sz w:val="20"/>
          <w:szCs w:val="20"/>
          <w:color w:val="auto"/>
        </w:rPr>
      </w:pPr>
    </w:p>
    <w:p>
      <w:pPr>
        <w:spacing w:after="0" w:line="211"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 FINANCIAL INFORMATION</w:t>
      </w:r>
    </w:p>
    <w:p>
      <w:pPr>
        <w:spacing w:after="0" w:line="3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financial statements and related notes as of March 31, 2025, should be read in conjunction with the financial statements for the year ended December 31, 2024, contained in the Company's 2024 Annual Report on Form 10-K.</w:t>
      </w:r>
    </w:p>
    <w:p>
      <w:pPr>
        <w:spacing w:after="0" w:line="29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FINANCIAL STATEMENTS AND SUPPLEMENTARY DATA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3"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6350</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8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47"/>
        </w:trPr>
        <w:tc>
          <w:tcPr>
            <w:tcW w:w="9280" w:type="dxa"/>
            <w:vAlign w:val="bottom"/>
          </w:tcPr>
          <w:p>
            <w:pPr>
              <w:spacing w:after="0"/>
              <w:rPr>
                <w:sz w:val="12"/>
                <w:szCs w:val="12"/>
                <w:color w:val="auto"/>
              </w:rPr>
            </w:pPr>
          </w:p>
        </w:tc>
        <w:tc>
          <w:tcPr>
            <w:tcW w:w="1960" w:type="dxa"/>
            <w:vAlign w:val="bottom"/>
            <w:gridSpan w:val="4"/>
          </w:tcPr>
          <w:p>
            <w:pPr>
              <w:jc w:val="right"/>
              <w:spacing w:after="0" w:line="147" w:lineRule="exact"/>
              <w:rPr>
                <w:sz w:val="20"/>
                <w:szCs w:val="20"/>
                <w:color w:val="auto"/>
              </w:rPr>
            </w:pPr>
            <w:r>
              <w:rPr>
                <w:rFonts w:ascii="Arial" w:cs="Arial" w:eastAsia="Arial" w:hAnsi="Arial"/>
                <w:sz w:val="14"/>
                <w:szCs w:val="14"/>
                <w:b w:val="1"/>
                <w:bCs w:val="1"/>
                <w:color w:val="auto"/>
              </w:rPr>
              <w:t>(Dollars in millions, except</w:t>
            </w:r>
          </w:p>
        </w:tc>
      </w:tr>
      <w:tr>
        <w:trPr>
          <w:trHeight w:val="185"/>
        </w:trPr>
        <w:tc>
          <w:tcPr>
            <w:tcW w:w="928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780" w:type="dxa"/>
            <w:vAlign w:val="bottom"/>
            <w:tcBorders>
              <w:bottom w:val="single" w:sz="8" w:color="D7282F"/>
            </w:tcBorders>
            <w:gridSpan w:val="3"/>
          </w:tcPr>
          <w:p>
            <w:pPr>
              <w:jc w:val="right"/>
              <w:ind w:right="248"/>
              <w:spacing w:after="0"/>
              <w:rPr>
                <w:sz w:val="20"/>
                <w:szCs w:val="20"/>
                <w:color w:val="auto"/>
              </w:rPr>
            </w:pPr>
            <w:r>
              <w:rPr>
                <w:rFonts w:ascii="Arial" w:cs="Arial" w:eastAsia="Arial" w:hAnsi="Arial"/>
                <w:sz w:val="14"/>
                <w:szCs w:val="14"/>
                <w:b w:val="1"/>
                <w:bCs w:val="1"/>
                <w:color w:val="auto"/>
              </w:rPr>
              <w:t>per share amounts)</w:t>
            </w:r>
          </w:p>
        </w:tc>
      </w:tr>
      <w:tr>
        <w:trPr>
          <w:trHeight w:val="192"/>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 sales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6,645</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6,263</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 sales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3,177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2,842</w:t>
            </w:r>
          </w:p>
        </w:tc>
      </w:tr>
      <w:tr>
        <w:trPr>
          <w:trHeight w:val="199"/>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9,822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9,105</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Costs, expenses and other</w:t>
            </w: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r>
      <w:tr>
        <w:trPr>
          <w:trHeight w:val="196"/>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Cost of products sold</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4,251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4,035</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Cost of services sold</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1,786</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1,548</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Cost of products and services sold</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6,037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5,583</w:t>
            </w:r>
          </w:p>
        </w:tc>
      </w:tr>
      <w:tr>
        <w:trPr>
          <w:trHeight w:val="193"/>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Research and development expenses</w:t>
            </w: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439</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360</w:t>
            </w:r>
          </w:p>
        </w:tc>
      </w:tr>
      <w:tr>
        <w:trPr>
          <w:trHeight w:val="196"/>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1,361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1,302</w:t>
            </w:r>
          </w:p>
        </w:tc>
      </w:tr>
      <w:tr>
        <w:trPr>
          <w:trHeight w:val="196"/>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Impairment of assets held for sale</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(income) expense</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(200)</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(231)</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Interest and other financial charges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286</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220</w:t>
            </w:r>
          </w:p>
        </w:tc>
      </w:tr>
      <w:tr>
        <w:trPr>
          <w:trHeight w:val="199"/>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costs, expenses and other</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7,938</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7,234</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1,884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1,871</w:t>
            </w:r>
          </w:p>
        </w:tc>
      </w:tr>
      <w:tr>
        <w:trPr>
          <w:trHeight w:val="193"/>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Tax expense</w:t>
            </w: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417</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396</w:t>
            </w:r>
          </w:p>
        </w:tc>
      </w:tr>
      <w:tr>
        <w:trPr>
          <w:trHeight w:val="199"/>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1,467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1,475</w:t>
            </w:r>
          </w:p>
        </w:tc>
      </w:tr>
      <w:tr>
        <w:trPr>
          <w:trHeight w:val="193"/>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Net income attributable to noncontrolling interest</w:t>
            </w: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18</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w:t>
            </w:r>
          </w:p>
        </w:tc>
      </w:tr>
      <w:tr>
        <w:trPr>
          <w:trHeight w:val="199"/>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 attributable to Honeywell</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1,449</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1,463</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stock—basic</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2.24</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2.24</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stock—assuming dilution</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2.22</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COMPREHENSIVE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3"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6350</wp:posOffset>
            </wp:positionV>
            <wp:extent cx="1243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8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6"/>
        </w:trPr>
        <w:tc>
          <w:tcPr>
            <w:tcW w:w="928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1780" w:type="dxa"/>
            <w:vAlign w:val="bottom"/>
            <w:tcBorders>
              <w:bottom w:val="single" w:sz="8" w:color="D7282F"/>
            </w:tcBorders>
            <w:gridSpan w:val="3"/>
          </w:tcPr>
          <w:p>
            <w:pPr>
              <w:jc w:val="right"/>
              <w:ind w:right="248"/>
              <w:spacing w:after="0"/>
              <w:rPr>
                <w:sz w:val="20"/>
                <w:szCs w:val="20"/>
                <w:color w:val="auto"/>
              </w:rPr>
            </w:pPr>
            <w:r>
              <w:rPr>
                <w:rFonts w:ascii="Arial" w:cs="Arial" w:eastAsia="Arial" w:hAnsi="Arial"/>
                <w:sz w:val="14"/>
                <w:szCs w:val="14"/>
                <w:b w:val="1"/>
                <w:bCs w:val="1"/>
                <w:color w:val="auto"/>
              </w:rPr>
              <w:t>(Dollars in millions)</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1,467</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1,475</w:t>
            </w:r>
          </w:p>
        </w:tc>
      </w:tr>
      <w:tr>
        <w:trPr>
          <w:trHeight w:val="196"/>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comprehensive income (loss), net of tax</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6"/>
        </w:trPr>
        <w:tc>
          <w:tcPr>
            <w:tcW w:w="928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Foreign exchange translation adjustment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(278)</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w:t>
            </w:r>
          </w:p>
        </w:tc>
      </w:tr>
      <w:tr>
        <w:trPr>
          <w:trHeight w:val="196"/>
        </w:trPr>
        <w:tc>
          <w:tcPr>
            <w:tcW w:w="928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Pension and other postretirement benefit adjustments</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9280" w:type="dxa"/>
            <w:vAlign w:val="bottom"/>
            <w:tcBorders>
              <w:bottom w:val="single" w:sz="8" w:color="D7282F"/>
            </w:tcBorders>
          </w:tcPr>
          <w:p>
            <w:pPr>
              <w:ind w:left="240"/>
              <w:spacing w:after="0"/>
              <w:rPr>
                <w:sz w:val="20"/>
                <w:szCs w:val="20"/>
                <w:color w:val="auto"/>
              </w:rPr>
            </w:pPr>
            <w:r>
              <w:rPr>
                <w:rFonts w:ascii="Arial" w:cs="Arial" w:eastAsia="Arial" w:hAnsi="Arial"/>
                <w:sz w:val="14"/>
                <w:szCs w:val="14"/>
                <w:color w:val="auto"/>
              </w:rPr>
              <w:t>Changes in fair value of cash flow hedges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(18)</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Other comprehensive income (loss), net of tax</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63</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1,182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1,538</w:t>
            </w:r>
          </w:p>
        </w:tc>
      </w:tr>
      <w:tr>
        <w:trPr>
          <w:trHeight w:val="193"/>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Comprehensive income (loss) attributable to the noncontrolling interest</w:t>
            </w: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30</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w:t>
            </w:r>
          </w:p>
        </w:tc>
      </w:tr>
      <w:tr>
        <w:trPr>
          <w:trHeight w:val="199"/>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 attributable to Honeywell</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1,152</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1,550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4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March 31, 2025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784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3260" w:type="dxa"/>
            <w:vAlign w:val="bottom"/>
            <w:tcBorders>
              <w:bottom w:val="single" w:sz="8" w:color="D7282F"/>
            </w:tcBorders>
            <w:gridSpan w:val="3"/>
          </w:tcPr>
          <w:p>
            <w:pPr>
              <w:jc w:val="center"/>
              <w:ind w:right="68"/>
              <w:spacing w:after="0"/>
              <w:rPr>
                <w:sz w:val="20"/>
                <w:szCs w:val="20"/>
                <w:color w:val="auto"/>
              </w:rPr>
            </w:pPr>
            <w:r>
              <w:rPr>
                <w:rFonts w:ascii="Arial" w:cs="Arial" w:eastAsia="Arial" w:hAnsi="Arial"/>
                <w:sz w:val="14"/>
                <w:szCs w:val="14"/>
                <w:b w:val="1"/>
                <w:bCs w:val="1"/>
                <w:color w:val="auto"/>
              </w:rPr>
              <w:t>(Dollars in millions)</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assets</w:t>
            </w:r>
          </w:p>
        </w:tc>
        <w:tc>
          <w:tcPr>
            <w:tcW w:w="14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78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Cash and cash equivalents</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9,657</w:t>
            </w:r>
          </w:p>
        </w:tc>
        <w:tc>
          <w:tcPr>
            <w:tcW w:w="28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10,567</w:t>
            </w:r>
          </w:p>
        </w:tc>
      </w:tr>
      <w:tr>
        <w:trPr>
          <w:trHeight w:val="196"/>
        </w:trPr>
        <w:tc>
          <w:tcPr>
            <w:tcW w:w="78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Short-term investments</w:t>
            </w:r>
          </w:p>
        </w:tc>
        <w:tc>
          <w:tcPr>
            <w:tcW w:w="14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402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386</w:t>
            </w:r>
          </w:p>
        </w:tc>
      </w:tr>
      <w:tr>
        <w:trPr>
          <w:trHeight w:val="196"/>
        </w:trPr>
        <w:tc>
          <w:tcPr>
            <w:tcW w:w="78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receivable, less allowances of $353 and $314, respectively</w:t>
            </w:r>
          </w:p>
        </w:tc>
        <w:tc>
          <w:tcPr>
            <w:tcW w:w="14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8,251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7,819</w:t>
            </w:r>
          </w:p>
        </w:tc>
      </w:tr>
      <w:tr>
        <w:trPr>
          <w:trHeight w:val="196"/>
        </w:trPr>
        <w:tc>
          <w:tcPr>
            <w:tcW w:w="78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Inventories</w:t>
            </w:r>
          </w:p>
        </w:tc>
        <w:tc>
          <w:tcPr>
            <w:tcW w:w="14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6,611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6,442</w:t>
            </w:r>
          </w:p>
        </w:tc>
      </w:tr>
      <w:tr>
        <w:trPr>
          <w:trHeight w:val="196"/>
        </w:trPr>
        <w:tc>
          <w:tcPr>
            <w:tcW w:w="78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Assets held for sale</w:t>
            </w:r>
          </w:p>
        </w:tc>
        <w:tc>
          <w:tcPr>
            <w:tcW w:w="14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1,393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1,365</w:t>
            </w:r>
          </w:p>
        </w:tc>
      </w:tr>
      <w:tr>
        <w:trPr>
          <w:trHeight w:val="196"/>
        </w:trPr>
        <w:tc>
          <w:tcPr>
            <w:tcW w:w="78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current assets</w:t>
            </w:r>
          </w:p>
        </w:tc>
        <w:tc>
          <w:tcPr>
            <w:tcW w:w="14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1,331</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1,329</w:t>
            </w:r>
          </w:p>
        </w:tc>
      </w:tr>
      <w:tr>
        <w:trPr>
          <w:trHeight w:val="199"/>
        </w:trPr>
        <w:tc>
          <w:tcPr>
            <w:tcW w:w="78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assets</w:t>
            </w:r>
          </w:p>
        </w:tc>
        <w:tc>
          <w:tcPr>
            <w:tcW w:w="14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27,645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27,908</w:t>
            </w:r>
          </w:p>
        </w:tc>
      </w:tr>
      <w:tr>
        <w:trPr>
          <w:trHeight w:val="193"/>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Investments and long-term receivables</w:t>
            </w:r>
          </w:p>
        </w:tc>
        <w:tc>
          <w:tcPr>
            <w:tcW w:w="140" w:type="dxa"/>
            <w:vAlign w:val="bottom"/>
            <w:tcBorders>
              <w:bottom w:val="single" w:sz="8" w:color="61656A"/>
            </w:tcBorders>
          </w:tcPr>
          <w:p>
            <w:pPr>
              <w:spacing w:after="0"/>
              <w:rPr>
                <w:sz w:val="16"/>
                <w:szCs w:val="16"/>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1,418</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1,394</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Property, plant and equipment—net</w:t>
            </w:r>
          </w:p>
        </w:tc>
        <w:tc>
          <w:tcPr>
            <w:tcW w:w="14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6,213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6,194</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Goodwill</w:t>
            </w:r>
          </w:p>
        </w:tc>
        <w:tc>
          <w:tcPr>
            <w:tcW w:w="14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22,021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21,825</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intangible assets—net</w:t>
            </w:r>
          </w:p>
        </w:tc>
        <w:tc>
          <w:tcPr>
            <w:tcW w:w="14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6,537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6,656</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Insurance recoveries for asbestos-related liabilities</w:t>
            </w:r>
          </w:p>
        </w:tc>
        <w:tc>
          <w:tcPr>
            <w:tcW w:w="14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171</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238</w:t>
            </w:r>
          </w:p>
        </w:tc>
      </w:tr>
      <w:tr>
        <w:trPr>
          <w:trHeight w:val="196"/>
        </w:trPr>
        <w:tc>
          <w:tcPr>
            <w:tcW w:w="78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10,988</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10,810</w:t>
            </w:r>
          </w:p>
        </w:tc>
      </w:tr>
      <w:tr>
        <w:trPr>
          <w:trHeight w:val="199"/>
        </w:trPr>
        <w:tc>
          <w:tcPr>
            <w:tcW w:w="78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75,218</w:t>
            </w:r>
          </w:p>
        </w:tc>
        <w:tc>
          <w:tcPr>
            <w:tcW w:w="28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75,196</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4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78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payable</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6,734</w:t>
            </w:r>
          </w:p>
        </w:tc>
        <w:tc>
          <w:tcPr>
            <w:tcW w:w="28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6,880</w:t>
            </w:r>
          </w:p>
        </w:tc>
      </w:tr>
      <w:tr>
        <w:trPr>
          <w:trHeight w:val="196"/>
        </w:trPr>
        <w:tc>
          <w:tcPr>
            <w:tcW w:w="78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paper and other short-term borrowings</w:t>
            </w:r>
          </w:p>
        </w:tc>
        <w:tc>
          <w:tcPr>
            <w:tcW w:w="14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5,756</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4,273</w:t>
            </w:r>
          </w:p>
        </w:tc>
      </w:tr>
      <w:tr>
        <w:trPr>
          <w:trHeight w:val="196"/>
        </w:trPr>
        <w:tc>
          <w:tcPr>
            <w:tcW w:w="78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Current maturities of long-term debt</w:t>
            </w:r>
          </w:p>
        </w:tc>
        <w:tc>
          <w:tcPr>
            <w:tcW w:w="14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1,332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1,347</w:t>
            </w:r>
          </w:p>
        </w:tc>
      </w:tr>
      <w:tr>
        <w:trPr>
          <w:trHeight w:val="196"/>
        </w:trPr>
        <w:tc>
          <w:tcPr>
            <w:tcW w:w="78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Accrued liabilities</w:t>
            </w:r>
          </w:p>
        </w:tc>
        <w:tc>
          <w:tcPr>
            <w:tcW w:w="14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7,849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8,348</w:t>
            </w:r>
          </w:p>
        </w:tc>
      </w:tr>
      <w:tr>
        <w:trPr>
          <w:trHeight w:val="196"/>
        </w:trPr>
        <w:tc>
          <w:tcPr>
            <w:tcW w:w="78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Liabilities held for sale</w:t>
            </w:r>
          </w:p>
        </w:tc>
        <w:tc>
          <w:tcPr>
            <w:tcW w:w="14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400</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408</w:t>
            </w:r>
          </w:p>
        </w:tc>
      </w:tr>
      <w:tr>
        <w:trPr>
          <w:trHeight w:val="199"/>
        </w:trPr>
        <w:tc>
          <w:tcPr>
            <w:tcW w:w="78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liabilities</w:t>
            </w:r>
          </w:p>
        </w:tc>
        <w:tc>
          <w:tcPr>
            <w:tcW w:w="14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22,071</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21,256</w:t>
            </w:r>
          </w:p>
        </w:tc>
      </w:tr>
      <w:tr>
        <w:trPr>
          <w:trHeight w:val="193"/>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Long-term debt</w:t>
            </w:r>
          </w:p>
        </w:tc>
        <w:tc>
          <w:tcPr>
            <w:tcW w:w="140" w:type="dxa"/>
            <w:vAlign w:val="bottom"/>
            <w:tcBorders>
              <w:bottom w:val="single" w:sz="8" w:color="61656A"/>
            </w:tcBorders>
          </w:tcPr>
          <w:p>
            <w:pPr>
              <w:spacing w:after="0"/>
              <w:rPr>
                <w:sz w:val="16"/>
                <w:szCs w:val="16"/>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25,744</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25,479</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1,787</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Postretirement benefit obligations other than pensions</w:t>
            </w:r>
          </w:p>
        </w:tc>
        <w:tc>
          <w:tcPr>
            <w:tcW w:w="14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112</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Asbestos-related liabilities</w:t>
            </w:r>
          </w:p>
        </w:tc>
        <w:tc>
          <w:tcPr>
            <w:tcW w:w="14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1,283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1,325</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liabilities</w:t>
            </w:r>
          </w:p>
        </w:tc>
        <w:tc>
          <w:tcPr>
            <w:tcW w:w="14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6,229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6,076</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Redeemable noncontrolling interest</w:t>
            </w:r>
          </w:p>
        </w:tc>
        <w:tc>
          <w:tcPr>
            <w:tcW w:w="14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r>
      <w:tr>
        <w:trPr>
          <w:trHeight w:val="199"/>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SHAREOWNERS’ EQUITY</w:t>
            </w:r>
          </w:p>
        </w:tc>
        <w:tc>
          <w:tcPr>
            <w:tcW w:w="14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Capital—common stock issued</w:t>
            </w:r>
          </w:p>
        </w:tc>
        <w:tc>
          <w:tcPr>
            <w:tcW w:w="140" w:type="dxa"/>
            <w:vAlign w:val="bottom"/>
            <w:tcBorders>
              <w:bottom w:val="single" w:sz="8" w:color="61656A"/>
            </w:tcBorders>
          </w:tcPr>
          <w:p>
            <w:pPr>
              <w:spacing w:after="0"/>
              <w:rPr>
                <w:sz w:val="16"/>
                <w:szCs w:val="16"/>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958</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r>
      <w:tr>
        <w:trPr>
          <w:trHeight w:val="196"/>
        </w:trPr>
        <w:tc>
          <w:tcPr>
            <w:tcW w:w="7840" w:type="dxa"/>
            <w:vAlign w:val="bottom"/>
            <w:tcBorders>
              <w:bottom w:val="single" w:sz="8" w:color="61656A"/>
            </w:tcBorders>
          </w:tcPr>
          <w:p>
            <w:pPr>
              <w:ind w:left="460"/>
              <w:spacing w:after="0"/>
              <w:rPr>
                <w:sz w:val="20"/>
                <w:szCs w:val="20"/>
                <w:color w:val="auto"/>
              </w:rPr>
            </w:pPr>
            <w:r>
              <w:rPr>
                <w:rFonts w:ascii="Arial" w:cs="Arial" w:eastAsia="Arial" w:hAnsi="Arial"/>
                <w:sz w:val="14"/>
                <w:szCs w:val="14"/>
                <w:color w:val="auto"/>
              </w:rPr>
              <w:t>—additional paid-in capital</w:t>
            </w:r>
          </w:p>
        </w:tc>
        <w:tc>
          <w:tcPr>
            <w:tcW w:w="14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9,943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9,695</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Common stock held in treasury, at cost</w:t>
            </w:r>
          </w:p>
        </w:tc>
        <w:tc>
          <w:tcPr>
            <w:tcW w:w="14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(41,200)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(39,378)</w:t>
            </w:r>
          </w:p>
        </w:tc>
      </w:tr>
      <w:tr>
        <w:trPr>
          <w:trHeight w:val="196"/>
        </w:trPr>
        <w:tc>
          <w:tcPr>
            <w:tcW w:w="7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tcBorders>
              <w:bottom w:val="single" w:sz="8" w:color="61656A"/>
            </w:tcBorders>
          </w:tcPr>
          <w:p>
            <w:pPr>
              <w:spacing w:after="0"/>
              <w:rPr>
                <w:sz w:val="17"/>
                <w:szCs w:val="17"/>
                <w:color w:val="auto"/>
              </w:rPr>
            </w:pPr>
          </w:p>
        </w:tc>
        <w:tc>
          <w:tcPr>
            <w:tcW w:w="13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(3,788)</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(3,491)</w:t>
            </w:r>
          </w:p>
        </w:tc>
      </w:tr>
      <w:tr>
        <w:trPr>
          <w:trHeight w:val="196"/>
        </w:trPr>
        <w:tc>
          <w:tcPr>
            <w:tcW w:w="78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Retained earnings</w:t>
            </w:r>
          </w:p>
        </w:tc>
        <w:tc>
          <w:tcPr>
            <w:tcW w:w="14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51,550</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50,835</w:t>
            </w:r>
          </w:p>
        </w:tc>
      </w:tr>
      <w:tr>
        <w:trPr>
          <w:trHeight w:val="199"/>
        </w:trPr>
        <w:tc>
          <w:tcPr>
            <w:tcW w:w="78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Honeywell shareowners’ equity</w:t>
            </w:r>
          </w:p>
        </w:tc>
        <w:tc>
          <w:tcPr>
            <w:tcW w:w="14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17,463</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18,619</w:t>
            </w:r>
          </w:p>
        </w:tc>
      </w:tr>
      <w:tr>
        <w:trPr>
          <w:trHeight w:val="193"/>
        </w:trPr>
        <w:tc>
          <w:tcPr>
            <w:tcW w:w="78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Noncontrolling interest</w:t>
            </w:r>
          </w:p>
        </w:tc>
        <w:tc>
          <w:tcPr>
            <w:tcW w:w="140" w:type="dxa"/>
            <w:vAlign w:val="bottom"/>
            <w:tcBorders>
              <w:bottom w:val="single" w:sz="8" w:color="D7282F"/>
            </w:tcBorders>
          </w:tcPr>
          <w:p>
            <w:pPr>
              <w:spacing w:after="0"/>
              <w:rPr>
                <w:sz w:val="16"/>
                <w:szCs w:val="16"/>
                <w:color w:val="auto"/>
              </w:rPr>
            </w:pPr>
          </w:p>
        </w:tc>
        <w:tc>
          <w:tcPr>
            <w:tcW w:w="13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561</w:t>
            </w:r>
          </w:p>
        </w:tc>
        <w:tc>
          <w:tcPr>
            <w:tcW w:w="280" w:type="dxa"/>
            <w:vAlign w:val="bottom"/>
            <w:tcBorders>
              <w:bottom w:val="single" w:sz="8" w:color="D7282F"/>
            </w:tcBorders>
          </w:tcPr>
          <w:p>
            <w:pPr>
              <w:spacing w:after="0"/>
              <w:rPr>
                <w:sz w:val="16"/>
                <w:szCs w:val="16"/>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535</w:t>
            </w:r>
          </w:p>
        </w:tc>
      </w:tr>
      <w:tr>
        <w:trPr>
          <w:trHeight w:val="199"/>
        </w:trPr>
        <w:tc>
          <w:tcPr>
            <w:tcW w:w="78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shareowners’ equity</w:t>
            </w:r>
          </w:p>
        </w:tc>
        <w:tc>
          <w:tcPr>
            <w:tcW w:w="14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18,024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19,154</w:t>
            </w:r>
          </w:p>
        </w:tc>
      </w:tr>
      <w:tr>
        <w:trPr>
          <w:trHeight w:val="196"/>
        </w:trPr>
        <w:tc>
          <w:tcPr>
            <w:tcW w:w="78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liabilities, redeemable noncontrolling interest and shareowners’ equity</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75,218</w:t>
            </w:r>
          </w:p>
        </w:tc>
        <w:tc>
          <w:tcPr>
            <w:tcW w:w="28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75,196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00" w:type="dxa"/>
            <w:vAlign w:val="bottom"/>
          </w:tcPr>
          <w:p>
            <w:pPr>
              <w:spacing w:after="0"/>
              <w:rPr>
                <w:sz w:val="17"/>
                <w:szCs w:val="17"/>
                <w:color w:val="auto"/>
              </w:rPr>
            </w:pPr>
          </w:p>
        </w:tc>
        <w:tc>
          <w:tcPr>
            <w:tcW w:w="3040" w:type="dxa"/>
            <w:vAlign w:val="bottom"/>
            <w:tcBorders>
              <w:bottom w:val="single" w:sz="8" w:color="D7282F"/>
            </w:tcBorders>
            <w:gridSpan w:val="4"/>
          </w:tcPr>
          <w:p>
            <w:pPr>
              <w:jc w:val="right"/>
              <w:ind w:right="38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200" w:type="dxa"/>
            <w:vAlign w:val="bottom"/>
          </w:tcPr>
          <w:p>
            <w:pPr>
              <w:spacing w:after="0"/>
              <w:rPr>
                <w:sz w:val="17"/>
                <w:szCs w:val="17"/>
                <w:color w:val="auto"/>
              </w:rPr>
            </w:pP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D7282F"/>
            </w:tcBorders>
          </w:tcPr>
          <w:p>
            <w:pPr>
              <w:spacing w:after="0"/>
              <w:rPr>
                <w:sz w:val="17"/>
                <w:szCs w:val="17"/>
                <w:color w:val="auto"/>
              </w:rPr>
            </w:pPr>
          </w:p>
        </w:tc>
      </w:tr>
      <w:tr>
        <w:trPr>
          <w:trHeight w:val="196"/>
        </w:trPr>
        <w:tc>
          <w:tcPr>
            <w:tcW w:w="8200" w:type="dxa"/>
            <w:vAlign w:val="bottom"/>
            <w:tcBorders>
              <w:bottom w:val="single" w:sz="8" w:color="D7282F"/>
            </w:tcBorders>
          </w:tcPr>
          <w:p>
            <w:pPr>
              <w:spacing w:after="0"/>
              <w:rPr>
                <w:sz w:val="17"/>
                <w:szCs w:val="17"/>
                <w:color w:val="auto"/>
              </w:rPr>
            </w:pPr>
          </w:p>
        </w:tc>
        <w:tc>
          <w:tcPr>
            <w:tcW w:w="2520" w:type="dxa"/>
            <w:vAlign w:val="bottom"/>
            <w:tcBorders>
              <w:bottom w:val="single" w:sz="8" w:color="D7282F"/>
            </w:tcBorders>
            <w:gridSpan w:val="3"/>
          </w:tcPr>
          <w:p>
            <w:pPr>
              <w:jc w:val="right"/>
              <w:ind w:right="268"/>
              <w:spacing w:after="0"/>
              <w:rPr>
                <w:sz w:val="20"/>
                <w:szCs w:val="20"/>
                <w:color w:val="auto"/>
              </w:rPr>
            </w:pPr>
            <w:r>
              <w:rPr>
                <w:rFonts w:ascii="Arial" w:cs="Arial" w:eastAsia="Arial" w:hAnsi="Arial"/>
                <w:sz w:val="14"/>
                <w:szCs w:val="14"/>
                <w:b w:val="1"/>
                <w:bCs w:val="1"/>
                <w:color w:val="auto"/>
              </w:rPr>
              <w:t>(Dollars in millions)</w:t>
            </w:r>
          </w:p>
        </w:tc>
        <w:tc>
          <w:tcPr>
            <w:tcW w:w="520" w:type="dxa"/>
            <w:vAlign w:val="bottom"/>
            <w:tcBorders>
              <w:bottom w:val="single" w:sz="8" w:color="D7282F"/>
            </w:tcBorders>
          </w:tcPr>
          <w:p>
            <w:pPr>
              <w:spacing w:after="0"/>
              <w:rPr>
                <w:sz w:val="17"/>
                <w:szCs w:val="17"/>
                <w:color w:val="auto"/>
              </w:rPr>
            </w:pPr>
          </w:p>
        </w:tc>
      </w:tr>
      <w:tr>
        <w:trPr>
          <w:trHeight w:val="196"/>
        </w:trPr>
        <w:tc>
          <w:tcPr>
            <w:tcW w:w="82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r>
      <w:tr>
        <w:trPr>
          <w:trHeight w:val="193"/>
        </w:trPr>
        <w:tc>
          <w:tcPr>
            <w:tcW w:w="8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w:t>
            </w:r>
          </w:p>
        </w:tc>
        <w:tc>
          <w:tcPr>
            <w:tcW w:w="880" w:type="dxa"/>
            <w:vAlign w:val="bottom"/>
            <w:tcBorders>
              <w:bottom w:val="single" w:sz="8" w:color="61656A"/>
            </w:tcBorders>
          </w:tcPr>
          <w:p>
            <w:pPr>
              <w:jc w:val="right"/>
              <w:ind w:right="7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1,467</w:t>
            </w:r>
          </w:p>
        </w:tc>
        <w:tc>
          <w:tcPr>
            <w:tcW w:w="1000" w:type="dxa"/>
            <w:vAlign w:val="bottom"/>
            <w:tcBorders>
              <w:bottom w:val="single" w:sz="8" w:color="61656A"/>
            </w:tcBorders>
          </w:tcPr>
          <w:p>
            <w:pPr>
              <w:jc w:val="right"/>
              <w:ind w:right="70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1,475</w:t>
            </w:r>
          </w:p>
        </w:tc>
      </w:tr>
      <w:tr>
        <w:trPr>
          <w:trHeight w:val="196"/>
        </w:trPr>
        <w:tc>
          <w:tcPr>
            <w:tcW w:w="82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Net income attributable to noncontrolling interest</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18</w:t>
            </w:r>
          </w:p>
        </w:tc>
        <w:tc>
          <w:tcPr>
            <w:tcW w:w="10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w:t>
            </w:r>
          </w:p>
        </w:tc>
      </w:tr>
      <w:tr>
        <w:trPr>
          <w:trHeight w:val="199"/>
        </w:trPr>
        <w:tc>
          <w:tcPr>
            <w:tcW w:w="820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income attributable to Honeywell</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1,449</w:t>
            </w:r>
          </w:p>
        </w:tc>
        <w:tc>
          <w:tcPr>
            <w:tcW w:w="10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1,463</w:t>
            </w:r>
          </w:p>
        </w:tc>
      </w:tr>
      <w:tr>
        <w:trPr>
          <w:trHeight w:val="193"/>
        </w:trPr>
        <w:tc>
          <w:tcPr>
            <w:tcW w:w="8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Adjustments to reconcile net income attributable to Honeywell to net cash provided by operating activities</w:t>
            </w:r>
          </w:p>
        </w:tc>
        <w:tc>
          <w:tcPr>
            <w:tcW w:w="880" w:type="dxa"/>
            <w:vAlign w:val="bottom"/>
            <w:tcBorders>
              <w:bottom w:val="single" w:sz="8" w:color="61656A"/>
            </w:tcBorders>
          </w:tcPr>
          <w:p>
            <w:pPr>
              <w:spacing w:after="0"/>
              <w:rPr>
                <w:sz w:val="16"/>
                <w:szCs w:val="16"/>
                <w:color w:val="auto"/>
              </w:rPr>
            </w:pPr>
          </w:p>
        </w:tc>
        <w:tc>
          <w:tcPr>
            <w:tcW w:w="640" w:type="dxa"/>
            <w:vAlign w:val="bottom"/>
            <w:tcBorders>
              <w:bottom w:val="single" w:sz="8" w:color="61656A"/>
            </w:tcBorders>
          </w:tcPr>
          <w:p>
            <w:pPr>
              <w:spacing w:after="0"/>
              <w:rPr>
                <w:sz w:val="16"/>
                <w:szCs w:val="16"/>
                <w:color w:val="auto"/>
              </w:rPr>
            </w:pPr>
          </w:p>
        </w:tc>
        <w:tc>
          <w:tcPr>
            <w:tcW w:w="100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spacing w:after="0"/>
              <w:rPr>
                <w:sz w:val="16"/>
                <w:szCs w:val="16"/>
                <w:color w:val="auto"/>
              </w:rPr>
            </w:pP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Depreciation</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174</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166</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Amortization</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200</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125</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Gain on sale of non-strategic businesses and assets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(16)</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Impairment of assets held for sale</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Repositioning and other charges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45</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93</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Net payments for repositioning and other charges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(104)</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(124)</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Pension and other postretirement income</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(145)</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(151)</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Pension and other postretirement benefit payments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Stock compensation expense</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61</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Deferred income taxes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(19)</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(196)</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(158)</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Changes in assets and liabilities, net of the effects of acquisitions and divestitures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r>
      <w:tr>
        <w:trPr>
          <w:trHeight w:val="196"/>
        </w:trPr>
        <w:tc>
          <w:tcPr>
            <w:tcW w:w="820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Accounts receivable</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(424)</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w:t>
            </w:r>
          </w:p>
        </w:tc>
      </w:tr>
      <w:tr>
        <w:trPr>
          <w:trHeight w:val="196"/>
        </w:trPr>
        <w:tc>
          <w:tcPr>
            <w:tcW w:w="820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Inventories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(181)</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(140)</w:t>
            </w:r>
          </w:p>
        </w:tc>
      </w:tr>
      <w:tr>
        <w:trPr>
          <w:trHeight w:val="196"/>
        </w:trPr>
        <w:tc>
          <w:tcPr>
            <w:tcW w:w="820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Other current assets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35</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63</w:t>
            </w:r>
          </w:p>
        </w:tc>
      </w:tr>
      <w:tr>
        <w:trPr>
          <w:trHeight w:val="196"/>
        </w:trPr>
        <w:tc>
          <w:tcPr>
            <w:tcW w:w="820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Accounts payable</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(149)</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(381)</w:t>
            </w:r>
          </w:p>
        </w:tc>
      </w:tr>
      <w:tr>
        <w:trPr>
          <w:trHeight w:val="196"/>
        </w:trPr>
        <w:tc>
          <w:tcPr>
            <w:tcW w:w="820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Accrued liabilities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(123)</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(565)</w:t>
            </w:r>
          </w:p>
        </w:tc>
      </w:tr>
      <w:tr>
        <w:trPr>
          <w:trHeight w:val="196"/>
        </w:trPr>
        <w:tc>
          <w:tcPr>
            <w:tcW w:w="820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Income taxes</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(20)</w:t>
            </w:r>
          </w:p>
        </w:tc>
        <w:tc>
          <w:tcPr>
            <w:tcW w:w="10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(44)</w:t>
            </w:r>
          </w:p>
        </w:tc>
      </w:tr>
      <w:tr>
        <w:trPr>
          <w:trHeight w:val="199"/>
        </w:trPr>
        <w:tc>
          <w:tcPr>
            <w:tcW w:w="820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provided by operating activities</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597</w:t>
            </w:r>
          </w:p>
        </w:tc>
        <w:tc>
          <w:tcPr>
            <w:tcW w:w="10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448</w:t>
            </w:r>
          </w:p>
        </w:tc>
      </w:tr>
      <w:tr>
        <w:trPr>
          <w:trHeight w:val="196"/>
        </w:trPr>
        <w:tc>
          <w:tcPr>
            <w:tcW w:w="82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r>
      <w:tr>
        <w:trPr>
          <w:trHeight w:val="193"/>
        </w:trPr>
        <w:tc>
          <w:tcPr>
            <w:tcW w:w="8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Capital expenditures</w:t>
            </w:r>
          </w:p>
        </w:tc>
        <w:tc>
          <w:tcPr>
            <w:tcW w:w="880" w:type="dxa"/>
            <w:vAlign w:val="bottom"/>
            <w:tcBorders>
              <w:bottom w:val="single" w:sz="8" w:color="61656A"/>
            </w:tcBorders>
          </w:tcPr>
          <w:p>
            <w:pPr>
              <w:spacing w:after="0"/>
              <w:rPr>
                <w:sz w:val="16"/>
                <w:szCs w:val="16"/>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(251)</w:t>
            </w:r>
          </w:p>
        </w:tc>
        <w:tc>
          <w:tcPr>
            <w:tcW w:w="100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(233)</w:t>
            </w:r>
          </w:p>
        </w:tc>
      </w:tr>
      <w:tr>
        <w:trPr>
          <w:trHeight w:val="196"/>
        </w:trPr>
        <w:tc>
          <w:tcPr>
            <w:tcW w:w="8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Proceeds from disposals of property, plant and equipment</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23</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Increase in investments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(351)</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(238)</w:t>
            </w:r>
          </w:p>
        </w:tc>
      </w:tr>
      <w:tr>
        <w:trPr>
          <w:trHeight w:val="196"/>
        </w:trPr>
        <w:tc>
          <w:tcPr>
            <w:tcW w:w="8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Decrease in investments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338</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155</w:t>
            </w:r>
          </w:p>
        </w:tc>
      </w:tr>
      <w:tr>
        <w:trPr>
          <w:trHeight w:val="196"/>
        </w:trPr>
        <w:tc>
          <w:tcPr>
            <w:tcW w:w="8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(Payments) receipts from settlements of derivative contracts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(125)</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w:t>
            </w:r>
          </w:p>
        </w:tc>
      </w:tr>
      <w:tr>
        <w:trPr>
          <w:trHeight w:val="196"/>
        </w:trPr>
        <w:tc>
          <w:tcPr>
            <w:tcW w:w="82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Cash paid for acquisitions, net of cash acquired</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w:t>
            </w:r>
          </w:p>
        </w:tc>
        <w:tc>
          <w:tcPr>
            <w:tcW w:w="10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820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used for investing activities</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(371)</w:t>
            </w:r>
          </w:p>
        </w:tc>
        <w:tc>
          <w:tcPr>
            <w:tcW w:w="10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(273)</w:t>
            </w:r>
          </w:p>
        </w:tc>
      </w:tr>
      <w:tr>
        <w:trPr>
          <w:trHeight w:val="196"/>
        </w:trPr>
        <w:tc>
          <w:tcPr>
            <w:tcW w:w="82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r>
      <w:tr>
        <w:trPr>
          <w:trHeight w:val="193"/>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commercial paper and other short-term borrowings</w:t>
            </w:r>
          </w:p>
        </w:tc>
        <w:tc>
          <w:tcPr>
            <w:tcW w:w="880" w:type="dxa"/>
            <w:vAlign w:val="bottom"/>
            <w:tcBorders>
              <w:bottom w:val="single" w:sz="8" w:color="61656A"/>
            </w:tcBorders>
          </w:tcPr>
          <w:p>
            <w:pPr>
              <w:spacing w:after="0"/>
              <w:rPr>
                <w:sz w:val="16"/>
                <w:szCs w:val="16"/>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4,855</w:t>
            </w:r>
          </w:p>
        </w:tc>
        <w:tc>
          <w:tcPr>
            <w:tcW w:w="100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2,223</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Payments of commercial paper and other short-term borrowings</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(3,413)</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(2,470)</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common stock</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42</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144</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long-term debt</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46</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5,710</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Payments of long-term debt</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(44)</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(573)</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Repurchases of common stock</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(1,902)</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(671)</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Cash dividends paid</w:t>
            </w:r>
          </w:p>
        </w:tc>
        <w:tc>
          <w:tcPr>
            <w:tcW w:w="8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(732)</w:t>
            </w:r>
          </w:p>
        </w:tc>
        <w:tc>
          <w:tcPr>
            <w:tcW w:w="100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(703)</w:t>
            </w:r>
          </w:p>
        </w:tc>
      </w:tr>
      <w:tr>
        <w:trPr>
          <w:trHeight w:val="196"/>
        </w:trPr>
        <w:tc>
          <w:tcPr>
            <w:tcW w:w="820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(32)</w:t>
            </w:r>
          </w:p>
        </w:tc>
        <w:tc>
          <w:tcPr>
            <w:tcW w:w="10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36</w:t>
            </w:r>
          </w:p>
        </w:tc>
      </w:tr>
      <w:tr>
        <w:trPr>
          <w:trHeight w:val="199"/>
        </w:trPr>
        <w:tc>
          <w:tcPr>
            <w:tcW w:w="820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(used for) provided by financing activities</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(1,180)</w:t>
            </w:r>
          </w:p>
        </w:tc>
        <w:tc>
          <w:tcPr>
            <w:tcW w:w="10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3,696</w:t>
            </w:r>
          </w:p>
        </w:tc>
      </w:tr>
      <w:tr>
        <w:trPr>
          <w:trHeight w:val="193"/>
        </w:trPr>
        <w:tc>
          <w:tcPr>
            <w:tcW w:w="82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880" w:type="dxa"/>
            <w:vAlign w:val="bottom"/>
            <w:tcBorders>
              <w:bottom w:val="single" w:sz="8" w:color="D7282F"/>
            </w:tcBorders>
          </w:tcPr>
          <w:p>
            <w:pPr>
              <w:spacing w:after="0"/>
              <w:rPr>
                <w:sz w:val="16"/>
                <w:szCs w:val="16"/>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44</w:t>
            </w:r>
          </w:p>
        </w:tc>
        <w:tc>
          <w:tcPr>
            <w:tcW w:w="100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(40)</w:t>
            </w:r>
          </w:p>
        </w:tc>
      </w:tr>
      <w:tr>
        <w:trPr>
          <w:trHeight w:val="199"/>
        </w:trPr>
        <w:tc>
          <w:tcPr>
            <w:tcW w:w="8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(910)</w:t>
            </w:r>
          </w:p>
        </w:tc>
        <w:tc>
          <w:tcPr>
            <w:tcW w:w="10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3,831</w:t>
            </w:r>
          </w:p>
        </w:tc>
      </w:tr>
      <w:tr>
        <w:trPr>
          <w:trHeight w:val="196"/>
        </w:trPr>
        <w:tc>
          <w:tcPr>
            <w:tcW w:w="8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8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10,567</w:t>
            </w:r>
          </w:p>
        </w:tc>
        <w:tc>
          <w:tcPr>
            <w:tcW w:w="10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7,925</w:t>
            </w:r>
          </w:p>
        </w:tc>
      </w:tr>
      <w:tr>
        <w:trPr>
          <w:trHeight w:val="196"/>
        </w:trPr>
        <w:tc>
          <w:tcPr>
            <w:tcW w:w="8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880" w:type="dxa"/>
            <w:vAlign w:val="bottom"/>
            <w:tcBorders>
              <w:bottom w:val="single" w:sz="8" w:color="D7282F"/>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9,657</w:t>
            </w:r>
          </w:p>
        </w:tc>
        <w:tc>
          <w:tcPr>
            <w:tcW w:w="1000" w:type="dxa"/>
            <w:vAlign w:val="bottom"/>
            <w:tcBorders>
              <w:bottom w:val="single" w:sz="8" w:color="D7282F"/>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11,756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SHAREOWNERS'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80" w:type="dxa"/>
            <w:vAlign w:val="bottom"/>
          </w:tcPr>
          <w:p>
            <w:pPr>
              <w:spacing w:after="0"/>
              <w:rPr>
                <w:sz w:val="17"/>
                <w:szCs w:val="17"/>
                <w:color w:val="auto"/>
              </w:rPr>
            </w:pPr>
          </w:p>
        </w:tc>
        <w:tc>
          <w:tcPr>
            <w:tcW w:w="3140" w:type="dxa"/>
            <w:vAlign w:val="bottom"/>
            <w:tcBorders>
              <w:bottom w:val="single" w:sz="8" w:color="D7282F"/>
            </w:tcBorders>
            <w:gridSpan w:val="3"/>
          </w:tcPr>
          <w:p>
            <w:pPr>
              <w:jc w:val="right"/>
              <w:ind w:right="128"/>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D7282F"/>
            </w:tcBorders>
          </w:tcPr>
          <w:p>
            <w:pPr>
              <w:spacing w:after="0"/>
              <w:rPr>
                <w:sz w:val="17"/>
                <w:szCs w:val="17"/>
                <w:color w:val="auto"/>
              </w:rPr>
            </w:pPr>
          </w:p>
        </w:tc>
      </w:tr>
      <w:tr>
        <w:trPr>
          <w:trHeight w:val="237"/>
        </w:trPr>
        <w:tc>
          <w:tcPr>
            <w:tcW w:w="7480" w:type="dxa"/>
            <w:vAlign w:val="bottom"/>
          </w:tcPr>
          <w:p>
            <w:pPr>
              <w:spacing w:after="0"/>
              <w:rPr>
                <w:sz w:val="20"/>
                <w:szCs w:val="20"/>
                <w:color w:val="auto"/>
              </w:rPr>
            </w:pPr>
          </w:p>
        </w:tc>
        <w:tc>
          <w:tcPr>
            <w:tcW w:w="11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D7282F"/>
            </w:tcBorders>
          </w:tcPr>
          <w:p>
            <w:pPr>
              <w:spacing w:after="0"/>
              <w:rPr>
                <w:sz w:val="20"/>
                <w:szCs w:val="20"/>
                <w:color w:val="auto"/>
              </w:rPr>
            </w:pP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D7282F"/>
            </w:tcBorders>
          </w:tcPr>
          <w:p>
            <w:pPr>
              <w:spacing w:after="0"/>
              <w:rPr>
                <w:sz w:val="20"/>
                <w:szCs w:val="20"/>
                <w:color w:val="auto"/>
              </w:rPr>
            </w:pPr>
          </w:p>
        </w:tc>
      </w:tr>
      <w:tr>
        <w:trPr>
          <w:trHeight w:val="236"/>
        </w:trPr>
        <w:tc>
          <w:tcPr>
            <w:tcW w:w="7480" w:type="dxa"/>
            <w:vAlign w:val="bottom"/>
          </w:tcPr>
          <w:p>
            <w:pPr>
              <w:spacing w:after="0"/>
              <w:rPr>
                <w:sz w:val="20"/>
                <w:szCs w:val="20"/>
                <w:color w:val="auto"/>
              </w:rPr>
            </w:pPr>
          </w:p>
        </w:tc>
        <w:tc>
          <w:tcPr>
            <w:tcW w:w="11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6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r>
      <w:tr>
        <w:trPr>
          <w:trHeight w:val="196"/>
        </w:trPr>
        <w:tc>
          <w:tcPr>
            <w:tcW w:w="7480" w:type="dxa"/>
            <w:vAlign w:val="bottom"/>
            <w:tcBorders>
              <w:bottom w:val="single" w:sz="8" w:color="D7282F"/>
            </w:tcBorders>
          </w:tcPr>
          <w:p>
            <w:pPr>
              <w:spacing w:after="0"/>
              <w:rPr>
                <w:sz w:val="17"/>
                <w:szCs w:val="17"/>
                <w:color w:val="auto"/>
              </w:rPr>
            </w:pPr>
          </w:p>
        </w:tc>
        <w:tc>
          <w:tcPr>
            <w:tcW w:w="3760" w:type="dxa"/>
            <w:vAlign w:val="bottom"/>
            <w:tcBorders>
              <w:bottom w:val="single" w:sz="8" w:color="D7282F"/>
            </w:tcBorders>
            <w:gridSpan w:val="4"/>
          </w:tcPr>
          <w:p>
            <w:pPr>
              <w:jc w:val="right"/>
              <w:ind w:right="468"/>
              <w:spacing w:after="0"/>
              <w:rPr>
                <w:sz w:val="20"/>
                <w:szCs w:val="20"/>
                <w:color w:val="auto"/>
              </w:rPr>
            </w:pPr>
            <w:r>
              <w:rPr>
                <w:rFonts w:ascii="Arial" w:cs="Arial" w:eastAsia="Arial" w:hAnsi="Arial"/>
                <w:sz w:val="14"/>
                <w:szCs w:val="14"/>
                <w:b w:val="1"/>
                <w:bCs w:val="1"/>
                <w:color w:val="auto"/>
              </w:rPr>
              <w:t>(In millions, except per share amounts)</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Common stock, par value</w:t>
            </w:r>
          </w:p>
        </w:tc>
        <w:tc>
          <w:tcPr>
            <w:tcW w:w="114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958</w:t>
            </w:r>
          </w:p>
        </w:tc>
        <w:tc>
          <w:tcPr>
            <w:tcW w:w="120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Additional paid-in capital</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9,695</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9,062</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187</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202</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Stock compensation expense</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61</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Impact of Quantinuum contribution</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36</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9,943</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9,353</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Treasury stock</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(307.8)</w:t>
            </w: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(39,378)</w:t>
            </w:r>
          </w:p>
        </w:tc>
        <w:tc>
          <w:tcPr>
            <w:tcW w:w="120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(305.8)</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(38,008)</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Reacquired stock or repurchases of common stock</w:t>
            </w:r>
          </w:p>
        </w:tc>
        <w:tc>
          <w:tcPr>
            <w:tcW w:w="114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(8.9)</w:t>
            </w: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(1,902)</w:t>
            </w:r>
          </w:p>
        </w:tc>
        <w:tc>
          <w:tcPr>
            <w:tcW w:w="120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(3.4)</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(671)</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1.8</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80</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2.8</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135</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(314.9)</w:t>
            </w: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(41,200)</w:t>
            </w:r>
          </w:p>
        </w:tc>
        <w:tc>
          <w:tcPr>
            <w:tcW w:w="120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(306.4)</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(38,544)</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Retained earnings</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50,835</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47,979</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Honeywell</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1,449</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1,463</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Dividends on common stock</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(734)</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(707)</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51,550</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48,735</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Accumulated other comprehensive loss</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(3,491)</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(4,135)</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(290)</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78</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Pension and other postretirement benefit adjustments</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11</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Changes in fair value of cash flow hedges</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(18)</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(3,788)</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(4,048)</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Noncontrolling interest</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535</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578</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noncontrolling interest</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18</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12</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Dividends paid</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(4)</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Contributions from noncontrolling interest holders</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561</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591</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shareowners' equity</w:t>
            </w: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642.7</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18,024</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651.2</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17,045</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dividends per share of common stock</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1.13</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 BASIS OF PRESENTATION</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the opinion of management, the accompanying unaudited Consolidated Financial Statements reflect all adjustments necessary to present fairly the financial position, results of operations, cash flows, and shareowners' equity of Honeywell International Inc. and its consolidated subsidiaries (Honeywell or the Company) for the periods presented. The interim results of operations and cash flows should not necessarily be taken as indicative of the entire year.</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Honeywell reports its quarterly financial information using a calendar convention; the first, second, and third quarters are consistently reported as ending on March 31, June 30, and September 30, respectively. It is Honeywell's practice to establish actual quarterly closing dates using a predetermined fiscal calendar, which requires Honeywell's businesses to close their books on a Saturday in order to minimize the potentially disruptive effects of quarterly closing on the Company's business processes. The effects of this practice are generally not significant to reported results for any quarter and only exist within a reporting year. In the event differences in actual closing dates are material to year-over-year comparisons of quarterly or year-to-date results, Honeywell will provide appropriate disclosures. Honeywell's actual closing dates for the three months ended March 31, 2025, and 2024, were March 29, 2025, and March 30, 2024,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D7282F"/>
        </w:rPr>
        <w:t>NOTE 2. SUMMARY OF SIGNIFICANT ACCOUNTING POLICIES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accounting policies of the Company are set forth in Note 1 Summary of Significant Accounting Policies of Notes to Consolidated Financial Statements in the Company’s 2024 Annual Report on Form 10-K. The Company includes herein certain updates to those policies.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RECLASSIFICATIONS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12529"/>
        </w:rPr>
        <w:t>Certain prior year amounts are reclassified to conform to the current year presentation. This includes the separate disclosure of changes in Income taxes within operating activities on the Consolidated Statement of Cash Flows.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SUPPLY CHAIN FINANCING</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Amounts outstanding related to supply chain financing programs are included in Accounts payable in the Consolidated Balance Sheet. Accounts payable included approximately $1,108 million and $1,150 million as of March 31, 2025, and December 31, 2024, respectively. The impact of these programs is not material to the Company's overall liquidity.</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RECENT ACCOUNTING PRONOUNCEMENTS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considers the applicability and impact of all Accounting Standards Updates (ASUs) issued by the Financial Accounting Standards Board (FASB). ASUs not listed below were assessed and determined to be either not applicable or are expected to have minimal impact on the Company's Consolidated Financial Statements.</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Statement—Reporting Comprehensive Income—Expense Disaggregation Disclosures (Subtopic</w:t>
      </w:r>
      <w:r>
        <w:rPr>
          <w:rFonts w:ascii="Arial" w:cs="Arial" w:eastAsia="Arial" w:hAnsi="Arial"/>
          <w:sz w:val="16"/>
          <w:szCs w:val="16"/>
          <w:color w:val="auto"/>
        </w:rPr>
        <w:t xml:space="preserve"> </w:t>
      </w:r>
      <w:r>
        <w:rPr>
          <w:rFonts w:ascii="Arial" w:cs="Arial" w:eastAsia="Arial" w:hAnsi="Arial"/>
          <w:sz w:val="16"/>
          <w:szCs w:val="16"/>
          <w:i w:val="1"/>
          <w:iCs w:val="1"/>
          <w:color w:val="auto"/>
        </w:rPr>
        <w:t>220-40): Disaggregation of Income Statement Expenses</w:t>
      </w:r>
      <w:r>
        <w:rPr>
          <w:rFonts w:ascii="Arial" w:cs="Arial" w:eastAsia="Arial" w:hAnsi="Arial"/>
          <w:sz w:val="16"/>
          <w:szCs w:val="16"/>
          <w:color w:val="auto"/>
        </w:rPr>
        <w:t>, which requires companies to disclose additional information about the types of expenses in</w:t>
      </w:r>
    </w:p>
    <w:p>
      <w:pPr>
        <w:jc w:val="both"/>
        <w:spacing w:after="0" w:line="260" w:lineRule="auto"/>
        <w:rPr>
          <w:sz w:val="20"/>
          <w:szCs w:val="20"/>
          <w:color w:val="auto"/>
        </w:rPr>
      </w:pPr>
      <w:r>
        <w:rPr>
          <w:rFonts w:ascii="Arial" w:cs="Arial" w:eastAsia="Arial" w:hAnsi="Arial"/>
          <w:sz w:val="16"/>
          <w:szCs w:val="16"/>
          <w:color w:val="auto"/>
        </w:rPr>
        <w:t>commonly presented expense captions. The new standard requires tabular disclosure of specified natural expenses in certain expense captions, a qualitative description of amounts that are not separately disaggregated, and disclosure of the Company's definition and total amount of selling expenses. The ASU should be applied prospectively for annual reporting periods beginning after December 15, 2026, with retrospective application and early adoption permitted. The Company is currently evaluating the impacts of this guidance on the Company's Consolidated Financial Statements.</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Income Taxes (Topic 740): Improvements to Income Taxes Disclosures</w:t>
      </w:r>
      <w:r>
        <w:rPr>
          <w:rFonts w:ascii="Arial" w:cs="Arial" w:eastAsia="Arial" w:hAnsi="Arial"/>
          <w:sz w:val="16"/>
          <w:szCs w:val="16"/>
          <w:color w:val="auto"/>
        </w:rPr>
        <w:t>, which requires greater disaggregation of income tax disclosures. The new standard requires additional information to be disclosed annually with respect to the income tax rate reconciliation and income taxes paid disaggregated by jurisdiction. This ASU should be applied prospectively for fiscal years beginning after December 15, 2024, with retrospective application permitted. The Company is currently evaluating the impacts of this guidance on the Company’s Consolidated Financial Statements.</w:t>
      </w:r>
    </w:p>
    <w:p>
      <w:pPr>
        <w:spacing w:after="0" w:line="200" w:lineRule="exact"/>
        <w:rPr>
          <w:sz w:val="20"/>
          <w:szCs w:val="20"/>
          <w:color w:val="auto"/>
        </w:rPr>
      </w:pPr>
    </w:p>
    <w:p>
      <w:pPr>
        <w:spacing w:after="0" w:line="203"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In November 2023, the FASB issued ASU 2023-07, </w:t>
      </w:r>
      <w:r>
        <w:rPr>
          <w:rFonts w:ascii="Arial" w:cs="Arial" w:eastAsia="Arial" w:hAnsi="Arial"/>
          <w:sz w:val="16"/>
          <w:szCs w:val="16"/>
          <w:i w:val="1"/>
          <w:iCs w:val="1"/>
          <w:color w:val="auto"/>
        </w:rPr>
        <w:t>Segment Reporting (Topic 280): Improvements to Reportable Segment Disclosures</w:t>
      </w:r>
      <w:r>
        <w:rPr>
          <w:rFonts w:ascii="Arial" w:cs="Arial" w:eastAsia="Arial" w:hAnsi="Arial"/>
          <w:sz w:val="16"/>
          <w:szCs w:val="16"/>
          <w:color w:val="auto"/>
        </w:rPr>
        <w:t>, which requires companies to enhance the disclosures about segment expenses. The new standard requires the disclosure of the Company’s Chief Operating Decision Maker (CODM), expanded incremental line-item disclosures of significant segment expenses used by the CODM for decision-making, and the inclusion of previous annual only segment disclosure requirements on a quarterly basis. This ASU should be applied retrospectively for fiscal years beginning after December 15, 2023, and interim periods within fiscal years beginning after December 15, 2024. The Company adopted this guidance for annual disclosures for the year ended December 31, 2024, and interim disclosures for the first quarter of 2025. The adoption of this standard did not have a material impact on the Company’s Consolidated Financial Statements.</w:t>
      </w:r>
    </w:p>
    <w:p>
      <w:pPr>
        <w:spacing w:after="0" w:line="239" w:lineRule="exact"/>
        <w:rPr>
          <w:sz w:val="20"/>
          <w:szCs w:val="20"/>
          <w:color w:val="auto"/>
        </w:rPr>
      </w:pPr>
    </w:p>
    <w:p>
      <w:pPr>
        <w:ind w:right="520"/>
        <w:spacing w:after="0" w:line="286" w:lineRule="auto"/>
        <w:rPr>
          <w:sz w:val="20"/>
          <w:szCs w:val="20"/>
          <w:color w:val="auto"/>
        </w:rPr>
      </w:pPr>
      <w:r>
        <w:rPr>
          <w:rFonts w:ascii="Arial" w:cs="Arial" w:eastAsia="Arial" w:hAnsi="Arial"/>
          <w:sz w:val="29"/>
          <w:szCs w:val="29"/>
          <w:color w:val="D7282F"/>
        </w:rPr>
        <w:t>NOTE 3. ACQUISITIONS, DIVESTITURES, AND ASSETS AND LIABILITIES HELD FOR SALE</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ACQUISITIONS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Sundyne</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March 4, 2025, the Company agreed to acquire Sundyne in an all-cash transaction for $2,160 million. The transaction is subject to regulatory review and approval and customary closing conditions. The transaction is expected to close in the second quarter of 2025 and the business will be included within the Energy and Sustainability Solutions reportable business segment.</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Air Products' Liquefied Natural Gas Process Technology and Equipment Business</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September 30, 2024, the Company acquired 100% of the outstanding equity interests of Air Products' liquefied natural gas process technology and equipment business (LNG), strengthening the Company's energy transition portfolio, for total consideration of $1,837 million, net of cash acquired. The business is included within the Energy and Sustainability Solutions reportable business segment. The following table summarizes the preliminary determination of the fair value of identifiable assets acquired and liabilities assumed that are included in the Consolidated Balance Sheet as of March 31, 2025:</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Borders>
              <w:top w:val="single" w:sz="8" w:color="D7282F"/>
              <w:bottom w:val="single" w:sz="8" w:color="61656A"/>
            </w:tcBorders>
          </w:tcPr>
          <w:p>
            <w:pPr>
              <w:ind w:left="20"/>
              <w:spacing w:after="0"/>
              <w:rPr>
                <w:sz w:val="20"/>
                <w:szCs w:val="20"/>
                <w:color w:val="auto"/>
              </w:rPr>
            </w:pPr>
            <w:r>
              <w:rPr>
                <w:rFonts w:ascii="Arial" w:cs="Arial" w:eastAsia="Arial" w:hAnsi="Arial"/>
                <w:sz w:val="14"/>
                <w:szCs w:val="14"/>
                <w:color w:val="auto"/>
              </w:rPr>
              <w:t>Current assets</w:t>
            </w:r>
          </w:p>
        </w:tc>
        <w:tc>
          <w:tcPr>
            <w:tcW w:w="4660" w:type="dxa"/>
            <w:vAlign w:val="bottom"/>
            <w:tcBorders>
              <w:top w:val="single" w:sz="8" w:color="D7282F"/>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D7282F"/>
              <w:bottom w:val="single" w:sz="8" w:color="61656A"/>
            </w:tcBorders>
          </w:tcPr>
          <w:p>
            <w:pPr>
              <w:jc w:val="right"/>
              <w:spacing w:after="0"/>
              <w:rPr>
                <w:sz w:val="20"/>
                <w:szCs w:val="20"/>
                <w:color w:val="auto"/>
              </w:rPr>
            </w:pPr>
            <w:r>
              <w:rPr>
                <w:rFonts w:ascii="Arial" w:cs="Arial" w:eastAsia="Arial" w:hAnsi="Arial"/>
                <w:sz w:val="14"/>
                <w:szCs w:val="14"/>
                <w:color w:val="auto"/>
              </w:rPr>
              <w:t>76</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Intangible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931</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noncurrent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Current liabilities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w:t>
            </w: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Noncurrent liabilities</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r>
      <w:tr>
        <w:trPr>
          <w:trHeight w:val="199"/>
        </w:trPr>
        <w:tc>
          <w:tcPr>
            <w:tcW w:w="5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assets acquired</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958</w:t>
            </w:r>
          </w:p>
        </w:tc>
      </w:tr>
      <w:tr>
        <w:trPr>
          <w:trHeight w:val="193"/>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Goodwill</w:t>
            </w:r>
          </w:p>
        </w:tc>
        <w:tc>
          <w:tcPr>
            <w:tcW w:w="46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879</w:t>
            </w:r>
          </w:p>
        </w:tc>
      </w:tr>
      <w:tr>
        <w:trPr>
          <w:trHeight w:val="199"/>
        </w:trPr>
        <w:tc>
          <w:tcPr>
            <w:tcW w:w="5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Purchase price</w:t>
            </w:r>
          </w:p>
        </w:tc>
        <w:tc>
          <w:tcPr>
            <w:tcW w:w="4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1,837</w:t>
            </w: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LNG identifiable intangible assets primarily include customer relationships and technology which will amortize over their estimated useful lives ranging from four to 20 years using accelerated amortization methods. The goodwill is deductible for tax purposes. As of March 31, 2025, the purchase accounting is subject to final adjustment, primarily for the valuation of intangible assets, amounts allocated to goodwill, working capital adjustments, and tax balances.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CAES Systems Holdings LLC</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On August 30, 2024, the Company acquired 100% of the outstanding equity interests of CAES Systems Holdings LLC (CAES), enhancing the Company's defense and space portfolio with high-reliability radio frequency technologies, for total consideration of $1,935 million, net of cash acquired. The business is included within the Aerospace Technologies reportable business segment. The following table summarizes the preliminary determination of the fair value of identifiable assets acquired and liabilities assumed that are included in the Consolidated Balance Sheet as of March 31, 2025:</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Borders>
              <w:top w:val="single" w:sz="8" w:color="D7282F"/>
              <w:bottom w:val="single" w:sz="8" w:color="61656A"/>
            </w:tcBorders>
          </w:tcPr>
          <w:p>
            <w:pPr>
              <w:ind w:left="20"/>
              <w:spacing w:after="0"/>
              <w:rPr>
                <w:sz w:val="20"/>
                <w:szCs w:val="20"/>
                <w:color w:val="auto"/>
              </w:rPr>
            </w:pPr>
            <w:r>
              <w:rPr>
                <w:rFonts w:ascii="Arial" w:cs="Arial" w:eastAsia="Arial" w:hAnsi="Arial"/>
                <w:sz w:val="14"/>
                <w:szCs w:val="14"/>
                <w:color w:val="auto"/>
              </w:rPr>
              <w:t>Current assets</w:t>
            </w:r>
          </w:p>
        </w:tc>
        <w:tc>
          <w:tcPr>
            <w:tcW w:w="4660" w:type="dxa"/>
            <w:vAlign w:val="bottom"/>
            <w:tcBorders>
              <w:top w:val="single" w:sz="8" w:color="D7282F"/>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D7282F"/>
              <w:bottom w:val="single" w:sz="8" w:color="61656A"/>
            </w:tcBorders>
          </w:tcPr>
          <w:p>
            <w:pPr>
              <w:jc w:val="right"/>
              <w:spacing w:after="0"/>
              <w:rPr>
                <w:sz w:val="20"/>
                <w:szCs w:val="20"/>
                <w:color w:val="auto"/>
              </w:rPr>
            </w:pPr>
            <w:r>
              <w:rPr>
                <w:rFonts w:ascii="Arial" w:cs="Arial" w:eastAsia="Arial" w:hAnsi="Arial"/>
                <w:sz w:val="14"/>
                <w:szCs w:val="14"/>
                <w:color w:val="auto"/>
              </w:rPr>
              <w:t>324</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Intangible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1,205</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noncurrent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182</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Current liabilities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(123)</w:t>
            </w: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Noncurrent liabilities</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(167)</w:t>
            </w:r>
          </w:p>
        </w:tc>
      </w:tr>
      <w:tr>
        <w:trPr>
          <w:trHeight w:val="199"/>
        </w:trPr>
        <w:tc>
          <w:tcPr>
            <w:tcW w:w="5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assets acquired</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1,421</w:t>
            </w:r>
          </w:p>
        </w:tc>
      </w:tr>
      <w:tr>
        <w:trPr>
          <w:trHeight w:val="193"/>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Goodwill</w:t>
            </w:r>
          </w:p>
        </w:tc>
        <w:tc>
          <w:tcPr>
            <w:tcW w:w="46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557</w:t>
            </w:r>
          </w:p>
        </w:tc>
      </w:tr>
      <w:tr>
        <w:trPr>
          <w:trHeight w:val="199"/>
        </w:trPr>
        <w:tc>
          <w:tcPr>
            <w:tcW w:w="5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Purchase price</w:t>
            </w:r>
          </w:p>
        </w:tc>
        <w:tc>
          <w:tcPr>
            <w:tcW w:w="4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1,978</w:t>
            </w:r>
          </w:p>
        </w:tc>
      </w:tr>
    </w:tbl>
    <w:p>
      <w:pPr>
        <w:spacing w:after="0" w:line="200" w:lineRule="exact"/>
        <w:rPr>
          <w:sz w:val="20"/>
          <w:szCs w:val="20"/>
          <w:color w:val="auto"/>
        </w:rPr>
      </w:pPr>
    </w:p>
    <w:p>
      <w:pPr>
        <w:spacing w:after="0" w:line="328"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CAES identifiable intangible assets primarily include customer relationships and trademarks which will amortize over their estimated useful lives ranging from two to 15 years using straight line and accelerated amortization methods. The goodwill is not deductible for tax purposes. As of March 31, 2025, the purchase accounting for CAES is subject to final adjustment, primarily for the valuation of intangible assets, amounts allocated to goodwill, and tax balances.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Civitanavi Systems S.p.A.</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August 19, 2024, the Company completed the acquisition of Civitanavi Systems S.p.A., a leader in position navigation and timing technology for the aerospace, defense, and industrial markets, for total consideration of $200 million, net of cash acquired. The business is included within the Aerospace Technologies reportable business segment. The assets acquired and liabilities assumed with Civitanavi Systems S.p.A. are included in the Consolidated Balance Sheet as of March 31, 2025, including $75 million of intangible assets and $107 million of goodwill, which is not deductible for tax purposes. As of March 31, 2025, the purchase accounting is subject to final adjustment, primarily for the valuation of intangible assets, amounts allocated to goodwill, and tax balances.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Carrier Global Corporation's Global Access Solutions Business</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June 3, 2024, the Company acquired 100% of the outstanding equity interests of Carrier Global Corporation's Global Access Solutions business (Access Solutions), an innovative global leader in advanced access and security solutions, electronic locking systems, and contactless mobile key solutions, for total consideration of $4,913 million, net of cash acquired. The business is included in the Building Automation reportable business segment. The following table summarizes the preliminary determination of the fair value of identifiable assets acquired and liabilities assumed that are included in the Consolidated Balance Sheet as of March 31, 2025:</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Borders>
              <w:top w:val="single" w:sz="8" w:color="D7282F"/>
              <w:bottom w:val="single" w:sz="8" w:color="61656A"/>
            </w:tcBorders>
          </w:tcPr>
          <w:p>
            <w:pPr>
              <w:ind w:left="20"/>
              <w:spacing w:after="0"/>
              <w:rPr>
                <w:sz w:val="20"/>
                <w:szCs w:val="20"/>
                <w:color w:val="auto"/>
              </w:rPr>
            </w:pPr>
            <w:r>
              <w:rPr>
                <w:rFonts w:ascii="Arial" w:cs="Arial" w:eastAsia="Arial" w:hAnsi="Arial"/>
                <w:sz w:val="14"/>
                <w:szCs w:val="14"/>
                <w:color w:val="auto"/>
              </w:rPr>
              <w:t>Current assets</w:t>
            </w:r>
          </w:p>
        </w:tc>
        <w:tc>
          <w:tcPr>
            <w:tcW w:w="4660" w:type="dxa"/>
            <w:vAlign w:val="bottom"/>
            <w:tcBorders>
              <w:top w:val="single" w:sz="8" w:color="D7282F"/>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D7282F"/>
              <w:bottom w:val="single" w:sz="8" w:color="61656A"/>
            </w:tcBorders>
          </w:tcPr>
          <w:p>
            <w:pPr>
              <w:jc w:val="right"/>
              <w:spacing w:after="0"/>
              <w:rPr>
                <w:sz w:val="20"/>
                <w:szCs w:val="20"/>
                <w:color w:val="auto"/>
              </w:rPr>
            </w:pPr>
            <w:r>
              <w:rPr>
                <w:rFonts w:ascii="Arial" w:cs="Arial" w:eastAsia="Arial" w:hAnsi="Arial"/>
                <w:sz w:val="14"/>
                <w:szCs w:val="14"/>
                <w:color w:val="auto"/>
              </w:rPr>
              <w:t>246</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Intangible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2,050</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noncurrent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Current liabilities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(140)</w:t>
            </w: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Noncurrent liabilities</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w:t>
            </w:r>
          </w:p>
        </w:tc>
      </w:tr>
      <w:tr>
        <w:trPr>
          <w:trHeight w:val="199"/>
        </w:trPr>
        <w:tc>
          <w:tcPr>
            <w:tcW w:w="5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assets acquired</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2,170</w:t>
            </w:r>
          </w:p>
        </w:tc>
      </w:tr>
      <w:tr>
        <w:trPr>
          <w:trHeight w:val="193"/>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Goodwill</w:t>
            </w:r>
          </w:p>
        </w:tc>
        <w:tc>
          <w:tcPr>
            <w:tcW w:w="46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2,828</w:t>
            </w:r>
          </w:p>
        </w:tc>
      </w:tr>
      <w:tr>
        <w:trPr>
          <w:trHeight w:val="199"/>
        </w:trPr>
        <w:tc>
          <w:tcPr>
            <w:tcW w:w="5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Purchase price</w:t>
            </w:r>
          </w:p>
        </w:tc>
        <w:tc>
          <w:tcPr>
            <w:tcW w:w="4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4,998</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Access Solutions identifiable intangible assets primarily include customer relationships, technology, and trademarks which will amortize over their estimated useful lives ranging from 10 to 20 years using straight line and accelerated amortization methods. The majority of the goodwill is deductible for tax purposes. As of March 31, 2025, the purchase accounting for Access Solutions is subject to final adjustment, primarily for the valuation of intangible assets, amounts allocated to goodwill, and tax balances.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DIVESTITURES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2025, and 2024, there were no significant divestitures that closed individually or in the aggregate.</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February 6, 2025, the Company announced its intention to pursue a separation of its Automation and Aerospace Technologies businesses into independent, U.S. publicly traded companies, which is intended to be completed in the second half of 2026. The planned separation is intended to be a tax-free separation to Honeywell shareowners for U.S. federal income tax purposes. The separation will be subject to the satisfaction of a number of customary conditions, including, among others, the filing and effectiveness of applicable filings (including a Form 10 registration statement that includes required financial statements) with the SEC, assurance that the separation of the businesses will be tax-free to Honeywell’s shareowners, receipt of applicable regulatory approvals, and final approval by Honeywell’s Board of Directors. The proposed separation is complex in nature, and may be affected by unanticipated developments, credit and equity markets, or changes in market conditions.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October 8, 2024, the Company announced its intention to spin off its Advanced Materials business into Solstice Advanced Materials, an independent, U.S. publicly traded company, which is targeted to be completed by the end of 2025 or early 2026. The planned spin-off is intended to be a tax-free spin to Honeywell shareowners for U.S. federal income tax purposes. The spin-off will be subject to the satisfaction of a number of customary conditions, including, among others, finalization of the financial statements of Solstice Advanced Materials, the filing and effectiveness of applicable filings (including a Form 10 registration statement) with the SEC, assurance that the spin-off of Solstice Advanced Materials will be tax-free to Honeywell’s shareowners, receipt of applicable regulatory approvals, and final approval by Honeywell’s Board of Directors. The proposed spin-off is complex in nature, and may be affected by unanticipated developments, credit and equity markets, or changes in market conditions.</w:t>
      </w:r>
    </w:p>
    <w:p>
      <w:pPr>
        <w:spacing w:after="0" w:line="200" w:lineRule="exact"/>
        <w:rPr>
          <w:sz w:val="20"/>
          <w:szCs w:val="20"/>
          <w:color w:val="auto"/>
        </w:rPr>
      </w:pPr>
    </w:p>
    <w:p>
      <w:pPr>
        <w:spacing w:after="0" w:line="207"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ASSETS AND LIABILITIES HELD FOR SALE</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During the third quarter of 2024, the Company concluded the assets and liabilities of the personal protective equipment (PPE) business, which is part of the Sensing and Safety Technologies business unit within the Industrial Automation reportable business segment, met the held for sale criteria; therefore, the Company presented the associated assets and liabilities of the business as held for sale as of September 30, 2024. On November 22, 2024, the Company announced it reached an agreement to sell its PPE business for $1,325 million in an all-cash transaction. The transaction is expected to be completed in the second quarter of 2025 and is subject to customary closing conditions. The disposal group is measured at the lower of carrying value or fair value less costs to sell. Depreciation and amortization expense is not recorded for the period in which assets are classified as held for sale. The carrying amount of any assets, including goodwill, that are part of the disposal group, but not in the scope of Accounting Standards Codification (ASC) 360-10,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Equipment, </w:t>
      </w:r>
      <w:r>
        <w:rPr>
          <w:rFonts w:ascii="Arial" w:cs="Arial" w:eastAsia="Arial" w:hAnsi="Arial"/>
          <w:sz w:val="16"/>
          <w:szCs w:val="16"/>
          <w:color w:val="auto"/>
        </w:rPr>
        <w:t>are tested for impairment under the relevant guidance prior to measuring the disposal group at fair value, less costs to sell.</w:t>
      </w:r>
    </w:p>
    <w:p>
      <w:pPr>
        <w:spacing w:after="0" w:line="7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performed an evaluation as of March 31, 2025, to assess the recoverability of the carrying value of the assets held for sale. The Company recognized a $15 million increase to the valuation allowance during the three months ended March 31, 2025, to write down the disposal group to fair value, less costs to sell. The carrying value is based on the use of estimates and is subject to change based on future developments leading up to the closing date of a sale, and actual amounts realized upon sale may vary from those recorded as of March 31, 2025.</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assets and liabilities classified as held for sale in the Consolidated Balance Sheet: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20" w:type="dxa"/>
            <w:vAlign w:val="bottom"/>
            <w:tcBorders>
              <w:bottom w:val="single" w:sz="8" w:color="D7282F"/>
            </w:tcBorders>
          </w:tcPr>
          <w:p>
            <w:pPr>
              <w:spacing w:after="0"/>
              <w:rPr>
                <w:sz w:val="17"/>
                <w:szCs w:val="17"/>
                <w:color w:val="auto"/>
              </w:rPr>
            </w:pPr>
          </w:p>
        </w:tc>
        <w:tc>
          <w:tcPr>
            <w:tcW w:w="25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March 31, 2025</w:t>
            </w:r>
          </w:p>
        </w:tc>
        <w:tc>
          <w:tcPr>
            <w:tcW w:w="2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52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 held for sale</w:t>
            </w:r>
          </w:p>
        </w:tc>
        <w:tc>
          <w:tcPr>
            <w:tcW w:w="25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spacing w:after="0"/>
              <w:rPr>
                <w:sz w:val="17"/>
                <w:szCs w:val="17"/>
                <w:color w:val="auto"/>
              </w:rPr>
            </w:pPr>
          </w:p>
        </w:tc>
      </w:tr>
      <w:tr>
        <w:trPr>
          <w:trHeight w:val="193"/>
        </w:trPr>
        <w:tc>
          <w:tcPr>
            <w:tcW w:w="5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receivable</w:t>
            </w:r>
          </w:p>
        </w:tc>
        <w:tc>
          <w:tcPr>
            <w:tcW w:w="256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161</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174</w:t>
            </w:r>
          </w:p>
        </w:tc>
      </w:tr>
      <w:tr>
        <w:trPr>
          <w:trHeight w:val="196"/>
        </w:trPr>
        <w:tc>
          <w:tcPr>
            <w:tcW w:w="5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Inventories</w:t>
            </w:r>
          </w:p>
        </w:tc>
        <w:tc>
          <w:tcPr>
            <w:tcW w:w="25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209</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197</w:t>
            </w:r>
          </w:p>
        </w:tc>
      </w:tr>
      <w:tr>
        <w:trPr>
          <w:trHeight w:val="196"/>
        </w:trPr>
        <w:tc>
          <w:tcPr>
            <w:tcW w:w="5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current assets</w:t>
            </w:r>
          </w:p>
        </w:tc>
        <w:tc>
          <w:tcPr>
            <w:tcW w:w="25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23</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w:t>
            </w:r>
          </w:p>
        </w:tc>
      </w:tr>
      <w:tr>
        <w:trPr>
          <w:trHeight w:val="196"/>
        </w:trPr>
        <w:tc>
          <w:tcPr>
            <w:tcW w:w="5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Investments and long-term receivables</w:t>
            </w:r>
          </w:p>
        </w:tc>
        <w:tc>
          <w:tcPr>
            <w:tcW w:w="25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5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Property, plant and equipment—net</w:t>
            </w:r>
          </w:p>
        </w:tc>
        <w:tc>
          <w:tcPr>
            <w:tcW w:w="25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170</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155</w:t>
            </w:r>
          </w:p>
        </w:tc>
      </w:tr>
      <w:tr>
        <w:trPr>
          <w:trHeight w:val="196"/>
        </w:trPr>
        <w:tc>
          <w:tcPr>
            <w:tcW w:w="5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Goodwill</w:t>
            </w:r>
          </w:p>
        </w:tc>
        <w:tc>
          <w:tcPr>
            <w:tcW w:w="25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412</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411</w:t>
            </w:r>
          </w:p>
        </w:tc>
      </w:tr>
      <w:tr>
        <w:trPr>
          <w:trHeight w:val="196"/>
        </w:trPr>
        <w:tc>
          <w:tcPr>
            <w:tcW w:w="5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intangible assets—net</w:t>
            </w:r>
          </w:p>
        </w:tc>
        <w:tc>
          <w:tcPr>
            <w:tcW w:w="25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605</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597</w:t>
            </w:r>
          </w:p>
        </w:tc>
      </w:tr>
      <w:tr>
        <w:trPr>
          <w:trHeight w:val="196"/>
        </w:trPr>
        <w:tc>
          <w:tcPr>
            <w:tcW w:w="5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assets</w:t>
            </w:r>
          </w:p>
        </w:tc>
        <w:tc>
          <w:tcPr>
            <w:tcW w:w="25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42</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w:t>
            </w:r>
          </w:p>
        </w:tc>
      </w:tr>
      <w:tr>
        <w:trPr>
          <w:trHeight w:val="196"/>
        </w:trPr>
        <w:tc>
          <w:tcPr>
            <w:tcW w:w="52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Valuation allowance on assets held for sale</w:t>
            </w:r>
          </w:p>
        </w:tc>
        <w:tc>
          <w:tcPr>
            <w:tcW w:w="25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(234)</w:t>
            </w:r>
          </w:p>
        </w:tc>
        <w:tc>
          <w:tcPr>
            <w:tcW w:w="2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(219)</w:t>
            </w:r>
          </w:p>
        </w:tc>
      </w:tr>
      <w:tr>
        <w:trPr>
          <w:trHeight w:val="199"/>
        </w:trPr>
        <w:tc>
          <w:tcPr>
            <w:tcW w:w="52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Assets held for sale</w:t>
            </w:r>
          </w:p>
        </w:tc>
        <w:tc>
          <w:tcPr>
            <w:tcW w:w="256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1,393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1,365</w:t>
            </w:r>
          </w:p>
        </w:tc>
      </w:tr>
      <w:tr>
        <w:trPr>
          <w:trHeight w:val="196"/>
        </w:trPr>
        <w:tc>
          <w:tcPr>
            <w:tcW w:w="52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 held for sale</w:t>
            </w:r>
          </w:p>
        </w:tc>
        <w:tc>
          <w:tcPr>
            <w:tcW w:w="25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spacing w:after="0"/>
              <w:rPr>
                <w:sz w:val="17"/>
                <w:szCs w:val="17"/>
                <w:color w:val="auto"/>
              </w:rPr>
            </w:pPr>
          </w:p>
        </w:tc>
      </w:tr>
      <w:tr>
        <w:trPr>
          <w:trHeight w:val="193"/>
        </w:trPr>
        <w:tc>
          <w:tcPr>
            <w:tcW w:w="5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payable</w:t>
            </w:r>
          </w:p>
        </w:tc>
        <w:tc>
          <w:tcPr>
            <w:tcW w:w="256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139</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152</w:t>
            </w:r>
          </w:p>
        </w:tc>
      </w:tr>
      <w:tr>
        <w:trPr>
          <w:trHeight w:val="196"/>
        </w:trPr>
        <w:tc>
          <w:tcPr>
            <w:tcW w:w="5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Accrued liabilities</w:t>
            </w:r>
          </w:p>
        </w:tc>
        <w:tc>
          <w:tcPr>
            <w:tcW w:w="25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104</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110</w:t>
            </w:r>
          </w:p>
        </w:tc>
      </w:tr>
      <w:tr>
        <w:trPr>
          <w:trHeight w:val="196"/>
        </w:trPr>
        <w:tc>
          <w:tcPr>
            <w:tcW w:w="5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Deferred income taxes</w:t>
            </w:r>
          </w:p>
        </w:tc>
        <w:tc>
          <w:tcPr>
            <w:tcW w:w="25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125</w:t>
            </w:r>
          </w:p>
        </w:tc>
        <w:tc>
          <w:tcPr>
            <w:tcW w:w="2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124</w:t>
            </w:r>
          </w:p>
        </w:tc>
      </w:tr>
      <w:tr>
        <w:trPr>
          <w:trHeight w:val="196"/>
        </w:trPr>
        <w:tc>
          <w:tcPr>
            <w:tcW w:w="52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liabilities</w:t>
            </w:r>
          </w:p>
        </w:tc>
        <w:tc>
          <w:tcPr>
            <w:tcW w:w="25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32</w:t>
            </w:r>
          </w:p>
        </w:tc>
        <w:tc>
          <w:tcPr>
            <w:tcW w:w="2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w:t>
            </w:r>
          </w:p>
        </w:tc>
      </w:tr>
      <w:tr>
        <w:trPr>
          <w:trHeight w:val="199"/>
        </w:trPr>
        <w:tc>
          <w:tcPr>
            <w:tcW w:w="52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Liabilities held for sale</w:t>
            </w:r>
          </w:p>
        </w:tc>
        <w:tc>
          <w:tcPr>
            <w:tcW w:w="256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400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408</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11</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4. REVENUE RECOGNITION AND CONTRACTS WITH CUSTOMERS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has a comprehensive offering of products and services, including software and technologies, that are sold to a variety of customers in multiple end markets. See the following disaggregated revenue table and related discussions by reportable business segment for details:</w:t>
      </w:r>
    </w:p>
    <w:p>
      <w:pPr>
        <w:spacing w:after="0" w:line="94"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80" w:type="dxa"/>
            <w:vAlign w:val="bottom"/>
            <w:tcBorders>
              <w:bottom w:val="single" w:sz="8" w:color="D7282F"/>
            </w:tcBorders>
          </w:tcPr>
          <w:p>
            <w:pPr>
              <w:spacing w:after="0"/>
              <w:rPr>
                <w:sz w:val="17"/>
                <w:szCs w:val="17"/>
                <w:color w:val="auto"/>
              </w:rPr>
            </w:pPr>
          </w:p>
        </w:tc>
        <w:tc>
          <w:tcPr>
            <w:tcW w:w="180" w:type="dxa"/>
            <w:vAlign w:val="bottom"/>
            <w:tcBorders>
              <w:top w:val="single" w:sz="8" w:color="D7282F"/>
              <w:bottom w:val="single" w:sz="8" w:color="D7282F"/>
            </w:tcBorders>
          </w:tcPr>
          <w:p>
            <w:pPr>
              <w:spacing w:after="0"/>
              <w:rPr>
                <w:sz w:val="17"/>
                <w:szCs w:val="17"/>
                <w:color w:val="auto"/>
              </w:rPr>
            </w:pPr>
          </w:p>
        </w:tc>
        <w:tc>
          <w:tcPr>
            <w:tcW w:w="780" w:type="dxa"/>
            <w:vAlign w:val="bottom"/>
            <w:tcBorders>
              <w:top w:val="single" w:sz="8" w:color="D7282F"/>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D7282F"/>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Aerospace Technologies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Aviation Original Equipment</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627</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674</w:t>
            </w:r>
          </w:p>
        </w:tc>
      </w:tr>
      <w:tr>
        <w:trPr>
          <w:trHeight w:val="196"/>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Aviation Aftermarket</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1,899</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1,659</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Defense and Space</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1,646</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1,336</w:t>
            </w:r>
          </w:p>
        </w:tc>
      </w:tr>
      <w:tr>
        <w:trPr>
          <w:trHeight w:val="199"/>
        </w:trPr>
        <w:tc>
          <w:tcPr>
            <w:tcW w:w="92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Aerospace Technologies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4,172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3,669</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Industrial Automation</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Sensing and Safety Technologies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423</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450</w:t>
            </w:r>
          </w:p>
        </w:tc>
      </w:tr>
      <w:tr>
        <w:trPr>
          <w:trHeight w:val="196"/>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Productivity Solutions and Services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269</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322</w:t>
            </w:r>
          </w:p>
        </w:tc>
      </w:tr>
      <w:tr>
        <w:trPr>
          <w:trHeight w:val="196"/>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Process Solutions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1,468</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1,496</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Warehouse and Workflow Solutions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218</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210</w:t>
            </w:r>
          </w:p>
        </w:tc>
      </w:tr>
      <w:tr>
        <w:trPr>
          <w:trHeight w:val="199"/>
        </w:trPr>
        <w:tc>
          <w:tcPr>
            <w:tcW w:w="92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Industrial Automation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2,378</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2,478</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Building Automation</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1,029</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813</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Building Solutions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663</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613</w:t>
            </w:r>
          </w:p>
        </w:tc>
      </w:tr>
      <w:tr>
        <w:trPr>
          <w:trHeight w:val="199"/>
        </w:trPr>
        <w:tc>
          <w:tcPr>
            <w:tcW w:w="92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Building Automation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1,692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1,426</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Energy and Sustainability Solutions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UOP</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664</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577</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Advanced Materials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897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948</w:t>
            </w:r>
          </w:p>
        </w:tc>
      </w:tr>
      <w:tr>
        <w:trPr>
          <w:trHeight w:val="199"/>
        </w:trPr>
        <w:tc>
          <w:tcPr>
            <w:tcW w:w="92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Energy and Sustainability Solutions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1,561</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1,525</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Corporate and All Other</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19</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w:t>
            </w:r>
          </w:p>
        </w:tc>
      </w:tr>
      <w:tr>
        <w:trPr>
          <w:trHeight w:val="196"/>
        </w:trPr>
        <w:tc>
          <w:tcPr>
            <w:tcW w:w="92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9,822</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9,105</w:t>
            </w:r>
          </w:p>
        </w:tc>
      </w:tr>
    </w:tbl>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April 2024, the Company realigned certain business units within the Industrial Automation reportable business segment. The gas detection business moved from the Sensing and Safety Technologies business unit to the Process Solutions business unit to align with the process measurement controls business. The Company recast historical periods to reflect this realignment.</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 xml:space="preserve">Aerospace Technologies </w:t>
      </w:r>
      <w:r>
        <w:rPr>
          <w:rFonts w:ascii="Arial" w:cs="Arial" w:eastAsia="Arial" w:hAnsi="Arial"/>
          <w:sz w:val="16"/>
          <w:szCs w:val="16"/>
          <w:color w:val="auto"/>
        </w:rPr>
        <w:t>– A global supplier of products, software, and services for aircrafts that it sells to original equipment manufacturers (OEM)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customers in a variety of end markets including air transport, regional, business and general aviation aircraft, airlines, aircraft operators, and defense and space contractors. Aerospace Technologies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and thermal systems. Aerospace Technologies also provides spare parts, repair, overhaul, and maintenance services (principally to aircraft operators), and sells licenses or intellectual property to other parties. Honeywell Forge solutions enable customers to turn data into predictive maintenance and predictive analytics to enable better fleet management and make flight operations more efficient.</w:t>
      </w:r>
    </w:p>
    <w:p>
      <w:pPr>
        <w:spacing w:after="0" w:line="200" w:lineRule="exact"/>
        <w:rPr>
          <w:sz w:val="20"/>
          <w:szCs w:val="20"/>
          <w:color w:val="auto"/>
        </w:rPr>
      </w:pPr>
    </w:p>
    <w:p>
      <w:pPr>
        <w:spacing w:after="0" w:line="223"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Industrial Automation </w:t>
      </w:r>
      <w:r>
        <w:rPr>
          <w:rFonts w:ascii="Arial" w:cs="Arial" w:eastAsia="Arial" w:hAnsi="Arial"/>
          <w:sz w:val="16"/>
          <w:szCs w:val="16"/>
          <w:color w:val="auto"/>
        </w:rPr>
        <w:t>– A global provider of industrial automation solutions that deliver intelligent, sustainable, and secure operations for customers in</w:t>
      </w:r>
      <w:r>
        <w:rPr>
          <w:rFonts w:ascii="Arial" w:cs="Arial" w:eastAsia="Arial" w:hAnsi="Arial"/>
          <w:sz w:val="16"/>
          <w:szCs w:val="16"/>
          <w:b w:val="1"/>
          <w:bCs w:val="1"/>
          <w:color w:val="auto"/>
        </w:rPr>
        <w:t xml:space="preserve"> </w:t>
      </w:r>
      <w:r>
        <w:rPr>
          <w:rFonts w:ascii="Arial" w:cs="Arial" w:eastAsia="Arial" w:hAnsi="Arial"/>
          <w:sz w:val="16"/>
          <w:szCs w:val="16"/>
          <w:color w:val="auto"/>
        </w:rPr>
        <w:t>refining/petrochemicals, life sciences, utilities, and warehouse and logistics segments. With millions of installed assets, Industrial Automation deploys outcome-based solutions to increase asset utilization; improve operational efficiency and labor productivity; reduce carbon emissions with less energy consumption; and enhance cyber security for critical infrastructure and operational assets. Industrial Automation offerings include automation control and instrumentation products and services; smart energy products; sensing technologies with an array of custom-engineered sensors and services; gas detection technologies and personal protective equipment; and system design, advanced automation equipment, software and analytics for manufacturing, distribution, and fulfillment operations. These products and services are combined with proprietary machine learning and artificial intelligence algorithms in products and projects which are digitally enabled through the Company's industry leading industrial Internet of Things (IoT) platform, Honeywell Forge.</w:t>
      </w:r>
    </w:p>
    <w:p>
      <w:pPr>
        <w:spacing w:after="0" w:line="7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Building Automation </w:t>
      </w:r>
      <w:r>
        <w:rPr>
          <w:rFonts w:ascii="Arial" w:cs="Arial" w:eastAsia="Arial" w:hAnsi="Arial"/>
          <w:sz w:val="16"/>
          <w:szCs w:val="16"/>
          <w:color w:val="auto"/>
        </w:rPr>
        <w:t>– A global provider of products, software, solutions, and technologies that enable building owners and occupants to ensure their</w:t>
      </w:r>
      <w:r>
        <w:rPr>
          <w:rFonts w:ascii="Arial" w:cs="Arial" w:eastAsia="Arial" w:hAnsi="Arial"/>
          <w:sz w:val="16"/>
          <w:szCs w:val="16"/>
          <w:b w:val="1"/>
          <w:bCs w:val="1"/>
          <w:color w:val="auto"/>
        </w:rPr>
        <w:t xml:space="preserve"> </w:t>
      </w:r>
      <w:r>
        <w:rPr>
          <w:rFonts w:ascii="Arial" w:cs="Arial" w:eastAsia="Arial" w:hAnsi="Arial"/>
          <w:sz w:val="16"/>
          <w:szCs w:val="16"/>
          <w:color w:val="auto"/>
        </w:rPr>
        <w:t>facilities are safe, energy efficient, sustainable, and productive. Building Automation products and services include advanced software applications for building control and optimization; sensors, switches, control systems, and instruments for energy management; access control; video surveillance; fire products; and installation, maintenance, and upgrades of systems. Honeywell Forge solutions enable customers to digitally manage buildings, connecting data from different assets to enable smart maintenance, improve building performance, and even protect from incoming security threats.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Energy and Sustainability Solutions </w:t>
      </w:r>
      <w:r>
        <w:rPr>
          <w:rFonts w:ascii="Arial" w:cs="Arial" w:eastAsia="Arial" w:hAnsi="Arial"/>
          <w:sz w:val="16"/>
          <w:szCs w:val="16"/>
          <w:color w:val="auto"/>
        </w:rPr>
        <w:t>– A global provider of industry leading technology, processing, and licensing capabilities combined with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science capabilities and innovative chemistry to offer focused solutions integral to facilitating the world's energy transition. The reportable business segment is comprised of UOP and Advanced Materials business units. The UOP business provides sustainable aviation fuels, petrochemical, refining, and natural gas liquefaction technologies, and carbon management solutions across multiple sectors through process technology solutions, products, including catalysts and adsorbents, equipment and aftermarket services. The Advanced Materials business provides customers with its Solstice lower global warming potential refrigeration and heating solutions, Spectra fibers for high end protective armor and medical applications, and leading-edge semiconductor materials. Honeywell Forge solutions serve customer asset productivity and efficiency needs by providing connectivity, data integration, and software solutions to generate a holistic view of their operations.</w:t>
      </w:r>
    </w:p>
    <w:p>
      <w:pPr>
        <w:spacing w:after="0" w:line="7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auto"/>
        </w:rPr>
        <w:t xml:space="preserve">Corporate and All Other </w:t>
      </w:r>
      <w:r>
        <w:rPr>
          <w:rFonts w:ascii="Arial" w:cs="Arial" w:eastAsia="Arial" w:hAnsi="Arial"/>
          <w:sz w:val="16"/>
          <w:szCs w:val="16"/>
          <w:color w:val="auto"/>
        </w:rPr>
        <w:t>– Corporate and All Other includes revenue from Honeywell's majority-owned investment in Quantinuum. Through Quantinuum,</w:t>
      </w:r>
      <w:r>
        <w:rPr>
          <w:rFonts w:ascii="Arial" w:cs="Arial" w:eastAsia="Arial" w:hAnsi="Arial"/>
          <w:sz w:val="16"/>
          <w:szCs w:val="16"/>
          <w:b w:val="1"/>
          <w:bCs w:val="1"/>
          <w:color w:val="auto"/>
        </w:rPr>
        <w:t xml:space="preserve"> </w:t>
      </w:r>
      <w:r>
        <w:rPr>
          <w:rFonts w:ascii="Arial" w:cs="Arial" w:eastAsia="Arial" w:hAnsi="Arial"/>
          <w:sz w:val="16"/>
          <w:szCs w:val="16"/>
          <w:color w:val="auto"/>
        </w:rPr>
        <w:t>Honeywell provides a wide range of service offerings of fully integrated quantum computing hardware and software solutions.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18 </w:t>
      </w:r>
      <w:r>
        <w:rPr>
          <w:rFonts w:ascii="Arial" w:cs="Arial" w:eastAsia="Arial" w:hAnsi="Arial"/>
          <w:sz w:val="16"/>
          <w:szCs w:val="16"/>
          <w:u w:val="single" w:color="auto"/>
          <w:color w:val="0000FF"/>
        </w:rPr>
        <w:t>Segment Financial Data</w:t>
      </w:r>
      <w:r>
        <w:rPr>
          <w:rFonts w:ascii="Arial" w:cs="Arial" w:eastAsia="Arial" w:hAnsi="Arial"/>
          <w:sz w:val="16"/>
          <w:szCs w:val="16"/>
          <w:color w:val="auto"/>
        </w:rPr>
        <w:t xml:space="preserve"> for a summary by disaggregated product and services sales for each reportable business segment.</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recognizes revenue arising from performance obligations outlined in contracts with its customers that are satisfied at a point in time and over time. The disaggregation of the Company's revenue based off timing of recognition is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60" w:type="dxa"/>
            <w:vAlign w:val="bottom"/>
          </w:tcPr>
          <w:p>
            <w:pPr>
              <w:spacing w:after="0"/>
              <w:rPr>
                <w:sz w:val="17"/>
                <w:szCs w:val="17"/>
                <w:color w:val="auto"/>
              </w:rPr>
            </w:pPr>
          </w:p>
        </w:tc>
        <w:tc>
          <w:tcPr>
            <w:tcW w:w="21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90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94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r>
      <w:tr>
        <w:trPr>
          <w:trHeight w:val="193"/>
        </w:trPr>
        <w:tc>
          <w:tcPr>
            <w:tcW w:w="90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Products, transferred point in time</w:t>
            </w:r>
          </w:p>
        </w:tc>
        <w:tc>
          <w:tcPr>
            <w:tcW w:w="124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57 %</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58 %</w:t>
            </w:r>
          </w:p>
        </w:tc>
      </w:tr>
      <w:tr>
        <w:trPr>
          <w:trHeight w:val="196"/>
        </w:trPr>
        <w:tc>
          <w:tcPr>
            <w:tcW w:w="9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Products, transferred over time</w:t>
            </w:r>
          </w:p>
        </w:tc>
        <w:tc>
          <w:tcPr>
            <w:tcW w:w="12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11</w:t>
            </w: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11</w:t>
            </w:r>
          </w:p>
        </w:tc>
      </w:tr>
      <w:tr>
        <w:trPr>
          <w:trHeight w:val="199"/>
        </w:trPr>
        <w:tc>
          <w:tcPr>
            <w:tcW w:w="90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product sales</w:t>
            </w:r>
          </w:p>
        </w:tc>
        <w:tc>
          <w:tcPr>
            <w:tcW w:w="12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68</w:t>
            </w: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69</w:t>
            </w:r>
          </w:p>
        </w:tc>
      </w:tr>
      <w:tr>
        <w:trPr>
          <w:trHeight w:val="193"/>
        </w:trPr>
        <w:tc>
          <w:tcPr>
            <w:tcW w:w="90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Services, transferred point in time</w:t>
            </w:r>
          </w:p>
        </w:tc>
        <w:tc>
          <w:tcPr>
            <w:tcW w:w="124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5</w:t>
            </w:r>
          </w:p>
        </w:tc>
        <w:tc>
          <w:tcPr>
            <w:tcW w:w="9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w:t>
            </w:r>
          </w:p>
        </w:tc>
      </w:tr>
      <w:tr>
        <w:trPr>
          <w:trHeight w:val="196"/>
        </w:trPr>
        <w:tc>
          <w:tcPr>
            <w:tcW w:w="9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Services, transferred over time</w:t>
            </w:r>
          </w:p>
        </w:tc>
        <w:tc>
          <w:tcPr>
            <w:tcW w:w="12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27</w:t>
            </w: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26</w:t>
            </w:r>
          </w:p>
        </w:tc>
      </w:tr>
      <w:tr>
        <w:trPr>
          <w:trHeight w:val="199"/>
        </w:trPr>
        <w:tc>
          <w:tcPr>
            <w:tcW w:w="90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service sales</w:t>
            </w:r>
          </w:p>
        </w:tc>
        <w:tc>
          <w:tcPr>
            <w:tcW w:w="12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32</w:t>
            </w: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31</w:t>
            </w:r>
          </w:p>
        </w:tc>
      </w:tr>
      <w:tr>
        <w:trPr>
          <w:trHeight w:val="196"/>
        </w:trPr>
        <w:tc>
          <w:tcPr>
            <w:tcW w:w="90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sales</w:t>
            </w:r>
          </w:p>
        </w:tc>
        <w:tc>
          <w:tcPr>
            <w:tcW w:w="124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100 %</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100 %</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CONTRACT BALANCES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tracks progress on satisfying performance obligations under contracts with customers. The related billings and cash collections are recorded in the Consolidated Balance Sheet in Accounts receivable—net and Other assets (unbilled receivables (contract assets) and billed receivables), and Accrued liabilities and Other liabilities (customer advances and deposits (contract liabilities)). Unbilled receivables arise when the timing of cash collected from customers differs from the timing of revenue recognition, such as when contract provisions require specific milestones to be met before a customer can be billed. Contract assets are recognized when the revenue associated with the contract is recognized prior to billing and derecognized when billed in accordance with the terms of the contract. Contract liabilities are recorded when customers remit contractual cash payments in advance of the Company satisfying performance obligations under contractual arrangements, including those with performance obligations to be satisfied over a period of time. Contract liabilities are derecognized when revenue is recorded, either when a milestone is met triggering the contractual right to bill or when the performance obligation is satisfied.</w:t>
      </w:r>
    </w:p>
    <w:p>
      <w:pPr>
        <w:spacing w:after="0" w:line="200" w:lineRule="exact"/>
        <w:rPr>
          <w:sz w:val="20"/>
          <w:szCs w:val="20"/>
          <w:color w:val="auto"/>
        </w:rPr>
      </w:pPr>
    </w:p>
    <w:p>
      <w:pPr>
        <w:spacing w:after="0" w:line="209"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Contract balances are classified as assets or liabilities on a contract-by-contract basis at the end of each reporting period.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contract assets and liabilities balances: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40" w:type="dxa"/>
            <w:vAlign w:val="bottom"/>
            <w:tcBorders>
              <w:bottom w:val="single" w:sz="8" w:color="D7282F"/>
            </w:tcBorders>
          </w:tcPr>
          <w:p>
            <w:pPr>
              <w:spacing w:after="0"/>
              <w:rPr>
                <w:sz w:val="17"/>
                <w:szCs w:val="17"/>
                <w:color w:val="auto"/>
              </w:rPr>
            </w:pPr>
          </w:p>
        </w:tc>
        <w:tc>
          <w:tcPr>
            <w:tcW w:w="30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3"/>
        </w:trPr>
        <w:tc>
          <w:tcPr>
            <w:tcW w:w="64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Contract assets—January 1</w:t>
            </w:r>
          </w:p>
        </w:tc>
        <w:tc>
          <w:tcPr>
            <w:tcW w:w="30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2,207</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2,013</w:t>
            </w:r>
          </w:p>
        </w:tc>
      </w:tr>
      <w:tr>
        <w:trPr>
          <w:trHeight w:val="196"/>
        </w:trPr>
        <w:tc>
          <w:tcPr>
            <w:tcW w:w="6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assets—March 31</w:t>
            </w:r>
          </w:p>
        </w:tc>
        <w:tc>
          <w:tcPr>
            <w:tcW w:w="30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2,383</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1,939</w:t>
            </w:r>
          </w:p>
        </w:tc>
      </w:tr>
      <w:tr>
        <w:trPr>
          <w:trHeight w:val="199"/>
        </w:trPr>
        <w:tc>
          <w:tcPr>
            <w:tcW w:w="6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Change in contract assets - increase (decrease)</w:t>
            </w:r>
          </w:p>
        </w:tc>
        <w:tc>
          <w:tcPr>
            <w:tcW w:w="30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(74)</w:t>
            </w:r>
          </w:p>
        </w:tc>
      </w:tr>
      <w:tr>
        <w:trPr>
          <w:trHeight w:val="193"/>
        </w:trPr>
        <w:tc>
          <w:tcPr>
            <w:tcW w:w="64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Contract liabilities—January 1</w:t>
            </w:r>
          </w:p>
        </w:tc>
        <w:tc>
          <w:tcPr>
            <w:tcW w:w="30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(4,220)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(4,326)</w:t>
            </w:r>
          </w:p>
        </w:tc>
      </w:tr>
      <w:tr>
        <w:trPr>
          <w:trHeight w:val="196"/>
        </w:trPr>
        <w:tc>
          <w:tcPr>
            <w:tcW w:w="6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liabilities—March 31</w:t>
            </w:r>
          </w:p>
        </w:tc>
        <w:tc>
          <w:tcPr>
            <w:tcW w:w="30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(4,300)</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(4,005)</w:t>
            </w:r>
          </w:p>
        </w:tc>
      </w:tr>
      <w:tr>
        <w:trPr>
          <w:trHeight w:val="199"/>
        </w:trPr>
        <w:tc>
          <w:tcPr>
            <w:tcW w:w="6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Change in contract liabilities - (increase) decrease</w:t>
            </w:r>
          </w:p>
        </w:tc>
        <w:tc>
          <w:tcPr>
            <w:tcW w:w="30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(80)</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321</w:t>
            </w:r>
          </w:p>
        </w:tc>
      </w:tr>
      <w:tr>
        <w:trPr>
          <w:trHeight w:val="196"/>
        </w:trPr>
        <w:tc>
          <w:tcPr>
            <w:tcW w:w="64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change</w:t>
            </w:r>
          </w:p>
        </w:tc>
        <w:tc>
          <w:tcPr>
            <w:tcW w:w="30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247</w:t>
            </w:r>
          </w:p>
        </w:tc>
      </w:tr>
    </w:tbl>
    <w:p>
      <w:pPr>
        <w:spacing w:after="0" w:line="16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For the three months ended March 31, 2025, and 2024, the Company recognized revenue of $1,000 million and $993 million, respectively, that was previously included in the beginning balance of contract liabilities.</w:t>
      </w:r>
    </w:p>
    <w:p>
      <w:pPr>
        <w:spacing w:after="0" w:line="3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Contract assets included $2,312 million and $2,139 million of unbilled balances under long-term contracts as of March 31, 2025, and December 31, 2024, respectively. These amounts are billed in accordance with the terms of customer contracts to which they relate.</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When contracts are modified to account for changes in contract specifications and requirements, the Company considers whether the modification either creates new or changes the existing enforceable rights and obligations. Contract modifications for goods or services and not distinct from the existing contract, due to the significant integration with the original good or service provided, are accounted for as if they were part of that existing contract.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OBLIGATIONS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the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the Company's contracts include distinct goods or services that are substantially the same and have the same pattern of transfer to the customer over time, they are recognized as a series of distinct goods or services. For any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spacing w:after="0" w:line="6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 The Company's remaining performance obligations as of March 31, 2025, are $36,097 million.</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Performance obligations recognized as of March 31, 2025,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53% and 47%, respectively.</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timing of satisfaction of the Company's performance obligations does not significantly vary from the typical timing of payment. Typical payment terms of the Company's fixed price over time contracts include progress payments based on specified events or milestones or based on project progress. For some contracts, the Company may be entitled to receive an advance payment.</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applied the practical expedient for certain revenue streams to exclude the value of remaining performance obligations for (i) contracts with an original expected term of one year or less or (ii) contracts for which the Company recognizes revenue in proportion to the amount the Company has the right to invoice for services performed.</w:t>
      </w:r>
    </w:p>
    <w:p>
      <w:pPr>
        <w:spacing w:after="0" w:line="395"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5. REPOSITIONING AND OTHER CHARGES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 summary of net repositioning and other charges follows:</w:t>
      </w:r>
    </w:p>
    <w:p>
      <w:pPr>
        <w:spacing w:after="0" w:line="158"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80" w:type="dxa"/>
            <w:vAlign w:val="bottom"/>
            <w:tcBorders>
              <w:bottom w:val="single" w:sz="8" w:color="D7282F"/>
            </w:tcBorders>
          </w:tcPr>
          <w:p>
            <w:pPr>
              <w:spacing w:after="0"/>
              <w:rPr>
                <w:sz w:val="17"/>
                <w:szCs w:val="17"/>
                <w:color w:val="auto"/>
              </w:rPr>
            </w:pPr>
          </w:p>
        </w:tc>
        <w:tc>
          <w:tcPr>
            <w:tcW w:w="180" w:type="dxa"/>
            <w:vAlign w:val="bottom"/>
            <w:tcBorders>
              <w:top w:val="single" w:sz="8" w:color="D7282F"/>
              <w:bottom w:val="single" w:sz="8" w:color="D7282F"/>
            </w:tcBorders>
          </w:tcPr>
          <w:p>
            <w:pPr>
              <w:spacing w:after="0"/>
              <w:rPr>
                <w:sz w:val="17"/>
                <w:szCs w:val="17"/>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D7282F"/>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2"/>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Severance</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24</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33</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Asset impairments</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Exit costs</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Reserve adjustments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charges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Asbestos-related charges, net of insurance and reimbursements</w:t>
            </w: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Probable and reasonably estimable environmental liabilities, net of reimbursements</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charges</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w:t>
            </w:r>
          </w:p>
        </w:tc>
      </w:tr>
      <w:tr>
        <w:trPr>
          <w:trHeight w:val="199"/>
        </w:trPr>
        <w:tc>
          <w:tcPr>
            <w:tcW w:w="928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Total net repositioning and other charges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93</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pre-tax distribution of total net repositioning and other charges by classification in the Consolidated Statement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Operations:</w:t>
      </w:r>
    </w:p>
    <w:p>
      <w:pPr>
        <w:spacing w:after="0" w:line="144"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80" w:type="dxa"/>
            <w:vAlign w:val="bottom"/>
            <w:tcBorders>
              <w:bottom w:val="single" w:sz="8" w:color="D7282F"/>
            </w:tcBorders>
          </w:tcPr>
          <w:p>
            <w:pPr>
              <w:spacing w:after="0"/>
              <w:rPr>
                <w:sz w:val="17"/>
                <w:szCs w:val="17"/>
                <w:color w:val="auto"/>
              </w:rPr>
            </w:pPr>
          </w:p>
        </w:tc>
        <w:tc>
          <w:tcPr>
            <w:tcW w:w="6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D7282F"/>
              <w:bottom w:val="single" w:sz="8" w:color="D7282F"/>
            </w:tcBorders>
          </w:tcPr>
          <w:p>
            <w:pPr>
              <w:spacing w:after="0"/>
              <w:rPr>
                <w:sz w:val="17"/>
                <w:szCs w:val="17"/>
                <w:color w:val="auto"/>
              </w:rPr>
            </w:pPr>
          </w:p>
        </w:tc>
        <w:tc>
          <w:tcPr>
            <w:tcW w:w="320" w:type="dxa"/>
            <w:vAlign w:val="bottom"/>
            <w:tcBorders>
              <w:top w:val="single" w:sz="8" w:color="D7282F"/>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62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37</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58</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6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(income) expense</w:t>
            </w:r>
          </w:p>
        </w:tc>
        <w:tc>
          <w:tcPr>
            <w:tcW w:w="6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62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45</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93</w:t>
            </w:r>
          </w:p>
        </w:tc>
      </w:tr>
    </w:tbl>
    <w:p>
      <w:pPr>
        <w:spacing w:after="0" w:line="1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The following table summarizes the pre-tax amount of total net repositioning and other charges by reportable business segment. These amounts are excluded from segment profit as described in Note 18 </w:t>
      </w:r>
      <w:r>
        <w:rPr>
          <w:rFonts w:ascii="Arial" w:cs="Arial" w:eastAsia="Arial" w:hAnsi="Arial"/>
          <w:sz w:val="16"/>
          <w:szCs w:val="16"/>
          <w:u w:val="single" w:color="auto"/>
          <w:color w:val="0000FF"/>
        </w:rPr>
        <w:t>Segment Financial Data</w:t>
      </w:r>
      <w:r>
        <w:rPr>
          <w:rFonts w:ascii="Arial" w:cs="Arial" w:eastAsia="Arial" w:hAnsi="Arial"/>
          <w:sz w:val="16"/>
          <w:szCs w:val="16"/>
          <w:color w:val="auto"/>
        </w:rPr>
        <w:t>:</w:t>
      </w:r>
    </w:p>
    <w:p>
      <w:pPr>
        <w:spacing w:after="0" w:line="79"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80" w:type="dxa"/>
            <w:vAlign w:val="bottom"/>
            <w:tcBorders>
              <w:bottom w:val="single" w:sz="8" w:color="D7282F"/>
            </w:tcBorders>
          </w:tcPr>
          <w:p>
            <w:pPr>
              <w:spacing w:after="0"/>
              <w:rPr>
                <w:sz w:val="17"/>
                <w:szCs w:val="17"/>
                <w:color w:val="auto"/>
              </w:rPr>
            </w:pPr>
          </w:p>
        </w:tc>
        <w:tc>
          <w:tcPr>
            <w:tcW w:w="6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top w:val="single" w:sz="8" w:color="D7282F"/>
              <w:bottom w:val="single" w:sz="8" w:color="D7282F"/>
            </w:tcBorders>
          </w:tcPr>
          <w:p>
            <w:pPr>
              <w:spacing w:after="0"/>
              <w:rPr>
                <w:sz w:val="17"/>
                <w:szCs w:val="17"/>
                <w:color w:val="auto"/>
              </w:rPr>
            </w:pPr>
          </w:p>
        </w:tc>
        <w:tc>
          <w:tcPr>
            <w:tcW w:w="300" w:type="dxa"/>
            <w:vAlign w:val="bottom"/>
            <w:tcBorders>
              <w:top w:val="single" w:sz="8" w:color="D7282F"/>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2"/>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Aerospace Technologies</w:t>
            </w:r>
          </w:p>
        </w:tc>
        <w:tc>
          <w:tcPr>
            <w:tcW w:w="62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Industrial Automation</w:t>
            </w:r>
          </w:p>
        </w:tc>
        <w:tc>
          <w:tcPr>
            <w:tcW w:w="62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Building Automation</w:t>
            </w:r>
          </w:p>
        </w:tc>
        <w:tc>
          <w:tcPr>
            <w:tcW w:w="62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Energy and Sustainability Solutions</w:t>
            </w:r>
          </w:p>
        </w:tc>
        <w:tc>
          <w:tcPr>
            <w:tcW w:w="62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p>
        </w:tc>
        <w:tc>
          <w:tcPr>
            <w:tcW w:w="62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49</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62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93</w:t>
            </w:r>
          </w:p>
        </w:tc>
      </w:tr>
    </w:tbl>
    <w:p>
      <w:pPr>
        <w:spacing w:after="0" w:line="32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NET REPOSITIONING CHARGES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three months ended March 31, 2025, the Company recognized gross repositioning charges totaling $36 million, including severance costs of $24 million related to workforce reductions of 713 manufacturing and administrative positions primarily in the Company's Building Automation and Industrial Automation reportable business segments. The workforce reductions related to productivity and ongoing functional transformation initiatives. The repositioning charges included asset impairments of $1 million related to the write-down of certain assets within the Company's Industrial Automation reportable business segment. The repositioning charges also included exit costs of $11 million related to current period costs incurred for closure obligations associated with site transitions primarily in the Company's Industrial Automation and Building Automation reportable business segments and corporate function. Also, $27 million of previously established reserves, primarily for severance, were returned to income due to higher-than-expected voluntary exits and adjustments to the scope of previously announced repositioning actions.</w:t>
      </w:r>
    </w:p>
    <w:p>
      <w:pPr>
        <w:spacing w:after="0" w:line="200" w:lineRule="exact"/>
        <w:rPr>
          <w:sz w:val="20"/>
          <w:szCs w:val="20"/>
          <w:color w:val="auto"/>
        </w:rPr>
      </w:pPr>
    </w:p>
    <w:p>
      <w:pPr>
        <w:spacing w:after="0" w:line="211"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three months ended March 31, 2024, the Company recognized gross repositioning charges totaling $49 million, including severance costs of $33 million related to workforce reductions of 1,362 manufacturing and administrative positions primarily in the Company's Industrial Automation and Building Automation reportable business segments. The workforce reductions related to productivity and ongoing functional transformation initiatives. The repositioning charges included asset impairments of $1 million primarily related to the write-down of certain assets within the Company's Industrial Automation reportable business segment. The repositioning charges also included exit costs of $15 million related to current period costs incurred for closure obligations associated with site transitions primarily in the Company's Industrial Automation reportable business segment and corporate function. Also, $15 million of previously established reserves, primarily for severance, were returned to income due to higher-than-expected voluntary exits and adjustments to the scope of previously announced repositioning actions.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the Company's repositioning reserves, excluding amounts that are included in Liabilities held for sale in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140" w:type="dxa"/>
            <w:vAlign w:val="bottom"/>
          </w:tcPr>
          <w:p>
            <w:pPr>
              <w:jc w:val="right"/>
              <w:ind w:right="428"/>
              <w:spacing w:after="0"/>
              <w:rPr>
                <w:sz w:val="20"/>
                <w:szCs w:val="20"/>
                <w:color w:val="auto"/>
              </w:rPr>
            </w:pPr>
            <w:r>
              <w:rPr>
                <w:rFonts w:ascii="Arial" w:cs="Arial" w:eastAsia="Arial" w:hAnsi="Arial"/>
                <w:sz w:val="14"/>
                <w:szCs w:val="14"/>
                <w:b w:val="1"/>
                <w:bCs w:val="1"/>
                <w:color w:val="auto"/>
              </w:rPr>
              <w:t>Asset</w:t>
            </w:r>
          </w:p>
        </w:tc>
        <w:tc>
          <w:tcPr>
            <w:tcW w:w="360" w:type="dxa"/>
            <w:vAlign w:val="bottom"/>
          </w:tcPr>
          <w:p>
            <w:pPr>
              <w:spacing w:after="0"/>
              <w:rPr>
                <w:sz w:val="14"/>
                <w:szCs w:val="14"/>
                <w:color w:val="auto"/>
              </w:rPr>
            </w:pPr>
          </w:p>
        </w:tc>
        <w:tc>
          <w:tcPr>
            <w:tcW w:w="1020" w:type="dxa"/>
            <w:vAlign w:val="bottom"/>
          </w:tcPr>
          <w:p>
            <w:pPr>
              <w:jc w:val="right"/>
              <w:ind w:right="488"/>
              <w:spacing w:after="0"/>
              <w:rPr>
                <w:sz w:val="20"/>
                <w:szCs w:val="20"/>
                <w:color w:val="auto"/>
              </w:rPr>
            </w:pPr>
            <w:r>
              <w:rPr>
                <w:rFonts w:ascii="Arial" w:cs="Arial" w:eastAsia="Arial" w:hAnsi="Arial"/>
                <w:sz w:val="14"/>
                <w:szCs w:val="14"/>
                <w:b w:val="1"/>
                <w:bCs w:val="1"/>
                <w:color w:val="auto"/>
              </w:rPr>
              <w:t>Exit</w:t>
            </w:r>
          </w:p>
        </w:tc>
        <w:tc>
          <w:tcPr>
            <w:tcW w:w="360" w:type="dxa"/>
            <w:vAlign w:val="bottom"/>
          </w:tcPr>
          <w:p>
            <w:pPr>
              <w:spacing w:after="0"/>
              <w:rPr>
                <w:sz w:val="14"/>
                <w:szCs w:val="14"/>
                <w:color w:val="auto"/>
              </w:rPr>
            </w:pPr>
          </w:p>
        </w:tc>
        <w:tc>
          <w:tcPr>
            <w:tcW w:w="9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40" w:type="dxa"/>
            <w:vAlign w:val="bottom"/>
            <w:tcBorders>
              <w:bottom w:val="single" w:sz="8" w:color="D7282F"/>
            </w:tcBorders>
          </w:tcPr>
          <w:p>
            <w:pPr>
              <w:spacing w:after="0"/>
              <w:rPr>
                <w:sz w:val="16"/>
                <w:szCs w:val="16"/>
                <w:color w:val="auto"/>
              </w:rPr>
            </w:pPr>
          </w:p>
        </w:tc>
        <w:tc>
          <w:tcPr>
            <w:tcW w:w="2080" w:type="dxa"/>
            <w:vAlign w:val="bottom"/>
            <w:tcBorders>
              <w:bottom w:val="single" w:sz="8" w:color="D7282F"/>
            </w:tcBorders>
          </w:tcPr>
          <w:p>
            <w:pPr>
              <w:spacing w:after="0"/>
              <w:rPr>
                <w:sz w:val="16"/>
                <w:szCs w:val="16"/>
                <w:color w:val="auto"/>
              </w:rPr>
            </w:pPr>
          </w:p>
        </w:tc>
        <w:tc>
          <w:tcPr>
            <w:tcW w:w="110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Costs</w:t>
            </w:r>
          </w:p>
        </w:tc>
        <w:tc>
          <w:tcPr>
            <w:tcW w:w="24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Impairments</w:t>
            </w:r>
          </w:p>
        </w:tc>
        <w:tc>
          <w:tcPr>
            <w:tcW w:w="36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Costs</w:t>
            </w:r>
          </w:p>
        </w:tc>
        <w:tc>
          <w:tcPr>
            <w:tcW w:w="36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2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178</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185</w:t>
            </w:r>
          </w:p>
        </w:tc>
        <w:tc>
          <w:tcPr>
            <w:tcW w:w="0" w:type="dxa"/>
            <w:vAlign w:val="bottom"/>
          </w:tcPr>
          <w:p>
            <w:pPr>
              <w:spacing w:after="0"/>
              <w:rPr>
                <w:sz w:val="1"/>
                <w:szCs w:val="1"/>
                <w:color w:val="auto"/>
              </w:rPr>
            </w:pPr>
          </w:p>
        </w:tc>
      </w:tr>
      <w:tr>
        <w:trPr>
          <w:trHeight w:val="193"/>
        </w:trPr>
        <w:tc>
          <w:tcPr>
            <w:tcW w:w="40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Charges</w:t>
            </w:r>
          </w:p>
        </w:tc>
        <w:tc>
          <w:tcPr>
            <w:tcW w:w="2080" w:type="dxa"/>
            <w:vAlign w:val="bottom"/>
            <w:tcBorders>
              <w:bottom w:val="single" w:sz="8" w:color="61656A"/>
            </w:tcBorders>
          </w:tcPr>
          <w:p>
            <w:pPr>
              <w:spacing w:after="0"/>
              <w:rPr>
                <w:sz w:val="16"/>
                <w:szCs w:val="16"/>
                <w:color w:val="auto"/>
              </w:rPr>
            </w:pPr>
          </w:p>
        </w:tc>
        <w:tc>
          <w:tcPr>
            <w:tcW w:w="11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24</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w:t>
            </w:r>
          </w:p>
        </w:tc>
        <w:tc>
          <w:tcPr>
            <w:tcW w:w="36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Usage—cash</w:t>
            </w:r>
          </w:p>
        </w:tc>
        <w:tc>
          <w:tcPr>
            <w:tcW w:w="208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(29)</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w:t>
            </w:r>
          </w:p>
        </w:tc>
        <w:tc>
          <w:tcPr>
            <w:tcW w:w="3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Usage—noncash</w:t>
            </w:r>
          </w:p>
        </w:tc>
        <w:tc>
          <w:tcPr>
            <w:tcW w:w="208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translation</w:t>
            </w:r>
          </w:p>
        </w:tc>
        <w:tc>
          <w:tcPr>
            <w:tcW w:w="208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Adjustments</w:t>
            </w:r>
          </w:p>
        </w:tc>
        <w:tc>
          <w:tcPr>
            <w:tcW w:w="208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(19)</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9"/>
        </w:trPr>
        <w:tc>
          <w:tcPr>
            <w:tcW w:w="40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March 31, 2025</w:t>
            </w:r>
          </w:p>
        </w:tc>
        <w:tc>
          <w:tcPr>
            <w:tcW w:w="2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156</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159</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Certain repositioning projects will recognize exit costs in future periods when the actual liability is incurred. Such exit costs incurred in the three months ended March 31, 2025, and 2024, were $11 million and $12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CHARGES</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three months ended March 31, 2024, the Company recognized Other charges of $17 million related to the settlement of a contractual dispute with a Russian entity associated with the Company's suspension and wind down activities in Russia. The charges were recorded in Other (income) expense in the Consolidated Statement of Operations.</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Given the uncertainty inherent in the Company's remaining obligations related to contracts with Russian counterparties, the Company does not believe it is possible to develop estimates of reasonably possible loss in excess of current accruals for these matters (other than as specifically set forth above). Based on available information to date, the Company’s estimate of potential future losses or other contingencies related to suspension and wind down activities, including any guarantee payments or any litigation costs or as otherwise related to the Company's wind down in Russia, could adversely affect the Company's consolidated results of operations in the periods recognized but would not be material with respect to the Company's consolidated financial position. See Note 15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for a discussion of the recognition and measurement of estimate for contingencies.</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color w:val="D7282F"/>
        </w:rPr>
        <w:t>NOTE 6. INCOME TAXES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effective tax rate was higher than the U.S. federal statutory rate of 21% and increased during 2025 compared to 2024 as a result of increased tax expense related to internal legal entity restructuring in advance of the anticipated sale of the PPE business.</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NOTE 7. INVENTORIES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80" w:type="dxa"/>
            <w:vAlign w:val="bottom"/>
            <w:tcBorders>
              <w:bottom w:val="single" w:sz="8" w:color="D7282F"/>
            </w:tcBorders>
          </w:tcPr>
          <w:p>
            <w:pPr>
              <w:spacing w:after="0"/>
              <w:rPr>
                <w:sz w:val="17"/>
                <w:szCs w:val="17"/>
                <w:color w:val="auto"/>
              </w:rPr>
            </w:pPr>
          </w:p>
        </w:tc>
        <w:tc>
          <w:tcPr>
            <w:tcW w:w="3320" w:type="dxa"/>
            <w:vAlign w:val="bottom"/>
            <w:tcBorders>
              <w:bottom w:val="single" w:sz="8" w:color="D7282F"/>
            </w:tcBorders>
          </w:tcPr>
          <w:p>
            <w:pPr>
              <w:spacing w:after="0"/>
              <w:rPr>
                <w:sz w:val="17"/>
                <w:szCs w:val="17"/>
                <w:color w:val="auto"/>
              </w:rPr>
            </w:pPr>
          </w:p>
        </w:tc>
        <w:tc>
          <w:tcPr>
            <w:tcW w:w="164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March 31, 2025</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3"/>
        </w:trPr>
        <w:tc>
          <w:tcPr>
            <w:tcW w:w="43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Raw materials</w:t>
            </w:r>
          </w:p>
        </w:tc>
        <w:tc>
          <w:tcPr>
            <w:tcW w:w="33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1,744</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1,528</w:t>
            </w:r>
          </w:p>
        </w:tc>
      </w:tr>
      <w:tr>
        <w:trPr>
          <w:trHeight w:val="196"/>
        </w:trPr>
        <w:tc>
          <w:tcPr>
            <w:tcW w:w="43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Work in process</w:t>
            </w:r>
          </w:p>
        </w:tc>
        <w:tc>
          <w:tcPr>
            <w:tcW w:w="3320" w:type="dxa"/>
            <w:vAlign w:val="bottom"/>
            <w:tcBorders>
              <w:bottom w:val="single" w:sz="8" w:color="61656A"/>
            </w:tcBorders>
          </w:tcPr>
          <w:p>
            <w:pPr>
              <w:spacing w:after="0"/>
              <w:rPr>
                <w:sz w:val="17"/>
                <w:szCs w:val="17"/>
                <w:color w:val="auto"/>
              </w:rPr>
            </w:pPr>
          </w:p>
        </w:tc>
        <w:tc>
          <w:tcPr>
            <w:tcW w:w="1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1,396</w:t>
            </w:r>
          </w:p>
        </w:tc>
        <w:tc>
          <w:tcPr>
            <w:tcW w:w="30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1,346</w:t>
            </w:r>
          </w:p>
        </w:tc>
      </w:tr>
      <w:tr>
        <w:trPr>
          <w:trHeight w:val="196"/>
        </w:trPr>
        <w:tc>
          <w:tcPr>
            <w:tcW w:w="43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Finished products</w:t>
            </w:r>
          </w:p>
        </w:tc>
        <w:tc>
          <w:tcPr>
            <w:tcW w:w="3320" w:type="dxa"/>
            <w:vAlign w:val="bottom"/>
            <w:tcBorders>
              <w:bottom w:val="single" w:sz="8" w:color="D7282F"/>
            </w:tcBorders>
          </w:tcPr>
          <w:p>
            <w:pPr>
              <w:spacing w:after="0"/>
              <w:rPr>
                <w:sz w:val="17"/>
                <w:szCs w:val="17"/>
                <w:color w:val="auto"/>
              </w:rPr>
            </w:pPr>
          </w:p>
        </w:tc>
        <w:tc>
          <w:tcPr>
            <w:tcW w:w="1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3,471</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3,568</w:t>
            </w:r>
          </w:p>
        </w:tc>
      </w:tr>
      <w:tr>
        <w:trPr>
          <w:trHeight w:val="199"/>
        </w:trPr>
        <w:tc>
          <w:tcPr>
            <w:tcW w:w="43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Inventories</w:t>
            </w:r>
          </w:p>
        </w:tc>
        <w:tc>
          <w:tcPr>
            <w:tcW w:w="33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6,611</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6,442</w:t>
            </w:r>
          </w:p>
        </w:tc>
      </w:tr>
    </w:tbl>
    <w:p>
      <w:pPr>
        <w:spacing w:after="0" w:line="200" w:lineRule="exact"/>
        <w:rPr>
          <w:sz w:val="20"/>
          <w:szCs w:val="20"/>
          <w:color w:val="auto"/>
        </w:rPr>
      </w:pPr>
    </w:p>
    <w:p>
      <w:pPr>
        <w:spacing w:after="0" w:line="28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16</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8. GOODWILL AND OTHER INTANGIBLE ASSETS—NET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 in the carrying amount of goodwill for the three months ended March 31, 2025, by reportable business segment: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ind w:right="168"/>
              <w:spacing w:after="0"/>
              <w:rPr>
                <w:sz w:val="20"/>
                <w:szCs w:val="20"/>
                <w:color w:val="auto"/>
              </w:rPr>
            </w:pPr>
            <w:r>
              <w:rPr>
                <w:rFonts w:ascii="Arial" w:cs="Arial" w:eastAsia="Arial" w:hAnsi="Arial"/>
                <w:sz w:val="14"/>
                <w:szCs w:val="14"/>
                <w:b w:val="1"/>
                <w:bCs w:val="1"/>
                <w:color w:val="auto"/>
              </w:rPr>
              <w:t>Currency</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Acquisitions</w:t>
            </w:r>
          </w:p>
        </w:tc>
        <w:tc>
          <w:tcPr>
            <w:tcW w:w="300" w:type="dxa"/>
            <w:vAlign w:val="bottom"/>
          </w:tcPr>
          <w:p>
            <w:pPr>
              <w:spacing w:after="0"/>
              <w:rPr>
                <w:sz w:val="12"/>
                <w:szCs w:val="12"/>
                <w:color w:val="auto"/>
              </w:rPr>
            </w:pPr>
          </w:p>
        </w:tc>
        <w:tc>
          <w:tcPr>
            <w:tcW w:w="11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Translation</w:t>
            </w:r>
          </w:p>
        </w:tc>
        <w:tc>
          <w:tcPr>
            <w:tcW w:w="240" w:type="dxa"/>
            <w:vAlign w:val="bottom"/>
          </w:tcPr>
          <w:p>
            <w:pPr>
              <w:spacing w:after="0"/>
              <w:rPr>
                <w:sz w:val="12"/>
                <w:szCs w:val="12"/>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March 31, 2025</w:t>
            </w:r>
          </w:p>
        </w:tc>
        <w:tc>
          <w:tcPr>
            <w:tcW w:w="0" w:type="dxa"/>
            <w:vAlign w:val="bottom"/>
          </w:tcPr>
          <w:p>
            <w:pPr>
              <w:spacing w:after="0"/>
              <w:rPr>
                <w:sz w:val="1"/>
                <w:szCs w:val="1"/>
                <w:color w:val="auto"/>
              </w:rPr>
            </w:pPr>
          </w:p>
        </w:tc>
      </w:tr>
      <w:tr>
        <w:trPr>
          <w:trHeight w:val="185"/>
        </w:trPr>
        <w:tc>
          <w:tcPr>
            <w:tcW w:w="558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1220" w:type="dxa"/>
            <w:vAlign w:val="bottom"/>
            <w:tcBorders>
              <w:bottom w:val="single" w:sz="8" w:color="D7282F"/>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vMerge w:val="continue"/>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Adjustment</w:t>
            </w:r>
          </w:p>
        </w:tc>
        <w:tc>
          <w:tcPr>
            <w:tcW w:w="24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Aerospace Technologies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3,028</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3,044</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Industrial Automation</w:t>
            </w:r>
          </w:p>
        </w:tc>
        <w:tc>
          <w:tcPr>
            <w:tcW w:w="1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9,164</w:t>
            </w:r>
          </w:p>
        </w:tc>
        <w:tc>
          <w:tcPr>
            <w:tcW w:w="2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92</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9,256</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Building Automation</w:t>
            </w:r>
          </w:p>
        </w:tc>
        <w:tc>
          <w:tcPr>
            <w:tcW w:w="1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6,136</w:t>
            </w:r>
          </w:p>
        </w:tc>
        <w:tc>
          <w:tcPr>
            <w:tcW w:w="2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57</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6,193</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Energy and Sustainability Solutions</w:t>
            </w:r>
          </w:p>
        </w:tc>
        <w:tc>
          <w:tcPr>
            <w:tcW w:w="1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2,598</w:t>
            </w:r>
          </w:p>
        </w:tc>
        <w:tc>
          <w:tcPr>
            <w:tcW w:w="2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w:t>
            </w:r>
          </w:p>
        </w:tc>
        <w:tc>
          <w:tcPr>
            <w:tcW w:w="30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2,605</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p>
        </w:tc>
        <w:tc>
          <w:tcPr>
            <w:tcW w:w="12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899</w:t>
            </w:r>
          </w:p>
        </w:tc>
        <w:tc>
          <w:tcPr>
            <w:tcW w:w="2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24</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923</w:t>
            </w:r>
          </w:p>
        </w:tc>
        <w:tc>
          <w:tcPr>
            <w:tcW w:w="0" w:type="dxa"/>
            <w:vAlign w:val="bottom"/>
          </w:tcPr>
          <w:p>
            <w:pPr>
              <w:spacing w:after="0"/>
              <w:rPr>
                <w:sz w:val="1"/>
                <w:szCs w:val="1"/>
                <w:color w:val="auto"/>
              </w:rPr>
            </w:pPr>
          </w:p>
        </w:tc>
      </w:tr>
      <w:tr>
        <w:trPr>
          <w:trHeight w:val="199"/>
        </w:trPr>
        <w:tc>
          <w:tcPr>
            <w:tcW w:w="55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Goodwill</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21,825</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188</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22,021</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Other intangible assets are comprised of:</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March 31, 2025</w:t>
            </w: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1560" w:type="dxa"/>
            <w:vAlign w:val="bottom"/>
            <w:tcBorders>
              <w:bottom w:val="single" w:sz="8" w:color="D7282F"/>
            </w:tcBorders>
            <w:gridSpan w:val="2"/>
          </w:tcPr>
          <w:p>
            <w:pPr>
              <w:jc w:val="right"/>
              <w:ind w:right="48"/>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Gross</w:t>
            </w:r>
          </w:p>
        </w:tc>
        <w:tc>
          <w:tcPr>
            <w:tcW w:w="260" w:type="dxa"/>
            <w:vAlign w:val="bottom"/>
          </w:tcPr>
          <w:p>
            <w:pPr>
              <w:spacing w:after="0"/>
              <w:rPr>
                <w:sz w:val="15"/>
                <w:szCs w:val="15"/>
                <w:color w:val="auto"/>
              </w:rPr>
            </w:pPr>
          </w:p>
        </w:tc>
        <w:tc>
          <w:tcPr>
            <w:tcW w:w="128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Gross</w:t>
            </w:r>
          </w:p>
        </w:tc>
        <w:tc>
          <w:tcPr>
            <w:tcW w:w="380" w:type="dxa"/>
            <w:vAlign w:val="bottom"/>
          </w:tcPr>
          <w:p>
            <w:pPr>
              <w:spacing w:after="0"/>
              <w:rPr>
                <w:sz w:val="15"/>
                <w:szCs w:val="15"/>
                <w:color w:val="auto"/>
              </w:rPr>
            </w:pPr>
          </w:p>
        </w:tc>
        <w:tc>
          <w:tcPr>
            <w:tcW w:w="11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5"/>
                <w:szCs w:val="15"/>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8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Carrying</w:t>
            </w:r>
          </w:p>
        </w:tc>
        <w:tc>
          <w:tcPr>
            <w:tcW w:w="3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5"/>
        </w:trPr>
        <w:tc>
          <w:tcPr>
            <w:tcW w:w="390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Amount</w:t>
            </w:r>
          </w:p>
        </w:tc>
        <w:tc>
          <w:tcPr>
            <w:tcW w:w="38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Definite-life intangibles</w:t>
            </w:r>
          </w:p>
        </w:tc>
        <w:tc>
          <w:tcPr>
            <w:tcW w:w="14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4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11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Patents and technology</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3,528</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(1,890)</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1,638</w:t>
            </w:r>
          </w:p>
        </w:tc>
        <w:tc>
          <w:tcPr>
            <w:tcW w:w="220" w:type="dxa"/>
            <w:vAlign w:val="bottom"/>
            <w:tcBorders>
              <w:bottom w:val="single" w:sz="8" w:color="61656A"/>
            </w:tcBorders>
          </w:tcPr>
          <w:p>
            <w:pPr>
              <w:spacing w:after="0"/>
              <w:rPr>
                <w:sz w:val="16"/>
                <w:szCs w:val="16"/>
                <w:color w:val="auto"/>
              </w:rPr>
            </w:pP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3,513</w:t>
            </w:r>
          </w:p>
        </w:tc>
        <w:tc>
          <w:tcPr>
            <w:tcW w:w="3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(1,849)</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Customer relationships</w:t>
            </w: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6,430</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(2,361)</w:t>
            </w:r>
          </w:p>
        </w:tc>
        <w:tc>
          <w:tcPr>
            <w:tcW w:w="2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4,069</w:t>
            </w: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6,411</w:t>
            </w:r>
          </w:p>
        </w:tc>
        <w:tc>
          <w:tcPr>
            <w:tcW w:w="3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(2,251)</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4,160</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Trademarks</w:t>
            </w: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409</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(306)</w:t>
            </w:r>
          </w:p>
        </w:tc>
        <w:tc>
          <w:tcPr>
            <w:tcW w:w="2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103</w:t>
            </w: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398</w:t>
            </w:r>
          </w:p>
        </w:tc>
        <w:tc>
          <w:tcPr>
            <w:tcW w:w="3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(296)</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559</w:t>
            </w: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(271)</w:t>
            </w: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288</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561</w:t>
            </w:r>
          </w:p>
        </w:tc>
        <w:tc>
          <w:tcPr>
            <w:tcW w:w="3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(270)</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99"/>
        </w:trPr>
        <w:tc>
          <w:tcPr>
            <w:tcW w:w="39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definite-life intangibles—net</w:t>
            </w: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10,926</w:t>
            </w: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(4,828)</w:t>
            </w: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6,098</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10,883</w:t>
            </w:r>
          </w:p>
        </w:tc>
        <w:tc>
          <w:tcPr>
            <w:tcW w:w="3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(4,666)</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6,217</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Indefinite-life intangibles</w:t>
            </w: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Trademarks</w:t>
            </w: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439</w:t>
            </w:r>
          </w:p>
        </w:tc>
        <w:tc>
          <w:tcPr>
            <w:tcW w:w="2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439</w:t>
            </w:r>
          </w:p>
        </w:tc>
        <w:tc>
          <w:tcPr>
            <w:tcW w:w="2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439</w:t>
            </w:r>
          </w:p>
        </w:tc>
        <w:tc>
          <w:tcPr>
            <w:tcW w:w="38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99"/>
        </w:trPr>
        <w:tc>
          <w:tcPr>
            <w:tcW w:w="390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Other intangible assets—net</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11,365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(4,828)</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6,537</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11,322</w:t>
            </w:r>
          </w:p>
        </w:tc>
        <w:tc>
          <w:tcPr>
            <w:tcW w:w="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(4,666)</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6,656</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amortization expense was $136 million and $70 million for the three months ended March 31, 2025, and 2024, respectively.</w:t>
      </w:r>
    </w:p>
    <w:p>
      <w:pPr>
        <w:spacing w:after="0" w:line="200" w:lineRule="exact"/>
        <w:rPr>
          <w:sz w:val="20"/>
          <w:szCs w:val="20"/>
          <w:color w:val="auto"/>
        </w:rPr>
      </w:pPr>
    </w:p>
    <w:p>
      <w:pPr>
        <w:spacing w:after="0" w:line="252"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9. DEBT AND CREDIT AGREEMENTS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40" w:type="dxa"/>
            <w:vAlign w:val="bottom"/>
            <w:tcBorders>
              <w:bottom w:val="single" w:sz="8" w:color="D7282F"/>
            </w:tcBorders>
          </w:tcPr>
          <w:p>
            <w:pPr>
              <w:spacing w:after="0"/>
              <w:rPr>
                <w:sz w:val="17"/>
                <w:szCs w:val="17"/>
                <w:color w:val="auto"/>
              </w:rPr>
            </w:pPr>
          </w:p>
        </w:tc>
        <w:tc>
          <w:tcPr>
            <w:tcW w:w="46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March 31, 2025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3"/>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1.35% notes due 2025</w:t>
            </w:r>
          </w:p>
        </w:tc>
        <w:tc>
          <w:tcPr>
            <w:tcW w:w="46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1,250</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2.50% notes due 2026</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1.10% notes due 2027</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3.50% euro notes due 2027</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702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675</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4.65% notes due 2027</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4.95% notes due 2028</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2.25% euro notes due 2028</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809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779</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4.25% notes due 2029</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2.70% notes due 2029</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4.875% notes due 2029</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4.70% notes due 2030</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3.375% euro notes due 2030</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809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779</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1.95% notes due 2030</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4.95% notes due 2031</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1.75% notes due 2031</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4.75% notes due 2032</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0.75% euro notes due 2032</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540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519</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3.75% euro notes due 2032</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540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519</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5.00% notes due 2033</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4.50% notes due 2034</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4.125% euro notes due 2034</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1,079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1,039</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5.00% notes due 2035</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3.75% euro notes due 2036</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809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779</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5.70% notes due 2036</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441</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5.70% notes due 2037</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462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462</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5.375% notes due 2041</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417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417</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3.812% notes due 2047</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442</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2.80% notes due 2050</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5.25% notes due 2054</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5.35% notes due 2064</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4.37% Term Loan due 2027</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6.625% debentures due 2028</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201</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9.065% debentures due 2033</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51</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Industrial development bond obligations, floating rate maturing at various dates through 2037</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(including finance leases), 3.7% weighted average interest rate maturing at various dates through 2031</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410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Fair value of hedging instruments</w:t>
            </w:r>
          </w:p>
        </w:tc>
        <w:tc>
          <w:tcPr>
            <w:tcW w:w="46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(112)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(136)</w:t>
            </w:r>
          </w:p>
        </w:tc>
      </w:tr>
      <w:tr>
        <w:trPr>
          <w:trHeight w:val="196"/>
        </w:trPr>
        <w:tc>
          <w:tcPr>
            <w:tcW w:w="7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46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(296)</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(303)</w:t>
            </w:r>
          </w:p>
        </w:tc>
      </w:tr>
      <w:tr>
        <w:trPr>
          <w:trHeight w:val="199"/>
        </w:trPr>
        <w:tc>
          <w:tcPr>
            <w:tcW w:w="7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Long-term debt and current related maturities</w:t>
            </w:r>
          </w:p>
        </w:tc>
        <w:tc>
          <w:tcPr>
            <w:tcW w:w="46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27,076</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26,826</w:t>
            </w:r>
          </w:p>
        </w:tc>
      </w:tr>
      <w:tr>
        <w:trPr>
          <w:trHeight w:val="193"/>
        </w:trPr>
        <w:tc>
          <w:tcPr>
            <w:tcW w:w="7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Current maturities of long-term debt</w:t>
            </w:r>
          </w:p>
        </w:tc>
        <w:tc>
          <w:tcPr>
            <w:tcW w:w="460" w:type="dxa"/>
            <w:vAlign w:val="bottom"/>
            <w:tcBorders>
              <w:bottom w:val="single" w:sz="8" w:color="D7282F"/>
            </w:tcBorders>
          </w:tcPr>
          <w:p>
            <w:pPr>
              <w:spacing w:after="0"/>
              <w:rPr>
                <w:sz w:val="16"/>
                <w:szCs w:val="16"/>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1,332</w:t>
            </w:r>
          </w:p>
        </w:tc>
        <w:tc>
          <w:tcPr>
            <w:tcW w:w="280" w:type="dxa"/>
            <w:vAlign w:val="bottom"/>
            <w:tcBorders>
              <w:bottom w:val="single" w:sz="8" w:color="D7282F"/>
            </w:tcBorders>
          </w:tcPr>
          <w:p>
            <w:pPr>
              <w:spacing w:after="0"/>
              <w:rPr>
                <w:sz w:val="16"/>
                <w:szCs w:val="16"/>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1,347</w:t>
            </w:r>
          </w:p>
        </w:tc>
      </w:tr>
      <w:tr>
        <w:trPr>
          <w:trHeight w:val="199"/>
        </w:trPr>
        <w:tc>
          <w:tcPr>
            <w:tcW w:w="72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Long-term debt</w:t>
            </w:r>
          </w:p>
        </w:tc>
        <w:tc>
          <w:tcPr>
            <w:tcW w:w="46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25,744</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25,479</w:t>
            </w: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18</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Paper and Other Short-Term Borrowings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As of March 31, 2025, the Company had $5.8 billion of Commercial paper and other short-term borrowings outstanding at a weighted average interest rate of 4.10%. As of December 31, 2024, the Company had $4.3 billion of Commercial paper and other short-term borrowings outstanding at a weighted average interest rate of 4.22%.</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Revolving Credit Agreements</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March 17, 2025, the Company entered into a $3.0 billion 364-day credit agreement (the 364-Day Credit Agreement). The 364-Day Credit Agreement replaced the $1.5 billion 364-day credit agreement dated as of March 18, 2024, which was terminated in accordance with its terms effective March 17, 2025. Amounts borrowed under the 364-Day Credit Agreement are required to be repaid no later than March 16, 2026, unless (i) Honeywell elects to convert all then outstanding amounts into a term loan, upon which such amounts shall be repaid in full on March 16, 2027, or (ii) the 364-Day Credit Agreement is terminated earlier pursuant to its terms. The 364-Day Credit Agreement is maintained for general corporate purposes.</w:t>
      </w:r>
    </w:p>
    <w:p>
      <w:pPr>
        <w:spacing w:after="0" w:line="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also has a $4.0 billion amended and restated five-year credit agreement dated as of March 18, 2024 (the Five-Year Credit Agreement) that is maintained for general corporate purposes. Commitments under the Five-Year Credit Agreement can be increased pursuant to the terms of the Five-Year Credit Agreement to an aggregate amount not to exceed $4.5 billion.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2025, there were no outstanding borrowings under the 364-Day Credit Agreement or the Five-Year Credit Agreement.</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D7282F"/>
        </w:rPr>
        <w:t>NOTE 10. LEASES</w:t>
      </w:r>
    </w:p>
    <w:p>
      <w:pPr>
        <w:spacing w:after="0" w:line="23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Company's operating and finance lease portfolio is described in Note 10 Leases of Notes to Consolidated Financial Statements in the Company's 2024 Annual Report on Form 10-K.</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related to leases was as follows:</w:t>
      </w:r>
    </w:p>
    <w:p>
      <w:pPr>
        <w:spacing w:after="0" w:line="160"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80" w:type="dxa"/>
            <w:vAlign w:val="bottom"/>
            <w:tcBorders>
              <w:bottom w:val="single" w:sz="8" w:color="D7282F"/>
            </w:tcBorders>
          </w:tcPr>
          <w:p>
            <w:pPr>
              <w:spacing w:after="0"/>
              <w:rPr>
                <w:sz w:val="17"/>
                <w:szCs w:val="17"/>
                <w:color w:val="auto"/>
              </w:rPr>
            </w:pPr>
          </w:p>
        </w:tc>
        <w:tc>
          <w:tcPr>
            <w:tcW w:w="6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D7282F"/>
              <w:bottom w:val="single" w:sz="8" w:color="D7282F"/>
            </w:tcBorders>
          </w:tcPr>
          <w:p>
            <w:pPr>
              <w:spacing w:after="0"/>
              <w:rPr>
                <w:sz w:val="17"/>
                <w:szCs w:val="17"/>
                <w:color w:val="auto"/>
              </w:rPr>
            </w:pPr>
          </w:p>
        </w:tc>
        <w:tc>
          <w:tcPr>
            <w:tcW w:w="320" w:type="dxa"/>
            <w:vAlign w:val="bottom"/>
            <w:tcBorders>
              <w:top w:val="single" w:sz="8" w:color="D7282F"/>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Right-of-use assets obtained in exchange for lease obligations</w:t>
            </w:r>
          </w:p>
        </w:tc>
        <w:tc>
          <w:tcPr>
            <w:tcW w:w="6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Operating leases</w:t>
            </w:r>
          </w:p>
        </w:tc>
        <w:tc>
          <w:tcPr>
            <w:tcW w:w="62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69</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58</w:t>
            </w:r>
          </w:p>
        </w:tc>
      </w:tr>
      <w:tr>
        <w:trPr>
          <w:trHeight w:val="196"/>
        </w:trPr>
        <w:tc>
          <w:tcPr>
            <w:tcW w:w="928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Finance leases</w:t>
            </w:r>
          </w:p>
        </w:tc>
        <w:tc>
          <w:tcPr>
            <w:tcW w:w="6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Supplemental balance sheet information related to leases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Borders>
              <w:bottom w:val="single" w:sz="8" w:color="D7282F"/>
            </w:tcBorders>
          </w:tcPr>
          <w:p>
            <w:pPr>
              <w:spacing w:after="0"/>
              <w:rPr>
                <w:sz w:val="17"/>
                <w:szCs w:val="17"/>
                <w:color w:val="auto"/>
              </w:rPr>
            </w:pPr>
          </w:p>
        </w:tc>
        <w:tc>
          <w:tcPr>
            <w:tcW w:w="26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March 31, 2025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5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Operating leases</w:t>
            </w:r>
          </w:p>
        </w:tc>
        <w:tc>
          <w:tcPr>
            <w:tcW w:w="26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spacing w:after="0"/>
              <w:rPr>
                <w:sz w:val="17"/>
                <w:szCs w:val="17"/>
                <w:color w:val="auto"/>
              </w:rPr>
            </w:pPr>
          </w:p>
        </w:tc>
      </w:tr>
      <w:tr>
        <w:trPr>
          <w:trHeight w:val="196"/>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Other assets</w:t>
            </w:r>
          </w:p>
        </w:tc>
        <w:tc>
          <w:tcPr>
            <w:tcW w:w="26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1,050</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1,025</w:t>
            </w:r>
          </w:p>
        </w:tc>
      </w:tr>
      <w:tr>
        <w:trPr>
          <w:trHeight w:val="193"/>
        </w:trPr>
        <w:tc>
          <w:tcPr>
            <w:tcW w:w="50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Accrued liabilities</w:t>
            </w:r>
          </w:p>
        </w:tc>
        <w:tc>
          <w:tcPr>
            <w:tcW w:w="26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205</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199</w:t>
            </w:r>
          </w:p>
        </w:tc>
      </w:tr>
      <w:tr>
        <w:trPr>
          <w:trHeight w:val="196"/>
        </w:trPr>
        <w:tc>
          <w:tcPr>
            <w:tcW w:w="50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liabilities</w:t>
            </w:r>
          </w:p>
        </w:tc>
        <w:tc>
          <w:tcPr>
            <w:tcW w:w="26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954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927</w:t>
            </w:r>
          </w:p>
        </w:tc>
      </w:tr>
      <w:tr>
        <w:trPr>
          <w:trHeight w:val="199"/>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operating lease liabilities</w:t>
            </w:r>
          </w:p>
        </w:tc>
        <w:tc>
          <w:tcPr>
            <w:tcW w:w="26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1,159</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1,126</w:t>
            </w:r>
          </w:p>
        </w:tc>
      </w:tr>
      <w:tr>
        <w:trPr>
          <w:trHeight w:val="196"/>
        </w:trPr>
        <w:tc>
          <w:tcPr>
            <w:tcW w:w="50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Finance leases</w:t>
            </w:r>
          </w:p>
        </w:tc>
        <w:tc>
          <w:tcPr>
            <w:tcW w:w="262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508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Property, plant and equipment</w:t>
            </w:r>
          </w:p>
        </w:tc>
        <w:tc>
          <w:tcPr>
            <w:tcW w:w="26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388</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396</w:t>
            </w:r>
          </w:p>
        </w:tc>
      </w:tr>
      <w:tr>
        <w:trPr>
          <w:trHeight w:val="196"/>
        </w:trPr>
        <w:tc>
          <w:tcPr>
            <w:tcW w:w="508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Accumulated depreciation</w:t>
            </w:r>
          </w:p>
        </w:tc>
        <w:tc>
          <w:tcPr>
            <w:tcW w:w="26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(213)</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(211)</w:t>
            </w:r>
          </w:p>
        </w:tc>
      </w:tr>
      <w:tr>
        <w:trPr>
          <w:trHeight w:val="199"/>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Property, plant and equipment—net</w:t>
            </w:r>
          </w:p>
        </w:tc>
        <w:tc>
          <w:tcPr>
            <w:tcW w:w="26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175</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185</w:t>
            </w:r>
          </w:p>
        </w:tc>
      </w:tr>
      <w:tr>
        <w:trPr>
          <w:trHeight w:val="193"/>
        </w:trPr>
        <w:tc>
          <w:tcPr>
            <w:tcW w:w="508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Current maturities of long-term debt</w:t>
            </w:r>
          </w:p>
        </w:tc>
        <w:tc>
          <w:tcPr>
            <w:tcW w:w="26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63</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69</w:t>
            </w:r>
          </w:p>
        </w:tc>
      </w:tr>
      <w:tr>
        <w:trPr>
          <w:trHeight w:val="196"/>
        </w:trPr>
        <w:tc>
          <w:tcPr>
            <w:tcW w:w="508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Long-term debt</w:t>
            </w:r>
          </w:p>
        </w:tc>
        <w:tc>
          <w:tcPr>
            <w:tcW w:w="262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77</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85</w:t>
            </w:r>
          </w:p>
        </w:tc>
      </w:tr>
      <w:tr>
        <w:trPr>
          <w:trHeight w:val="199"/>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finance lease liabilities</w:t>
            </w:r>
          </w:p>
        </w:tc>
        <w:tc>
          <w:tcPr>
            <w:tcW w:w="26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140</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154</w:t>
            </w: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19</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11. DERIVATIVE INSTRUMENTS AND HEDGING TRANSACTIONS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Honeywell's foreign currency, interest rate, credit, and commodity price risk management policies are described in Note 11 Derivative Instruments and Hedging Transactions of Notes to Consolidated Financial Statements in the Company's 2024 Annual Report on Form 10-K.</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summarizes the notional amounts and fair values of the Company’s outstanding derivatives by risk category and instrument type within the Consolidated Balance Sheet: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2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gridSpan w:val="2"/>
          </w:tcPr>
          <w:p>
            <w:pPr>
              <w:jc w:val="right"/>
              <w:ind w:right="28"/>
              <w:spacing w:after="0"/>
              <w:rPr>
                <w:sz w:val="20"/>
                <w:szCs w:val="20"/>
                <w:color w:val="auto"/>
              </w:rPr>
            </w:pPr>
            <w:r>
              <w:rPr>
                <w:rFonts w:ascii="Arial" w:cs="Arial" w:eastAsia="Arial" w:hAnsi="Arial"/>
                <w:sz w:val="14"/>
                <w:szCs w:val="14"/>
                <w:b w:val="1"/>
                <w:bCs w:val="1"/>
                <w:color w:val="auto"/>
              </w:rPr>
              <w:t>Notional</w:t>
            </w:r>
          </w:p>
        </w:tc>
        <w:tc>
          <w:tcPr>
            <w:tcW w:w="80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1680" w:type="dxa"/>
            <w:vAlign w:val="bottom"/>
            <w:tcBorders>
              <w:bottom w:val="single" w:sz="8" w:color="D7282F"/>
            </w:tcBorders>
            <w:gridSpan w:val="2"/>
          </w:tcPr>
          <w:p>
            <w:pPr>
              <w:jc w:val="right"/>
              <w:ind w:right="228"/>
              <w:spacing w:after="0"/>
              <w:rPr>
                <w:sz w:val="20"/>
                <w:szCs w:val="20"/>
                <w:color w:val="auto"/>
              </w:rPr>
            </w:pPr>
            <w:r>
              <w:rPr>
                <w:rFonts w:ascii="Arial" w:cs="Arial" w:eastAsia="Arial" w:hAnsi="Arial"/>
                <w:sz w:val="14"/>
                <w:szCs w:val="14"/>
                <w:b w:val="1"/>
                <w:bCs w:val="1"/>
                <w:color w:val="auto"/>
              </w:rPr>
              <w:t>Fair Value Asset</w:t>
            </w:r>
          </w:p>
        </w:tc>
        <w:tc>
          <w:tcPr>
            <w:tcW w:w="34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1700" w:type="dxa"/>
            <w:vAlign w:val="bottom"/>
            <w:tcBorders>
              <w:bottom w:val="single" w:sz="8" w:color="D7282F"/>
            </w:tcBorders>
            <w:gridSpan w:val="2"/>
          </w:tcPr>
          <w:p>
            <w:pPr>
              <w:jc w:val="right"/>
              <w:ind w:right="68"/>
              <w:spacing w:after="0"/>
              <w:rPr>
                <w:sz w:val="20"/>
                <w:szCs w:val="20"/>
                <w:color w:val="auto"/>
              </w:rPr>
            </w:pPr>
            <w:r>
              <w:rPr>
                <w:rFonts w:ascii="Arial" w:cs="Arial" w:eastAsia="Arial" w:hAnsi="Arial"/>
                <w:sz w:val="14"/>
                <w:szCs w:val="14"/>
                <w:b w:val="1"/>
                <w:bCs w:val="1"/>
                <w:color w:val="auto"/>
              </w:rPr>
              <w:t>Fair Value (Liability)</w:t>
            </w:r>
          </w:p>
        </w:tc>
        <w:tc>
          <w:tcPr>
            <w:tcW w:w="3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620" w:type="dxa"/>
            <w:vAlign w:val="bottom"/>
          </w:tcPr>
          <w:p>
            <w:pPr>
              <w:spacing w:after="0"/>
              <w:rPr>
                <w:sz w:val="15"/>
                <w:szCs w:val="15"/>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2025</w:t>
            </w:r>
          </w:p>
        </w:tc>
        <w:tc>
          <w:tcPr>
            <w:tcW w:w="144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2025</w:t>
            </w:r>
          </w:p>
        </w:tc>
        <w:tc>
          <w:tcPr>
            <w:tcW w:w="144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2025</w:t>
            </w:r>
          </w:p>
        </w:tc>
        <w:tc>
          <w:tcPr>
            <w:tcW w:w="12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362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gridSpan w:val="2"/>
            <w:vMerge w:val="continue"/>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gridSpan w:val="2"/>
            <w:vMerge w:val="continue"/>
          </w:tcPr>
          <w:p>
            <w:pPr>
              <w:spacing w:after="0"/>
              <w:rPr>
                <w:sz w:val="16"/>
                <w:szCs w:val="16"/>
                <w:color w:val="auto"/>
              </w:rPr>
            </w:pP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gridSpan w:val="2"/>
            <w:vMerge w:val="continue"/>
          </w:tcPr>
          <w:p>
            <w:pPr>
              <w:spacing w:after="0"/>
              <w:rPr>
                <w:sz w:val="16"/>
                <w:szCs w:val="16"/>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fair value hedging relationships</w:t>
            </w:r>
          </w:p>
        </w:tc>
        <w:tc>
          <w:tcPr>
            <w:tcW w:w="340" w:type="dxa"/>
            <w:vAlign w:val="bottom"/>
            <w:tcBorders>
              <w:bottom w:val="single" w:sz="8" w:color="61656A"/>
            </w:tcBorders>
          </w:tcPr>
          <w:p>
            <w:pPr>
              <w:spacing w:after="0"/>
              <w:rPr>
                <w:sz w:val="19"/>
                <w:szCs w:val="19"/>
                <w:color w:val="auto"/>
              </w:rPr>
            </w:pPr>
          </w:p>
        </w:tc>
        <w:tc>
          <w:tcPr>
            <w:tcW w:w="840" w:type="dxa"/>
            <w:vAlign w:val="bottom"/>
            <w:tcBorders>
              <w:bottom w:val="single" w:sz="8" w:color="61656A"/>
            </w:tcBorders>
          </w:tcPr>
          <w:p>
            <w:pPr>
              <w:spacing w:after="0"/>
              <w:rPr>
                <w:sz w:val="19"/>
                <w:szCs w:val="19"/>
                <w:color w:val="auto"/>
              </w:rPr>
            </w:pPr>
          </w:p>
        </w:tc>
        <w:tc>
          <w:tcPr>
            <w:tcW w:w="400" w:type="dxa"/>
            <w:vAlign w:val="bottom"/>
            <w:tcBorders>
              <w:bottom w:val="single" w:sz="8" w:color="61656A"/>
            </w:tcBorders>
          </w:tcPr>
          <w:p>
            <w:pPr>
              <w:spacing w:after="0"/>
              <w:rPr>
                <w:sz w:val="19"/>
                <w:szCs w:val="19"/>
                <w:color w:val="auto"/>
              </w:rPr>
            </w:pPr>
          </w:p>
        </w:tc>
        <w:tc>
          <w:tcPr>
            <w:tcW w:w="800" w:type="dxa"/>
            <w:vAlign w:val="bottom"/>
            <w:tcBorders>
              <w:bottom w:val="single" w:sz="8" w:color="61656A"/>
            </w:tcBorders>
          </w:tcPr>
          <w:p>
            <w:pPr>
              <w:spacing w:after="0"/>
              <w:rPr>
                <w:sz w:val="19"/>
                <w:szCs w:val="19"/>
                <w:color w:val="auto"/>
              </w:rPr>
            </w:pPr>
          </w:p>
        </w:tc>
        <w:tc>
          <w:tcPr>
            <w:tcW w:w="240" w:type="dxa"/>
            <w:vAlign w:val="bottom"/>
            <w:tcBorders>
              <w:bottom w:val="single" w:sz="8" w:color="61656A"/>
            </w:tcBorders>
          </w:tcPr>
          <w:p>
            <w:pPr>
              <w:spacing w:after="0"/>
              <w:rPr>
                <w:sz w:val="19"/>
                <w:szCs w:val="19"/>
                <w:color w:val="auto"/>
              </w:rPr>
            </w:pPr>
          </w:p>
        </w:tc>
        <w:tc>
          <w:tcPr>
            <w:tcW w:w="360" w:type="dxa"/>
            <w:vAlign w:val="bottom"/>
            <w:tcBorders>
              <w:bottom w:val="single" w:sz="8" w:color="61656A"/>
            </w:tcBorders>
          </w:tcPr>
          <w:p>
            <w:pPr>
              <w:spacing w:after="0"/>
              <w:rPr>
                <w:sz w:val="19"/>
                <w:szCs w:val="19"/>
                <w:color w:val="auto"/>
              </w:rPr>
            </w:pPr>
          </w:p>
        </w:tc>
        <w:tc>
          <w:tcPr>
            <w:tcW w:w="820" w:type="dxa"/>
            <w:vAlign w:val="bottom"/>
            <w:tcBorders>
              <w:bottom w:val="single" w:sz="8" w:color="61656A"/>
            </w:tcBorders>
          </w:tcPr>
          <w:p>
            <w:pPr>
              <w:spacing w:after="0"/>
              <w:rPr>
                <w:sz w:val="19"/>
                <w:szCs w:val="19"/>
                <w:color w:val="auto"/>
              </w:rPr>
            </w:pPr>
          </w:p>
        </w:tc>
        <w:tc>
          <w:tcPr>
            <w:tcW w:w="860" w:type="dxa"/>
            <w:vAlign w:val="bottom"/>
            <w:tcBorders>
              <w:bottom w:val="single" w:sz="8" w:color="61656A"/>
            </w:tcBorders>
          </w:tcPr>
          <w:p>
            <w:pPr>
              <w:spacing w:after="0"/>
              <w:rPr>
                <w:sz w:val="19"/>
                <w:szCs w:val="19"/>
                <w:color w:val="auto"/>
              </w:rPr>
            </w:pPr>
          </w:p>
        </w:tc>
        <w:tc>
          <w:tcPr>
            <w:tcW w:w="340" w:type="dxa"/>
            <w:vAlign w:val="bottom"/>
            <w:tcBorders>
              <w:bottom w:val="single" w:sz="8" w:color="61656A"/>
            </w:tcBorders>
          </w:tcPr>
          <w:p>
            <w:pPr>
              <w:spacing w:after="0"/>
              <w:rPr>
                <w:sz w:val="19"/>
                <w:szCs w:val="19"/>
                <w:color w:val="auto"/>
              </w:rPr>
            </w:pPr>
          </w:p>
        </w:tc>
        <w:tc>
          <w:tcPr>
            <w:tcW w:w="240" w:type="dxa"/>
            <w:vAlign w:val="bottom"/>
            <w:tcBorders>
              <w:bottom w:val="single" w:sz="8" w:color="61656A"/>
            </w:tcBorders>
          </w:tcPr>
          <w:p>
            <w:pPr>
              <w:spacing w:after="0"/>
              <w:rPr>
                <w:sz w:val="19"/>
                <w:szCs w:val="19"/>
                <w:color w:val="auto"/>
              </w:rPr>
            </w:pPr>
          </w:p>
        </w:tc>
        <w:tc>
          <w:tcPr>
            <w:tcW w:w="300" w:type="dxa"/>
            <w:vAlign w:val="bottom"/>
            <w:tcBorders>
              <w:bottom w:val="single" w:sz="8" w:color="61656A"/>
            </w:tcBorders>
          </w:tcPr>
          <w:p>
            <w:pPr>
              <w:spacing w:after="0"/>
              <w:rPr>
                <w:sz w:val="19"/>
                <w:szCs w:val="19"/>
                <w:color w:val="auto"/>
              </w:rPr>
            </w:pPr>
          </w:p>
        </w:tc>
        <w:tc>
          <w:tcPr>
            <w:tcW w:w="880" w:type="dxa"/>
            <w:vAlign w:val="bottom"/>
            <w:tcBorders>
              <w:bottom w:val="single" w:sz="8" w:color="61656A"/>
            </w:tcBorders>
          </w:tcPr>
          <w:p>
            <w:pPr>
              <w:spacing w:after="0"/>
              <w:rPr>
                <w:sz w:val="19"/>
                <w:szCs w:val="19"/>
                <w:color w:val="auto"/>
              </w:rPr>
            </w:pPr>
          </w:p>
        </w:tc>
        <w:tc>
          <w:tcPr>
            <w:tcW w:w="820" w:type="dxa"/>
            <w:vAlign w:val="bottom"/>
            <w:tcBorders>
              <w:bottom w:val="single" w:sz="8" w:color="61656A"/>
            </w:tcBorders>
          </w:tcPr>
          <w:p>
            <w:pPr>
              <w:spacing w:after="0"/>
              <w:rPr>
                <w:sz w:val="19"/>
                <w:szCs w:val="19"/>
                <w:color w:val="auto"/>
              </w:rPr>
            </w:pPr>
          </w:p>
        </w:tc>
        <w:tc>
          <w:tcPr>
            <w:tcW w:w="380" w:type="dxa"/>
            <w:vAlign w:val="bottom"/>
            <w:tcBorders>
              <w:bottom w:val="single" w:sz="8" w:color="61656A"/>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3,949</w:t>
            </w:r>
          </w:p>
        </w:tc>
        <w:tc>
          <w:tcPr>
            <w:tcW w:w="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3,899</w:t>
            </w:r>
          </w:p>
        </w:tc>
        <w:tc>
          <w:tcPr>
            <w:tcW w:w="24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w:t>
            </w:r>
          </w:p>
        </w:tc>
        <w:tc>
          <w:tcPr>
            <w:tcW w:w="860" w:type="dxa"/>
            <w:vAlign w:val="bottom"/>
            <w:tcBorders>
              <w:bottom w:val="single" w:sz="8" w:color="61656A"/>
            </w:tcBorders>
          </w:tcPr>
          <w:p>
            <w:pPr>
              <w:jc w:val="right"/>
              <w:ind w:right="5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(123)</w:t>
            </w:r>
          </w:p>
        </w:tc>
        <w:tc>
          <w:tcPr>
            <w:tcW w:w="820" w:type="dxa"/>
            <w:vAlign w:val="bottom"/>
            <w:tcBorders>
              <w:bottom w:val="single" w:sz="8" w:color="61656A"/>
            </w:tcBorders>
          </w:tcPr>
          <w:p>
            <w:pPr>
              <w:jc w:val="right"/>
              <w:ind w:right="5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99"/>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978</w:t>
            </w:r>
          </w:p>
        </w:tc>
        <w:tc>
          <w:tcPr>
            <w:tcW w:w="4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1,235</w:t>
            </w:r>
          </w:p>
        </w:tc>
        <w:tc>
          <w:tcPr>
            <w:tcW w:w="24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w:t>
            </w:r>
          </w:p>
        </w:tc>
        <w:tc>
          <w:tcPr>
            <w:tcW w:w="86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w:t>
            </w:r>
          </w:p>
        </w:tc>
        <w:tc>
          <w:tcPr>
            <w:tcW w:w="2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w:t>
            </w:r>
          </w:p>
        </w:tc>
        <w:tc>
          <w:tcPr>
            <w:tcW w:w="8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Commodity contracts</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w:t>
            </w:r>
          </w:p>
        </w:tc>
        <w:tc>
          <w:tcPr>
            <w:tcW w:w="4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7,214</w:t>
            </w:r>
          </w:p>
        </w:tc>
        <w:tc>
          <w:tcPr>
            <w:tcW w:w="40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7,214</w:t>
            </w:r>
          </w:p>
        </w:tc>
        <w:tc>
          <w:tcPr>
            <w:tcW w:w="24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25</w:t>
            </w:r>
          </w:p>
        </w:tc>
        <w:tc>
          <w:tcPr>
            <w:tcW w:w="86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124</w:t>
            </w:r>
          </w:p>
        </w:tc>
        <w:tc>
          <w:tcPr>
            <w:tcW w:w="24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(202)</w:t>
            </w: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50"/>
        </w:trPr>
        <w:tc>
          <w:tcPr>
            <w:tcW w:w="3620" w:type="dxa"/>
            <w:vAlign w:val="bottom"/>
          </w:tcPr>
          <w:p>
            <w:pPr>
              <w:ind w:left="240"/>
              <w:spacing w:after="0" w:line="151" w:lineRule="exact"/>
              <w:rPr>
                <w:sz w:val="20"/>
                <w:szCs w:val="20"/>
                <w:color w:val="auto"/>
              </w:rPr>
            </w:pPr>
            <w:r>
              <w:rPr>
                <w:rFonts w:ascii="Arial" w:cs="Arial" w:eastAsia="Arial" w:hAnsi="Arial"/>
                <w:sz w:val="14"/>
                <w:szCs w:val="14"/>
                <w:b w:val="1"/>
                <w:bCs w:val="1"/>
                <w:color w:val="auto"/>
              </w:rPr>
              <w:t>Total derivatives designated as hedging</w:t>
            </w:r>
          </w:p>
        </w:tc>
        <w:tc>
          <w:tcPr>
            <w:tcW w:w="340" w:type="dxa"/>
            <w:vAlign w:val="bottom"/>
          </w:tcPr>
          <w:p>
            <w:pPr>
              <w:spacing w:after="0"/>
              <w:rPr>
                <w:sz w:val="13"/>
                <w:szCs w:val="13"/>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12,142</w:t>
            </w:r>
          </w:p>
        </w:tc>
        <w:tc>
          <w:tcPr>
            <w:tcW w:w="4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12,349</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45</w:t>
            </w:r>
          </w:p>
        </w:tc>
        <w:tc>
          <w:tcPr>
            <w:tcW w:w="860" w:type="dxa"/>
            <w:vAlign w:val="bottom"/>
          </w:tcPr>
          <w:p>
            <w:pPr>
              <w:spacing w:after="0"/>
              <w:rPr>
                <w:sz w:val="13"/>
                <w:szCs w:val="13"/>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157</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(334)</w:t>
            </w:r>
          </w:p>
        </w:tc>
        <w:tc>
          <w:tcPr>
            <w:tcW w:w="82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(205)</w:t>
            </w:r>
          </w:p>
        </w:tc>
        <w:tc>
          <w:tcPr>
            <w:tcW w:w="0" w:type="dxa"/>
            <w:vAlign w:val="bottom"/>
          </w:tcPr>
          <w:p>
            <w:pPr>
              <w:spacing w:after="0"/>
              <w:rPr>
                <w:sz w:val="1"/>
                <w:szCs w:val="1"/>
                <w:color w:val="auto"/>
              </w:rPr>
            </w:pPr>
          </w:p>
        </w:tc>
      </w:tr>
      <w:tr>
        <w:trPr>
          <w:trHeight w:val="185"/>
        </w:trPr>
        <w:tc>
          <w:tcPr>
            <w:tcW w:w="36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vMerge w:val="continue"/>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vMerge w:val="continue"/>
          </w:tcPr>
          <w:p>
            <w:pPr>
              <w:spacing w:after="0"/>
              <w:rPr>
                <w:sz w:val="16"/>
                <w:szCs w:val="16"/>
                <w:color w:val="auto"/>
              </w:rPr>
            </w:pPr>
          </w:p>
        </w:tc>
        <w:tc>
          <w:tcPr>
            <w:tcW w:w="86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vMerge w:val="continue"/>
          </w:tcPr>
          <w:p>
            <w:pPr>
              <w:spacing w:after="0"/>
              <w:rPr>
                <w:sz w:val="16"/>
                <w:szCs w:val="16"/>
                <w:color w:val="auto"/>
              </w:rPr>
            </w:pP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4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8,454</w:t>
            </w:r>
          </w:p>
        </w:tc>
        <w:tc>
          <w:tcPr>
            <w:tcW w:w="40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8,773</w:t>
            </w:r>
          </w:p>
        </w:tc>
        <w:tc>
          <w:tcPr>
            <w:tcW w:w="24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w:t>
            </w:r>
          </w:p>
        </w:tc>
        <w:tc>
          <w:tcPr>
            <w:tcW w:w="86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w:t>
            </w: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9"/>
        </w:trPr>
        <w:tc>
          <w:tcPr>
            <w:tcW w:w="362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Derivative instruments</w:t>
            </w:r>
          </w:p>
        </w:tc>
        <w:tc>
          <w:tcPr>
            <w:tcW w:w="3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20,596</w:t>
            </w:r>
          </w:p>
        </w:tc>
        <w:tc>
          <w:tcPr>
            <w:tcW w:w="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21,122</w:t>
            </w:r>
          </w:p>
        </w:tc>
        <w:tc>
          <w:tcPr>
            <w:tcW w:w="2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46</w:t>
            </w:r>
          </w:p>
        </w:tc>
        <w:tc>
          <w:tcPr>
            <w:tcW w:w="860" w:type="dxa"/>
            <w:vAlign w:val="bottom"/>
            <w:tcBorders>
              <w:bottom w:val="single" w:sz="8" w:color="D7282F"/>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160</w:t>
            </w:r>
          </w:p>
        </w:tc>
        <w:tc>
          <w:tcPr>
            <w:tcW w:w="24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(340)</w:t>
            </w:r>
          </w:p>
        </w:tc>
        <w:tc>
          <w:tcPr>
            <w:tcW w:w="820" w:type="dxa"/>
            <w:vAlign w:val="bottom"/>
            <w:tcBorders>
              <w:bottom w:val="single" w:sz="8" w:color="D7282F"/>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(210)</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All derivative assets are presented in Other current assets or Other assets. All derivative liabilities are presented in Accrued liabilities or Other liabilities.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to the foreign currency derivative contracts designated as net investment hedges, certain of the Company's foreign currency denominated debt instruments are designated as net investment hedges. The carrying value of those debt instruments designated as net investment hedges, which includes the adjustment for the foreign currency transaction gain or loss on those instruments, was $6,399 million and $6,158 million as of March 31, 2025, and December 31, 2024,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amounts recorded in the Consolidated Balance Sheet related to cumulative basis adjustments for fair value hedges: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vMerge w:val="restart"/>
          </w:tcPr>
          <w:p>
            <w:pPr>
              <w:jc w:val="center"/>
              <w:ind w:left="608"/>
              <w:spacing w:after="0"/>
              <w:rPr>
                <w:sz w:val="20"/>
                <w:szCs w:val="20"/>
                <w:color w:val="auto"/>
              </w:rPr>
            </w:pPr>
            <w:r>
              <w:rPr>
                <w:rFonts w:ascii="Arial" w:cs="Arial" w:eastAsia="Arial" w:hAnsi="Arial"/>
                <w:sz w:val="14"/>
                <w:szCs w:val="14"/>
                <w:b w:val="1"/>
                <w:bCs w:val="1"/>
                <w:color w:val="auto"/>
              </w:rPr>
              <w:t>Carrying Amount</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rPr>
              <w:t>Cumulative Amount of Fair Value</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gridSpan w:val="3"/>
          </w:tcPr>
          <w:p>
            <w:pPr>
              <w:jc w:val="center"/>
              <w:ind w:right="48"/>
              <w:spacing w:after="0" w:line="149" w:lineRule="exact"/>
              <w:rPr>
                <w:sz w:val="20"/>
                <w:szCs w:val="20"/>
                <w:color w:val="auto"/>
              </w:rPr>
            </w:pPr>
            <w:r>
              <w:rPr>
                <w:rFonts w:ascii="Arial" w:cs="Arial" w:eastAsia="Arial" w:hAnsi="Arial"/>
                <w:sz w:val="14"/>
                <w:szCs w:val="14"/>
                <w:b w:val="1"/>
                <w:bCs w:val="1"/>
                <w:color w:val="auto"/>
              </w:rPr>
              <w:t>Hedging Adjustment Included in the</w:t>
            </w: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1880" w:type="dxa"/>
            <w:vAlign w:val="bottom"/>
            <w:tcBorders>
              <w:bottom w:val="single" w:sz="8" w:color="D7282F"/>
            </w:tcBorders>
            <w:gridSpan w:val="2"/>
          </w:tcPr>
          <w:p>
            <w:pPr>
              <w:jc w:val="center"/>
              <w:ind w:left="648"/>
              <w:spacing w:after="0"/>
              <w:rPr>
                <w:sz w:val="20"/>
                <w:szCs w:val="20"/>
                <w:color w:val="auto"/>
              </w:rPr>
            </w:pPr>
            <w:r>
              <w:rPr>
                <w:rFonts w:ascii="Arial" w:cs="Arial" w:eastAsia="Arial" w:hAnsi="Arial"/>
                <w:sz w:val="14"/>
                <w:szCs w:val="14"/>
                <w:b w:val="1"/>
                <w:bCs w:val="1"/>
                <w:color w:val="auto"/>
              </w:rPr>
              <w:t>of Hedged Item</w:t>
            </w:r>
          </w:p>
        </w:tc>
        <w:tc>
          <w:tcPr>
            <w:tcW w:w="82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2700" w:type="dxa"/>
            <w:vAlign w:val="bottom"/>
            <w:tcBorders>
              <w:bottom w:val="single" w:sz="8" w:color="D7282F"/>
            </w:tcBorders>
            <w:gridSpan w:val="3"/>
          </w:tcPr>
          <w:p>
            <w:pPr>
              <w:jc w:val="center"/>
              <w:ind w:right="48"/>
              <w:spacing w:after="0"/>
              <w:rPr>
                <w:sz w:val="20"/>
                <w:szCs w:val="20"/>
                <w:color w:val="auto"/>
              </w:rPr>
            </w:pPr>
            <w:r>
              <w:rPr>
                <w:rFonts w:ascii="Arial" w:cs="Arial" w:eastAsia="Arial" w:hAnsi="Arial"/>
                <w:sz w:val="14"/>
                <w:szCs w:val="14"/>
                <w:b w:val="1"/>
                <w:bCs w:val="1"/>
                <w:color w:val="auto"/>
              </w:rPr>
              <w:t>Carrying Amount of Hedged Item</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March 31, 2025</w:t>
            </w: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12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March 31, 2025</w:t>
            </w:r>
          </w:p>
        </w:tc>
        <w:tc>
          <w:tcPr>
            <w:tcW w:w="260" w:type="dxa"/>
            <w:vAlign w:val="bottom"/>
          </w:tcPr>
          <w:p>
            <w:pPr>
              <w:spacing w:after="0"/>
              <w:rPr>
                <w:sz w:val="15"/>
                <w:szCs w:val="15"/>
                <w:color w:val="auto"/>
              </w:rPr>
            </w:pPr>
          </w:p>
        </w:tc>
        <w:tc>
          <w:tcPr>
            <w:tcW w:w="1160" w:type="dxa"/>
            <w:vAlign w:val="bottom"/>
          </w:tcPr>
          <w:p>
            <w:pPr>
              <w:jc w:val="center"/>
              <w:ind w:right="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36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vMerge w:val="continue"/>
          </w:tcPr>
          <w:p>
            <w:pPr>
              <w:spacing w:after="0"/>
              <w:rPr>
                <w:sz w:val="16"/>
                <w:szCs w:val="16"/>
                <w:color w:val="auto"/>
              </w:rPr>
            </w:pPr>
          </w:p>
        </w:tc>
        <w:tc>
          <w:tcPr>
            <w:tcW w:w="60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16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2"/>
        </w:trPr>
        <w:tc>
          <w:tcPr>
            <w:tcW w:w="5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 debt</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3,837</w:t>
            </w:r>
          </w:p>
        </w:tc>
        <w:tc>
          <w:tcPr>
            <w:tcW w:w="60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3,763</w:t>
            </w:r>
          </w:p>
        </w:tc>
        <w:tc>
          <w:tcPr>
            <w:tcW w:w="24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(112)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location and impact to the Consolidated Statement of Operations related to derivative instruments: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2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spacing w:after="0"/>
              <w:rPr>
                <w:sz w:val="17"/>
                <w:szCs w:val="17"/>
                <w:color w:val="auto"/>
              </w:rPr>
            </w:pPr>
          </w:p>
        </w:tc>
        <w:tc>
          <w:tcPr>
            <w:tcW w:w="2820" w:type="dxa"/>
            <w:vAlign w:val="bottom"/>
            <w:tcBorders>
              <w:bottom w:val="single" w:sz="8" w:color="D7282F"/>
            </w:tcBorders>
            <w:gridSpan w:val="4"/>
          </w:tcPr>
          <w:p>
            <w:pPr>
              <w:ind w:left="180"/>
              <w:spacing w:after="0"/>
              <w:rPr>
                <w:sz w:val="20"/>
                <w:szCs w:val="20"/>
                <w:color w:val="auto"/>
              </w:rPr>
            </w:pPr>
            <w:r>
              <w:rPr>
                <w:rFonts w:ascii="Arial" w:cs="Arial" w:eastAsia="Arial" w:hAnsi="Arial"/>
                <w:sz w:val="14"/>
                <w:szCs w:val="14"/>
                <w:b w:val="1"/>
                <w:bCs w:val="1"/>
                <w:color w:val="auto"/>
              </w:rPr>
              <w:t>Three Months Ended March 31, 2025</w:t>
            </w:r>
          </w:p>
        </w:tc>
        <w:tc>
          <w:tcPr>
            <w:tcW w:w="28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68"/>
              <w:spacing w:after="0" w:line="147" w:lineRule="exact"/>
              <w:rPr>
                <w:sz w:val="20"/>
                <w:szCs w:val="20"/>
                <w:color w:val="auto"/>
              </w:rPr>
            </w:pPr>
            <w:r>
              <w:rPr>
                <w:rFonts w:ascii="Arial" w:cs="Arial" w:eastAsia="Arial" w:hAnsi="Arial"/>
                <w:sz w:val="14"/>
                <w:szCs w:val="14"/>
                <w:b w:val="1"/>
                <w:bCs w:val="1"/>
                <w:color w:val="auto"/>
              </w:rPr>
              <w:t>Selling,</w:t>
            </w:r>
          </w:p>
        </w:tc>
        <w:tc>
          <w:tcPr>
            <w:tcW w:w="280" w:type="dxa"/>
            <w:vAlign w:val="bottom"/>
          </w:tcPr>
          <w:p>
            <w:pPr>
              <w:spacing w:after="0"/>
              <w:rPr>
                <w:sz w:val="12"/>
                <w:szCs w:val="12"/>
                <w:color w:val="auto"/>
              </w:rPr>
            </w:pPr>
          </w:p>
        </w:tc>
        <w:tc>
          <w:tcPr>
            <w:tcW w:w="9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Cost of</w:t>
            </w:r>
          </w:p>
        </w:tc>
        <w:tc>
          <w:tcPr>
            <w:tcW w:w="300" w:type="dxa"/>
            <w:vAlign w:val="bottom"/>
          </w:tcPr>
          <w:p>
            <w:pPr>
              <w:spacing w:after="0"/>
              <w:rPr>
                <w:sz w:val="12"/>
                <w:szCs w:val="12"/>
                <w:color w:val="auto"/>
              </w:rPr>
            </w:pPr>
          </w:p>
        </w:tc>
        <w:tc>
          <w:tcPr>
            <w:tcW w:w="9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 of</w:t>
            </w:r>
          </w:p>
        </w:tc>
        <w:tc>
          <w:tcPr>
            <w:tcW w:w="260" w:type="dxa"/>
            <w:vAlign w:val="bottom"/>
          </w:tcPr>
          <w:p>
            <w:pPr>
              <w:spacing w:after="0"/>
              <w:rPr>
                <w:sz w:val="12"/>
                <w:szCs w:val="12"/>
                <w:color w:val="auto"/>
              </w:rPr>
            </w:pPr>
          </w:p>
        </w:tc>
        <w:tc>
          <w:tcPr>
            <w:tcW w:w="130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General and</w:t>
            </w: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4"/>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88"/>
              <w:spacing w:after="0" w:line="145" w:lineRule="exact"/>
              <w:rPr>
                <w:sz w:val="20"/>
                <w:szCs w:val="20"/>
                <w:color w:val="auto"/>
              </w:rPr>
            </w:pPr>
            <w:r>
              <w:rPr>
                <w:rFonts w:ascii="Arial" w:cs="Arial" w:eastAsia="Arial" w:hAnsi="Arial"/>
                <w:sz w:val="14"/>
                <w:szCs w:val="14"/>
                <w:b w:val="1"/>
                <w:bCs w:val="1"/>
                <w:color w:val="auto"/>
              </w:rPr>
              <w:t>Administrative</w:t>
            </w:r>
          </w:p>
        </w:tc>
        <w:tc>
          <w:tcPr>
            <w:tcW w:w="280" w:type="dxa"/>
            <w:vAlign w:val="bottom"/>
          </w:tcPr>
          <w:p>
            <w:pPr>
              <w:spacing w:after="0"/>
              <w:rPr>
                <w:sz w:val="12"/>
                <w:szCs w:val="12"/>
                <w:color w:val="auto"/>
              </w:rPr>
            </w:pPr>
          </w:p>
        </w:tc>
        <w:tc>
          <w:tcPr>
            <w:tcW w:w="980" w:type="dxa"/>
            <w:vAlign w:val="bottom"/>
          </w:tcPr>
          <w:p>
            <w:pPr>
              <w:jc w:val="center"/>
              <w:ind w:right="188"/>
              <w:spacing w:after="0" w:line="145"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vMerge w:val="continue"/>
          </w:tcPr>
          <w:p>
            <w:pPr>
              <w:spacing w:after="0"/>
              <w:rPr>
                <w:sz w:val="16"/>
                <w:szCs w:val="16"/>
                <w:color w:val="auto"/>
              </w:rPr>
            </w:pPr>
          </w:p>
        </w:tc>
        <w:tc>
          <w:tcPr>
            <w:tcW w:w="128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Products Sold</w:t>
            </w:r>
          </w:p>
        </w:tc>
        <w:tc>
          <w:tcPr>
            <w:tcW w:w="126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Services Sold</w:t>
            </w:r>
          </w:p>
        </w:tc>
        <w:tc>
          <w:tcPr>
            <w:tcW w:w="26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Expenses</w:t>
            </w:r>
          </w:p>
        </w:tc>
        <w:tc>
          <w:tcPr>
            <w:tcW w:w="28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61656A"/>
            </w:tcBorders>
            <w:gridSpan w:val="2"/>
          </w:tcPr>
          <w:p>
            <w:pPr>
              <w:ind w:left="36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9,822</w:t>
            </w:r>
          </w:p>
        </w:tc>
        <w:tc>
          <w:tcPr>
            <w:tcW w:w="32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4,251</w:t>
            </w:r>
          </w:p>
        </w:tc>
        <w:tc>
          <w:tcPr>
            <w:tcW w:w="3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1,786</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1,361</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(200)</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99"/>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(loss) on cash flow hedges</w:t>
            </w:r>
          </w:p>
        </w:tc>
        <w:tc>
          <w:tcPr>
            <w:tcW w:w="9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30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76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3"/>
                <w:szCs w:val="13"/>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3"/>
                <w:szCs w:val="13"/>
                <w:color w:val="auto"/>
              </w:rPr>
            </w:pPr>
          </w:p>
        </w:tc>
        <w:tc>
          <w:tcPr>
            <w:tcW w:w="1300" w:type="dxa"/>
            <w:vAlign w:val="bottom"/>
            <w:vMerge w:val="restart"/>
          </w:tcPr>
          <w:p>
            <w:pPr>
              <w:jc w:val="right"/>
              <w:ind w:right="68"/>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loss into income</w:t>
            </w:r>
          </w:p>
        </w:tc>
        <w:tc>
          <w:tcPr>
            <w:tcW w:w="96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vMerge w:val="continue"/>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(loss) on fair value hedges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3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3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50"/>
        </w:trPr>
        <w:tc>
          <w:tcPr>
            <w:tcW w:w="376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Gain (loss) on derivatives not designated as</w:t>
            </w: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(144)</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8"/>
        </w:trPr>
        <w:tc>
          <w:tcPr>
            <w:tcW w:w="3620" w:type="dxa"/>
            <w:vAlign w:val="bottom"/>
          </w:tcPr>
          <w:p>
            <w:pPr>
              <w:spacing w:after="0"/>
              <w:rPr>
                <w:sz w:val="24"/>
                <w:szCs w:val="24"/>
                <w:color w:val="auto"/>
              </w:rPr>
            </w:pPr>
          </w:p>
        </w:tc>
        <w:tc>
          <w:tcPr>
            <w:tcW w:w="140" w:type="dxa"/>
            <w:vAlign w:val="bottom"/>
            <w:tcBorders>
              <w:bottom w:val="single" w:sz="8" w:color="D7282F"/>
            </w:tcBorders>
          </w:tcPr>
          <w:p>
            <w:pPr>
              <w:spacing w:after="0"/>
              <w:rPr>
                <w:sz w:val="24"/>
                <w:szCs w:val="24"/>
                <w:color w:val="auto"/>
              </w:rPr>
            </w:pPr>
          </w:p>
        </w:tc>
        <w:tc>
          <w:tcPr>
            <w:tcW w:w="96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960" w:type="dxa"/>
            <w:vAlign w:val="bottom"/>
            <w:tcBorders>
              <w:bottom w:val="single" w:sz="8" w:color="D7282F"/>
            </w:tcBorders>
          </w:tcPr>
          <w:p>
            <w:pPr>
              <w:spacing w:after="0"/>
              <w:rPr>
                <w:sz w:val="24"/>
                <w:szCs w:val="24"/>
                <w:color w:val="auto"/>
              </w:rPr>
            </w:pPr>
          </w:p>
        </w:tc>
        <w:tc>
          <w:tcPr>
            <w:tcW w:w="2820" w:type="dxa"/>
            <w:vAlign w:val="bottom"/>
            <w:tcBorders>
              <w:bottom w:val="single" w:sz="8" w:color="D7282F"/>
            </w:tcBorders>
            <w:gridSpan w:val="4"/>
          </w:tcPr>
          <w:p>
            <w:pPr>
              <w:ind w:left="180"/>
              <w:spacing w:after="0"/>
              <w:rPr>
                <w:sz w:val="20"/>
                <w:szCs w:val="20"/>
                <w:color w:val="auto"/>
              </w:rPr>
            </w:pPr>
            <w:r>
              <w:rPr>
                <w:rFonts w:ascii="Arial" w:cs="Arial" w:eastAsia="Arial" w:hAnsi="Arial"/>
                <w:sz w:val="14"/>
                <w:szCs w:val="14"/>
                <w:b w:val="1"/>
                <w:bCs w:val="1"/>
                <w:color w:val="auto"/>
              </w:rPr>
              <w:t>Three Months Ended March 31, 2024</w:t>
            </w:r>
          </w:p>
        </w:tc>
        <w:tc>
          <w:tcPr>
            <w:tcW w:w="280" w:type="dxa"/>
            <w:vAlign w:val="bottom"/>
            <w:tcBorders>
              <w:bottom w:val="single" w:sz="8" w:color="D7282F"/>
            </w:tcBorders>
          </w:tcPr>
          <w:p>
            <w:pPr>
              <w:spacing w:after="0"/>
              <w:rPr>
                <w:sz w:val="24"/>
                <w:szCs w:val="24"/>
                <w:color w:val="auto"/>
              </w:rPr>
            </w:pPr>
          </w:p>
        </w:tc>
        <w:tc>
          <w:tcPr>
            <w:tcW w:w="98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94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68"/>
              <w:spacing w:after="0" w:line="147" w:lineRule="exact"/>
              <w:rPr>
                <w:sz w:val="20"/>
                <w:szCs w:val="20"/>
                <w:color w:val="auto"/>
              </w:rPr>
            </w:pPr>
            <w:r>
              <w:rPr>
                <w:rFonts w:ascii="Arial" w:cs="Arial" w:eastAsia="Arial" w:hAnsi="Arial"/>
                <w:sz w:val="14"/>
                <w:szCs w:val="14"/>
                <w:b w:val="1"/>
                <w:bCs w:val="1"/>
                <w:color w:val="auto"/>
              </w:rPr>
              <w:t>Selling,</w:t>
            </w:r>
          </w:p>
        </w:tc>
        <w:tc>
          <w:tcPr>
            <w:tcW w:w="280" w:type="dxa"/>
            <w:vAlign w:val="bottom"/>
          </w:tcPr>
          <w:p>
            <w:pPr>
              <w:spacing w:after="0"/>
              <w:rPr>
                <w:sz w:val="12"/>
                <w:szCs w:val="12"/>
                <w:color w:val="auto"/>
              </w:rPr>
            </w:pPr>
          </w:p>
        </w:tc>
        <w:tc>
          <w:tcPr>
            <w:tcW w:w="9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4"/>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Cost of</w:t>
            </w:r>
          </w:p>
        </w:tc>
        <w:tc>
          <w:tcPr>
            <w:tcW w:w="300" w:type="dxa"/>
            <w:vAlign w:val="bottom"/>
          </w:tcPr>
          <w:p>
            <w:pPr>
              <w:spacing w:after="0"/>
              <w:rPr>
                <w:sz w:val="12"/>
                <w:szCs w:val="12"/>
                <w:color w:val="auto"/>
              </w:rPr>
            </w:pPr>
          </w:p>
        </w:tc>
        <w:tc>
          <w:tcPr>
            <w:tcW w:w="9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 of</w:t>
            </w:r>
          </w:p>
        </w:tc>
        <w:tc>
          <w:tcPr>
            <w:tcW w:w="260" w:type="dxa"/>
            <w:vAlign w:val="bottom"/>
          </w:tcPr>
          <w:p>
            <w:pPr>
              <w:spacing w:after="0"/>
              <w:rPr>
                <w:sz w:val="12"/>
                <w:szCs w:val="12"/>
                <w:color w:val="auto"/>
              </w:rPr>
            </w:pPr>
          </w:p>
        </w:tc>
        <w:tc>
          <w:tcPr>
            <w:tcW w:w="130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auto"/>
              </w:rPr>
              <w:t>General and</w:t>
            </w: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Administrative</w:t>
            </w:r>
          </w:p>
        </w:tc>
        <w:tc>
          <w:tcPr>
            <w:tcW w:w="280" w:type="dxa"/>
            <w:vAlign w:val="bottom"/>
          </w:tcPr>
          <w:p>
            <w:pPr>
              <w:spacing w:after="0"/>
              <w:rPr>
                <w:sz w:val="12"/>
                <w:szCs w:val="12"/>
                <w:color w:val="auto"/>
              </w:rPr>
            </w:pPr>
          </w:p>
        </w:tc>
        <w:tc>
          <w:tcPr>
            <w:tcW w:w="9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vMerge w:val="continue"/>
          </w:tcPr>
          <w:p>
            <w:pPr>
              <w:spacing w:after="0"/>
              <w:rPr>
                <w:sz w:val="16"/>
                <w:szCs w:val="16"/>
                <w:color w:val="auto"/>
              </w:rPr>
            </w:pPr>
          </w:p>
        </w:tc>
        <w:tc>
          <w:tcPr>
            <w:tcW w:w="128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Products Sold</w:t>
            </w:r>
          </w:p>
        </w:tc>
        <w:tc>
          <w:tcPr>
            <w:tcW w:w="126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Services Sold</w:t>
            </w:r>
          </w:p>
        </w:tc>
        <w:tc>
          <w:tcPr>
            <w:tcW w:w="26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Expenses</w:t>
            </w:r>
          </w:p>
        </w:tc>
        <w:tc>
          <w:tcPr>
            <w:tcW w:w="28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61656A"/>
            </w:tcBorders>
            <w:gridSpan w:val="2"/>
          </w:tcPr>
          <w:p>
            <w:pPr>
              <w:ind w:left="36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9,105</w:t>
            </w:r>
          </w:p>
        </w:tc>
        <w:tc>
          <w:tcPr>
            <w:tcW w:w="32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4,035</w:t>
            </w:r>
          </w:p>
        </w:tc>
        <w:tc>
          <w:tcPr>
            <w:tcW w:w="3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1,548</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1,302</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(231)</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99"/>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(loss) on cash flow hedges</w:t>
            </w:r>
          </w:p>
        </w:tc>
        <w:tc>
          <w:tcPr>
            <w:tcW w:w="9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30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76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3"/>
                <w:szCs w:val="13"/>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3"/>
                <w:szCs w:val="13"/>
                <w:color w:val="auto"/>
              </w:rPr>
            </w:pPr>
          </w:p>
        </w:tc>
        <w:tc>
          <w:tcPr>
            <w:tcW w:w="1300" w:type="dxa"/>
            <w:vAlign w:val="bottom"/>
            <w:vMerge w:val="restart"/>
          </w:tcPr>
          <w:p>
            <w:pPr>
              <w:jc w:val="right"/>
              <w:ind w:right="108"/>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loss into income</w:t>
            </w:r>
          </w:p>
        </w:tc>
        <w:tc>
          <w:tcPr>
            <w:tcW w:w="96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vMerge w:val="continue"/>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(loss) on fair value hedges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3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3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50"/>
        </w:trPr>
        <w:tc>
          <w:tcPr>
            <w:tcW w:w="376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Gain (loss) on derivatives not designated as</w:t>
            </w: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30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23</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amounts of gain or (loss) on net investment hedges recognized in Accumulated other comprehensive loss:</w:t>
      </w:r>
    </w:p>
    <w:p>
      <w:pPr>
        <w:spacing w:after="0" w:line="199"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6350</wp:posOffset>
            </wp:positionV>
            <wp:extent cx="12433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40" w:type="dxa"/>
            <w:vAlign w:val="bottom"/>
            <w:tcBorders>
              <w:bottom w:val="single" w:sz="8" w:color="D7282F"/>
            </w:tcBorders>
          </w:tcPr>
          <w:p>
            <w:pPr>
              <w:spacing w:after="0"/>
              <w:rPr>
                <w:sz w:val="17"/>
                <w:szCs w:val="17"/>
                <w:color w:val="auto"/>
              </w:rPr>
            </w:pPr>
          </w:p>
        </w:tc>
        <w:tc>
          <w:tcPr>
            <w:tcW w:w="36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3"/>
        </w:trPr>
        <w:tc>
          <w:tcPr>
            <w:tcW w:w="5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Euro-denominated long-term debt</w:t>
            </w:r>
          </w:p>
        </w:tc>
        <w:tc>
          <w:tcPr>
            <w:tcW w:w="36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(198)</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w:t>
            </w:r>
          </w:p>
        </w:tc>
      </w:tr>
      <w:tr>
        <w:trPr>
          <w:trHeight w:val="196"/>
        </w:trPr>
        <w:tc>
          <w:tcPr>
            <w:tcW w:w="5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Euro-denominated commercial paper</w:t>
            </w:r>
          </w:p>
        </w:tc>
        <w:tc>
          <w:tcPr>
            <w:tcW w:w="36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(42)</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w:t>
            </w:r>
          </w:p>
        </w:tc>
      </w:tr>
      <w:tr>
        <w:trPr>
          <w:trHeight w:val="196"/>
        </w:trPr>
        <w:tc>
          <w:tcPr>
            <w:tcW w:w="58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Cross currency swap agreements</w:t>
            </w:r>
          </w:p>
        </w:tc>
        <w:tc>
          <w:tcPr>
            <w:tcW w:w="36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(245)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75</w:t>
            </w: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21</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12.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guidance for fair value measurements and disclosures establishes a three-level fair value hierarchy:</w:t>
      </w:r>
    </w:p>
    <w:p>
      <w:pPr>
        <w:spacing w:after="0" w:line="113"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6"/>
          <w:szCs w:val="16"/>
          <w:color w:val="D7282F"/>
        </w:rPr>
      </w:pPr>
      <w:r>
        <w:rPr>
          <w:rFonts w:ascii="Arial" w:cs="Arial" w:eastAsia="Arial" w:hAnsi="Arial"/>
          <w:sz w:val="16"/>
          <w:szCs w:val="16"/>
          <w:color w:val="auto"/>
        </w:rPr>
        <w:t>Level 1 - Inputs are based on quoted prices in active markets for identical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9"/>
        </w:numPr>
        <w:rPr>
          <w:rFonts w:ascii="Arial" w:cs="Arial" w:eastAsia="Arial" w:hAnsi="Arial"/>
          <w:sz w:val="16"/>
          <w:szCs w:val="16"/>
          <w:color w:val="D7282F"/>
        </w:rPr>
      </w:pPr>
      <w:r>
        <w:rPr>
          <w:rFonts w:ascii="Arial" w:cs="Arial" w:eastAsia="Arial" w:hAnsi="Arial"/>
          <w:sz w:val="16"/>
          <w:szCs w:val="16"/>
          <w:color w:val="auto"/>
        </w:rPr>
        <w:t>Level 2 - Inputs are based on observable inputs other than quoted prices in active markets for identical or similar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9"/>
        </w:numPr>
        <w:rPr>
          <w:rFonts w:ascii="Arial" w:cs="Arial" w:eastAsia="Arial" w:hAnsi="Arial"/>
          <w:sz w:val="16"/>
          <w:szCs w:val="16"/>
          <w:color w:val="D7282F"/>
        </w:rPr>
      </w:pPr>
      <w:r>
        <w:rPr>
          <w:rFonts w:ascii="Arial" w:cs="Arial" w:eastAsia="Arial" w:hAnsi="Arial"/>
          <w:sz w:val="16"/>
          <w:szCs w:val="16"/>
          <w:color w:val="auto"/>
        </w:rPr>
        <w:t>Level 3 - One or more inputs are unobservable and significant.</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classifies financial and nonfinancial assets and liabilities in their entirety based on the lowest level of input that is significant to the fair value measurement.</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accounted for at fair value on a recurring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4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gridSpan w:val="3"/>
          </w:tcPr>
          <w:p>
            <w:pPr>
              <w:jc w:val="right"/>
              <w:ind w:right="368"/>
              <w:spacing w:after="0"/>
              <w:rPr>
                <w:sz w:val="20"/>
                <w:szCs w:val="20"/>
                <w:color w:val="auto"/>
              </w:rPr>
            </w:pPr>
            <w:r>
              <w:rPr>
                <w:rFonts w:ascii="Arial" w:cs="Arial" w:eastAsia="Arial" w:hAnsi="Arial"/>
                <w:sz w:val="14"/>
                <w:szCs w:val="14"/>
                <w:b w:val="1"/>
                <w:bCs w:val="1"/>
                <w:color w:val="auto"/>
              </w:rPr>
              <w:t>March 31, 2025</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gridSpan w:val="3"/>
          </w:tcPr>
          <w:p>
            <w:pPr>
              <w:jc w:val="right"/>
              <w:ind w:right="248"/>
              <w:spacing w:after="0"/>
              <w:rPr>
                <w:sz w:val="20"/>
                <w:szCs w:val="20"/>
                <w:color w:val="auto"/>
              </w:rPr>
            </w:pPr>
            <w:r>
              <w:rPr>
                <w:rFonts w:ascii="Arial" w:cs="Arial" w:eastAsia="Arial" w:hAnsi="Arial"/>
                <w:sz w:val="14"/>
                <w:szCs w:val="14"/>
                <w:b w:val="1"/>
                <w:bCs w:val="1"/>
                <w:color w:val="auto"/>
              </w:rPr>
              <w:t>December 31, 2024</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r>
      <w:tr>
        <w:trPr>
          <w:trHeight w:val="196"/>
        </w:trPr>
        <w:tc>
          <w:tcPr>
            <w:tcW w:w="35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Total</w:t>
            </w:r>
          </w:p>
        </w:tc>
      </w:tr>
      <w:tr>
        <w:trPr>
          <w:trHeight w:val="196"/>
        </w:trPr>
        <w:tc>
          <w:tcPr>
            <w:tcW w:w="3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33</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33</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Available for sale investments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67</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443</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510</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69</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427</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496</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25</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124</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124</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Investments in equity securities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3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Right to HWI Net Sale Proceeds</w:t>
            </w: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w:t>
            </w:r>
          </w:p>
        </w:tc>
      </w:tr>
      <w:tr>
        <w:trPr>
          <w:trHeight w:val="199"/>
        </w:trPr>
        <w:tc>
          <w:tcPr>
            <w:tcW w:w="35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71</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489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564</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587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670</w:t>
            </w:r>
          </w:p>
        </w:tc>
      </w:tr>
      <w:tr>
        <w:trPr>
          <w:trHeight w:val="196"/>
        </w:trPr>
        <w:tc>
          <w:tcPr>
            <w:tcW w:w="3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123</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123</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139</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139</w:t>
            </w:r>
          </w:p>
        </w:tc>
      </w:tr>
      <w:tr>
        <w:trPr>
          <w:trHeight w:val="196"/>
        </w:trPr>
        <w:tc>
          <w:tcPr>
            <w:tcW w:w="3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202</w:t>
            </w: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202</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56</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56</w:t>
            </w:r>
          </w:p>
        </w:tc>
      </w:tr>
      <w:tr>
        <w:trPr>
          <w:trHeight w:val="199"/>
        </w:trPr>
        <w:tc>
          <w:tcPr>
            <w:tcW w:w="35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340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340</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210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210</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values foreign currency exchange contracts, interest rate swap agreements, cross currency swap agreements, and commodity contracts using broker quotations, or market transactions in either the listed or over-the-counter markets. These derivative instruments are classified within level 2. The Company also holds investments in commercial paper, certificates of deposits, time deposits, and corporate debt securities that are designated as available for sale. These investments are valued using published prices based on observable market data. These investments are classified within level 2.</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holds certain available for sale investments in U.S. government securities and investments in equity securities. The Company values these investments utilizing published prices based on quoted market pricing, which are classified within level 1.</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carrying value of cash and cash equivalents, trade accounts and notes receivables, payables, commercial paper, and other short-term borrowings contained in the Consolidated Balance Sheet approximates fair value.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that were not carried at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0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840" w:type="dxa"/>
            <w:vAlign w:val="bottom"/>
            <w:tcBorders>
              <w:bottom w:val="single" w:sz="8" w:color="D7282F"/>
            </w:tcBorders>
            <w:gridSpan w:val="3"/>
          </w:tcPr>
          <w:p>
            <w:pPr>
              <w:jc w:val="right"/>
              <w:ind w:right="408"/>
              <w:spacing w:after="0"/>
              <w:rPr>
                <w:sz w:val="20"/>
                <w:szCs w:val="20"/>
                <w:color w:val="auto"/>
              </w:rPr>
            </w:pPr>
            <w:r>
              <w:rPr>
                <w:rFonts w:ascii="Arial" w:cs="Arial" w:eastAsia="Arial" w:hAnsi="Arial"/>
                <w:sz w:val="14"/>
                <w:szCs w:val="14"/>
                <w:b w:val="1"/>
                <w:bCs w:val="1"/>
                <w:color w:val="auto"/>
              </w:rPr>
              <w:t>March 31, 2025</w:t>
            </w:r>
          </w:p>
        </w:tc>
        <w:tc>
          <w:tcPr>
            <w:tcW w:w="22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840" w:type="dxa"/>
            <w:vAlign w:val="bottom"/>
            <w:tcBorders>
              <w:bottom w:val="single" w:sz="8" w:color="D7282F"/>
            </w:tcBorders>
            <w:gridSpan w:val="3"/>
          </w:tcPr>
          <w:p>
            <w:pPr>
              <w:jc w:val="right"/>
              <w:ind w:right="268"/>
              <w:spacing w:after="0"/>
              <w:rPr>
                <w:sz w:val="20"/>
                <w:szCs w:val="20"/>
                <w:color w:val="auto"/>
              </w:rPr>
            </w:pPr>
            <w:r>
              <w:rPr>
                <w:rFonts w:ascii="Arial" w:cs="Arial" w:eastAsia="Arial" w:hAnsi="Arial"/>
                <w:sz w:val="14"/>
                <w:szCs w:val="14"/>
                <w:b w:val="1"/>
                <w:bCs w:val="1"/>
                <w:color w:val="auto"/>
              </w:rPr>
              <w:t>December 31, 2024</w:t>
            </w:r>
          </w:p>
        </w:tc>
      </w:tr>
      <w:tr>
        <w:trPr>
          <w:trHeight w:val="147"/>
        </w:trPr>
        <w:tc>
          <w:tcPr>
            <w:tcW w:w="7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48"/>
              <w:spacing w:after="0" w:line="147"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92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840" w:type="dxa"/>
            <w:vAlign w:val="bottom"/>
          </w:tcPr>
          <w:p>
            <w:pPr>
              <w:jc w:val="right"/>
              <w:ind w:right="148"/>
              <w:spacing w:after="0" w:line="147"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2"/>
                <w:szCs w:val="12"/>
                <w:color w:val="auto"/>
              </w:rPr>
            </w:pPr>
          </w:p>
        </w:tc>
        <w:tc>
          <w:tcPr>
            <w:tcW w:w="700" w:type="dxa"/>
            <w:vAlign w:val="bottom"/>
          </w:tcPr>
          <w:p>
            <w:pPr>
              <w:jc w:val="right"/>
              <w:ind w:right="228"/>
              <w:spacing w:after="0" w:line="147" w:lineRule="exact"/>
              <w:rPr>
                <w:sz w:val="20"/>
                <w:szCs w:val="20"/>
                <w:color w:val="auto"/>
              </w:rPr>
            </w:pPr>
            <w:r>
              <w:rPr>
                <w:rFonts w:ascii="Arial" w:cs="Arial" w:eastAsia="Arial" w:hAnsi="Arial"/>
                <w:sz w:val="14"/>
                <w:szCs w:val="14"/>
                <w:b w:val="1"/>
                <w:bCs w:val="1"/>
                <w:color w:val="auto"/>
              </w:rPr>
              <w:t>Fair</w:t>
            </w:r>
          </w:p>
        </w:tc>
      </w:tr>
      <w:tr>
        <w:trPr>
          <w:trHeight w:val="185"/>
        </w:trPr>
        <w:tc>
          <w:tcPr>
            <w:tcW w:w="710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Value</w:t>
            </w:r>
          </w:p>
        </w:tc>
      </w:tr>
      <w:tr>
        <w:trPr>
          <w:trHeight w:val="195"/>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Long-term receivables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757</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721</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723</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666</w:t>
            </w:r>
          </w:p>
        </w:tc>
      </w:tr>
      <w:tr>
        <w:trPr>
          <w:trHeight w:val="199"/>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r>
      <w:tr>
        <w:trPr>
          <w:trHeight w:val="193"/>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Long-term debt and related current maturities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27,076</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26,058</w:t>
            </w:r>
          </w:p>
        </w:tc>
        <w:tc>
          <w:tcPr>
            <w:tcW w:w="22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26,826</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25,503</w:t>
            </w:r>
          </w:p>
        </w:tc>
      </w:tr>
    </w:tbl>
    <w:p>
      <w:pPr>
        <w:spacing w:after="0" w:line="18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Company determined the fair value of the long-term receivables by utilizing transactions in the listed markets for identical or similar assets. As such, the fair value of these receivables is considered level 2.</w:t>
      </w:r>
    </w:p>
    <w:p>
      <w:pPr>
        <w:spacing w:after="0" w:line="373"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determined the fair value of the long-term debt and related current maturities by utilizing transactions in the listed markets for identical or similar liabilities. As such, the fair value of the long-term debt and related current maturities is considered level 2.</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As of March 31, 2025, and December 31, 2024, the Company measured the disposal group of the PPE business at fair value, less costs to sell. The fair value of the disposal group was determined using significant unobservable inputs based on expected proceeds to be received upon the sale of the business. As such, the fair value of the disposal group is considered level 3. See Note 3 </w:t>
      </w:r>
      <w:r>
        <w:rPr>
          <w:rFonts w:ascii="Arial" w:cs="Arial" w:eastAsia="Arial" w:hAnsi="Arial"/>
          <w:sz w:val="16"/>
          <w:szCs w:val="16"/>
          <w:u w:val="single" w:color="auto"/>
          <w:color w:val="0000FF"/>
        </w:rPr>
        <w:t>Acquisitions, Divestitures, and Assets and Liabilities Held for Sale</w:t>
      </w:r>
      <w:r>
        <w:rPr>
          <w:rFonts w:ascii="Arial" w:cs="Arial" w:eastAsia="Arial" w:hAnsi="Arial"/>
          <w:sz w:val="16"/>
          <w:szCs w:val="16"/>
          <w:color w:val="auto"/>
        </w:rPr>
        <w:t xml:space="preserve"> for more information on the disposal group.</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NOTE 13. EARNINGS PER SHARE</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details of the earnings per share calculations for the three months ended March 31, 2025, and 2024, are as follows (shares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96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March</w:t>
            </w:r>
          </w:p>
        </w:tc>
      </w:tr>
      <w:tr>
        <w:trPr>
          <w:trHeight w:val="189"/>
        </w:trPr>
        <w:tc>
          <w:tcPr>
            <w:tcW w:w="928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4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31,</w:t>
            </w:r>
          </w:p>
        </w:tc>
        <w:tc>
          <w:tcPr>
            <w:tcW w:w="680" w:type="dxa"/>
            <w:vAlign w:val="bottom"/>
            <w:tcBorders>
              <w:bottom w:val="single" w:sz="8" w:color="D7282F"/>
            </w:tcBorders>
          </w:tcPr>
          <w:p>
            <w:pPr>
              <w:spacing w:after="0"/>
              <w:rPr>
                <w:sz w:val="16"/>
                <w:szCs w:val="16"/>
                <w:color w:val="auto"/>
              </w:rPr>
            </w:pPr>
          </w:p>
        </w:tc>
      </w:tr>
      <w:tr>
        <w:trPr>
          <w:trHeight w:val="195"/>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Basic</w:t>
            </w: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 attributable to Honeywell</w:t>
            </w:r>
          </w:p>
        </w:tc>
        <w:tc>
          <w:tcPr>
            <w:tcW w:w="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1,449</w:t>
            </w:r>
          </w:p>
        </w:tc>
        <w:tc>
          <w:tcPr>
            <w:tcW w:w="4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1,463</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648.2</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652.3</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Earnings per share of common stock—basic</w:t>
            </w:r>
          </w:p>
        </w:tc>
        <w:tc>
          <w:tcPr>
            <w:tcW w:w="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2.24</w:t>
            </w:r>
          </w:p>
        </w:tc>
        <w:tc>
          <w:tcPr>
            <w:tcW w:w="4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2.24</w:t>
            </w:r>
          </w:p>
        </w:tc>
      </w:tr>
      <w:tr>
        <w:trPr>
          <w:trHeight w:val="363"/>
        </w:trPr>
        <w:tc>
          <w:tcPr>
            <w:tcW w:w="9280" w:type="dxa"/>
            <w:vAlign w:val="bottom"/>
          </w:tcPr>
          <w:p>
            <w:pPr>
              <w:spacing w:after="0"/>
              <w:rPr>
                <w:sz w:val="24"/>
                <w:szCs w:val="24"/>
                <w:color w:val="auto"/>
              </w:rPr>
            </w:pPr>
          </w:p>
        </w:tc>
        <w:tc>
          <w:tcPr>
            <w:tcW w:w="196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March</w:t>
            </w:r>
          </w:p>
        </w:tc>
      </w:tr>
      <w:tr>
        <w:trPr>
          <w:trHeight w:val="185"/>
        </w:trPr>
        <w:tc>
          <w:tcPr>
            <w:tcW w:w="928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4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31,</w:t>
            </w:r>
          </w:p>
        </w:tc>
        <w:tc>
          <w:tcPr>
            <w:tcW w:w="680" w:type="dxa"/>
            <w:vAlign w:val="bottom"/>
            <w:tcBorders>
              <w:bottom w:val="single" w:sz="8" w:color="D7282F"/>
            </w:tcBorders>
          </w:tcPr>
          <w:p>
            <w:pPr>
              <w:spacing w:after="0"/>
              <w:rPr>
                <w:sz w:val="16"/>
                <w:szCs w:val="16"/>
                <w:color w:val="auto"/>
              </w:rPr>
            </w:pPr>
          </w:p>
        </w:tc>
      </w:tr>
      <w:tr>
        <w:trPr>
          <w:trHeight w:val="195"/>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Assuming Dilution</w:t>
            </w: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 attributable to Honeywell</w:t>
            </w:r>
          </w:p>
        </w:tc>
        <w:tc>
          <w:tcPr>
            <w:tcW w:w="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1,449</w:t>
            </w:r>
          </w:p>
        </w:tc>
        <w:tc>
          <w:tcPr>
            <w:tcW w:w="4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1,463</w:t>
            </w:r>
          </w:p>
        </w:tc>
      </w:tr>
      <w:tr>
        <w:trPr>
          <w:trHeight w:val="199"/>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Average shares</w:t>
            </w:r>
          </w:p>
        </w:tc>
        <w:tc>
          <w:tcPr>
            <w:tcW w:w="1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18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648.2</w:t>
            </w:r>
          </w:p>
        </w:tc>
        <w:tc>
          <w:tcPr>
            <w:tcW w:w="44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652.3</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Dilutive securities issuable—stock plans</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3.5</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weighted average diluted shares outstanding</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651.7</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656.6</w:t>
            </w:r>
          </w:p>
        </w:tc>
      </w:tr>
      <w:tr>
        <w:trPr>
          <w:trHeight w:val="196"/>
        </w:trPr>
        <w:tc>
          <w:tcPr>
            <w:tcW w:w="92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Earnings per share of common stock—assuming dilution</w:t>
            </w:r>
          </w:p>
        </w:tc>
        <w:tc>
          <w:tcPr>
            <w:tcW w:w="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2.22</w:t>
            </w:r>
          </w:p>
        </w:tc>
        <w:tc>
          <w:tcPr>
            <w:tcW w:w="4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2.23</w:t>
            </w: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diluted earnings per share calculations exclude the effect of stock options when the cost to exercise an option exceeds the average market price of the common shares during the period. For the three months ended March 31, 2025, and 2024, the weighted average number of stock options excluded from the computations were 2.4 million and 4.9 million, respectively.</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March 31, 2025, and 2024, the total shares outstanding were 642.7 million and 651.2 million, respectively, and as of March 31, 2025, and 2024, total shares issued were 957.6 million.</w:t>
      </w:r>
    </w:p>
    <w:p>
      <w:pPr>
        <w:spacing w:after="0" w:line="373" w:lineRule="exact"/>
        <w:rPr>
          <w:sz w:val="20"/>
          <w:szCs w:val="20"/>
          <w:color w:val="auto"/>
        </w:rPr>
      </w:pPr>
    </w:p>
    <w:p>
      <w:pPr>
        <w:ind w:left="400" w:hanging="392"/>
        <w:spacing w:after="0"/>
        <w:tabs>
          <w:tab w:leader="none" w:pos="400" w:val="left"/>
        </w:tabs>
        <w:numPr>
          <w:ilvl w:val="0"/>
          <w:numId w:val="2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14. ACCUMULATED OTHER COMPREHENSIVE LOSS</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CHANGES IN ACCUMULATED OTHER COMPREHENSIVE LOSS BY COMPONENT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4"/>
                <w:szCs w:val="14"/>
                <w:color w:val="auto"/>
              </w:rPr>
            </w:pPr>
          </w:p>
        </w:tc>
        <w:tc>
          <w:tcPr>
            <w:tcW w:w="1400" w:type="dxa"/>
            <w:vAlign w:val="bottom"/>
          </w:tcPr>
          <w:p>
            <w:pPr>
              <w:jc w:val="center"/>
              <w:ind w:right="208"/>
              <w:spacing w:after="0"/>
              <w:rPr>
                <w:sz w:val="20"/>
                <w:szCs w:val="20"/>
                <w:color w:val="auto"/>
              </w:rPr>
            </w:pPr>
            <w:r>
              <w:rPr>
                <w:rFonts w:ascii="Arial" w:cs="Arial" w:eastAsia="Arial" w:hAnsi="Arial"/>
                <w:sz w:val="14"/>
                <w:szCs w:val="14"/>
                <w:b w:val="1"/>
                <w:bCs w:val="1"/>
                <w:color w:val="auto"/>
              </w:rPr>
              <w:t>Pension</w:t>
            </w:r>
          </w:p>
        </w:tc>
        <w:tc>
          <w:tcPr>
            <w:tcW w:w="220" w:type="dxa"/>
            <w:vAlign w:val="bottom"/>
          </w:tcPr>
          <w:p>
            <w:pPr>
              <w:spacing w:after="0"/>
              <w:rPr>
                <w:sz w:val="14"/>
                <w:szCs w:val="14"/>
                <w:color w:val="auto"/>
              </w:rPr>
            </w:pPr>
          </w:p>
        </w:tc>
        <w:tc>
          <w:tcPr>
            <w:tcW w:w="1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Changes in Fair</w:t>
            </w:r>
          </w:p>
        </w:tc>
        <w:tc>
          <w:tcPr>
            <w:tcW w:w="260" w:type="dxa"/>
            <w:vAlign w:val="bottom"/>
          </w:tcPr>
          <w:p>
            <w:pPr>
              <w:spacing w:after="0"/>
              <w:rPr>
                <w:sz w:val="14"/>
                <w:szCs w:val="14"/>
                <w:color w:val="auto"/>
              </w:rPr>
            </w:pPr>
          </w:p>
        </w:tc>
        <w:tc>
          <w:tcPr>
            <w:tcW w:w="10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center"/>
              <w:ind w:right="208"/>
              <w:spacing w:after="0" w:line="145" w:lineRule="exact"/>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Exchange</w:t>
            </w:r>
          </w:p>
        </w:tc>
        <w:tc>
          <w:tcPr>
            <w:tcW w:w="260" w:type="dxa"/>
            <w:vAlign w:val="bottom"/>
          </w:tcPr>
          <w:p>
            <w:pPr>
              <w:spacing w:after="0"/>
              <w:rPr>
                <w:sz w:val="11"/>
                <w:szCs w:val="11"/>
                <w:color w:val="auto"/>
              </w:rPr>
            </w:pPr>
          </w:p>
        </w:tc>
        <w:tc>
          <w:tcPr>
            <w:tcW w:w="140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1"/>
                <w:szCs w:val="11"/>
                <w:color w:val="auto"/>
              </w:rPr>
            </w:pPr>
          </w:p>
        </w:tc>
        <w:tc>
          <w:tcPr>
            <w:tcW w:w="140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Value of</w:t>
            </w:r>
          </w:p>
        </w:tc>
        <w:tc>
          <w:tcPr>
            <w:tcW w:w="260" w:type="dxa"/>
            <w:vAlign w:val="bottom"/>
          </w:tcPr>
          <w:p>
            <w:pPr>
              <w:spacing w:after="0"/>
              <w:rPr>
                <w:sz w:val="11"/>
                <w:szCs w:val="11"/>
                <w:color w:val="auto"/>
              </w:rPr>
            </w:pPr>
          </w:p>
        </w:tc>
        <w:tc>
          <w:tcPr>
            <w:tcW w:w="106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2"/>
                <w:szCs w:val="12"/>
                <w:color w:val="auto"/>
              </w:rPr>
            </w:pPr>
          </w:p>
        </w:tc>
        <w:tc>
          <w:tcPr>
            <w:tcW w:w="14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Benefit</w:t>
            </w:r>
          </w:p>
        </w:tc>
        <w:tc>
          <w:tcPr>
            <w:tcW w:w="220" w:type="dxa"/>
            <w:vAlign w:val="bottom"/>
          </w:tcPr>
          <w:p>
            <w:pPr>
              <w:spacing w:after="0"/>
              <w:rPr>
                <w:sz w:val="12"/>
                <w:szCs w:val="12"/>
                <w:color w:val="auto"/>
              </w:rPr>
            </w:pPr>
          </w:p>
        </w:tc>
        <w:tc>
          <w:tcPr>
            <w:tcW w:w="14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Available for Sale</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Cash Flow</w:t>
            </w:r>
          </w:p>
        </w:tc>
        <w:tc>
          <w:tcPr>
            <w:tcW w:w="300" w:type="dxa"/>
            <w:vAlign w:val="bottom"/>
          </w:tcPr>
          <w:p>
            <w:pPr>
              <w:spacing w:after="0"/>
              <w:rPr>
                <w:sz w:val="12"/>
                <w:szCs w:val="12"/>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36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Hedges</w:t>
            </w: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(2,872)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(642)</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ind w:left="1100"/>
              <w:spacing w:after="0"/>
              <w:rPr>
                <w:sz w:val="20"/>
                <w:szCs w:val="20"/>
                <w:color w:val="auto"/>
              </w:rPr>
            </w:pPr>
            <w:r>
              <w:rPr>
                <w:rFonts w:ascii="Arial" w:cs="Arial" w:eastAsia="Arial" w:hAnsi="Arial"/>
                <w:sz w:val="14"/>
                <w:szCs w:val="14"/>
                <w:b w:val="1"/>
                <w:bCs w:val="1"/>
                <w:color w:val="auto"/>
              </w:rPr>
              <w:t>(1)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24</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(3,491)</w:t>
            </w:r>
          </w:p>
        </w:tc>
        <w:tc>
          <w:tcPr>
            <w:tcW w:w="0" w:type="dxa"/>
            <w:vAlign w:val="bottom"/>
          </w:tcPr>
          <w:p>
            <w:pPr>
              <w:spacing w:after="0"/>
              <w:rPr>
                <w:sz w:val="1"/>
                <w:szCs w:val="1"/>
                <w:color w:val="auto"/>
              </w:rPr>
            </w:pPr>
          </w:p>
        </w:tc>
      </w:tr>
      <w:tr>
        <w:trPr>
          <w:trHeight w:val="193"/>
        </w:trPr>
        <w:tc>
          <w:tcPr>
            <w:tcW w:w="4360" w:type="dxa"/>
            <w:vAlign w:val="bottom"/>
            <w:tcBorders>
              <w:bottom w:val="single" w:sz="8" w:color="61656A"/>
            </w:tcBorders>
          </w:tcPr>
          <w:p>
            <w:pPr>
              <w:ind w:left="80"/>
              <w:spacing w:after="0"/>
              <w:rPr>
                <w:sz w:val="20"/>
                <w:szCs w:val="20"/>
                <w:color w:val="auto"/>
              </w:rPr>
            </w:pPr>
            <w:r>
              <w:rPr>
                <w:rFonts w:ascii="Arial" w:cs="Arial" w:eastAsia="Arial" w:hAnsi="Arial"/>
                <w:sz w:val="14"/>
                <w:szCs w:val="14"/>
                <w:color w:val="auto"/>
              </w:rPr>
              <w:t>Other comprehensive income (loss) before reclassifications</w:t>
            </w:r>
          </w:p>
        </w:tc>
        <w:tc>
          <w:tcPr>
            <w:tcW w:w="18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(290)</w:t>
            </w:r>
          </w:p>
        </w:tc>
        <w:tc>
          <w:tcPr>
            <w:tcW w:w="26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ind w:left="10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(16)</w:t>
            </w:r>
          </w:p>
        </w:tc>
        <w:tc>
          <w:tcPr>
            <w:tcW w:w="30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D7282F"/>
            </w:tcBorders>
          </w:tcPr>
          <w:p>
            <w:pPr>
              <w:ind w:left="80"/>
              <w:spacing w:after="0"/>
              <w:rPr>
                <w:sz w:val="20"/>
                <w:szCs w:val="20"/>
                <w:color w:val="auto"/>
              </w:rPr>
            </w:pPr>
            <w:r>
              <w:rPr>
                <w:rFonts w:ascii="Arial" w:cs="Arial" w:eastAsia="Arial" w:hAnsi="Arial"/>
                <w:sz w:val="14"/>
                <w:szCs w:val="14"/>
                <w:color w:val="auto"/>
              </w:rPr>
              <w:t>Amounts reclassified from accumulated other comprehensive loss</w:t>
            </w:r>
          </w:p>
        </w:tc>
        <w:tc>
          <w:tcPr>
            <w:tcW w:w="18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ind w:left="10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w:t>
            </w:r>
          </w:p>
        </w:tc>
        <w:tc>
          <w:tcPr>
            <w:tcW w:w="3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9"/>
        </w:trPr>
        <w:tc>
          <w:tcPr>
            <w:tcW w:w="43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current period other comprehensive income (loss)</w:t>
            </w:r>
          </w:p>
        </w:tc>
        <w:tc>
          <w:tcPr>
            <w:tcW w:w="18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(290)</w:t>
            </w:r>
          </w:p>
        </w:tc>
        <w:tc>
          <w:tcPr>
            <w:tcW w:w="26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w:t>
            </w: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ind w:left="1080"/>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(18)</w:t>
            </w:r>
          </w:p>
        </w:tc>
        <w:tc>
          <w:tcPr>
            <w:tcW w:w="3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(297)</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March 31, 2025</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(3,162)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(631)</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ind w:left="1100"/>
              <w:spacing w:after="0"/>
              <w:rPr>
                <w:sz w:val="20"/>
                <w:szCs w:val="20"/>
                <w:color w:val="auto"/>
              </w:rPr>
            </w:pPr>
            <w:r>
              <w:rPr>
                <w:rFonts w:ascii="Arial" w:cs="Arial" w:eastAsia="Arial" w:hAnsi="Arial"/>
                <w:sz w:val="14"/>
                <w:szCs w:val="14"/>
                <w:b w:val="1"/>
                <w:bCs w:val="1"/>
                <w:color w:val="auto"/>
              </w:rPr>
              <w:t>(1)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(3,788)</w:t>
            </w:r>
          </w:p>
        </w:tc>
        <w:tc>
          <w:tcPr>
            <w:tcW w:w="0" w:type="dxa"/>
            <w:vAlign w:val="bottom"/>
          </w:tcPr>
          <w:p>
            <w:pPr>
              <w:spacing w:after="0"/>
              <w:rPr>
                <w:sz w:val="1"/>
                <w:szCs w:val="1"/>
                <w:color w:val="auto"/>
              </w:rPr>
            </w:pPr>
          </w:p>
        </w:tc>
      </w:tr>
      <w:tr>
        <w:trPr>
          <w:trHeight w:val="372"/>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24"/>
                <w:szCs w:val="24"/>
                <w:color w:val="auto"/>
              </w:rPr>
            </w:pPr>
          </w:p>
        </w:tc>
        <w:tc>
          <w:tcPr>
            <w:tcW w:w="1400" w:type="dxa"/>
            <w:vAlign w:val="bottom"/>
          </w:tcPr>
          <w:p>
            <w:pPr>
              <w:jc w:val="center"/>
              <w:ind w:right="248"/>
              <w:spacing w:after="0"/>
              <w:rPr>
                <w:sz w:val="20"/>
                <w:szCs w:val="20"/>
                <w:color w:val="auto"/>
              </w:rPr>
            </w:pPr>
            <w:r>
              <w:rPr>
                <w:rFonts w:ascii="Arial" w:cs="Arial" w:eastAsia="Arial" w:hAnsi="Arial"/>
                <w:sz w:val="14"/>
                <w:szCs w:val="14"/>
                <w:b w:val="1"/>
                <w:bCs w:val="1"/>
                <w:color w:val="auto"/>
              </w:rPr>
              <w:t>Pension</w:t>
            </w:r>
          </w:p>
        </w:tc>
        <w:tc>
          <w:tcPr>
            <w:tcW w:w="220" w:type="dxa"/>
            <w:vAlign w:val="bottom"/>
          </w:tcPr>
          <w:p>
            <w:pPr>
              <w:spacing w:after="0"/>
              <w:rPr>
                <w:sz w:val="24"/>
                <w:szCs w:val="24"/>
                <w:color w:val="auto"/>
              </w:rPr>
            </w:pPr>
          </w:p>
        </w:tc>
        <w:tc>
          <w:tcPr>
            <w:tcW w:w="140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 Fair</w:t>
            </w:r>
          </w:p>
        </w:tc>
        <w:tc>
          <w:tcPr>
            <w:tcW w:w="260" w:type="dxa"/>
            <w:vAlign w:val="bottom"/>
          </w:tcPr>
          <w:p>
            <w:pPr>
              <w:spacing w:after="0"/>
              <w:rPr>
                <w:sz w:val="24"/>
                <w:szCs w:val="24"/>
                <w:color w:val="auto"/>
              </w:rPr>
            </w:pPr>
          </w:p>
        </w:tc>
        <w:tc>
          <w:tcPr>
            <w:tcW w:w="10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center"/>
              <w:ind w:right="208"/>
              <w:spacing w:after="0" w:line="135" w:lineRule="exact"/>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Exchange</w:t>
            </w:r>
          </w:p>
        </w:tc>
        <w:tc>
          <w:tcPr>
            <w:tcW w:w="260" w:type="dxa"/>
            <w:vAlign w:val="bottom"/>
          </w:tcPr>
          <w:p>
            <w:pPr>
              <w:spacing w:after="0"/>
              <w:rPr>
                <w:sz w:val="12"/>
                <w:szCs w:val="12"/>
                <w:color w:val="auto"/>
              </w:rPr>
            </w:pPr>
          </w:p>
        </w:tc>
        <w:tc>
          <w:tcPr>
            <w:tcW w:w="14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2"/>
                <w:szCs w:val="12"/>
                <w:color w:val="auto"/>
              </w:rPr>
            </w:pPr>
          </w:p>
        </w:tc>
        <w:tc>
          <w:tcPr>
            <w:tcW w:w="140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Value of</w:t>
            </w:r>
          </w:p>
        </w:tc>
        <w:tc>
          <w:tcPr>
            <w:tcW w:w="260" w:type="dxa"/>
            <w:vAlign w:val="bottom"/>
          </w:tcPr>
          <w:p>
            <w:pPr>
              <w:spacing w:after="0"/>
              <w:rPr>
                <w:sz w:val="12"/>
                <w:szCs w:val="12"/>
                <w:color w:val="auto"/>
              </w:rPr>
            </w:pPr>
          </w:p>
        </w:tc>
        <w:tc>
          <w:tcPr>
            <w:tcW w:w="10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2"/>
                <w:szCs w:val="12"/>
                <w:color w:val="auto"/>
              </w:rPr>
            </w:pPr>
          </w:p>
        </w:tc>
        <w:tc>
          <w:tcPr>
            <w:tcW w:w="14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Benefit</w:t>
            </w:r>
          </w:p>
        </w:tc>
        <w:tc>
          <w:tcPr>
            <w:tcW w:w="220" w:type="dxa"/>
            <w:vAlign w:val="bottom"/>
          </w:tcPr>
          <w:p>
            <w:pPr>
              <w:spacing w:after="0"/>
              <w:rPr>
                <w:sz w:val="12"/>
                <w:szCs w:val="12"/>
                <w:color w:val="auto"/>
              </w:rPr>
            </w:pPr>
          </w:p>
        </w:tc>
        <w:tc>
          <w:tcPr>
            <w:tcW w:w="14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Available for Sale</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Cash Flow</w:t>
            </w:r>
          </w:p>
        </w:tc>
        <w:tc>
          <w:tcPr>
            <w:tcW w:w="300" w:type="dxa"/>
            <w:vAlign w:val="bottom"/>
          </w:tcPr>
          <w:p>
            <w:pPr>
              <w:spacing w:after="0"/>
              <w:rPr>
                <w:sz w:val="12"/>
                <w:szCs w:val="12"/>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36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228"/>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Hedges</w:t>
            </w: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(3,101)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(1,055)</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ind w:left="1100"/>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(4,135)</w:t>
            </w:r>
          </w:p>
        </w:tc>
        <w:tc>
          <w:tcPr>
            <w:tcW w:w="0" w:type="dxa"/>
            <w:vAlign w:val="bottom"/>
          </w:tcPr>
          <w:p>
            <w:pPr>
              <w:spacing w:after="0"/>
              <w:rPr>
                <w:sz w:val="1"/>
                <w:szCs w:val="1"/>
                <w:color w:val="auto"/>
              </w:rPr>
            </w:pPr>
          </w:p>
        </w:tc>
      </w:tr>
      <w:tr>
        <w:trPr>
          <w:trHeight w:val="193"/>
        </w:trPr>
        <w:tc>
          <w:tcPr>
            <w:tcW w:w="4360" w:type="dxa"/>
            <w:vAlign w:val="bottom"/>
            <w:tcBorders>
              <w:bottom w:val="single" w:sz="8" w:color="61656A"/>
            </w:tcBorders>
          </w:tcPr>
          <w:p>
            <w:pPr>
              <w:ind w:left="80"/>
              <w:spacing w:after="0"/>
              <w:rPr>
                <w:sz w:val="20"/>
                <w:szCs w:val="20"/>
                <w:color w:val="auto"/>
              </w:rPr>
            </w:pPr>
            <w:r>
              <w:rPr>
                <w:rFonts w:ascii="Arial" w:cs="Arial" w:eastAsia="Arial" w:hAnsi="Arial"/>
                <w:sz w:val="14"/>
                <w:szCs w:val="14"/>
                <w:color w:val="auto"/>
              </w:rPr>
              <w:t>Other comprehensive income (loss) before reclassifications</w:t>
            </w:r>
          </w:p>
        </w:tc>
        <w:tc>
          <w:tcPr>
            <w:tcW w:w="18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78</w:t>
            </w:r>
          </w:p>
        </w:tc>
        <w:tc>
          <w:tcPr>
            <w:tcW w:w="26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ind w:left="10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18</w:t>
            </w:r>
          </w:p>
        </w:tc>
        <w:tc>
          <w:tcPr>
            <w:tcW w:w="30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D7282F"/>
            </w:tcBorders>
          </w:tcPr>
          <w:p>
            <w:pPr>
              <w:ind w:left="80"/>
              <w:spacing w:after="0"/>
              <w:rPr>
                <w:sz w:val="20"/>
                <w:szCs w:val="20"/>
                <w:color w:val="auto"/>
              </w:rPr>
            </w:pPr>
            <w:r>
              <w:rPr>
                <w:rFonts w:ascii="Arial" w:cs="Arial" w:eastAsia="Arial" w:hAnsi="Arial"/>
                <w:sz w:val="14"/>
                <w:szCs w:val="14"/>
                <w:color w:val="auto"/>
              </w:rPr>
              <w:t>Amounts reclassified from accumulated other comprehensive loss</w:t>
            </w:r>
          </w:p>
        </w:tc>
        <w:tc>
          <w:tcPr>
            <w:tcW w:w="18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ind w:left="10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w:t>
            </w:r>
          </w:p>
        </w:tc>
        <w:tc>
          <w:tcPr>
            <w:tcW w:w="3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9"/>
        </w:trPr>
        <w:tc>
          <w:tcPr>
            <w:tcW w:w="436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rPr>
              <w:t>Net current period other comprehensive income (loss)</w:t>
            </w:r>
          </w:p>
        </w:tc>
        <w:tc>
          <w:tcPr>
            <w:tcW w:w="18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78</w:t>
            </w:r>
          </w:p>
        </w:tc>
        <w:tc>
          <w:tcPr>
            <w:tcW w:w="26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w:t>
            </w: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ind w:left="1080"/>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w:t>
            </w:r>
          </w:p>
        </w:tc>
        <w:tc>
          <w:tcPr>
            <w:tcW w:w="3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87</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March 31, 2024</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(3,023)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(1,060)</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ind w:left="1100"/>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(4,048)</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15. COMMITMENTS AND CONTINGENCIES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ENVIRONMENTAL MATTERS</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is subject to various federal, state, local, and foreign government requirements relating to the protection of the environment. With respect to environmental matters involving site contamination, the Company continually conducts studies, individually or jointly with other potentially responsible parties, to determine the feasibility of various remedial techniques. It is the Company's policy to record liabilities for environmental matters when remedial efforts or damage claim payments are probable and the costs can be reasonably estimated. Such liabilities are based on the Company's best estimate of the undiscounted future costs required to complete the remedial work. The recorded liabilities are adjusted periodically as remediation efforts progress or as additional technical, regulatory, or legal information becomes available.</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Honeywell's environmental matters are further described in Note 19 Commitments and Contingencies of Notes to Consolidated Financial Statements in the Company's 2024 Annual Report on Form 10-K.</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concerning the Company's recorded liabilities for environmental costs: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2900" w:type="dxa"/>
            <w:vAlign w:val="bottom"/>
            <w:tcBorders>
              <w:top w:val="single" w:sz="8" w:color="D7282F"/>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678</w:t>
            </w:r>
          </w:p>
        </w:tc>
      </w:tr>
      <w:tr>
        <w:trPr>
          <w:trHeight w:val="193"/>
        </w:trPr>
        <w:tc>
          <w:tcPr>
            <w:tcW w:w="78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Accruals for environmental matters deemed probable and reasonably estimable</w:t>
            </w:r>
          </w:p>
        </w:tc>
        <w:tc>
          <w:tcPr>
            <w:tcW w:w="2900" w:type="dxa"/>
            <w:vAlign w:val="bottom"/>
            <w:tcBorders>
              <w:bottom w:val="single" w:sz="8" w:color="61656A"/>
            </w:tcBorders>
          </w:tcPr>
          <w:p>
            <w:pPr>
              <w:spacing w:after="0"/>
              <w:rPr>
                <w:sz w:val="16"/>
                <w:szCs w:val="16"/>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106</w:t>
            </w:r>
          </w:p>
        </w:tc>
      </w:tr>
      <w:tr>
        <w:trPr>
          <w:trHeight w:val="196"/>
        </w:trPr>
        <w:tc>
          <w:tcPr>
            <w:tcW w:w="78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Environmental liability payments</w:t>
            </w:r>
          </w:p>
        </w:tc>
        <w:tc>
          <w:tcPr>
            <w:tcW w:w="290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(37)</w:t>
            </w:r>
          </w:p>
        </w:tc>
      </w:tr>
      <w:tr>
        <w:trPr>
          <w:trHeight w:val="199"/>
        </w:trPr>
        <w:tc>
          <w:tcPr>
            <w:tcW w:w="78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March 31, 2025</w:t>
            </w:r>
          </w:p>
        </w:tc>
        <w:tc>
          <w:tcPr>
            <w:tcW w:w="29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747</w:t>
            </w: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24</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Environmental liabilities are included in the following balance sheet accounts: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Borders>
              <w:bottom w:val="single" w:sz="8" w:color="D7282F"/>
            </w:tcBorders>
          </w:tcPr>
          <w:p>
            <w:pPr>
              <w:spacing w:after="0"/>
              <w:rPr>
                <w:sz w:val="17"/>
                <w:szCs w:val="17"/>
                <w:color w:val="auto"/>
              </w:rPr>
            </w:pPr>
          </w:p>
        </w:tc>
        <w:tc>
          <w:tcPr>
            <w:tcW w:w="4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March 31, 2025</w:t>
            </w:r>
          </w:p>
        </w:tc>
        <w:tc>
          <w:tcPr>
            <w:tcW w:w="44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3"/>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liabilities</w:t>
            </w:r>
          </w:p>
        </w:tc>
        <w:tc>
          <w:tcPr>
            <w:tcW w:w="4080" w:type="dxa"/>
            <w:vAlign w:val="bottom"/>
            <w:tcBorders>
              <w:bottom w:val="single" w:sz="8" w:color="61656A"/>
            </w:tcBorders>
          </w:tcPr>
          <w:p>
            <w:pPr>
              <w:jc w:val="right"/>
              <w:ind w:right="12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244</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244</w:t>
            </w:r>
          </w:p>
        </w:tc>
      </w:tr>
      <w:tr>
        <w:trPr>
          <w:trHeight w:val="196"/>
        </w:trPr>
        <w:tc>
          <w:tcPr>
            <w:tcW w:w="48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liabilities</w:t>
            </w:r>
          </w:p>
        </w:tc>
        <w:tc>
          <w:tcPr>
            <w:tcW w:w="408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503</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434</w:t>
            </w:r>
          </w:p>
        </w:tc>
      </w:tr>
      <w:tr>
        <w:trPr>
          <w:trHeight w:val="199"/>
        </w:trPr>
        <w:tc>
          <w:tcPr>
            <w:tcW w:w="48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environmental liabilities</w:t>
            </w:r>
          </w:p>
        </w:tc>
        <w:tc>
          <w:tcPr>
            <w:tcW w:w="4080" w:type="dxa"/>
            <w:vAlign w:val="bottom"/>
            <w:tcBorders>
              <w:bottom w:val="single" w:sz="8" w:color="D7282F"/>
            </w:tcBorders>
          </w:tcPr>
          <w:p>
            <w:pPr>
              <w:jc w:val="right"/>
              <w:ind w:right="124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747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678</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the Company's consolidated results of operations and operating cash flows in the periods recognized or paid. However, considering the Company's past experience and existing reserves, the Company does not expect that environmental matters will have a material adverse effect on its consolidated financial position.</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conjunction with the Resideo Technologies, Inc. (Resideo) spin-off, the Company entered into an indemnification and reimbursement agreement with a Resideo subsidiary, pursuant to which Resideo’s subsidiary has an ongoing obligation to make cash payments to Honeywell in amounts equal to 90% of Honeywell’s annual net spending for environmental matters at certain sites as defined in the agreement. The amount payable to Honeywell in any given year is subject to a cap of $140 million, and the obligation will continue until the earlier of December 31, 2043, or December 31 of the third consecutive year during which the annual payment obligation is less than $25 million.</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Reimbursements associated with this agreement are collected from Resideo quarterly and were $35 million in the three months ended March 31, 2025, and offset operating cash outflows incurred by the Company. As the Company incurs costs for environmental matters deemed probable and reasonably estimable related to the sites covered by the indemnification and reimbursement agreement, a corresponding receivable from Resideo for 90% of such costs is also recorded. This receivable amount recorded in the three months ended March 31, 2025, was $90 million. As of March 31, 2025, Other current assets and Other assets included $140 million and $637 million, respectively, for the short-term and long-term portion of the receivable amount due from Resideo under the indemnification and reimbursement agreement.</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 MATTERS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Honeywell is named in asbestos-related personal injury claims related to the Bendix Friction Materials (Bendix) business, which was sold in 2014.</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information concerning Bendix asbestos-related balances:</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ASBESTOS-RELATED LIABILITIES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2024</w:t>
            </w:r>
          </w:p>
        </w:tc>
        <w:tc>
          <w:tcPr>
            <w:tcW w:w="4040" w:type="dxa"/>
            <w:vAlign w:val="bottom"/>
            <w:tcBorders>
              <w:top w:val="single" w:sz="8" w:color="D7282F"/>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1,482</w:t>
            </w:r>
          </w:p>
        </w:tc>
      </w:tr>
      <w:tr>
        <w:trPr>
          <w:trHeight w:val="193"/>
        </w:trPr>
        <w:tc>
          <w:tcPr>
            <w:tcW w:w="66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Accrual for update to estimated liability</w:t>
            </w:r>
          </w:p>
        </w:tc>
        <w:tc>
          <w:tcPr>
            <w:tcW w:w="404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w:t>
            </w:r>
          </w:p>
        </w:tc>
      </w:tr>
      <w:tr>
        <w:trPr>
          <w:trHeight w:val="196"/>
        </w:trPr>
        <w:tc>
          <w:tcPr>
            <w:tcW w:w="66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Change in estimated cost of future claims</w:t>
            </w:r>
          </w:p>
        </w:tc>
        <w:tc>
          <w:tcPr>
            <w:tcW w:w="404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66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Asbestos-related liability payments</w:t>
            </w:r>
          </w:p>
        </w:tc>
        <w:tc>
          <w:tcPr>
            <w:tcW w:w="404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(60)</w:t>
            </w:r>
          </w:p>
        </w:tc>
      </w:tr>
      <w:tr>
        <w:trPr>
          <w:trHeight w:val="199"/>
        </w:trPr>
        <w:tc>
          <w:tcPr>
            <w:tcW w:w="66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March 31, 2025</w:t>
            </w:r>
          </w:p>
        </w:tc>
        <w:tc>
          <w:tcPr>
            <w:tcW w:w="4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1,439</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INSURANCE RECOVERIES FOR ASBESTOS-RELATED LIABILITIES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38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2024</w:t>
            </w:r>
          </w:p>
        </w:tc>
        <w:tc>
          <w:tcPr>
            <w:tcW w:w="320" w:type="dxa"/>
            <w:vAlign w:val="bottom"/>
            <w:tcBorders>
              <w:top w:val="single" w:sz="8" w:color="D7282F"/>
              <w:bottom w:val="single" w:sz="8" w:color="DC202E"/>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D7282F"/>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110</w:t>
            </w:r>
          </w:p>
        </w:tc>
      </w:tr>
      <w:tr>
        <w:trPr>
          <w:trHeight w:val="193"/>
        </w:trPr>
        <w:tc>
          <w:tcPr>
            <w:tcW w:w="103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Insurance receipts for asbestos-related liabilities</w:t>
            </w:r>
          </w:p>
        </w:tc>
        <w:tc>
          <w:tcPr>
            <w:tcW w:w="32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r>
      <w:tr>
        <w:trPr>
          <w:trHeight w:val="199"/>
        </w:trPr>
        <w:tc>
          <w:tcPr>
            <w:tcW w:w="103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March 31, 2025</w:t>
            </w:r>
          </w:p>
        </w:tc>
        <w:tc>
          <w:tcPr>
            <w:tcW w:w="3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106</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25</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Bendix asbestos-related balances are included in the following balance sheet accounts: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60" w:type="dxa"/>
            <w:vAlign w:val="bottom"/>
            <w:tcBorders>
              <w:bottom w:val="single" w:sz="8" w:color="D7282F"/>
            </w:tcBorders>
          </w:tcPr>
          <w:p>
            <w:pPr>
              <w:spacing w:after="0"/>
              <w:rPr>
                <w:sz w:val="17"/>
                <w:szCs w:val="17"/>
                <w:color w:val="auto"/>
              </w:rPr>
            </w:pPr>
          </w:p>
        </w:tc>
        <w:tc>
          <w:tcPr>
            <w:tcW w:w="1940" w:type="dxa"/>
            <w:vAlign w:val="bottom"/>
            <w:tcBorders>
              <w:bottom w:val="single" w:sz="8" w:color="D7282F"/>
            </w:tcBorders>
          </w:tcPr>
          <w:p>
            <w:pPr>
              <w:spacing w:after="0"/>
              <w:rPr>
                <w:sz w:val="17"/>
                <w:szCs w:val="17"/>
                <w:color w:val="auto"/>
              </w:rPr>
            </w:pPr>
          </w:p>
        </w:tc>
        <w:tc>
          <w:tcPr>
            <w:tcW w:w="164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March 31, 2025</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3"/>
        </w:trPr>
        <w:tc>
          <w:tcPr>
            <w:tcW w:w="57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current assets</w:t>
            </w:r>
          </w:p>
        </w:tc>
        <w:tc>
          <w:tcPr>
            <w:tcW w:w="194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57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Insurance recoveries for asbestos-related liabilities</w:t>
            </w:r>
          </w:p>
        </w:tc>
        <w:tc>
          <w:tcPr>
            <w:tcW w:w="1940" w:type="dxa"/>
            <w:vAlign w:val="bottom"/>
            <w:tcBorders>
              <w:bottom w:val="single" w:sz="8" w:color="D7282F"/>
            </w:tcBorders>
          </w:tcPr>
          <w:p>
            <w:pPr>
              <w:spacing w:after="0"/>
              <w:rPr>
                <w:sz w:val="17"/>
                <w:szCs w:val="17"/>
                <w:color w:val="auto"/>
              </w:rPr>
            </w:pPr>
          </w:p>
        </w:tc>
        <w:tc>
          <w:tcPr>
            <w:tcW w:w="1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92</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96</w:t>
            </w:r>
          </w:p>
        </w:tc>
      </w:tr>
      <w:tr>
        <w:trPr>
          <w:trHeight w:val="199"/>
        </w:trPr>
        <w:tc>
          <w:tcPr>
            <w:tcW w:w="57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insurance recoveries for asbestos-related liabilities</w:t>
            </w:r>
          </w:p>
        </w:tc>
        <w:tc>
          <w:tcPr>
            <w:tcW w:w="19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110</w:t>
            </w:r>
          </w:p>
        </w:tc>
      </w:tr>
      <w:tr>
        <w:trPr>
          <w:trHeight w:val="193"/>
        </w:trPr>
        <w:tc>
          <w:tcPr>
            <w:tcW w:w="57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liabilities</w:t>
            </w:r>
          </w:p>
        </w:tc>
        <w:tc>
          <w:tcPr>
            <w:tcW w:w="194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156</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157</w:t>
            </w:r>
          </w:p>
        </w:tc>
      </w:tr>
      <w:tr>
        <w:trPr>
          <w:trHeight w:val="196"/>
        </w:trPr>
        <w:tc>
          <w:tcPr>
            <w:tcW w:w="57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Asbestos-related liabilities</w:t>
            </w:r>
          </w:p>
        </w:tc>
        <w:tc>
          <w:tcPr>
            <w:tcW w:w="1940" w:type="dxa"/>
            <w:vAlign w:val="bottom"/>
            <w:tcBorders>
              <w:bottom w:val="single" w:sz="8" w:color="D7282F"/>
            </w:tcBorders>
          </w:tcPr>
          <w:p>
            <w:pPr>
              <w:spacing w:after="0"/>
              <w:rPr>
                <w:sz w:val="17"/>
                <w:szCs w:val="17"/>
                <w:color w:val="auto"/>
              </w:rPr>
            </w:pPr>
          </w:p>
        </w:tc>
        <w:tc>
          <w:tcPr>
            <w:tcW w:w="1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1,283</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1,325</w:t>
            </w:r>
          </w:p>
        </w:tc>
      </w:tr>
      <w:tr>
        <w:trPr>
          <w:trHeight w:val="199"/>
        </w:trPr>
        <w:tc>
          <w:tcPr>
            <w:tcW w:w="57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asbestos-related liabilities</w:t>
            </w:r>
          </w:p>
        </w:tc>
        <w:tc>
          <w:tcPr>
            <w:tcW w:w="19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1,439</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1,482</w:t>
            </w: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Bendix manufactured automotive brake linings that contained chrysotile asbestos in an encapsulated form. Claimants consist largely of individuals who allege exposure to asbestos from brakes from either performing or being in the vicinity of individuals who performed brake replacements. The following tables present information regarding Bendix-related asbestos claims activity: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Year Ended December</w:t>
            </w:r>
          </w:p>
        </w:tc>
      </w:tr>
      <w:tr>
        <w:trPr>
          <w:trHeight w:val="185"/>
        </w:trPr>
        <w:tc>
          <w:tcPr>
            <w:tcW w:w="7420" w:type="dxa"/>
            <w:vAlign w:val="bottom"/>
          </w:tcPr>
          <w:p>
            <w:pPr>
              <w:spacing w:after="0"/>
              <w:rPr>
                <w:sz w:val="16"/>
                <w:szCs w:val="16"/>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31,</w:t>
            </w:r>
          </w:p>
        </w:tc>
        <w:tc>
          <w:tcPr>
            <w:tcW w:w="1760" w:type="dxa"/>
            <w:vAlign w:val="bottom"/>
          </w:tcPr>
          <w:p>
            <w:pPr>
              <w:jc w:val="right"/>
              <w:ind w:right="708"/>
              <w:spacing w:after="0"/>
              <w:rPr>
                <w:sz w:val="20"/>
                <w:szCs w:val="20"/>
                <w:color w:val="auto"/>
              </w:rPr>
            </w:pPr>
            <w:r>
              <w:rPr>
                <w:rFonts w:ascii="Arial" w:cs="Arial" w:eastAsia="Arial" w:hAnsi="Arial"/>
                <w:sz w:val="14"/>
                <w:szCs w:val="14"/>
                <w:b w:val="1"/>
                <w:bCs w:val="1"/>
                <w:color w:val="auto"/>
              </w:rPr>
              <w:t>31,</w:t>
            </w:r>
          </w:p>
        </w:tc>
      </w:tr>
      <w:tr>
        <w:trPr>
          <w:trHeight w:val="195"/>
        </w:trPr>
        <w:tc>
          <w:tcPr>
            <w:tcW w:w="7420" w:type="dxa"/>
            <w:vAlign w:val="bottom"/>
            <w:tcBorders>
              <w:bottom w:val="single" w:sz="8" w:color="D7282F"/>
            </w:tcBorders>
          </w:tcPr>
          <w:p>
            <w:pPr>
              <w:spacing w:after="0"/>
              <w:rPr>
                <w:sz w:val="16"/>
                <w:szCs w:val="16"/>
                <w:color w:val="auto"/>
              </w:rPr>
            </w:pPr>
          </w:p>
        </w:tc>
        <w:tc>
          <w:tcPr>
            <w:tcW w:w="1820" w:type="dxa"/>
            <w:vAlign w:val="bottom"/>
            <w:tcBorders>
              <w:top w:val="single" w:sz="8" w:color="D7282F"/>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D7282F"/>
            </w:tcBorders>
          </w:tcPr>
          <w:p>
            <w:pPr>
              <w:spacing w:after="0"/>
              <w:rPr>
                <w:sz w:val="16"/>
                <w:szCs w:val="16"/>
                <w:color w:val="auto"/>
              </w:rPr>
            </w:pPr>
          </w:p>
        </w:tc>
        <w:tc>
          <w:tcPr>
            <w:tcW w:w="1760" w:type="dxa"/>
            <w:vAlign w:val="bottom"/>
            <w:tcBorders>
              <w:top w:val="single" w:sz="8" w:color="D7282F"/>
              <w:bottom w:val="single" w:sz="8" w:color="D7282F"/>
            </w:tcBorders>
          </w:tcPr>
          <w:p>
            <w:pPr>
              <w:jc w:val="right"/>
              <w:ind w:right="648"/>
              <w:spacing w:after="0"/>
              <w:rPr>
                <w:sz w:val="20"/>
                <w:szCs w:val="20"/>
                <w:color w:val="auto"/>
              </w:rPr>
            </w:pPr>
            <w:r>
              <w:rPr>
                <w:rFonts w:ascii="Arial" w:cs="Arial" w:eastAsia="Arial" w:hAnsi="Arial"/>
                <w:sz w:val="14"/>
                <w:szCs w:val="14"/>
                <w:b w:val="1"/>
                <w:bCs w:val="1"/>
                <w:color w:val="auto"/>
              </w:rPr>
              <w:t>2024</w:t>
            </w:r>
          </w:p>
        </w:tc>
      </w:tr>
      <w:tr>
        <w:trPr>
          <w:trHeight w:val="196"/>
        </w:trPr>
        <w:tc>
          <w:tcPr>
            <w:tcW w:w="74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Claims unresolved at the beginning of period</w:t>
            </w:r>
          </w:p>
        </w:tc>
        <w:tc>
          <w:tcPr>
            <w:tcW w:w="1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4,950</w:t>
            </w:r>
          </w:p>
        </w:tc>
        <w:tc>
          <w:tcPr>
            <w:tcW w:w="240" w:type="dxa"/>
            <w:vAlign w:val="bottom"/>
            <w:tcBorders>
              <w:bottom w:val="single" w:sz="8" w:color="D7282F"/>
            </w:tcBorders>
          </w:tcPr>
          <w:p>
            <w:pPr>
              <w:spacing w:after="0"/>
              <w:rPr>
                <w:sz w:val="17"/>
                <w:szCs w:val="17"/>
                <w:color w:val="auto"/>
              </w:rPr>
            </w:pPr>
          </w:p>
        </w:tc>
        <w:tc>
          <w:tcPr>
            <w:tcW w:w="1760" w:type="dxa"/>
            <w:vAlign w:val="bottom"/>
            <w:tcBorders>
              <w:bottom w:val="single" w:sz="8" w:color="D7282F"/>
            </w:tcBorders>
          </w:tcPr>
          <w:p>
            <w:pPr>
              <w:jc w:val="center"/>
              <w:ind w:left="1208"/>
              <w:spacing w:after="0"/>
              <w:rPr>
                <w:sz w:val="20"/>
                <w:szCs w:val="20"/>
                <w:color w:val="auto"/>
              </w:rPr>
            </w:pPr>
            <w:r>
              <w:rPr>
                <w:rFonts w:ascii="Arial" w:cs="Arial" w:eastAsia="Arial" w:hAnsi="Arial"/>
                <w:sz w:val="14"/>
                <w:szCs w:val="14"/>
                <w:b w:val="1"/>
                <w:bCs w:val="1"/>
                <w:color w:val="auto"/>
              </w:rPr>
              <w:t>5,517</w:t>
            </w:r>
          </w:p>
        </w:tc>
      </w:tr>
      <w:tr>
        <w:trPr>
          <w:trHeight w:val="193"/>
        </w:trPr>
        <w:tc>
          <w:tcPr>
            <w:tcW w:w="74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Claims filed</w:t>
            </w:r>
          </w:p>
        </w:tc>
        <w:tc>
          <w:tcPr>
            <w:tcW w:w="1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383</w:t>
            </w:r>
          </w:p>
        </w:tc>
        <w:tc>
          <w:tcPr>
            <w:tcW w:w="240" w:type="dxa"/>
            <w:vAlign w:val="bottom"/>
            <w:tcBorders>
              <w:bottom w:val="single" w:sz="8" w:color="61656A"/>
            </w:tcBorders>
          </w:tcPr>
          <w:p>
            <w:pPr>
              <w:spacing w:after="0"/>
              <w:rPr>
                <w:sz w:val="16"/>
                <w:szCs w:val="16"/>
                <w:color w:val="auto"/>
              </w:rPr>
            </w:pPr>
          </w:p>
        </w:tc>
        <w:tc>
          <w:tcPr>
            <w:tcW w:w="1760" w:type="dxa"/>
            <w:vAlign w:val="bottom"/>
            <w:tcBorders>
              <w:bottom w:val="single" w:sz="8" w:color="61656A"/>
            </w:tcBorders>
          </w:tcPr>
          <w:p>
            <w:pPr>
              <w:jc w:val="center"/>
              <w:ind w:left="1208"/>
              <w:spacing w:after="0"/>
              <w:rPr>
                <w:sz w:val="20"/>
                <w:szCs w:val="20"/>
                <w:color w:val="auto"/>
              </w:rPr>
            </w:pPr>
            <w:r>
              <w:rPr>
                <w:rFonts w:ascii="Arial" w:cs="Arial" w:eastAsia="Arial" w:hAnsi="Arial"/>
                <w:sz w:val="14"/>
                <w:szCs w:val="14"/>
                <w:color w:val="auto"/>
              </w:rPr>
              <w:t>1,617</w:t>
            </w:r>
          </w:p>
        </w:tc>
      </w:tr>
      <w:tr>
        <w:trPr>
          <w:trHeight w:val="196"/>
        </w:trPr>
        <w:tc>
          <w:tcPr>
            <w:tcW w:w="74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Claims resolved</w:t>
            </w:r>
          </w:p>
        </w:tc>
        <w:tc>
          <w:tcPr>
            <w:tcW w:w="1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(379)</w:t>
            </w:r>
          </w:p>
        </w:tc>
        <w:tc>
          <w:tcPr>
            <w:tcW w:w="240" w:type="dxa"/>
            <w:vAlign w:val="bottom"/>
            <w:tcBorders>
              <w:bottom w:val="single" w:sz="8" w:color="D7282F"/>
            </w:tcBorders>
          </w:tcPr>
          <w:p>
            <w:pPr>
              <w:spacing w:after="0"/>
              <w:rPr>
                <w:sz w:val="17"/>
                <w:szCs w:val="17"/>
                <w:color w:val="auto"/>
              </w:rPr>
            </w:pPr>
          </w:p>
        </w:tc>
        <w:tc>
          <w:tcPr>
            <w:tcW w:w="1760" w:type="dxa"/>
            <w:vAlign w:val="bottom"/>
            <w:tcBorders>
              <w:bottom w:val="single" w:sz="8" w:color="D7282F"/>
            </w:tcBorders>
          </w:tcPr>
          <w:p>
            <w:pPr>
              <w:jc w:val="center"/>
              <w:ind w:left="1188"/>
              <w:spacing w:after="0"/>
              <w:rPr>
                <w:sz w:val="20"/>
                <w:szCs w:val="20"/>
                <w:color w:val="auto"/>
              </w:rPr>
            </w:pPr>
            <w:r>
              <w:rPr>
                <w:rFonts w:ascii="Arial" w:cs="Arial" w:eastAsia="Arial" w:hAnsi="Arial"/>
                <w:sz w:val="14"/>
                <w:szCs w:val="14"/>
                <w:color w:val="auto"/>
              </w:rPr>
              <w:t>(2,184)</w:t>
            </w:r>
          </w:p>
        </w:tc>
      </w:tr>
      <w:tr>
        <w:trPr>
          <w:trHeight w:val="199"/>
        </w:trPr>
        <w:tc>
          <w:tcPr>
            <w:tcW w:w="74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Claims unresolved at the end of period</w:t>
            </w:r>
          </w:p>
        </w:tc>
        <w:tc>
          <w:tcPr>
            <w:tcW w:w="1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4,954</w:t>
            </w:r>
          </w:p>
        </w:tc>
        <w:tc>
          <w:tcPr>
            <w:tcW w:w="240" w:type="dxa"/>
            <w:vAlign w:val="bottom"/>
            <w:tcBorders>
              <w:bottom w:val="single" w:sz="8" w:color="D7282F"/>
            </w:tcBorders>
          </w:tcPr>
          <w:p>
            <w:pPr>
              <w:spacing w:after="0"/>
              <w:rPr>
                <w:sz w:val="17"/>
                <w:szCs w:val="17"/>
                <w:color w:val="auto"/>
              </w:rPr>
            </w:pPr>
          </w:p>
        </w:tc>
        <w:tc>
          <w:tcPr>
            <w:tcW w:w="1760" w:type="dxa"/>
            <w:vAlign w:val="bottom"/>
            <w:tcBorders>
              <w:bottom w:val="single" w:sz="8" w:color="D7282F"/>
            </w:tcBorders>
          </w:tcPr>
          <w:p>
            <w:pPr>
              <w:jc w:val="center"/>
              <w:ind w:left="1208"/>
              <w:spacing w:after="0"/>
              <w:rPr>
                <w:sz w:val="20"/>
                <w:szCs w:val="20"/>
                <w:color w:val="auto"/>
              </w:rPr>
            </w:pPr>
            <w:r>
              <w:rPr>
                <w:rFonts w:ascii="Arial" w:cs="Arial" w:eastAsia="Arial" w:hAnsi="Arial"/>
                <w:sz w:val="14"/>
                <w:szCs w:val="14"/>
                <w:b w:val="1"/>
                <w:bCs w:val="1"/>
                <w:color w:val="auto"/>
              </w:rPr>
              <w:t>4,950</w:t>
            </w:r>
          </w:p>
        </w:tc>
      </w:tr>
      <w:tr>
        <w:trPr>
          <w:trHeight w:val="426"/>
        </w:trPr>
        <w:tc>
          <w:tcPr>
            <w:tcW w:w="74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Disease Distribution of Unresolved Claims</w:t>
            </w:r>
          </w:p>
        </w:tc>
        <w:tc>
          <w:tcPr>
            <w:tcW w:w="2060" w:type="dxa"/>
            <w:vAlign w:val="bottom"/>
            <w:tcBorders>
              <w:bottom w:val="single" w:sz="8" w:color="D7282F"/>
            </w:tcBorders>
            <w:gridSpan w:val="2"/>
          </w:tcPr>
          <w:p>
            <w:pPr>
              <w:ind w:left="420"/>
              <w:spacing w:after="0"/>
              <w:rPr>
                <w:sz w:val="20"/>
                <w:szCs w:val="20"/>
                <w:color w:val="auto"/>
              </w:rPr>
            </w:pPr>
            <w:r>
              <w:rPr>
                <w:rFonts w:ascii="Arial" w:cs="Arial" w:eastAsia="Arial" w:hAnsi="Arial"/>
                <w:sz w:val="14"/>
                <w:szCs w:val="14"/>
                <w:b w:val="1"/>
                <w:bCs w:val="1"/>
                <w:color w:val="auto"/>
              </w:rPr>
              <w:t>March 31, 2025</w:t>
            </w:r>
          </w:p>
        </w:tc>
        <w:tc>
          <w:tcPr>
            <w:tcW w:w="176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December 31, 2024</w:t>
            </w:r>
          </w:p>
        </w:tc>
      </w:tr>
      <w:tr>
        <w:trPr>
          <w:trHeight w:val="193"/>
        </w:trPr>
        <w:tc>
          <w:tcPr>
            <w:tcW w:w="7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Mesothelioma and other cancer claims</w:t>
            </w:r>
          </w:p>
        </w:tc>
        <w:tc>
          <w:tcPr>
            <w:tcW w:w="1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2,974</w:t>
            </w:r>
          </w:p>
        </w:tc>
        <w:tc>
          <w:tcPr>
            <w:tcW w:w="240" w:type="dxa"/>
            <w:vAlign w:val="bottom"/>
            <w:tcBorders>
              <w:bottom w:val="single" w:sz="8" w:color="61656A"/>
            </w:tcBorders>
          </w:tcPr>
          <w:p>
            <w:pPr>
              <w:spacing w:after="0"/>
              <w:rPr>
                <w:sz w:val="16"/>
                <w:szCs w:val="16"/>
                <w:color w:val="auto"/>
              </w:rPr>
            </w:pPr>
          </w:p>
        </w:tc>
        <w:tc>
          <w:tcPr>
            <w:tcW w:w="1760" w:type="dxa"/>
            <w:vAlign w:val="bottom"/>
            <w:tcBorders>
              <w:bottom w:val="single" w:sz="8" w:color="61656A"/>
            </w:tcBorders>
          </w:tcPr>
          <w:p>
            <w:pPr>
              <w:jc w:val="center"/>
              <w:ind w:left="1208"/>
              <w:spacing w:after="0"/>
              <w:rPr>
                <w:sz w:val="20"/>
                <w:szCs w:val="20"/>
                <w:color w:val="auto"/>
              </w:rPr>
            </w:pPr>
            <w:r>
              <w:rPr>
                <w:rFonts w:ascii="Arial" w:cs="Arial" w:eastAsia="Arial" w:hAnsi="Arial"/>
                <w:sz w:val="14"/>
                <w:szCs w:val="14"/>
                <w:color w:val="auto"/>
              </w:rPr>
              <w:t>2,923</w:t>
            </w:r>
          </w:p>
        </w:tc>
      </w:tr>
      <w:tr>
        <w:trPr>
          <w:trHeight w:val="196"/>
        </w:trPr>
        <w:tc>
          <w:tcPr>
            <w:tcW w:w="74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1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1,980</w:t>
            </w:r>
          </w:p>
        </w:tc>
        <w:tc>
          <w:tcPr>
            <w:tcW w:w="240" w:type="dxa"/>
            <w:vAlign w:val="bottom"/>
            <w:tcBorders>
              <w:bottom w:val="single" w:sz="8" w:color="D7282F"/>
            </w:tcBorders>
          </w:tcPr>
          <w:p>
            <w:pPr>
              <w:spacing w:after="0"/>
              <w:rPr>
                <w:sz w:val="17"/>
                <w:szCs w:val="17"/>
                <w:color w:val="auto"/>
              </w:rPr>
            </w:pPr>
          </w:p>
        </w:tc>
        <w:tc>
          <w:tcPr>
            <w:tcW w:w="1760" w:type="dxa"/>
            <w:vAlign w:val="bottom"/>
            <w:tcBorders>
              <w:bottom w:val="single" w:sz="8" w:color="D7282F"/>
            </w:tcBorders>
          </w:tcPr>
          <w:p>
            <w:pPr>
              <w:jc w:val="center"/>
              <w:ind w:left="1208"/>
              <w:spacing w:after="0"/>
              <w:rPr>
                <w:sz w:val="20"/>
                <w:szCs w:val="20"/>
                <w:color w:val="auto"/>
              </w:rPr>
            </w:pPr>
            <w:r>
              <w:rPr>
                <w:rFonts w:ascii="Arial" w:cs="Arial" w:eastAsia="Arial" w:hAnsi="Arial"/>
                <w:sz w:val="14"/>
                <w:szCs w:val="14"/>
                <w:color w:val="auto"/>
              </w:rPr>
              <w:t>2,027</w:t>
            </w:r>
          </w:p>
        </w:tc>
      </w:tr>
      <w:tr>
        <w:trPr>
          <w:trHeight w:val="199"/>
        </w:trPr>
        <w:tc>
          <w:tcPr>
            <w:tcW w:w="74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claims</w:t>
            </w:r>
          </w:p>
        </w:tc>
        <w:tc>
          <w:tcPr>
            <w:tcW w:w="1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4,954</w:t>
            </w:r>
          </w:p>
        </w:tc>
        <w:tc>
          <w:tcPr>
            <w:tcW w:w="240" w:type="dxa"/>
            <w:vAlign w:val="bottom"/>
            <w:tcBorders>
              <w:bottom w:val="single" w:sz="8" w:color="D7282F"/>
            </w:tcBorders>
          </w:tcPr>
          <w:p>
            <w:pPr>
              <w:spacing w:after="0"/>
              <w:rPr>
                <w:sz w:val="17"/>
                <w:szCs w:val="17"/>
                <w:color w:val="auto"/>
              </w:rPr>
            </w:pPr>
          </w:p>
        </w:tc>
        <w:tc>
          <w:tcPr>
            <w:tcW w:w="1760" w:type="dxa"/>
            <w:vAlign w:val="bottom"/>
            <w:tcBorders>
              <w:bottom w:val="single" w:sz="8" w:color="D7282F"/>
            </w:tcBorders>
          </w:tcPr>
          <w:p>
            <w:pPr>
              <w:jc w:val="center"/>
              <w:ind w:left="1208"/>
              <w:spacing w:after="0"/>
              <w:rPr>
                <w:sz w:val="20"/>
                <w:szCs w:val="20"/>
                <w:color w:val="auto"/>
              </w:rPr>
            </w:pPr>
            <w:r>
              <w:rPr>
                <w:rFonts w:ascii="Arial" w:cs="Arial" w:eastAsia="Arial" w:hAnsi="Arial"/>
                <w:sz w:val="14"/>
                <w:szCs w:val="14"/>
                <w:b w:val="1"/>
                <w:bCs w:val="1"/>
                <w:color w:val="auto"/>
              </w:rPr>
              <w:t>4,950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Honeywell experienced average resolution values per claim excluding legal costs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80" w:type="dxa"/>
            <w:vAlign w:val="bottom"/>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3000" w:type="dxa"/>
            <w:vAlign w:val="bottom"/>
            <w:tcBorders>
              <w:bottom w:val="single" w:sz="8" w:color="D7282F"/>
            </w:tcBorders>
            <w:gridSpan w:val="3"/>
          </w:tcPr>
          <w:p>
            <w:pPr>
              <w:jc w:val="center"/>
              <w:spacing w:after="0"/>
              <w:rPr>
                <w:sz w:val="20"/>
                <w:szCs w:val="20"/>
                <w:color w:val="auto"/>
              </w:rPr>
            </w:pPr>
            <w:r>
              <w:rPr>
                <w:rFonts w:ascii="Arial" w:cs="Arial" w:eastAsia="Arial" w:hAnsi="Arial"/>
                <w:sz w:val="14"/>
                <w:szCs w:val="14"/>
                <w:b w:val="1"/>
                <w:bCs w:val="1"/>
                <w:color w:val="auto"/>
              </w:rPr>
              <w:t>Years Ended December 31,</w:t>
            </w:r>
          </w:p>
        </w:tc>
        <w:tc>
          <w:tcPr>
            <w:tcW w:w="900" w:type="dxa"/>
            <w:vAlign w:val="bottom"/>
            <w:tcBorders>
              <w:bottom w:val="single" w:sz="8" w:color="D7282F"/>
            </w:tcBorders>
          </w:tcPr>
          <w:p>
            <w:pPr>
              <w:spacing w:after="0"/>
              <w:rPr>
                <w:sz w:val="17"/>
                <w:szCs w:val="17"/>
                <w:color w:val="auto"/>
              </w:rPr>
            </w:pPr>
          </w:p>
        </w:tc>
      </w:tr>
      <w:tr>
        <w:trPr>
          <w:trHeight w:val="196"/>
        </w:trPr>
        <w:tc>
          <w:tcPr>
            <w:tcW w:w="6480" w:type="dxa"/>
            <w:vAlign w:val="bottom"/>
          </w:tcPr>
          <w:p>
            <w:pPr>
              <w:spacing w:after="0"/>
              <w:rPr>
                <w:sz w:val="17"/>
                <w:szCs w:val="17"/>
                <w:color w:val="auto"/>
              </w:rPr>
            </w:pPr>
          </w:p>
        </w:tc>
        <w:tc>
          <w:tcPr>
            <w:tcW w:w="86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8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124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2020</w:t>
            </w:r>
          </w:p>
        </w:tc>
      </w:tr>
      <w:tr>
        <w:trPr>
          <w:trHeight w:val="196"/>
        </w:trPr>
        <w:tc>
          <w:tcPr>
            <w:tcW w:w="648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(in whole dollars)</w:t>
            </w:r>
          </w:p>
        </w:tc>
        <w:tc>
          <w:tcPr>
            <w:tcW w:w="8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spacing w:after="0"/>
              <w:rPr>
                <w:sz w:val="17"/>
                <w:szCs w:val="17"/>
                <w:color w:val="auto"/>
              </w:rPr>
            </w:pPr>
          </w:p>
        </w:tc>
      </w:tr>
      <w:tr>
        <w:trPr>
          <w:trHeight w:val="193"/>
        </w:trPr>
        <w:tc>
          <w:tcPr>
            <w:tcW w:w="6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Mesothelioma and other cancer claims</w:t>
            </w: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  79,900</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66,200</w:t>
            </w:r>
          </w:p>
        </w:tc>
        <w:tc>
          <w:tcPr>
            <w:tcW w:w="124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  59,200</w:t>
            </w:r>
          </w:p>
        </w:tc>
        <w:tc>
          <w:tcPr>
            <w:tcW w:w="8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  56,000</w:t>
            </w: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61,500</w:t>
            </w:r>
          </w:p>
        </w:tc>
      </w:tr>
      <w:tr>
        <w:trPr>
          <w:trHeight w:val="196"/>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1,100</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1,730</w:t>
            </w:r>
          </w:p>
        </w:tc>
        <w:tc>
          <w:tcPr>
            <w:tcW w:w="124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520</w:t>
            </w:r>
          </w:p>
        </w:tc>
        <w:tc>
          <w:tcPr>
            <w:tcW w:w="8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400</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550</w:t>
            </w:r>
          </w:p>
        </w:tc>
      </w:tr>
    </w:tbl>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Consolidated Financial Statements reflect an estimated liability for resolution of asserted (claims filed as of the financial statement date) and unasserted Bendix-related asbestos claims, which exclude the Company’s ongoing legal fees to defend such asbestos claims which will continue to be expensed as they are incurred.</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average resolution values in the tort system over a defined look-back period. The Company valued Bendix asserted and unasserted claims using average resolution values for the previous two years. The Company reviews the valuation assumptions and average resolution values used to estimate the cost of Bendix asserted and unasserted claims during the fourth quarter each year.</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Company's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the Company's ongoing analysis of the probable insurance recovery, insurance receivables are recorded in the financial statements simultaneous with the recording of the estimated liability for the underlying asbestos claims. This determination is based on the Company's analysis of the underlying insurance policies, historical experience with insurers, ongoing review of the solvency of insurers, judicial determinations relevant to insurance programs, and consideration of the impacts of any settlements reached with the Company's insurers.</w:t>
      </w:r>
    </w:p>
    <w:p>
      <w:pPr>
        <w:spacing w:after="0" w:line="200" w:lineRule="exact"/>
        <w:rPr>
          <w:sz w:val="20"/>
          <w:szCs w:val="20"/>
          <w:color w:val="auto"/>
        </w:rPr>
      </w:pPr>
    </w:p>
    <w:p>
      <w:pPr>
        <w:spacing w:after="0" w:line="208"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SEC MATTER</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is cooperating with a formal investigation by the Securities and Exchange Commission (SEC) which is primarily focused on certain accounting matters with respect to the Company's former Performance Materials and Technologies segment. At this time, the Company does not expect the outcome of this matter to have a material adverse effect on the Company's consolidated results of operations, cash flows, or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PETROBRAS AND UNAOIL MATTERS</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December 19, 2022, the Company reached a comprehensive resolution to the investigations by the U.S. Department of Justice (DOJ), the SEC, and certain Brazilian authorities (Brazilian Authorities) relating to the Company's use of third parties who previously worked for the Company's UOP business in Brazil in relation to a project awarded in 2010 for Petróleo Brasileiro S.A. (Petrobras). The investigations focused on the Company’s compliance with the U.S. Foreign Corrupt Practices Act and similar Brazilian laws (UOP Matters). The comprehensive resolution also resolves DOJ and SEC investigations relating to a matter involving a foreign subsidiary’s prior contract with Unaoil S.A.M. in Algeria executed in 2011 (the Unaoil Matter).</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comprehensive resolution, (i) the Company agreed to pay a total equivalent of $203 million, which payment occurred in January 2023, to the DOJ, the SEC, and the Brazilian Authorities, collectively, in penalties, disgorgement, and prejudgment interest, (ii) the Company’s subsidiary, UOP, LLC (UOP), entered into a three-year Deferred Prosecution Agreement (DPA) with the DOJ for charges related to the UOP Matters, (iii) UOP entered into leniency agreements with the Brazilian Authorities related to the UOP Matter in Brazil, and (iv) the Company entered into an agreement with the SEC that resolves allegations relating to the UOP Matters and the Unaoil Matter. Pursuant to these agreements, the Company agreed to undertake certain compliance measures and compliance reporting obligations. These agreements entirely resolved the Petrobras and Unaoil investigations.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MATTERS</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is subject to a number of other lawsuits, investigations, and disputes (some of which involve substantial amounts claimed) arising out of the conduct of the Company's business, including matters relating to commercial transactions, government contracts, product liability, prior acquisitions and divestitures, employee benefit plans, intellectual property, and environmental, health, and safety matters. The Company recognizes liabilities for any contingency that is probable of occurrence and reasonably estimable. The Company continually assesses the likelihood of adverse judgments or outcomes in such matters, as well as potential ranges of probable losses (taking into consideration any insurance recoveries), based on a careful analysis of each matter with the assistance of outside legal counsel and, if applicable, other experts.</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Given the uncertainty inherent in litigation and investigations, including those discussed in this Note 15, the Company cannot predict when or how these matters will be resolved and does not believe it is possible to develop estimates of reasonably possible loss (or a range of possible loss) in excess of current accruals for commitment and contingency matters. Considering the Company's past experience and existing accruals, the Company does not expect the outcome of such matters, either individually or in the aggregate, to have a material adverse effect on the Company's consolidated financial position. Because most contingencies are resolved over long periods of time, potential liabilities are subject to change due to new developments, changes in settlement strategy or the impact of evidentiary requirements, which could cause the Company to pay damage awards or settlements (or become subject to equitable remedies) that could have a material adverse effect on the Company's consolidated results of operations or operating cash flows in the periods recognized or paid.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9"/>
          <w:szCs w:val="29"/>
          <w:color w:val="D7282F"/>
        </w:rPr>
        <w:t>NOTE 16. PENSION BENEFITS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Net periodic pension benefit (income) cost for the Company's significant pension plans included the following components: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8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U.S. Plans</w:t>
            </w:r>
          </w:p>
        </w:tc>
        <w:tc>
          <w:tcPr>
            <w:tcW w:w="600" w:type="dxa"/>
            <w:vAlign w:val="bottom"/>
            <w:tcBorders>
              <w:bottom w:val="single" w:sz="8" w:color="D7282F"/>
            </w:tcBorders>
          </w:tcPr>
          <w:p>
            <w:pPr>
              <w:spacing w:after="0"/>
              <w:rPr>
                <w:sz w:val="17"/>
                <w:szCs w:val="17"/>
                <w:color w:val="auto"/>
              </w:rPr>
            </w:pPr>
          </w:p>
        </w:tc>
      </w:tr>
      <w:tr>
        <w:trPr>
          <w:trHeight w:val="174"/>
        </w:trPr>
        <w:tc>
          <w:tcPr>
            <w:tcW w:w="9280" w:type="dxa"/>
            <w:vAlign w:val="bottom"/>
          </w:tcPr>
          <w:p>
            <w:pPr>
              <w:spacing w:after="0"/>
              <w:rPr>
                <w:sz w:val="15"/>
                <w:szCs w:val="15"/>
                <w:color w:val="auto"/>
              </w:rPr>
            </w:pPr>
          </w:p>
        </w:tc>
        <w:tc>
          <w:tcPr>
            <w:tcW w:w="196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March</w:t>
            </w:r>
          </w:p>
        </w:tc>
      </w:tr>
      <w:tr>
        <w:trPr>
          <w:trHeight w:val="185"/>
        </w:trPr>
        <w:tc>
          <w:tcPr>
            <w:tcW w:w="928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50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31,</w:t>
            </w:r>
          </w:p>
        </w:tc>
        <w:tc>
          <w:tcPr>
            <w:tcW w:w="600" w:type="dxa"/>
            <w:vAlign w:val="bottom"/>
            <w:tcBorders>
              <w:bottom w:val="single" w:sz="8" w:color="D7282F"/>
            </w:tcBorders>
          </w:tcPr>
          <w:p>
            <w:pPr>
              <w:spacing w:after="0"/>
              <w:rPr>
                <w:sz w:val="16"/>
                <w:szCs w:val="16"/>
                <w:color w:val="auto"/>
              </w:rPr>
            </w:pPr>
          </w:p>
        </w:tc>
      </w:tr>
      <w:tr>
        <w:trPr>
          <w:trHeight w:val="236"/>
        </w:trPr>
        <w:tc>
          <w:tcPr>
            <w:tcW w:w="9280" w:type="dxa"/>
            <w:vAlign w:val="bottom"/>
            <w:tcBorders>
              <w:bottom w:val="single" w:sz="8" w:color="D7282F"/>
            </w:tcBorders>
          </w:tcPr>
          <w:p>
            <w:pPr>
              <w:spacing w:after="0"/>
              <w:rPr>
                <w:sz w:val="20"/>
                <w:szCs w:val="20"/>
                <w:color w:val="auto"/>
              </w:rPr>
            </w:pPr>
          </w:p>
        </w:tc>
        <w:tc>
          <w:tcPr>
            <w:tcW w:w="18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w w:val="96"/>
              </w:rPr>
              <w:t>2024</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 cost</w:t>
            </w:r>
          </w:p>
        </w:tc>
        <w:tc>
          <w:tcPr>
            <w:tcW w:w="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c>
          <w:tcPr>
            <w:tcW w:w="5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cost</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147</w:t>
            </w:r>
          </w:p>
        </w:tc>
        <w:tc>
          <w:tcPr>
            <w:tcW w:w="5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(289)</w:t>
            </w:r>
          </w:p>
        </w:tc>
        <w:tc>
          <w:tcPr>
            <w:tcW w:w="5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(281)</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Amortization of prior service (credit) cost</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periodic benefit (income) cost</w:t>
            </w:r>
          </w:p>
        </w:tc>
        <w:tc>
          <w:tcPr>
            <w:tcW w:w="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(135)</w:t>
            </w:r>
          </w:p>
        </w:tc>
        <w:tc>
          <w:tcPr>
            <w:tcW w:w="5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(126)</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27</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8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1780" w:type="dxa"/>
            <w:vAlign w:val="bottom"/>
            <w:tcBorders>
              <w:bottom w:val="single" w:sz="8" w:color="D7282F"/>
            </w:tcBorders>
            <w:gridSpan w:val="3"/>
          </w:tcPr>
          <w:p>
            <w:pPr>
              <w:jc w:val="right"/>
              <w:ind w:right="388"/>
              <w:spacing w:after="0"/>
              <w:rPr>
                <w:sz w:val="20"/>
                <w:szCs w:val="20"/>
                <w:color w:val="auto"/>
              </w:rPr>
            </w:pPr>
            <w:r>
              <w:rPr>
                <w:rFonts w:ascii="Arial" w:cs="Arial" w:eastAsia="Arial" w:hAnsi="Arial"/>
                <w:sz w:val="14"/>
                <w:szCs w:val="14"/>
                <w:b w:val="1"/>
                <w:bCs w:val="1"/>
                <w:color w:val="auto"/>
              </w:rPr>
              <w:t>Non-U.S. Plans</w:t>
            </w:r>
          </w:p>
        </w:tc>
      </w:tr>
      <w:tr>
        <w:trPr>
          <w:trHeight w:val="174"/>
        </w:trPr>
        <w:tc>
          <w:tcPr>
            <w:tcW w:w="9280" w:type="dxa"/>
            <w:vAlign w:val="bottom"/>
          </w:tcPr>
          <w:p>
            <w:pPr>
              <w:spacing w:after="0"/>
              <w:rPr>
                <w:sz w:val="15"/>
                <w:szCs w:val="15"/>
                <w:color w:val="auto"/>
              </w:rPr>
            </w:pPr>
          </w:p>
        </w:tc>
        <w:tc>
          <w:tcPr>
            <w:tcW w:w="196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March</w:t>
            </w:r>
          </w:p>
        </w:tc>
      </w:tr>
      <w:tr>
        <w:trPr>
          <w:trHeight w:val="185"/>
        </w:trPr>
        <w:tc>
          <w:tcPr>
            <w:tcW w:w="928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31,</w:t>
            </w:r>
          </w:p>
        </w:tc>
        <w:tc>
          <w:tcPr>
            <w:tcW w:w="680" w:type="dxa"/>
            <w:vAlign w:val="bottom"/>
            <w:tcBorders>
              <w:bottom w:val="single" w:sz="8" w:color="D7282F"/>
            </w:tcBorders>
          </w:tcPr>
          <w:p>
            <w:pPr>
              <w:spacing w:after="0"/>
              <w:rPr>
                <w:sz w:val="16"/>
                <w:szCs w:val="16"/>
                <w:color w:val="auto"/>
              </w:rPr>
            </w:pPr>
          </w:p>
        </w:tc>
      </w:tr>
      <w:tr>
        <w:trPr>
          <w:trHeight w:val="235"/>
        </w:trPr>
        <w:tc>
          <w:tcPr>
            <w:tcW w:w="9280" w:type="dxa"/>
            <w:vAlign w:val="bottom"/>
            <w:tcBorders>
              <w:bottom w:val="single" w:sz="8" w:color="D7282F"/>
            </w:tcBorders>
          </w:tcPr>
          <w:p>
            <w:pPr>
              <w:spacing w:after="0"/>
              <w:rPr>
                <w:sz w:val="20"/>
                <w:szCs w:val="20"/>
                <w:color w:val="auto"/>
              </w:rPr>
            </w:pPr>
          </w:p>
        </w:tc>
        <w:tc>
          <w:tcPr>
            <w:tcW w:w="18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 cost</w:t>
            </w:r>
          </w:p>
        </w:tc>
        <w:tc>
          <w:tcPr>
            <w:tcW w:w="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4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cost</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(73)</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(74)</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Recognition of actuarial (gains) losses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9280" w:type="dxa"/>
            <w:vAlign w:val="bottom"/>
            <w:tcBorders>
              <w:bottom w:val="single" w:sz="8" w:color="DC202E"/>
            </w:tcBorders>
          </w:tcPr>
          <w:p>
            <w:pPr>
              <w:ind w:left="140"/>
              <w:spacing w:after="0"/>
              <w:rPr>
                <w:sz w:val="20"/>
                <w:szCs w:val="20"/>
                <w:color w:val="auto"/>
              </w:rPr>
            </w:pPr>
            <w:r>
              <w:rPr>
                <w:rFonts w:ascii="Arial" w:cs="Arial" w:eastAsia="Arial" w:hAnsi="Arial"/>
                <w:sz w:val="14"/>
                <w:szCs w:val="14"/>
                <w:b w:val="1"/>
                <w:bCs w:val="1"/>
                <w:color w:val="auto"/>
              </w:rPr>
              <w:t>Net periodic benefit (income) cost</w:t>
            </w:r>
          </w:p>
        </w:tc>
        <w:tc>
          <w:tcPr>
            <w:tcW w:w="180" w:type="dxa"/>
            <w:vAlign w:val="bottom"/>
            <w:tcBorders>
              <w:bottom w:val="single" w:sz="8" w:color="DC202E"/>
            </w:tcBorders>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(11)</w:t>
            </w:r>
          </w:p>
        </w:tc>
        <w:tc>
          <w:tcPr>
            <w:tcW w:w="42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(24)</w:t>
            </w:r>
          </w:p>
        </w:tc>
      </w:tr>
    </w:tbl>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repurchased $200 million of outstanding Honeywell shares of common stock from the Honeywell U.S. Pension Plan Master Trust during the three months ended March 31, 2025. The Company completed no repurchases of outstanding Honeywell shares of common stock from the Honeywell U.S. Pension Plan Master Trust during the three months ended March 31, 2024.</w:t>
      </w: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color w:val="D7282F"/>
        </w:rPr>
        <w:t>NOTE 17. OTHER (INCOME) EXPENSE</w:t>
      </w:r>
    </w:p>
    <w:p>
      <w:pPr>
        <w:spacing w:after="0" w:line="285"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80" w:type="dxa"/>
            <w:vAlign w:val="bottom"/>
            <w:tcBorders>
              <w:bottom w:val="single" w:sz="8" w:color="D7282F"/>
            </w:tcBorders>
          </w:tcPr>
          <w:p>
            <w:pPr>
              <w:spacing w:after="0"/>
              <w:rPr>
                <w:sz w:val="17"/>
                <w:szCs w:val="17"/>
                <w:color w:val="auto"/>
              </w:rPr>
            </w:pPr>
          </w:p>
        </w:tc>
        <w:tc>
          <w:tcPr>
            <w:tcW w:w="180" w:type="dxa"/>
            <w:vAlign w:val="bottom"/>
            <w:tcBorders>
              <w:top w:val="single" w:sz="8" w:color="D7282F"/>
              <w:bottom w:val="single" w:sz="8" w:color="D7282F"/>
            </w:tcBorders>
          </w:tcPr>
          <w:p>
            <w:pPr>
              <w:spacing w:after="0"/>
              <w:rPr>
                <w:sz w:val="17"/>
                <w:szCs w:val="17"/>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D7282F"/>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income</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(105)</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Pension ongoing income—non-service</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(161)</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postretirement income—non-service</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Equity income of affiliated companies</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(17)</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exchange (gain) loss</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Divestiture-related costs</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48</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Acquisition-related costs</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Expense related to Russia-Ukraine conflict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net</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8</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Other (income) expense</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(200)</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5 </w:t>
      </w:r>
      <w:r>
        <w:rPr>
          <w:rFonts w:ascii="Arial" w:cs="Arial" w:eastAsia="Arial" w:hAnsi="Arial"/>
          <w:sz w:val="16"/>
          <w:szCs w:val="16"/>
          <w:u w:val="single" w:color="auto"/>
          <w:color w:val="0000FF"/>
        </w:rPr>
        <w:t>Repositioning and Other Charges</w:t>
      </w:r>
      <w:r>
        <w:rPr>
          <w:rFonts w:ascii="Arial" w:cs="Arial" w:eastAsia="Arial" w:hAnsi="Arial"/>
          <w:sz w:val="16"/>
          <w:szCs w:val="16"/>
          <w:color w:val="auto"/>
        </w:rPr>
        <w:t xml:space="preserve"> for further discussion of the expense related to the Russia-Ukraine conflict.</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D7282F"/>
        </w:rPr>
        <w:t>NOTE 18. SEGMENT FINANCIAL DATA</w:t>
      </w:r>
    </w:p>
    <w:p>
      <w:pPr>
        <w:spacing w:after="0" w:line="2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Honeywell globally manages its business operations through four reportable business segments. Segment information is consistent with how the Chairman and Chief Executive Officer, who is the Company's chief operating decision maker, and management reviews the businesses, makes investing and resource allocation decisions, and assesses operating performance.</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Effective during the second quarter of 2024, the Company updated its calculation of segment profit to exclude the impact of amortization expense for acquisition-related intangible assets and certain acquisition-related costs. </w:t>
      </w:r>
      <w:r>
        <w:rPr>
          <w:rFonts w:ascii="Arial" w:cs="Arial" w:eastAsia="Arial" w:hAnsi="Arial"/>
          <w:sz w:val="16"/>
          <w:szCs w:val="16"/>
          <w:color w:val="212529"/>
        </w:rPr>
        <w:t>The Company recast historical periods to reflect segment profit</w:t>
      </w:r>
      <w:r>
        <w:rPr>
          <w:rFonts w:ascii="Arial" w:cs="Arial" w:eastAsia="Arial" w:hAnsi="Arial"/>
          <w:sz w:val="16"/>
          <w:szCs w:val="16"/>
          <w:color w:val="auto"/>
        </w:rPr>
        <w:t xml:space="preserve"> under this new basis to facilitate comparability. In the third quarter of 2024, the Company clarified its calculation of segment profit to exclude divestiture-related costs and impairments.</w:t>
      </w:r>
    </w:p>
    <w:p>
      <w:pPr>
        <w:spacing w:after="0" w:line="6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Honeywell’s senior management evaluates segment performance based on segment profit. Each segment’s profit is measured as segment income (loss) before taxes excluding general corporate unallocated expense, interest and other financial charges, interest income, amortization of acquisition-related intangibles, certain acquisition- and divestiture-related costs, impairment of assets held for sale, stock compensation expense, pension and other postretirement income (expense), repositioning and other charges, and other items within Other (income) expense.</w:t>
      </w:r>
    </w:p>
    <w:p>
      <w:pPr>
        <w:spacing w:after="0" w:line="399" w:lineRule="exact"/>
        <w:rPr>
          <w:sz w:val="20"/>
          <w:szCs w:val="20"/>
          <w:color w:val="auto"/>
        </w:rPr>
      </w:pPr>
    </w:p>
    <w:p>
      <w:pPr>
        <w:ind w:left="400" w:hanging="392"/>
        <w:spacing w:after="0"/>
        <w:tabs>
          <w:tab w:leader="none" w:pos="400" w:val="left"/>
        </w:tabs>
        <w:numPr>
          <w:ilvl w:val="0"/>
          <w:numId w:val="2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Aerospace</w:t>
            </w:r>
          </w:p>
        </w:tc>
        <w:tc>
          <w:tcPr>
            <w:tcW w:w="260" w:type="dxa"/>
            <w:vAlign w:val="bottom"/>
          </w:tcPr>
          <w:p>
            <w:pPr>
              <w:spacing w:after="0"/>
              <w:rPr>
                <w:sz w:val="14"/>
                <w:szCs w:val="14"/>
                <w:color w:val="auto"/>
              </w:rPr>
            </w:pP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Industrial</w:t>
            </w:r>
          </w:p>
        </w:tc>
        <w:tc>
          <w:tcPr>
            <w:tcW w:w="260" w:type="dxa"/>
            <w:vAlign w:val="bottom"/>
          </w:tcPr>
          <w:p>
            <w:pPr>
              <w:spacing w:after="0"/>
              <w:rPr>
                <w:sz w:val="14"/>
                <w:szCs w:val="14"/>
                <w:color w:val="auto"/>
              </w:rPr>
            </w:pPr>
          </w:p>
        </w:tc>
        <w:tc>
          <w:tcPr>
            <w:tcW w:w="10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Building</w:t>
            </w:r>
          </w:p>
        </w:tc>
        <w:tc>
          <w:tcPr>
            <w:tcW w:w="260" w:type="dxa"/>
            <w:vAlign w:val="bottom"/>
          </w:tcPr>
          <w:p>
            <w:pPr>
              <w:spacing w:after="0"/>
              <w:rPr>
                <w:sz w:val="14"/>
                <w:szCs w:val="14"/>
                <w:color w:val="auto"/>
              </w:rPr>
            </w:pPr>
          </w:p>
        </w:tc>
        <w:tc>
          <w:tcPr>
            <w:tcW w:w="1240" w:type="dxa"/>
            <w:vAlign w:val="bottom"/>
          </w:tcPr>
          <w:p>
            <w:pPr>
              <w:jc w:val="center"/>
              <w:ind w:right="148"/>
              <w:spacing w:after="0"/>
              <w:rPr>
                <w:sz w:val="20"/>
                <w:szCs w:val="20"/>
                <w:color w:val="auto"/>
              </w:rPr>
            </w:pPr>
            <w:r>
              <w:rPr>
                <w:rFonts w:ascii="Arial" w:cs="Arial" w:eastAsia="Arial" w:hAnsi="Arial"/>
                <w:sz w:val="14"/>
                <w:szCs w:val="14"/>
                <w:b w:val="1"/>
                <w:bCs w:val="1"/>
                <w:color w:val="auto"/>
              </w:rPr>
              <w:t>Energy and</w:t>
            </w:r>
          </w:p>
        </w:tc>
        <w:tc>
          <w:tcPr>
            <w:tcW w:w="260" w:type="dxa"/>
            <w:vAlign w:val="bottom"/>
          </w:tcPr>
          <w:p>
            <w:pPr>
              <w:spacing w:after="0"/>
              <w:rPr>
                <w:sz w:val="14"/>
                <w:szCs w:val="14"/>
                <w:color w:val="auto"/>
              </w:rPr>
            </w:pPr>
          </w:p>
        </w:tc>
        <w:tc>
          <w:tcPr>
            <w:tcW w:w="9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4"/>
                <w:szCs w:val="14"/>
                <w:color w:val="auto"/>
              </w:rPr>
            </w:pPr>
          </w:p>
        </w:tc>
        <w:tc>
          <w:tcPr>
            <w:tcW w:w="9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March 31, 2025</w:t>
            </w: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148"/>
              <w:spacing w:after="0" w:line="145" w:lineRule="exact"/>
              <w:rPr>
                <w:sz w:val="20"/>
                <w:szCs w:val="20"/>
                <w:color w:val="auto"/>
              </w:rPr>
            </w:pPr>
            <w:r>
              <w:rPr>
                <w:rFonts w:ascii="Arial" w:cs="Arial" w:eastAsia="Arial" w:hAnsi="Arial"/>
                <w:sz w:val="14"/>
                <w:szCs w:val="14"/>
                <w:b w:val="1"/>
                <w:bCs w:val="1"/>
                <w:color w:val="auto"/>
              </w:rPr>
              <w:t>Sustainability</w:t>
            </w: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60" w:type="dxa"/>
            <w:vAlign w:val="bottom"/>
            <w:tcBorders>
              <w:bottom w:val="single" w:sz="8" w:color="D7282F"/>
            </w:tcBorders>
            <w:vMerge w:val="continue"/>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Technologies</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Automation</w:t>
            </w:r>
          </w:p>
        </w:tc>
        <w:tc>
          <w:tcPr>
            <w:tcW w:w="26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Automation</w:t>
            </w:r>
          </w:p>
        </w:tc>
        <w:tc>
          <w:tcPr>
            <w:tcW w:w="26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Solutions</w:t>
            </w:r>
          </w:p>
        </w:tc>
        <w:tc>
          <w:tcPr>
            <w:tcW w:w="1240" w:type="dxa"/>
            <w:vAlign w:val="bottom"/>
            <w:tcBorders>
              <w:bottom w:val="single" w:sz="8" w:color="D7282F"/>
            </w:tcBorders>
            <w:gridSpan w:val="2"/>
          </w:tcPr>
          <w:p>
            <w:pPr>
              <w:jc w:val="right"/>
              <w:ind w:right="88"/>
              <w:spacing w:after="0"/>
              <w:rPr>
                <w:sz w:val="20"/>
                <w:szCs w:val="20"/>
                <w:color w:val="auto"/>
              </w:rPr>
            </w:pPr>
            <w:r>
              <w:rPr>
                <w:rFonts w:ascii="Arial" w:cs="Arial" w:eastAsia="Arial" w:hAnsi="Arial"/>
                <w:sz w:val="14"/>
                <w:szCs w:val="14"/>
                <w:b w:val="1"/>
                <w:bCs w:val="1"/>
                <w:color w:val="auto"/>
              </w:rPr>
              <w:t>and All Other</w:t>
            </w:r>
          </w:p>
        </w:tc>
        <w:tc>
          <w:tcPr>
            <w:tcW w:w="2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Honeywell</w:t>
            </w:r>
          </w:p>
        </w:tc>
        <w:tc>
          <w:tcPr>
            <w:tcW w:w="0" w:type="dxa"/>
            <w:vAlign w:val="bottom"/>
          </w:tcPr>
          <w:p>
            <w:pPr>
              <w:spacing w:after="0"/>
              <w:rPr>
                <w:sz w:val="1"/>
                <w:szCs w:val="1"/>
                <w:color w:val="auto"/>
              </w:rPr>
            </w:pPr>
          </w:p>
        </w:tc>
      </w:tr>
      <w:tr>
        <w:trPr>
          <w:trHeight w:val="195"/>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300" w:type="dxa"/>
            <w:vAlign w:val="bottom"/>
            <w:tcBorders>
              <w:bottom w:val="single" w:sz="8" w:color="888B8D"/>
            </w:tcBorders>
          </w:tcPr>
          <w:p>
            <w:pPr>
              <w:spacing w:after="0"/>
              <w:rPr>
                <w:sz w:val="16"/>
                <w:szCs w:val="16"/>
                <w:color w:val="auto"/>
              </w:rPr>
            </w:pPr>
          </w:p>
        </w:tc>
        <w:tc>
          <w:tcPr>
            <w:tcW w:w="11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2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Products</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2,365</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1,644</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1,208</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1,428</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6,645</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1,807</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734</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484</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133</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19</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3,177</w:t>
            </w:r>
          </w:p>
        </w:tc>
        <w:tc>
          <w:tcPr>
            <w:tcW w:w="0" w:type="dxa"/>
            <w:vAlign w:val="bottom"/>
          </w:tcPr>
          <w:p>
            <w:pPr>
              <w:spacing w:after="0"/>
              <w:rPr>
                <w:sz w:val="1"/>
                <w:szCs w:val="1"/>
                <w:color w:val="auto"/>
              </w:rPr>
            </w:pPr>
          </w:p>
        </w:tc>
      </w:tr>
      <w:tr>
        <w:trPr>
          <w:trHeight w:val="199"/>
        </w:trPr>
        <w:tc>
          <w:tcPr>
            <w:tcW w:w="31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sales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4,172</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2,378</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1,692</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1,561</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9,822</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Less</w:t>
            </w:r>
          </w:p>
        </w:tc>
        <w:tc>
          <w:tcPr>
            <w:tcW w:w="30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2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Cost of products and services sold</w:t>
            </w:r>
          </w:p>
        </w:tc>
        <w:tc>
          <w:tcPr>
            <w:tcW w:w="300" w:type="dxa"/>
            <w:vAlign w:val="bottom"/>
            <w:tcBorders>
              <w:bottom w:val="single" w:sz="8" w:color="888B8D"/>
            </w:tcBorders>
          </w:tcPr>
          <w:p>
            <w:pPr>
              <w:spacing w:after="0"/>
              <w:rPr>
                <w:sz w:val="16"/>
                <w:szCs w:val="16"/>
                <w:color w:val="auto"/>
              </w:rPr>
            </w:pP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2,592</w:t>
            </w: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1,384</w:t>
            </w:r>
          </w:p>
        </w:tc>
        <w:tc>
          <w:tcPr>
            <w:tcW w:w="260" w:type="dxa"/>
            <w:vAlign w:val="bottom"/>
            <w:tcBorders>
              <w:bottom w:val="single" w:sz="8" w:color="888B8D"/>
            </w:tcBorders>
          </w:tcPr>
          <w:p>
            <w:pPr>
              <w:spacing w:after="0"/>
              <w:rPr>
                <w:sz w:val="16"/>
                <w:szCs w:val="16"/>
                <w:color w:val="auto"/>
              </w:rPr>
            </w:pP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868</w:t>
            </w:r>
          </w:p>
        </w:tc>
        <w:tc>
          <w:tcPr>
            <w:tcW w:w="260" w:type="dxa"/>
            <w:vAlign w:val="bottom"/>
            <w:tcBorders>
              <w:bottom w:val="single" w:sz="8" w:color="888B8D"/>
            </w:tcBorders>
          </w:tcPr>
          <w:p>
            <w:pPr>
              <w:spacing w:after="0"/>
              <w:rPr>
                <w:sz w:val="16"/>
                <w:szCs w:val="16"/>
                <w:color w:val="auto"/>
              </w:rPr>
            </w:pP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982</w:t>
            </w:r>
          </w:p>
        </w:tc>
        <w:tc>
          <w:tcPr>
            <w:tcW w:w="26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188</w:t>
            </w: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366</w:t>
            </w:r>
          </w:p>
        </w:tc>
        <w:tc>
          <w:tcPr>
            <w:tcW w:w="260" w:type="dxa"/>
            <w:vAlign w:val="bottom"/>
            <w:tcBorders>
              <w:bottom w:val="single" w:sz="8" w:color="888B8D"/>
            </w:tcBorders>
          </w:tcPr>
          <w:p>
            <w:pPr>
              <w:spacing w:after="0"/>
              <w:rPr>
                <w:sz w:val="17"/>
                <w:szCs w:val="17"/>
                <w:color w:val="auto"/>
              </w:rPr>
            </w:pP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275</w:t>
            </w:r>
          </w:p>
        </w:tc>
        <w:tc>
          <w:tcPr>
            <w:tcW w:w="260" w:type="dxa"/>
            <w:vAlign w:val="bottom"/>
            <w:tcBorders>
              <w:bottom w:val="single" w:sz="8" w:color="888B8D"/>
            </w:tcBorders>
          </w:tcPr>
          <w:p>
            <w:pPr>
              <w:spacing w:after="0"/>
              <w:rPr>
                <w:sz w:val="17"/>
                <w:szCs w:val="17"/>
                <w:color w:val="auto"/>
              </w:rPr>
            </w:pP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136</w:t>
            </w: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60" w:type="dxa"/>
            <w:vAlign w:val="bottom"/>
            <w:tcBorders>
              <w:bottom w:val="single" w:sz="8" w:color="D7282F"/>
            </w:tcBorders>
          </w:tcPr>
          <w:p>
            <w:pPr>
              <w:ind w:left="140"/>
              <w:spacing w:after="0" w:line="200" w:lineRule="exact"/>
              <w:rPr>
                <w:sz w:val="20"/>
                <w:szCs w:val="20"/>
                <w:color w:val="auto"/>
              </w:rPr>
            </w:pPr>
            <w:r>
              <w:rPr>
                <w:rFonts w:ascii="Arial" w:cs="Arial" w:eastAsia="Arial" w:hAnsi="Arial"/>
                <w:sz w:val="14"/>
                <w:szCs w:val="14"/>
                <w:color w:val="auto"/>
              </w:rPr>
              <w:t>Other segment items</w:t>
            </w:r>
            <w:r>
              <w:rPr>
                <w:rFonts w:ascii="Arial" w:cs="Arial" w:eastAsia="Arial" w:hAnsi="Arial"/>
                <w:sz w:val="18"/>
                <w:szCs w:val="18"/>
                <w:color w:val="auto"/>
                <w:vertAlign w:val="superscript"/>
              </w:rPr>
              <w:t>1</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293</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204</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109</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97</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Segment profit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1,099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424</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440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346</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2,258</w:t>
            </w:r>
          </w:p>
        </w:tc>
        <w:tc>
          <w:tcPr>
            <w:tcW w:w="0" w:type="dxa"/>
            <w:vAlign w:val="bottom"/>
          </w:tcPr>
          <w:p>
            <w:pPr>
              <w:spacing w:after="0"/>
              <w:rPr>
                <w:sz w:val="1"/>
                <w:szCs w:val="1"/>
                <w:color w:val="auto"/>
              </w:rPr>
            </w:pPr>
          </w:p>
        </w:tc>
      </w:tr>
      <w:tr>
        <w:trPr>
          <w:trHeight w:val="238"/>
        </w:trPr>
        <w:tc>
          <w:tcPr>
            <w:tcW w:w="3160" w:type="dxa"/>
            <w:vAlign w:val="bottom"/>
            <w:tcBorders>
              <w:bottom w:val="single" w:sz="8" w:color="D7282F"/>
            </w:tcBorders>
          </w:tcPr>
          <w:p>
            <w:pPr>
              <w:spacing w:after="0"/>
              <w:rPr>
                <w:sz w:val="20"/>
                <w:szCs w:val="20"/>
                <w:color w:val="auto"/>
              </w:rPr>
            </w:pPr>
          </w:p>
        </w:tc>
        <w:tc>
          <w:tcPr>
            <w:tcW w:w="300" w:type="dxa"/>
            <w:vAlign w:val="bottom"/>
            <w:tcBorders>
              <w:bottom w:val="single" w:sz="8" w:color="D7282F"/>
            </w:tcBorders>
          </w:tcPr>
          <w:p>
            <w:pPr>
              <w:spacing w:after="0"/>
              <w:rPr>
                <w:sz w:val="20"/>
                <w:szCs w:val="20"/>
                <w:color w:val="auto"/>
              </w:rPr>
            </w:pPr>
          </w:p>
        </w:tc>
        <w:tc>
          <w:tcPr>
            <w:tcW w:w="118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6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8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24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8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4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94</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84</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60</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89</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47</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Capital expenditures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73</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36</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23</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87</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32</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bl>
    <w:p>
      <w:pPr>
        <w:spacing w:after="0" w:line="131" w:lineRule="exact"/>
        <w:rPr>
          <w:sz w:val="20"/>
          <w:szCs w:val="20"/>
          <w:color w:val="auto"/>
        </w:rPr>
      </w:pPr>
    </w:p>
    <w:p>
      <w:pPr>
        <w:jc w:val="both"/>
        <w:ind w:left="480" w:right="20" w:hanging="344"/>
        <w:spacing w:after="0" w:line="183" w:lineRule="auto"/>
        <w:tabs>
          <w:tab w:leader="none" w:pos="480" w:val="left"/>
        </w:tabs>
        <w:numPr>
          <w:ilvl w:val="0"/>
          <w:numId w:val="24"/>
        </w:numPr>
        <w:rPr>
          <w:rFonts w:ascii="Arial" w:cs="Arial" w:eastAsia="Arial" w:hAnsi="Arial"/>
          <w:sz w:val="24"/>
          <w:szCs w:val="24"/>
          <w:color w:val="auto"/>
          <w:vertAlign w:val="superscript"/>
        </w:rPr>
      </w:pPr>
      <w:r>
        <w:rPr>
          <w:rFonts w:ascii="Arial" w:cs="Arial" w:eastAsia="Arial" w:hAnsi="Arial"/>
          <w:sz w:val="12"/>
          <w:szCs w:val="12"/>
          <w:color w:val="auto"/>
        </w:rPr>
        <w:t>For each reportable segment, the other segment items category includes research and development expenses, equity income of affiliated companies and certain allocated overhead expenses, which are comprised of salaries and fringe benefits, professional &amp; purchased services, and other indirect spend across core corporate functions such as central IT, corporate finance, human resources, supply chain, legal, government relations, and other corporate functions.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Aerospace</w:t>
            </w:r>
          </w:p>
        </w:tc>
        <w:tc>
          <w:tcPr>
            <w:tcW w:w="260" w:type="dxa"/>
            <w:vAlign w:val="bottom"/>
          </w:tcPr>
          <w:p>
            <w:pPr>
              <w:spacing w:after="0"/>
              <w:rPr>
                <w:sz w:val="14"/>
                <w:szCs w:val="14"/>
                <w:color w:val="auto"/>
              </w:rPr>
            </w:pP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Industrial</w:t>
            </w:r>
          </w:p>
        </w:tc>
        <w:tc>
          <w:tcPr>
            <w:tcW w:w="260" w:type="dxa"/>
            <w:vAlign w:val="bottom"/>
          </w:tcPr>
          <w:p>
            <w:pPr>
              <w:spacing w:after="0"/>
              <w:rPr>
                <w:sz w:val="14"/>
                <w:szCs w:val="14"/>
                <w:color w:val="auto"/>
              </w:rPr>
            </w:pPr>
          </w:p>
        </w:tc>
        <w:tc>
          <w:tcPr>
            <w:tcW w:w="10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Building</w:t>
            </w:r>
          </w:p>
        </w:tc>
        <w:tc>
          <w:tcPr>
            <w:tcW w:w="260" w:type="dxa"/>
            <w:vAlign w:val="bottom"/>
          </w:tcPr>
          <w:p>
            <w:pPr>
              <w:spacing w:after="0"/>
              <w:rPr>
                <w:sz w:val="14"/>
                <w:szCs w:val="14"/>
                <w:color w:val="auto"/>
              </w:rPr>
            </w:pPr>
          </w:p>
        </w:tc>
        <w:tc>
          <w:tcPr>
            <w:tcW w:w="1240" w:type="dxa"/>
            <w:vAlign w:val="bottom"/>
          </w:tcPr>
          <w:p>
            <w:pPr>
              <w:jc w:val="center"/>
              <w:ind w:right="148"/>
              <w:spacing w:after="0"/>
              <w:rPr>
                <w:sz w:val="20"/>
                <w:szCs w:val="20"/>
                <w:color w:val="auto"/>
              </w:rPr>
            </w:pPr>
            <w:r>
              <w:rPr>
                <w:rFonts w:ascii="Arial" w:cs="Arial" w:eastAsia="Arial" w:hAnsi="Arial"/>
                <w:sz w:val="14"/>
                <w:szCs w:val="14"/>
                <w:b w:val="1"/>
                <w:bCs w:val="1"/>
                <w:color w:val="auto"/>
              </w:rPr>
              <w:t>Energy and</w:t>
            </w:r>
          </w:p>
        </w:tc>
        <w:tc>
          <w:tcPr>
            <w:tcW w:w="260" w:type="dxa"/>
            <w:vAlign w:val="bottom"/>
          </w:tcPr>
          <w:p>
            <w:pPr>
              <w:spacing w:after="0"/>
              <w:rPr>
                <w:sz w:val="14"/>
                <w:szCs w:val="14"/>
                <w:color w:val="auto"/>
              </w:rPr>
            </w:pPr>
          </w:p>
        </w:tc>
        <w:tc>
          <w:tcPr>
            <w:tcW w:w="9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4"/>
                <w:szCs w:val="14"/>
                <w:color w:val="auto"/>
              </w:rPr>
            </w:pPr>
          </w:p>
        </w:tc>
        <w:tc>
          <w:tcPr>
            <w:tcW w:w="9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March 31, 2024</w:t>
            </w: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Sustainability</w:t>
            </w: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60" w:type="dxa"/>
            <w:vAlign w:val="bottom"/>
            <w:tcBorders>
              <w:bottom w:val="single" w:sz="8" w:color="D7282F"/>
            </w:tcBorders>
            <w:vMerge w:val="continue"/>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Technologies</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Automation</w:t>
            </w:r>
          </w:p>
        </w:tc>
        <w:tc>
          <w:tcPr>
            <w:tcW w:w="26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Automation</w:t>
            </w:r>
          </w:p>
        </w:tc>
        <w:tc>
          <w:tcPr>
            <w:tcW w:w="26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Solutions</w:t>
            </w:r>
          </w:p>
        </w:tc>
        <w:tc>
          <w:tcPr>
            <w:tcW w:w="1240" w:type="dxa"/>
            <w:vAlign w:val="bottom"/>
            <w:tcBorders>
              <w:bottom w:val="single" w:sz="8" w:color="D7282F"/>
            </w:tcBorders>
            <w:gridSpan w:val="2"/>
          </w:tcPr>
          <w:p>
            <w:pPr>
              <w:jc w:val="right"/>
              <w:ind w:right="88"/>
              <w:spacing w:after="0"/>
              <w:rPr>
                <w:sz w:val="20"/>
                <w:szCs w:val="20"/>
                <w:color w:val="auto"/>
              </w:rPr>
            </w:pPr>
            <w:r>
              <w:rPr>
                <w:rFonts w:ascii="Arial" w:cs="Arial" w:eastAsia="Arial" w:hAnsi="Arial"/>
                <w:sz w:val="14"/>
                <w:szCs w:val="14"/>
                <w:b w:val="1"/>
                <w:bCs w:val="1"/>
                <w:color w:val="auto"/>
              </w:rPr>
              <w:t>and All Other</w:t>
            </w:r>
          </w:p>
        </w:tc>
        <w:tc>
          <w:tcPr>
            <w:tcW w:w="2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Honeywell</w:t>
            </w:r>
          </w:p>
        </w:tc>
        <w:tc>
          <w:tcPr>
            <w:tcW w:w="0" w:type="dxa"/>
            <w:vAlign w:val="bottom"/>
          </w:tcPr>
          <w:p>
            <w:pPr>
              <w:spacing w:after="0"/>
              <w:rPr>
                <w:sz w:val="1"/>
                <w:szCs w:val="1"/>
                <w:color w:val="auto"/>
              </w:rPr>
            </w:pPr>
          </w:p>
        </w:tc>
      </w:tr>
      <w:tr>
        <w:trPr>
          <w:trHeight w:val="195"/>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300" w:type="dxa"/>
            <w:vAlign w:val="bottom"/>
            <w:tcBorders>
              <w:bottom w:val="single" w:sz="8" w:color="888B8D"/>
            </w:tcBorders>
          </w:tcPr>
          <w:p>
            <w:pPr>
              <w:spacing w:after="0"/>
              <w:rPr>
                <w:sz w:val="16"/>
                <w:szCs w:val="16"/>
                <w:color w:val="auto"/>
              </w:rPr>
            </w:pPr>
          </w:p>
        </w:tc>
        <w:tc>
          <w:tcPr>
            <w:tcW w:w="11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2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Products</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2,025</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1,800</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1,057</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1,381</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6,263</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1,644</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678</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369</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144</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2,842</w:t>
            </w:r>
          </w:p>
        </w:tc>
        <w:tc>
          <w:tcPr>
            <w:tcW w:w="0" w:type="dxa"/>
            <w:vAlign w:val="bottom"/>
          </w:tcPr>
          <w:p>
            <w:pPr>
              <w:spacing w:after="0"/>
              <w:rPr>
                <w:sz w:val="1"/>
                <w:szCs w:val="1"/>
                <w:color w:val="auto"/>
              </w:rPr>
            </w:pPr>
          </w:p>
        </w:tc>
      </w:tr>
      <w:tr>
        <w:trPr>
          <w:trHeight w:val="199"/>
        </w:trPr>
        <w:tc>
          <w:tcPr>
            <w:tcW w:w="31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sales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3,669</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2,478</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1,426</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1,525</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9,105</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Less</w:t>
            </w:r>
          </w:p>
        </w:tc>
        <w:tc>
          <w:tcPr>
            <w:tcW w:w="30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2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Cost of products and services sold</w:t>
            </w:r>
          </w:p>
        </w:tc>
        <w:tc>
          <w:tcPr>
            <w:tcW w:w="300" w:type="dxa"/>
            <w:vAlign w:val="bottom"/>
            <w:tcBorders>
              <w:bottom w:val="single" w:sz="8" w:color="888B8D"/>
            </w:tcBorders>
          </w:tcPr>
          <w:p>
            <w:pPr>
              <w:spacing w:after="0"/>
              <w:rPr>
                <w:sz w:val="16"/>
                <w:szCs w:val="16"/>
                <w:color w:val="auto"/>
              </w:rPr>
            </w:pP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2,217</w:t>
            </w: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1,446</w:t>
            </w:r>
          </w:p>
        </w:tc>
        <w:tc>
          <w:tcPr>
            <w:tcW w:w="260" w:type="dxa"/>
            <w:vAlign w:val="bottom"/>
            <w:tcBorders>
              <w:bottom w:val="single" w:sz="8" w:color="888B8D"/>
            </w:tcBorders>
          </w:tcPr>
          <w:p>
            <w:pPr>
              <w:spacing w:after="0"/>
              <w:rPr>
                <w:sz w:val="16"/>
                <w:szCs w:val="16"/>
                <w:color w:val="auto"/>
              </w:rPr>
            </w:pP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764</w:t>
            </w:r>
          </w:p>
        </w:tc>
        <w:tc>
          <w:tcPr>
            <w:tcW w:w="260" w:type="dxa"/>
            <w:vAlign w:val="bottom"/>
            <w:tcBorders>
              <w:bottom w:val="single" w:sz="8" w:color="888B8D"/>
            </w:tcBorders>
          </w:tcPr>
          <w:p>
            <w:pPr>
              <w:spacing w:after="0"/>
              <w:rPr>
                <w:sz w:val="16"/>
                <w:szCs w:val="16"/>
                <w:color w:val="auto"/>
              </w:rPr>
            </w:pP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999</w:t>
            </w:r>
          </w:p>
        </w:tc>
        <w:tc>
          <w:tcPr>
            <w:tcW w:w="26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155</w:t>
            </w: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357</w:t>
            </w:r>
          </w:p>
        </w:tc>
        <w:tc>
          <w:tcPr>
            <w:tcW w:w="260" w:type="dxa"/>
            <w:vAlign w:val="bottom"/>
            <w:tcBorders>
              <w:bottom w:val="single" w:sz="8" w:color="888B8D"/>
            </w:tcBorders>
          </w:tcPr>
          <w:p>
            <w:pPr>
              <w:spacing w:after="0"/>
              <w:rPr>
                <w:sz w:val="17"/>
                <w:szCs w:val="17"/>
                <w:color w:val="auto"/>
              </w:rPr>
            </w:pP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218</w:t>
            </w:r>
          </w:p>
        </w:tc>
        <w:tc>
          <w:tcPr>
            <w:tcW w:w="260" w:type="dxa"/>
            <w:vAlign w:val="bottom"/>
            <w:tcBorders>
              <w:bottom w:val="single" w:sz="8" w:color="888B8D"/>
            </w:tcBorders>
          </w:tcPr>
          <w:p>
            <w:pPr>
              <w:spacing w:after="0"/>
              <w:rPr>
                <w:sz w:val="17"/>
                <w:szCs w:val="17"/>
                <w:color w:val="auto"/>
              </w:rPr>
            </w:pP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129</w:t>
            </w: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segment items</w:t>
            </w:r>
            <w:r>
              <w:rPr>
                <w:rFonts w:ascii="Arial" w:cs="Arial" w:eastAsia="Arial" w:hAnsi="Arial"/>
                <w:sz w:val="9"/>
                <w:szCs w:val="9"/>
                <w:color w:val="auto"/>
              </w:rPr>
              <w:t>1</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262</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201</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94</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94</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1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Segment profit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1,035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474</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350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303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2,094</w:t>
            </w:r>
          </w:p>
        </w:tc>
        <w:tc>
          <w:tcPr>
            <w:tcW w:w="0" w:type="dxa"/>
            <w:vAlign w:val="bottom"/>
          </w:tcPr>
          <w:p>
            <w:pPr>
              <w:spacing w:after="0"/>
              <w:rPr>
                <w:sz w:val="1"/>
                <w:szCs w:val="1"/>
                <w:color w:val="auto"/>
              </w:rPr>
            </w:pPr>
          </w:p>
        </w:tc>
      </w:tr>
      <w:tr>
        <w:trPr>
          <w:trHeight w:val="238"/>
        </w:trPr>
        <w:tc>
          <w:tcPr>
            <w:tcW w:w="3160" w:type="dxa"/>
            <w:vAlign w:val="bottom"/>
            <w:tcBorders>
              <w:bottom w:val="single" w:sz="8" w:color="D7282F"/>
            </w:tcBorders>
          </w:tcPr>
          <w:p>
            <w:pPr>
              <w:spacing w:after="0"/>
              <w:rPr>
                <w:sz w:val="20"/>
                <w:szCs w:val="20"/>
                <w:color w:val="auto"/>
              </w:rPr>
            </w:pPr>
          </w:p>
        </w:tc>
        <w:tc>
          <w:tcPr>
            <w:tcW w:w="300" w:type="dxa"/>
            <w:vAlign w:val="bottom"/>
            <w:tcBorders>
              <w:bottom w:val="single" w:sz="8" w:color="D7282F"/>
            </w:tcBorders>
          </w:tcPr>
          <w:p>
            <w:pPr>
              <w:spacing w:after="0"/>
              <w:rPr>
                <w:sz w:val="20"/>
                <w:szCs w:val="20"/>
                <w:color w:val="auto"/>
              </w:rPr>
            </w:pPr>
          </w:p>
        </w:tc>
        <w:tc>
          <w:tcPr>
            <w:tcW w:w="118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6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8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24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8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4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66</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90</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24</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65</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46</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Capital expenditures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73</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54</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15</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79</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480" w:right="20" w:hanging="344"/>
        <w:spacing w:after="0" w:line="181" w:lineRule="auto"/>
        <w:tabs>
          <w:tab w:leader="none" w:pos="480" w:val="left"/>
        </w:tabs>
        <w:numPr>
          <w:ilvl w:val="0"/>
          <w:numId w:val="25"/>
        </w:numPr>
        <w:rPr>
          <w:rFonts w:ascii="Arial" w:cs="Arial" w:eastAsia="Arial" w:hAnsi="Arial"/>
          <w:sz w:val="23"/>
          <w:szCs w:val="23"/>
          <w:color w:val="auto"/>
          <w:vertAlign w:val="superscript"/>
        </w:rPr>
      </w:pPr>
      <w:r>
        <w:rPr>
          <w:rFonts w:ascii="Arial" w:cs="Arial" w:eastAsia="Arial" w:hAnsi="Arial"/>
          <w:sz w:val="12"/>
          <w:szCs w:val="12"/>
          <w:color w:val="auto"/>
        </w:rPr>
        <w:t>For each reportable segment, the other segment items category includes research and development expenses, equity income of affiliated companies and certain allocated overhead expenses, which are comprised of salaries and fringe benefits, professional &amp; purchased services, and other indirect spend across core corporate functions such as central IT, corporate finance, human resources, supply chain, legal, government relations, and other corporate functions.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80" w:type="dxa"/>
            <w:vAlign w:val="bottom"/>
            <w:tcBorders>
              <w:bottom w:val="single" w:sz="8" w:color="D7282F"/>
            </w:tcBorders>
          </w:tcPr>
          <w:p>
            <w:pPr>
              <w:spacing w:after="0"/>
              <w:rPr>
                <w:sz w:val="17"/>
                <w:szCs w:val="17"/>
                <w:color w:val="auto"/>
              </w:rPr>
            </w:pPr>
          </w:p>
        </w:tc>
        <w:tc>
          <w:tcPr>
            <w:tcW w:w="280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March 31, 2025</w:t>
            </w:r>
          </w:p>
        </w:tc>
        <w:tc>
          <w:tcPr>
            <w:tcW w:w="14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December 31, 2024</w:t>
            </w:r>
          </w:p>
        </w:tc>
      </w:tr>
      <w:tr>
        <w:trPr>
          <w:trHeight w:val="193"/>
        </w:trPr>
        <w:tc>
          <w:tcPr>
            <w:tcW w:w="49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Aerospace Technologies</w:t>
            </w:r>
          </w:p>
        </w:tc>
        <w:tc>
          <w:tcPr>
            <w:tcW w:w="28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17,506</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16,966</w:t>
            </w:r>
          </w:p>
        </w:tc>
      </w:tr>
      <w:tr>
        <w:trPr>
          <w:trHeight w:val="196"/>
        </w:trPr>
        <w:tc>
          <w:tcPr>
            <w:tcW w:w="49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Industrial Automation</w:t>
            </w:r>
          </w:p>
        </w:tc>
        <w:tc>
          <w:tcPr>
            <w:tcW w:w="280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21,344</w:t>
            </w:r>
          </w:p>
        </w:tc>
        <w:tc>
          <w:tcPr>
            <w:tcW w:w="140" w:type="dxa"/>
            <w:vAlign w:val="bottom"/>
            <w:tcBorders>
              <w:bottom w:val="single" w:sz="8" w:color="888B8D"/>
            </w:tcBorders>
          </w:tcPr>
          <w:p>
            <w:pPr>
              <w:spacing w:after="0"/>
              <w:rPr>
                <w:sz w:val="17"/>
                <w:szCs w:val="17"/>
                <w:color w:val="auto"/>
              </w:rPr>
            </w:pPr>
          </w:p>
        </w:tc>
        <w:tc>
          <w:tcPr>
            <w:tcW w:w="15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21,035</w:t>
            </w:r>
          </w:p>
        </w:tc>
      </w:tr>
      <w:tr>
        <w:trPr>
          <w:trHeight w:val="196"/>
        </w:trPr>
        <w:tc>
          <w:tcPr>
            <w:tcW w:w="49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Building Automation</w:t>
            </w:r>
          </w:p>
        </w:tc>
        <w:tc>
          <w:tcPr>
            <w:tcW w:w="280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11,719</w:t>
            </w:r>
          </w:p>
        </w:tc>
        <w:tc>
          <w:tcPr>
            <w:tcW w:w="140" w:type="dxa"/>
            <w:vAlign w:val="bottom"/>
            <w:tcBorders>
              <w:bottom w:val="single" w:sz="8" w:color="888B8D"/>
            </w:tcBorders>
          </w:tcPr>
          <w:p>
            <w:pPr>
              <w:spacing w:after="0"/>
              <w:rPr>
                <w:sz w:val="17"/>
                <w:szCs w:val="17"/>
                <w:color w:val="auto"/>
              </w:rPr>
            </w:pPr>
          </w:p>
        </w:tc>
        <w:tc>
          <w:tcPr>
            <w:tcW w:w="15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11,438</w:t>
            </w:r>
          </w:p>
        </w:tc>
      </w:tr>
      <w:tr>
        <w:trPr>
          <w:trHeight w:val="196"/>
        </w:trPr>
        <w:tc>
          <w:tcPr>
            <w:tcW w:w="49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Energy and Sustainability Solutions</w:t>
            </w:r>
          </w:p>
        </w:tc>
        <w:tc>
          <w:tcPr>
            <w:tcW w:w="280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10,420</w:t>
            </w:r>
          </w:p>
        </w:tc>
        <w:tc>
          <w:tcPr>
            <w:tcW w:w="140" w:type="dxa"/>
            <w:vAlign w:val="bottom"/>
            <w:tcBorders>
              <w:bottom w:val="single" w:sz="8" w:color="888B8D"/>
            </w:tcBorders>
          </w:tcPr>
          <w:p>
            <w:pPr>
              <w:spacing w:after="0"/>
              <w:rPr>
                <w:sz w:val="17"/>
                <w:szCs w:val="17"/>
                <w:color w:val="auto"/>
              </w:rPr>
            </w:pPr>
          </w:p>
        </w:tc>
        <w:tc>
          <w:tcPr>
            <w:tcW w:w="15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10,337</w:t>
            </w:r>
          </w:p>
        </w:tc>
      </w:tr>
      <w:tr>
        <w:trPr>
          <w:trHeight w:val="196"/>
        </w:trPr>
        <w:tc>
          <w:tcPr>
            <w:tcW w:w="4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Corporate and All Other</w:t>
            </w:r>
          </w:p>
        </w:tc>
        <w:tc>
          <w:tcPr>
            <w:tcW w:w="280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color w:val="auto"/>
              </w:rPr>
              <w:t>14,229</w:t>
            </w:r>
          </w:p>
        </w:tc>
        <w:tc>
          <w:tcPr>
            <w:tcW w:w="14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15,420</w:t>
            </w:r>
          </w:p>
        </w:tc>
      </w:tr>
      <w:tr>
        <w:trPr>
          <w:trHeight w:val="199"/>
        </w:trPr>
        <w:tc>
          <w:tcPr>
            <w:tcW w:w="4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assets</w:t>
            </w:r>
          </w:p>
        </w:tc>
        <w:tc>
          <w:tcPr>
            <w:tcW w:w="28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75,218</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75,196</w:t>
            </w: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29</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segment profit to consolidated income before taxes are as follows:</w:t>
      </w:r>
    </w:p>
    <w:p>
      <w:pPr>
        <w:spacing w:after="0" w:line="158"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140" w:type="dxa"/>
            <w:vAlign w:val="bottom"/>
            <w:tcBorders>
              <w:bottom w:val="single" w:sz="8" w:color="D7282F"/>
            </w:tcBorders>
          </w:tcPr>
          <w:p>
            <w:pPr>
              <w:spacing w:after="0"/>
              <w:rPr>
                <w:sz w:val="16"/>
                <w:szCs w:val="16"/>
                <w:color w:val="auto"/>
              </w:rPr>
            </w:pPr>
          </w:p>
        </w:tc>
        <w:tc>
          <w:tcPr>
            <w:tcW w:w="332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2"/>
        </w:trPr>
        <w:tc>
          <w:tcPr>
            <w:tcW w:w="6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Segment profit</w:t>
            </w:r>
          </w:p>
        </w:tc>
        <w:tc>
          <w:tcPr>
            <w:tcW w:w="3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2,258</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2,094</w:t>
            </w:r>
          </w:p>
        </w:tc>
      </w:tr>
      <w:tr>
        <w:trPr>
          <w:trHeight w:val="196"/>
        </w:trPr>
        <w:tc>
          <w:tcPr>
            <w:tcW w:w="6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and other financial charges</w:t>
            </w:r>
          </w:p>
        </w:tc>
        <w:tc>
          <w:tcPr>
            <w:tcW w:w="33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(286)</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(220)</w:t>
            </w:r>
          </w:p>
        </w:tc>
      </w:tr>
      <w:tr>
        <w:trPr>
          <w:trHeight w:val="196"/>
        </w:trPr>
        <w:tc>
          <w:tcPr>
            <w:tcW w:w="6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income</w:t>
            </w:r>
            <w:r>
              <w:rPr>
                <w:rFonts w:ascii="Arial" w:cs="Arial" w:eastAsia="Arial" w:hAnsi="Arial"/>
                <w:sz w:val="9"/>
                <w:szCs w:val="9"/>
                <w:color w:val="auto"/>
              </w:rPr>
              <w:t>1</w:t>
            </w:r>
          </w:p>
        </w:tc>
        <w:tc>
          <w:tcPr>
            <w:tcW w:w="33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90</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105</w:t>
            </w:r>
          </w:p>
        </w:tc>
      </w:tr>
      <w:tr>
        <w:trPr>
          <w:trHeight w:val="196"/>
        </w:trPr>
        <w:tc>
          <w:tcPr>
            <w:tcW w:w="6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Amortization of acquisition-related intangibles</w:t>
            </w:r>
            <w:r>
              <w:rPr>
                <w:rFonts w:ascii="Arial" w:cs="Arial" w:eastAsia="Arial" w:hAnsi="Arial"/>
                <w:sz w:val="9"/>
                <w:szCs w:val="9"/>
                <w:color w:val="auto"/>
              </w:rPr>
              <w:t>2</w:t>
            </w:r>
          </w:p>
        </w:tc>
        <w:tc>
          <w:tcPr>
            <w:tcW w:w="33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(136)</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(70)</w:t>
            </w:r>
          </w:p>
        </w:tc>
      </w:tr>
      <w:tr>
        <w:trPr>
          <w:trHeight w:val="196"/>
        </w:trPr>
        <w:tc>
          <w:tcPr>
            <w:tcW w:w="6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Impairment of assets held for sale</w:t>
            </w:r>
          </w:p>
        </w:tc>
        <w:tc>
          <w:tcPr>
            <w:tcW w:w="33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Stock compensation expense</w:t>
            </w:r>
            <w:r>
              <w:rPr>
                <w:rFonts w:ascii="Arial" w:cs="Arial" w:eastAsia="Arial" w:hAnsi="Arial"/>
                <w:sz w:val="9"/>
                <w:szCs w:val="9"/>
                <w:color w:val="auto"/>
              </w:rPr>
              <w:t>3</w:t>
            </w:r>
          </w:p>
        </w:tc>
        <w:tc>
          <w:tcPr>
            <w:tcW w:w="33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w:t>
            </w:r>
          </w:p>
        </w:tc>
      </w:tr>
      <w:tr>
        <w:trPr>
          <w:trHeight w:val="196"/>
        </w:trPr>
        <w:tc>
          <w:tcPr>
            <w:tcW w:w="6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Pension ongoing income</w:t>
            </w:r>
            <w:r>
              <w:rPr>
                <w:rFonts w:ascii="Arial" w:cs="Arial" w:eastAsia="Arial" w:hAnsi="Arial"/>
                <w:sz w:val="9"/>
                <w:szCs w:val="9"/>
                <w:color w:val="auto"/>
              </w:rPr>
              <w:t>4</w:t>
            </w:r>
          </w:p>
        </w:tc>
        <w:tc>
          <w:tcPr>
            <w:tcW w:w="33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145</w:t>
            </w:r>
          </w:p>
        </w:tc>
      </w:tr>
      <w:tr>
        <w:trPr>
          <w:trHeight w:val="196"/>
        </w:trPr>
        <w:tc>
          <w:tcPr>
            <w:tcW w:w="6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Pension mark-to-market expense</w:t>
            </w:r>
            <w:r>
              <w:rPr>
                <w:rFonts w:ascii="Arial" w:cs="Arial" w:eastAsia="Arial" w:hAnsi="Arial"/>
                <w:sz w:val="9"/>
                <w:szCs w:val="9"/>
                <w:color w:val="auto"/>
              </w:rPr>
              <w:t>4</w:t>
            </w:r>
          </w:p>
        </w:tc>
        <w:tc>
          <w:tcPr>
            <w:tcW w:w="33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postretirement income</w:t>
            </w:r>
            <w:r>
              <w:rPr>
                <w:rFonts w:ascii="Arial" w:cs="Arial" w:eastAsia="Arial" w:hAnsi="Arial"/>
                <w:sz w:val="9"/>
                <w:szCs w:val="9"/>
                <w:color w:val="auto"/>
              </w:rPr>
              <w:t>4</w:t>
            </w:r>
          </w:p>
        </w:tc>
        <w:tc>
          <w:tcPr>
            <w:tcW w:w="33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6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Repositioning and other charges</w:t>
            </w:r>
            <w:r>
              <w:rPr>
                <w:rFonts w:ascii="Arial" w:cs="Arial" w:eastAsia="Arial" w:hAnsi="Arial"/>
                <w:sz w:val="9"/>
                <w:szCs w:val="9"/>
                <w:color w:val="auto"/>
              </w:rPr>
              <w:t>5</w:t>
            </w:r>
          </w:p>
        </w:tc>
        <w:tc>
          <w:tcPr>
            <w:tcW w:w="33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(93)</w:t>
            </w:r>
          </w:p>
        </w:tc>
      </w:tr>
      <w:tr>
        <w:trPr>
          <w:trHeight w:val="196"/>
        </w:trPr>
        <w:tc>
          <w:tcPr>
            <w:tcW w:w="61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expense</w:t>
            </w:r>
            <w:r>
              <w:rPr>
                <w:rFonts w:ascii="Arial" w:cs="Arial" w:eastAsia="Arial" w:hAnsi="Arial"/>
                <w:sz w:val="9"/>
                <w:szCs w:val="9"/>
                <w:color w:val="auto"/>
              </w:rPr>
              <w:t>6</w:t>
            </w:r>
          </w:p>
        </w:tc>
        <w:tc>
          <w:tcPr>
            <w:tcW w:w="33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(66)</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w:t>
            </w:r>
          </w:p>
        </w:tc>
      </w:tr>
      <w:tr>
        <w:trPr>
          <w:trHeight w:val="199"/>
        </w:trPr>
        <w:tc>
          <w:tcPr>
            <w:tcW w:w="61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Income before taxes</w:t>
            </w:r>
          </w:p>
        </w:tc>
        <w:tc>
          <w:tcPr>
            <w:tcW w:w="3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1,884</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1,871</w:t>
            </w:r>
          </w:p>
        </w:tc>
      </w:tr>
    </w:tbl>
    <w:p>
      <w:pPr>
        <w:spacing w:after="0" w:line="117" w:lineRule="exact"/>
        <w:rPr>
          <w:sz w:val="20"/>
          <w:szCs w:val="20"/>
          <w:color w:val="auto"/>
        </w:rPr>
      </w:pPr>
    </w:p>
    <w:p>
      <w:pPr>
        <w:ind w:left="480" w:hanging="344"/>
        <w:spacing w:after="0"/>
        <w:tabs>
          <w:tab w:leader="none" w:pos="4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Amounts included in Other (income) expense.</w:t>
      </w:r>
    </w:p>
    <w:p>
      <w:pPr>
        <w:spacing w:after="0" w:line="26" w:lineRule="exact"/>
        <w:rPr>
          <w:sz w:val="20"/>
          <w:szCs w:val="20"/>
          <w:color w:val="auto"/>
        </w:rPr>
      </w:pPr>
    </w:p>
    <w:p>
      <w:pPr>
        <w:ind w:left="480" w:hanging="344"/>
        <w:spacing w:after="0"/>
        <w:tabs>
          <w:tab w:leader="none" w:pos="4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Amounts included in Cost of products and services sold.</w:t>
      </w:r>
    </w:p>
    <w:p>
      <w:pPr>
        <w:ind w:left="480" w:hanging="344"/>
        <w:spacing w:after="0" w:line="194" w:lineRule="auto"/>
        <w:tabs>
          <w:tab w:leader="none" w:pos="480" w:val="left"/>
        </w:tabs>
        <w:numPr>
          <w:ilvl w:val="0"/>
          <w:numId w:val="28"/>
        </w:numPr>
        <w:rPr>
          <w:rFonts w:ascii="Arial" w:cs="Arial" w:eastAsia="Arial" w:hAnsi="Arial"/>
          <w:sz w:val="25"/>
          <w:szCs w:val="25"/>
          <w:color w:val="auto"/>
          <w:vertAlign w:val="superscript"/>
        </w:rPr>
      </w:pPr>
      <w:r>
        <w:rPr>
          <w:rFonts w:ascii="Arial" w:cs="Arial" w:eastAsia="Arial" w:hAnsi="Arial"/>
          <w:sz w:val="13"/>
          <w:szCs w:val="13"/>
          <w:color w:val="auto"/>
        </w:rPr>
        <w:t>Amounts included in Selling, general and administrative expenses.</w:t>
      </w:r>
    </w:p>
    <w:p>
      <w:pPr>
        <w:spacing w:after="0" w:line="50" w:lineRule="exact"/>
        <w:rPr>
          <w:sz w:val="20"/>
          <w:szCs w:val="20"/>
          <w:color w:val="auto"/>
        </w:rPr>
      </w:pPr>
    </w:p>
    <w:p>
      <w:pPr>
        <w:ind w:left="480" w:right="40" w:hanging="344"/>
        <w:spacing w:after="0" w:line="181" w:lineRule="auto"/>
        <w:tabs>
          <w:tab w:leader="none" w:pos="480" w:val="left"/>
        </w:tabs>
        <w:numPr>
          <w:ilvl w:val="0"/>
          <w:numId w:val="29"/>
        </w:numPr>
        <w:rPr>
          <w:rFonts w:ascii="Arial" w:cs="Arial" w:eastAsia="Arial" w:hAnsi="Arial"/>
          <w:sz w:val="22"/>
          <w:szCs w:val="22"/>
          <w:color w:val="auto"/>
          <w:vertAlign w:val="superscript"/>
        </w:rPr>
      </w:pPr>
      <w:r>
        <w:rPr>
          <w:rFonts w:ascii="Arial" w:cs="Arial" w:eastAsia="Arial" w:hAnsi="Arial"/>
          <w:sz w:val="11"/>
          <w:szCs w:val="11"/>
          <w:color w:val="auto"/>
        </w:rPr>
        <w:t>Amounts included in Cost of products and services sold (service cost component), Selling, general and administrative expenses (service cost component), Research and development expenses (service cost component), and Other (income) expense (non-service cost component).</w:t>
      </w:r>
    </w:p>
    <w:p>
      <w:pPr>
        <w:ind w:left="480" w:hanging="344"/>
        <w:spacing w:after="0" w:line="181" w:lineRule="auto"/>
        <w:tabs>
          <w:tab w:leader="none" w:pos="480" w:val="left"/>
        </w:tabs>
        <w:numPr>
          <w:ilvl w:val="0"/>
          <w:numId w:val="30"/>
        </w:numPr>
        <w:rPr>
          <w:rFonts w:ascii="Arial" w:cs="Arial" w:eastAsia="Arial" w:hAnsi="Arial"/>
          <w:sz w:val="25"/>
          <w:szCs w:val="25"/>
          <w:color w:val="auto"/>
          <w:vertAlign w:val="superscript"/>
        </w:rPr>
      </w:pPr>
      <w:r>
        <w:rPr>
          <w:rFonts w:ascii="Arial" w:cs="Arial" w:eastAsia="Arial" w:hAnsi="Arial"/>
          <w:sz w:val="13"/>
          <w:szCs w:val="13"/>
          <w:color w:val="auto"/>
        </w:rPr>
        <w:t>Amounts included in Cost of products and services sold, Selling, general and administrative expenses, and Other (income) expense.</w:t>
      </w:r>
    </w:p>
    <w:p>
      <w:pPr>
        <w:ind w:left="480" w:hanging="344"/>
        <w:spacing w:after="0" w:line="188" w:lineRule="auto"/>
        <w:tabs>
          <w:tab w:leader="none" w:pos="480" w:val="left"/>
        </w:tabs>
        <w:numPr>
          <w:ilvl w:val="0"/>
          <w:numId w:val="31"/>
        </w:numPr>
        <w:rPr>
          <w:rFonts w:ascii="Arial" w:cs="Arial" w:eastAsia="Arial" w:hAnsi="Arial"/>
          <w:sz w:val="24"/>
          <w:szCs w:val="24"/>
          <w:color w:val="auto"/>
          <w:vertAlign w:val="superscript"/>
        </w:rPr>
      </w:pPr>
      <w:r>
        <w:rPr>
          <w:rFonts w:ascii="Arial" w:cs="Arial" w:eastAsia="Arial" w:hAnsi="Arial"/>
          <w:sz w:val="12"/>
          <w:szCs w:val="12"/>
          <w:color w:val="auto"/>
        </w:rPr>
        <w:t>Amounts include the other components of Other (income) expense not included within other categories in this reconciliation. Equity income of affiliated companies is included in segment profit.</w:t>
      </w:r>
    </w:p>
    <w:p>
      <w:pPr>
        <w:spacing w:after="0" w:line="200" w:lineRule="exact"/>
        <w:rPr>
          <w:sz w:val="20"/>
          <w:szCs w:val="20"/>
          <w:color w:val="auto"/>
        </w:rPr>
      </w:pPr>
    </w:p>
    <w:p>
      <w:pPr>
        <w:spacing w:after="0" w:line="342" w:lineRule="exact"/>
        <w:rPr>
          <w:sz w:val="20"/>
          <w:szCs w:val="20"/>
          <w:color w:val="auto"/>
        </w:rPr>
      </w:pPr>
    </w:p>
    <w:p>
      <w:pPr>
        <w:ind w:left="400" w:hanging="392"/>
        <w:spacing w:after="0"/>
        <w:tabs>
          <w:tab w:leader="none" w:pos="400" w:val="left"/>
        </w:tabs>
        <w:numPr>
          <w:ilvl w:val="0"/>
          <w:numId w:val="3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220"/>
        <w:spacing w:after="0" w:line="313" w:lineRule="auto"/>
        <w:rPr>
          <w:sz w:val="20"/>
          <w:szCs w:val="20"/>
          <w:color w:val="auto"/>
        </w:rPr>
      </w:pPr>
      <w:r>
        <w:rPr>
          <w:rFonts w:ascii="Arial" w:cs="Arial" w:eastAsia="Arial" w:hAnsi="Arial"/>
          <w:sz w:val="35"/>
          <w:szCs w:val="35"/>
          <w:b w:val="1"/>
          <w:bCs w:val="1"/>
          <w:color w:val="auto"/>
        </w:rPr>
        <w:t>ITEM 2. 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and graphs in millions, except per share amounts)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The following Management's Discussion and Analysis of Financial Condition and Results of Operations is intended to help the reader understand the results of operations and financial condition of Honeywell International Inc. and its consolidated subsidiaries (Honeywell, we, us, our, or the Company) for the three months ended March 31, 2025. The financial information as of March 31, 2025, should be read in conjunction with the Consolidated Financial Statements for the year ended December 31, 2024, contained in our 2024 Annual Report on Form 10-K. </w:t>
      </w:r>
      <w:r>
        <w:rPr>
          <w:rFonts w:ascii="Arial" w:cs="Arial" w:eastAsia="Arial" w:hAnsi="Arial"/>
          <w:sz w:val="16"/>
          <w:szCs w:val="16"/>
          <w:color w:val="212529"/>
        </w:rPr>
        <w:t>Certain prior year amounts are reclassified to conform to the</w:t>
      </w:r>
      <w:r>
        <w:rPr>
          <w:rFonts w:ascii="Arial" w:cs="Arial" w:eastAsia="Arial" w:hAnsi="Arial"/>
          <w:sz w:val="16"/>
          <w:szCs w:val="16"/>
          <w:color w:val="auto"/>
        </w:rPr>
        <w:t xml:space="preserve"> </w:t>
      </w:r>
      <w:r>
        <w:rPr>
          <w:rFonts w:ascii="Arial" w:cs="Arial" w:eastAsia="Arial" w:hAnsi="Arial"/>
          <w:sz w:val="16"/>
          <w:szCs w:val="16"/>
          <w:color w:val="212529"/>
        </w:rPr>
        <w:t>current year presentation.</w:t>
      </w: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color w:val="D7282F"/>
        </w:rPr>
        <w:t>BUSINESS UPDATE</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MACROECONOMIC CONDITIONS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are closely monitoring evolving macroeconomic conditions and heightened geopolitical risks. During the first quarter of 2025, there was a marked increase in economic and trade policy uncertainty globally. Rising trade tensions and changes to trade policy could adversely impact global growth and contribute to inflationary pressures. Global conflicts, tariffs, labor disruptions, and regulations continue to generate volatility in global markets and can contribute to supply chain vulnerabilities and pricing fluctuations. We remain proactive in our collaboration with suppliers to mitigate potential shortages and reduce supply and price volatility. We anticipate a moderation in global growth in 2025 and a higher level of uncertainty with respect to inflation and other macroeconomic trends.</w:t>
      </w:r>
    </w:p>
    <w:p>
      <w:pPr>
        <w:spacing w:after="0" w:line="2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Mitigation strategies remain crucial to meet customer demand in this evolving environment. Our mitigation strategies include pricing actions, hedging strategies, long-term strategies for constrained materials, direct engagement with key suppliers, and new supplier development. Strong relationships with strategic primary and secondary suppliers allow us to collaborate together to reliably source key components and raw materials, develop new products, commit our resources to assist certain suppliers, and at times, alter designs of existing products. We believe these mitigation strategies enable us to reduce supply risk, foster new product innovation, and expand our market presence. Additionally, due to the stringent quality controls and product qualification we perform on any new or altered product, these mitigation strategies have not impacted, and we do not expect them to impact, product quality or reliability.</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 date, our strategies successfully mitigated our exposure to these conditions. However, if we are not successful in sustaining or executing these strategies, these macroeconomic conditions could have a material adverse effect on our consolidated results of operations or operating cash flows.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SPIN-OFF OF ADVANCED MATERIALS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October 8, 2024, the Company announced its intention to spin off its Advanced Materials business into Solstice Advanced Materials, an independent, U.S. publicly traded company, which is targeted to be completed by the end of 2025 or early 2026. The planned spin-off is intended to be a tax-free spin to Honeywell shareowners for U.S. federal income tax purposes. The spin-off will be subject to the satisfaction of a number of customary conditions, including, among others, finalization of the financial statements of Solstice Advanced Materials, the filing and effectiveness of applicable filings (including a Form 10 registration statement) with the SEC, assurance that the spin-off of Solstice Advanced Materials will be tax-free to Honeywell’s shareowners, receipt of applicable regulatory approvals, and final approval by Honeywell’s Board of Directors. The proposed spin-off is complex in nature, and may be affected by unanticipated developments, credit and equity markets, or changes in market conditions.</w:t>
      </w:r>
    </w:p>
    <w:p>
      <w:pPr>
        <w:spacing w:after="0" w:line="200" w:lineRule="exact"/>
        <w:rPr>
          <w:sz w:val="20"/>
          <w:szCs w:val="20"/>
          <w:color w:val="auto"/>
        </w:rPr>
      </w:pPr>
    </w:p>
    <w:p>
      <w:pPr>
        <w:spacing w:after="0" w:line="205"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SEPARATION OF AUTOMATION AND AEROSPACE TECHNOLOGIES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February 6, 2025, the Company announced its intention to pursue a separation of its Automation and Aerospace Technologies businesses into independent, U.S. publicly traded companies, which is intended to be completed in the second half of 2026. The planned separation is intended to be a tax-free separation to Honeywell shareowners for U.S. federal income tax purposes. The separation will be subject to the satisfaction of a number of customary conditions, including, among others, the filing and effectiveness of applicable filings (including a Form 10 registration statement that includes required financial statements) with the SEC, assurance that the separation of the businesses will be tax-free to Honeywell’s shareowners, receipt of applicable regulatory approvals, and final approval by Honeywell’s Board of Directors. The proposed separation is complex in nature, and may be affected by unanticipated developments, credit and equity markets, or changes in market conditions.</w:t>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D7282F"/>
        </w:rPr>
        <w:t>RESULTS OF OPERATIONS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80645</wp:posOffset>
            </wp:positionV>
            <wp:extent cx="4714875" cy="2571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148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30518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0037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Profit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30518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0037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0" w:hanging="392"/>
        <w:spacing w:after="0"/>
        <w:tabs>
          <w:tab w:leader="none" w:pos="400" w:val="left"/>
        </w:tabs>
        <w:numPr>
          <w:ilvl w:val="0"/>
          <w:numId w:val="3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CONSOLIDATED OPERATING RESULTS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1431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003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change in Net sales was attributable to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80" w:type="dxa"/>
            <w:vAlign w:val="bottom"/>
            <w:tcBorders>
              <w:bottom w:val="single" w:sz="8" w:color="D7282F"/>
            </w:tcBorders>
          </w:tcPr>
          <w:p>
            <w:pPr>
              <w:spacing w:after="0"/>
              <w:rPr>
                <w:sz w:val="17"/>
                <w:szCs w:val="17"/>
                <w:color w:val="auto"/>
              </w:rPr>
            </w:pPr>
          </w:p>
        </w:tc>
        <w:tc>
          <w:tcPr>
            <w:tcW w:w="50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Q1 2025 vs. Q1 2024</w:t>
            </w:r>
          </w:p>
        </w:tc>
      </w:tr>
      <w:tr>
        <w:trPr>
          <w:trHeight w:val="193"/>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Volume</w:t>
            </w:r>
          </w:p>
        </w:tc>
        <w:tc>
          <w:tcPr>
            <w:tcW w:w="5060" w:type="dxa"/>
            <w:vAlign w:val="bottom"/>
            <w:tcBorders>
              <w:bottom w:val="single" w:sz="8" w:color="61656A"/>
            </w:tcBorders>
          </w:tcPr>
          <w:p>
            <w:pPr>
              <w:jc w:val="right"/>
              <w:ind w:right="748"/>
              <w:spacing w:after="0"/>
              <w:rPr>
                <w:sz w:val="20"/>
                <w:szCs w:val="20"/>
                <w:color w:val="auto"/>
              </w:rPr>
            </w:pPr>
            <w:r>
              <w:rPr>
                <w:rFonts w:ascii="Arial" w:cs="Arial" w:eastAsia="Arial" w:hAnsi="Arial"/>
                <w:sz w:val="14"/>
                <w:szCs w:val="14"/>
                <w:color w:val="auto"/>
              </w:rPr>
              <w:t>2%</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Price</w:t>
            </w:r>
          </w:p>
        </w:tc>
        <w:tc>
          <w:tcPr>
            <w:tcW w:w="5060" w:type="dxa"/>
            <w:vAlign w:val="bottom"/>
            <w:tcBorders>
              <w:bottom w:val="single" w:sz="8" w:color="61656A"/>
            </w:tcBorders>
          </w:tcPr>
          <w:p>
            <w:pPr>
              <w:jc w:val="right"/>
              <w:ind w:right="748"/>
              <w:spacing w:after="0"/>
              <w:rPr>
                <w:sz w:val="20"/>
                <w:szCs w:val="20"/>
                <w:color w:val="auto"/>
              </w:rPr>
            </w:pPr>
            <w:r>
              <w:rPr>
                <w:rFonts w:ascii="Arial" w:cs="Arial" w:eastAsia="Arial" w:hAnsi="Arial"/>
                <w:sz w:val="14"/>
                <w:szCs w:val="14"/>
                <w:color w:val="auto"/>
              </w:rPr>
              <w:t>2%</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5060" w:type="dxa"/>
            <w:vAlign w:val="bottom"/>
            <w:tcBorders>
              <w:bottom w:val="single" w:sz="8" w:color="61656A"/>
            </w:tcBorders>
          </w:tcPr>
          <w:p>
            <w:pPr>
              <w:jc w:val="right"/>
              <w:ind w:right="708"/>
              <w:spacing w:after="0"/>
              <w:rPr>
                <w:sz w:val="20"/>
                <w:szCs w:val="20"/>
                <w:color w:val="auto"/>
              </w:rPr>
            </w:pPr>
            <w:r>
              <w:rPr>
                <w:rFonts w:ascii="Arial" w:cs="Arial" w:eastAsia="Arial" w:hAnsi="Arial"/>
                <w:sz w:val="14"/>
                <w:szCs w:val="14"/>
                <w:color w:val="auto"/>
              </w:rPr>
              <w:t>(1)%</w:t>
            </w: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5060" w:type="dxa"/>
            <w:vAlign w:val="bottom"/>
            <w:tcBorders>
              <w:bottom w:val="single" w:sz="8" w:color="D7282F"/>
            </w:tcBorders>
          </w:tcPr>
          <w:p>
            <w:pPr>
              <w:jc w:val="right"/>
              <w:ind w:right="748"/>
              <w:spacing w:after="0"/>
              <w:rPr>
                <w:sz w:val="20"/>
                <w:szCs w:val="20"/>
                <w:color w:val="auto"/>
              </w:rPr>
            </w:pPr>
            <w:r>
              <w:rPr>
                <w:rFonts w:ascii="Arial" w:cs="Arial" w:eastAsia="Arial" w:hAnsi="Arial"/>
                <w:sz w:val="14"/>
                <w:szCs w:val="14"/>
                <w:color w:val="auto"/>
              </w:rPr>
              <w:t>5%</w:t>
            </w:r>
          </w:p>
        </w:tc>
      </w:tr>
      <w:tr>
        <w:trPr>
          <w:trHeight w:val="199"/>
        </w:trPr>
        <w:tc>
          <w:tcPr>
            <w:tcW w:w="5980" w:type="dxa"/>
            <w:vAlign w:val="bottom"/>
            <w:tcBorders>
              <w:bottom w:val="single" w:sz="8" w:color="D7282F"/>
            </w:tcBorders>
          </w:tcPr>
          <w:p>
            <w:pPr>
              <w:ind w:left="60"/>
              <w:spacing w:after="0"/>
              <w:rPr>
                <w:sz w:val="20"/>
                <w:szCs w:val="20"/>
                <w:color w:val="auto"/>
              </w:rPr>
            </w:pPr>
            <w:r>
              <w:rPr>
                <w:rFonts w:ascii="Arial" w:cs="Arial" w:eastAsia="Arial" w:hAnsi="Arial"/>
                <w:sz w:val="14"/>
                <w:szCs w:val="14"/>
                <w:b w:val="1"/>
                <w:bCs w:val="1"/>
                <w:color w:val="auto"/>
              </w:rPr>
              <w:t>Total % change in Net sales</w:t>
            </w:r>
          </w:p>
        </w:tc>
        <w:tc>
          <w:tcPr>
            <w:tcW w:w="5060" w:type="dxa"/>
            <w:vAlign w:val="bottom"/>
            <w:tcBorders>
              <w:bottom w:val="single" w:sz="8" w:color="D7282F"/>
            </w:tcBorders>
          </w:tcPr>
          <w:p>
            <w:pPr>
              <w:jc w:val="right"/>
              <w:ind w:right="748"/>
              <w:spacing w:after="0"/>
              <w:rPr>
                <w:sz w:val="20"/>
                <w:szCs w:val="20"/>
                <w:color w:val="auto"/>
              </w:rPr>
            </w:pPr>
            <w:r>
              <w:rPr>
                <w:rFonts w:ascii="Arial" w:cs="Arial" w:eastAsia="Arial" w:hAnsi="Arial"/>
                <w:sz w:val="14"/>
                <w:szCs w:val="14"/>
                <w:b w:val="1"/>
                <w:bCs w:val="1"/>
                <w:color w:val="auto"/>
              </w:rPr>
              <w:t>8%</w:t>
            </w:r>
          </w:p>
        </w:tc>
      </w:tr>
    </w:tbl>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discussion of Net sales by reportable business segment can be found in the Review of Business Segments section of this Management's Discussion and Analysis.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2025 compared with Q1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sales increased due to the following:</w:t>
      </w:r>
    </w:p>
    <w:p>
      <w:pPr>
        <w:spacing w:after="0" w:line="111" w:lineRule="exact"/>
        <w:rPr>
          <w:sz w:val="20"/>
          <w:szCs w:val="20"/>
          <w:color w:val="auto"/>
        </w:rPr>
      </w:pPr>
    </w:p>
    <w:p>
      <w:pPr>
        <w:ind w:left="200" w:hanging="192"/>
        <w:spacing w:after="0"/>
        <w:tabs>
          <w:tab w:leader="none" w:pos="200" w:val="left"/>
        </w:tabs>
        <w:numPr>
          <w:ilvl w:val="0"/>
          <w:numId w:val="36"/>
        </w:numPr>
        <w:rPr>
          <w:rFonts w:ascii="Arial" w:cs="Arial" w:eastAsia="Arial" w:hAnsi="Arial"/>
          <w:sz w:val="16"/>
          <w:szCs w:val="16"/>
          <w:color w:val="D7282F"/>
        </w:rPr>
      </w:pPr>
      <w:r>
        <w:rPr>
          <w:rFonts w:ascii="Arial" w:cs="Arial" w:eastAsia="Arial" w:hAnsi="Arial"/>
          <w:sz w:val="16"/>
          <w:szCs w:val="16"/>
          <w:color w:val="auto"/>
        </w:rPr>
        <w:t>Incremental sales from recent acquisitions,</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36"/>
        </w:numPr>
        <w:rPr>
          <w:rFonts w:ascii="Arial" w:cs="Arial" w:eastAsia="Arial" w:hAnsi="Arial"/>
          <w:sz w:val="16"/>
          <w:szCs w:val="16"/>
          <w:color w:val="D7282F"/>
        </w:rPr>
      </w:pPr>
      <w:r>
        <w:rPr>
          <w:rFonts w:ascii="Arial" w:cs="Arial" w:eastAsia="Arial" w:hAnsi="Arial"/>
          <w:sz w:val="16"/>
          <w:szCs w:val="16"/>
          <w:color w:val="auto"/>
        </w:rPr>
        <w:t>Increased pricing and price adjustments to offset inflation,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36"/>
        </w:numPr>
        <w:rPr>
          <w:rFonts w:ascii="Arial" w:cs="Arial" w:eastAsia="Arial" w:hAnsi="Arial"/>
          <w:sz w:val="16"/>
          <w:szCs w:val="16"/>
          <w:color w:val="D7282F"/>
        </w:rPr>
      </w:pPr>
      <w:r>
        <w:rPr>
          <w:rFonts w:ascii="Arial" w:cs="Arial" w:eastAsia="Arial" w:hAnsi="Arial"/>
          <w:sz w:val="16"/>
          <w:szCs w:val="16"/>
          <w:color w:val="auto"/>
        </w:rPr>
        <w:t>Higher sales volumes,</w:t>
      </w:r>
    </w:p>
    <w:p>
      <w:pPr>
        <w:spacing w:after="0" w:line="86" w:lineRule="exact"/>
        <w:rPr>
          <w:rFonts w:ascii="Arial" w:cs="Arial" w:eastAsia="Arial" w:hAnsi="Arial"/>
          <w:sz w:val="16"/>
          <w:szCs w:val="16"/>
          <w:color w:val="D7282F"/>
        </w:rPr>
      </w:pPr>
    </w:p>
    <w:p>
      <w:pPr>
        <w:ind w:left="200" w:hanging="192"/>
        <w:spacing w:after="0" w:line="286" w:lineRule="auto"/>
        <w:tabs>
          <w:tab w:leader="none" w:pos="197" w:val="left"/>
        </w:tabs>
        <w:numPr>
          <w:ilvl w:val="0"/>
          <w:numId w:val="36"/>
        </w:numPr>
        <w:rPr>
          <w:rFonts w:ascii="Arial" w:cs="Arial" w:eastAsia="Arial" w:hAnsi="Arial"/>
          <w:sz w:val="16"/>
          <w:szCs w:val="16"/>
          <w:color w:val="D7282F"/>
        </w:rPr>
      </w:pPr>
      <w:r>
        <w:rPr>
          <w:rFonts w:ascii="Arial" w:cs="Arial" w:eastAsia="Arial" w:hAnsi="Arial"/>
          <w:sz w:val="16"/>
          <w:szCs w:val="16"/>
          <w:color w:val="auto"/>
        </w:rPr>
        <w:t>Partially offset by the unfavorable impact of foreign currency translation, driven by the strengthening of the U.S. dollar against the currencies in certain of our international markets, primarily the euro, Canadian dollar, Australian dollar, and Korean won.</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Our backlog of orders increased 13% to $36.1 billion, as of March 31, 2025, compared to March 31, 2024. Backlog represents the estimated remaining value of work to be performed or products to be shipped under firm contracts. Backlog is equal to our remaining performance obligations under the contracts that meet the guidance on revenue from contracts with customers as discussed in Note 4 </w:t>
      </w:r>
      <w:r>
        <w:rPr>
          <w:rFonts w:ascii="Arial" w:cs="Arial" w:eastAsia="Arial" w:hAnsi="Arial"/>
          <w:sz w:val="16"/>
          <w:szCs w:val="16"/>
          <w:u w:val="single" w:color="auto"/>
          <w:color w:val="0000FF"/>
        </w:rPr>
        <w:t>Revenue Recognition and Contracts with Customers</w:t>
      </w:r>
      <w:r>
        <w:rPr>
          <w:rFonts w:ascii="Arial" w:cs="Arial" w:eastAsia="Arial" w:hAnsi="Arial"/>
          <w:sz w:val="16"/>
          <w:szCs w:val="16"/>
          <w:color w:val="auto"/>
        </w:rPr>
        <w:t xml:space="preserve"> of Notes to Consolidated Financial Statements. Our backlog by reportable business segment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80" w:type="dxa"/>
            <w:vAlign w:val="bottom"/>
            <w:tcBorders>
              <w:bottom w:val="single" w:sz="8" w:color="D7282F"/>
            </w:tcBorders>
          </w:tcPr>
          <w:p>
            <w:pPr>
              <w:spacing w:after="0"/>
              <w:rPr>
                <w:sz w:val="17"/>
                <w:szCs w:val="17"/>
                <w:color w:val="auto"/>
              </w:rPr>
            </w:pPr>
          </w:p>
        </w:tc>
        <w:tc>
          <w:tcPr>
            <w:tcW w:w="3820" w:type="dxa"/>
            <w:vAlign w:val="bottom"/>
            <w:tcBorders>
              <w:bottom w:val="single" w:sz="8" w:color="D7282F"/>
            </w:tcBorders>
          </w:tcPr>
          <w:p>
            <w:pPr>
              <w:spacing w:after="0"/>
              <w:rPr>
                <w:sz w:val="17"/>
                <w:szCs w:val="17"/>
                <w:color w:val="auto"/>
              </w:rPr>
            </w:pPr>
          </w:p>
        </w:tc>
        <w:tc>
          <w:tcPr>
            <w:tcW w:w="154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March 31, 2025</w:t>
            </w:r>
          </w:p>
        </w:tc>
      </w:tr>
      <w:tr>
        <w:trPr>
          <w:trHeight w:val="193"/>
        </w:trPr>
        <w:tc>
          <w:tcPr>
            <w:tcW w:w="5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Aerospace Technologies</w:t>
            </w:r>
          </w:p>
        </w:tc>
        <w:tc>
          <w:tcPr>
            <w:tcW w:w="38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15,679</w:t>
            </w:r>
          </w:p>
        </w:tc>
      </w:tr>
      <w:tr>
        <w:trPr>
          <w:trHeight w:val="196"/>
        </w:trPr>
        <w:tc>
          <w:tcPr>
            <w:tcW w:w="5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Industrial Automation</w:t>
            </w:r>
          </w:p>
        </w:tc>
        <w:tc>
          <w:tcPr>
            <w:tcW w:w="3820" w:type="dxa"/>
            <w:vAlign w:val="bottom"/>
            <w:tcBorders>
              <w:bottom w:val="single" w:sz="8" w:color="61656A"/>
            </w:tcBorders>
          </w:tcPr>
          <w:p>
            <w:pPr>
              <w:spacing w:after="0"/>
              <w:rPr>
                <w:sz w:val="17"/>
                <w:szCs w:val="17"/>
                <w:color w:val="auto"/>
              </w:rPr>
            </w:pPr>
          </w:p>
        </w:tc>
        <w:tc>
          <w:tcPr>
            <w:tcW w:w="1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5,764</w:t>
            </w:r>
          </w:p>
        </w:tc>
      </w:tr>
      <w:tr>
        <w:trPr>
          <w:trHeight w:val="196"/>
        </w:trPr>
        <w:tc>
          <w:tcPr>
            <w:tcW w:w="5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Building Automation</w:t>
            </w:r>
          </w:p>
        </w:tc>
        <w:tc>
          <w:tcPr>
            <w:tcW w:w="3820" w:type="dxa"/>
            <w:vAlign w:val="bottom"/>
            <w:tcBorders>
              <w:bottom w:val="single" w:sz="8" w:color="61656A"/>
            </w:tcBorders>
          </w:tcPr>
          <w:p>
            <w:pPr>
              <w:spacing w:after="0"/>
              <w:rPr>
                <w:sz w:val="17"/>
                <w:szCs w:val="17"/>
                <w:color w:val="auto"/>
              </w:rPr>
            </w:pPr>
          </w:p>
        </w:tc>
        <w:tc>
          <w:tcPr>
            <w:tcW w:w="1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8,432</w:t>
            </w:r>
          </w:p>
        </w:tc>
      </w:tr>
      <w:tr>
        <w:trPr>
          <w:trHeight w:val="196"/>
        </w:trPr>
        <w:tc>
          <w:tcPr>
            <w:tcW w:w="5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Energy and Sustainability Solutions</w:t>
            </w:r>
          </w:p>
        </w:tc>
        <w:tc>
          <w:tcPr>
            <w:tcW w:w="3820" w:type="dxa"/>
            <w:vAlign w:val="bottom"/>
            <w:tcBorders>
              <w:bottom w:val="single" w:sz="8" w:color="61656A"/>
            </w:tcBorders>
          </w:tcPr>
          <w:p>
            <w:pPr>
              <w:spacing w:after="0"/>
              <w:rPr>
                <w:sz w:val="17"/>
                <w:szCs w:val="17"/>
                <w:color w:val="auto"/>
              </w:rPr>
            </w:pPr>
          </w:p>
        </w:tc>
        <w:tc>
          <w:tcPr>
            <w:tcW w:w="1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6,207</w:t>
            </w:r>
          </w:p>
        </w:tc>
      </w:tr>
      <w:tr>
        <w:trPr>
          <w:trHeight w:val="200"/>
        </w:trPr>
        <w:tc>
          <w:tcPr>
            <w:tcW w:w="5880" w:type="dxa"/>
            <w:vAlign w:val="bottom"/>
            <w:tcBorders>
              <w:bottom w:val="single" w:sz="8" w:color="D7282F"/>
            </w:tcBorders>
          </w:tcPr>
          <w:p>
            <w:pPr>
              <w:ind w:left="20"/>
              <w:spacing w:after="0" w:line="200" w:lineRule="exact"/>
              <w:rPr>
                <w:sz w:val="20"/>
                <w:szCs w:val="20"/>
                <w:color w:val="auto"/>
              </w:rPr>
            </w:pPr>
            <w:r>
              <w:rPr>
                <w:rFonts w:ascii="Arial" w:cs="Arial" w:eastAsia="Arial" w:hAnsi="Arial"/>
                <w:sz w:val="14"/>
                <w:szCs w:val="14"/>
                <w:color w:val="auto"/>
              </w:rPr>
              <w:t>Corporate and All Other</w:t>
            </w:r>
            <w:r>
              <w:rPr>
                <w:rFonts w:ascii="Arial" w:cs="Arial" w:eastAsia="Arial" w:hAnsi="Arial"/>
                <w:sz w:val="18"/>
                <w:szCs w:val="18"/>
                <w:color w:val="auto"/>
                <w:vertAlign w:val="superscript"/>
              </w:rPr>
              <w:t>1</w:t>
            </w:r>
          </w:p>
        </w:tc>
        <w:tc>
          <w:tcPr>
            <w:tcW w:w="3820" w:type="dxa"/>
            <w:vAlign w:val="bottom"/>
            <w:tcBorders>
              <w:bottom w:val="single" w:sz="8" w:color="D7282F"/>
            </w:tcBorders>
          </w:tcPr>
          <w:p>
            <w:pPr>
              <w:spacing w:after="0"/>
              <w:rPr>
                <w:sz w:val="17"/>
                <w:szCs w:val="17"/>
                <w:color w:val="auto"/>
              </w:rPr>
            </w:pPr>
          </w:p>
        </w:tc>
        <w:tc>
          <w:tcPr>
            <w:tcW w:w="1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w:t>
            </w:r>
          </w:p>
        </w:tc>
      </w:tr>
      <w:tr>
        <w:trPr>
          <w:trHeight w:val="195"/>
        </w:trPr>
        <w:tc>
          <w:tcPr>
            <w:tcW w:w="58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backlog</w:t>
            </w:r>
          </w:p>
        </w:tc>
        <w:tc>
          <w:tcPr>
            <w:tcW w:w="38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36,097</w:t>
            </w:r>
          </w:p>
        </w:tc>
      </w:tr>
    </w:tbl>
    <w:p>
      <w:pPr>
        <w:spacing w:after="0" w:line="198" w:lineRule="exact"/>
        <w:rPr>
          <w:sz w:val="20"/>
          <w:szCs w:val="20"/>
          <w:color w:val="auto"/>
        </w:rPr>
      </w:pPr>
    </w:p>
    <w:p>
      <w:pPr>
        <w:ind w:left="480" w:hanging="344"/>
        <w:spacing w:after="0"/>
        <w:tabs>
          <w:tab w:leader="none" w:pos="4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backlog within Corporate and All Other relates to the Quantinuum business.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hanging="392"/>
        <w:spacing w:after="0"/>
        <w:tabs>
          <w:tab w:leader="none" w:pos="400" w:val="left"/>
        </w:tabs>
        <w:numPr>
          <w:ilvl w:val="0"/>
          <w:numId w:val="3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Products and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1431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003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2025 compared with Q1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the following:</w:t>
      </w:r>
    </w:p>
    <w:p>
      <w:pPr>
        <w:spacing w:after="0" w:line="111" w:lineRule="exact"/>
        <w:rPr>
          <w:sz w:val="20"/>
          <w:szCs w:val="20"/>
          <w:color w:val="auto"/>
        </w:rPr>
      </w:pPr>
    </w:p>
    <w:p>
      <w:pPr>
        <w:ind w:left="200" w:hanging="192"/>
        <w:spacing w:after="0"/>
        <w:tabs>
          <w:tab w:leader="none" w:pos="200" w:val="left"/>
        </w:tabs>
        <w:numPr>
          <w:ilvl w:val="0"/>
          <w:numId w:val="39"/>
        </w:numPr>
        <w:rPr>
          <w:rFonts w:ascii="Arial" w:cs="Arial" w:eastAsia="Arial" w:hAnsi="Arial"/>
          <w:sz w:val="16"/>
          <w:szCs w:val="16"/>
          <w:color w:val="D7282F"/>
        </w:rPr>
      </w:pPr>
      <w:r>
        <w:rPr>
          <w:rFonts w:ascii="Arial" w:cs="Arial" w:eastAsia="Arial" w:hAnsi="Arial"/>
          <w:sz w:val="16"/>
          <w:szCs w:val="16"/>
          <w:color w:val="auto"/>
        </w:rPr>
        <w:t>Incremental costs from recent acquisitions of approximately $0.3 billion or 5%,</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39"/>
        </w:numPr>
        <w:rPr>
          <w:rFonts w:ascii="Arial" w:cs="Arial" w:eastAsia="Arial" w:hAnsi="Arial"/>
          <w:sz w:val="16"/>
          <w:szCs w:val="16"/>
          <w:color w:val="D7282F"/>
        </w:rPr>
      </w:pPr>
      <w:r>
        <w:rPr>
          <w:rFonts w:ascii="Arial" w:cs="Arial" w:eastAsia="Arial" w:hAnsi="Arial"/>
          <w:sz w:val="16"/>
          <w:szCs w:val="16"/>
          <w:color w:val="auto"/>
        </w:rPr>
        <w:t>Higher direct and indirect material costs and higher labor costs of approximately $0.2 billion or 4%, and</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39"/>
        </w:numPr>
        <w:rPr>
          <w:rFonts w:ascii="Arial" w:cs="Arial" w:eastAsia="Arial" w:hAnsi="Arial"/>
          <w:sz w:val="16"/>
          <w:szCs w:val="16"/>
          <w:color w:val="D7282F"/>
        </w:rPr>
      </w:pPr>
      <w:r>
        <w:rPr>
          <w:rFonts w:ascii="Arial" w:cs="Arial" w:eastAsia="Arial" w:hAnsi="Arial"/>
          <w:sz w:val="16"/>
          <w:szCs w:val="16"/>
          <w:color w:val="auto"/>
        </w:rPr>
        <w:t>Higher sales volumes of lower margin products of approximately $0.1 billion or 2%,</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39"/>
        </w:numPr>
        <w:rPr>
          <w:rFonts w:ascii="Arial" w:cs="Arial" w:eastAsia="Arial" w:hAnsi="Arial"/>
          <w:sz w:val="16"/>
          <w:szCs w:val="16"/>
          <w:color w:val="D7282F"/>
        </w:rPr>
      </w:pPr>
      <w:r>
        <w:rPr>
          <w:rFonts w:ascii="Arial" w:cs="Arial" w:eastAsia="Arial" w:hAnsi="Arial"/>
          <w:sz w:val="16"/>
          <w:szCs w:val="16"/>
          <w:color w:val="auto"/>
        </w:rPr>
        <w:t>Partially offset by higher productivity of approximately $0.2 billion or 4%.</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89535</wp:posOffset>
            </wp:positionV>
            <wp:extent cx="3000375" cy="21431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003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2025 compared with Q1 2024</w:t>
      </w:r>
    </w:p>
    <w:p>
      <w:pPr>
        <w:spacing w:after="0" w:line="3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Gross margin increased by approximately $0.3 billion and gross margin percentage decreased 20 basis points to 38.5% compared to 38.7% for the same period of 2024.</w:t>
      </w:r>
    </w:p>
    <w:p>
      <w:pPr>
        <w:spacing w:after="0" w:line="200" w:lineRule="exact"/>
        <w:rPr>
          <w:sz w:val="20"/>
          <w:szCs w:val="20"/>
          <w:color w:val="auto"/>
        </w:rPr>
      </w:pPr>
    </w:p>
    <w:p>
      <w:pPr>
        <w:spacing w:after="0" w:line="216"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1431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003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2025 compared with Q1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increased due to increased spending, primarily in our Aerospace Technologies business.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research and development costs is as follows:</w:t>
      </w:r>
    </w:p>
    <w:p>
      <w:pPr>
        <w:spacing w:after="0" w:line="158"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80" w:type="dxa"/>
            <w:vAlign w:val="bottom"/>
            <w:tcBorders>
              <w:bottom w:val="single" w:sz="8" w:color="D7282F"/>
            </w:tcBorders>
          </w:tcPr>
          <w:p>
            <w:pPr>
              <w:spacing w:after="0"/>
              <w:rPr>
                <w:sz w:val="17"/>
                <w:szCs w:val="17"/>
                <w:color w:val="auto"/>
              </w:rPr>
            </w:pPr>
          </w:p>
        </w:tc>
        <w:tc>
          <w:tcPr>
            <w:tcW w:w="180" w:type="dxa"/>
            <w:vAlign w:val="bottom"/>
            <w:tcBorders>
              <w:top w:val="single" w:sz="8" w:color="D7282F"/>
              <w:bottom w:val="single" w:sz="8" w:color="D7282F"/>
            </w:tcBorders>
          </w:tcPr>
          <w:p>
            <w:pPr>
              <w:spacing w:after="0"/>
              <w:rPr>
                <w:sz w:val="17"/>
                <w:szCs w:val="17"/>
                <w:color w:val="auto"/>
              </w:rPr>
            </w:pPr>
          </w:p>
        </w:tc>
        <w:tc>
          <w:tcPr>
            <w:tcW w:w="780" w:type="dxa"/>
            <w:vAlign w:val="bottom"/>
            <w:tcBorders>
              <w:top w:val="single" w:sz="8" w:color="D7282F"/>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D7282F"/>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2"/>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Company funded research and development expenses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439</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360</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Customer-sponsored research and development</w:t>
            </w:r>
            <w:r>
              <w:rPr>
                <w:rFonts w:ascii="Arial" w:cs="Arial" w:eastAsia="Arial" w:hAnsi="Arial"/>
                <w:sz w:val="9"/>
                <w:szCs w:val="9"/>
                <w:color w:val="auto"/>
              </w:rPr>
              <w:t>1</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267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269</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research and development costs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706</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629</w:t>
            </w:r>
          </w:p>
        </w:tc>
      </w:tr>
    </w:tbl>
    <w:p>
      <w:pPr>
        <w:spacing w:after="0" w:line="131" w:lineRule="exact"/>
        <w:rPr>
          <w:sz w:val="20"/>
          <w:szCs w:val="20"/>
          <w:color w:val="auto"/>
        </w:rPr>
      </w:pPr>
    </w:p>
    <w:p>
      <w:pPr>
        <w:ind w:left="360" w:right="60" w:hanging="334"/>
        <w:spacing w:after="0" w:line="264" w:lineRule="auto"/>
        <w:tabs>
          <w:tab w:leader="none" w:pos="3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Includes deferred customer funded nonrecurring engineering and development activities and expenditures on customer programs with a significant engineering performance obligation, included in Cost of products and services sold in the Consolidated Statement of Operations.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143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003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2025 compared with Q1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increased due to incremental costs from acquisitions.</w:t>
      </w:r>
    </w:p>
    <w:p>
      <w:pPr>
        <w:spacing w:after="0" w:line="200" w:lineRule="exact"/>
        <w:rPr>
          <w:sz w:val="20"/>
          <w:szCs w:val="20"/>
          <w:color w:val="auto"/>
        </w:rPr>
      </w:pPr>
    </w:p>
    <w:p>
      <w:pPr>
        <w:spacing w:after="0" w:line="236"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Assets Held for Sale</w:t>
      </w:r>
    </w:p>
    <w:p>
      <w:pPr>
        <w:spacing w:after="0" w:line="158"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6350</wp:posOffset>
            </wp:positionV>
            <wp:extent cx="12433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8" w:lineRule="exact"/>
        <w:rPr>
          <w:sz w:val="20"/>
          <w:szCs w:val="20"/>
          <w:color w:val="auto"/>
        </w:rPr>
      </w:pPr>
    </w:p>
    <w:p>
      <w:pPr>
        <w:ind w:left="9560"/>
        <w:spacing w:after="0"/>
        <w:tabs>
          <w:tab w:leader="none" w:pos="1062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9280" w:val="left"/>
          <w:tab w:leader="none" w:pos="9900" w:val="left"/>
          <w:tab w:leader="none" w:pos="10380" w:val="left"/>
          <w:tab w:leader="none" w:pos="11000" w:val="left"/>
        </w:tabs>
        <w:rPr>
          <w:sz w:val="20"/>
          <w:szCs w:val="20"/>
          <w:color w:val="auto"/>
        </w:rPr>
      </w:pPr>
      <w:r>
        <w:rPr>
          <w:rFonts w:ascii="Arial" w:cs="Arial" w:eastAsia="Arial" w:hAnsi="Arial"/>
          <w:sz w:val="14"/>
          <w:szCs w:val="14"/>
          <w:color w:val="auto"/>
        </w:rPr>
        <w:t>Impairment of assets held for sale</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2025 compared with Q1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 impairment charge was recorded on assets held for sale related to the PPE business during the three months ended March 31, 2025.</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w:t>
      </w:r>
    </w:p>
    <w:p>
      <w:pPr>
        <w:spacing w:after="0" w:line="158"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6350</wp:posOffset>
            </wp:positionV>
            <wp:extent cx="12433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8" w:lineRule="exact"/>
        <w:rPr>
          <w:sz w:val="20"/>
          <w:szCs w:val="20"/>
          <w:color w:val="auto"/>
        </w:rPr>
      </w:pPr>
    </w:p>
    <w:p>
      <w:pPr>
        <w:ind w:left="9560"/>
        <w:spacing w:after="0"/>
        <w:tabs>
          <w:tab w:leader="none" w:pos="1062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9280" w:val="left"/>
          <w:tab w:leader="none" w:pos="9760" w:val="left"/>
          <w:tab w:leader="none" w:pos="10380" w:val="left"/>
          <w:tab w:leader="none" w:pos="10860" w:val="left"/>
        </w:tabs>
        <w:rPr>
          <w:sz w:val="20"/>
          <w:szCs w:val="20"/>
          <w:color w:val="auto"/>
        </w:rPr>
      </w:pPr>
      <w:r>
        <w:rPr>
          <w:rFonts w:ascii="Arial" w:cs="Arial" w:eastAsia="Arial" w:hAnsi="Arial"/>
          <w:sz w:val="14"/>
          <w:szCs w:val="14"/>
          <w:color w:val="auto"/>
        </w:rPr>
        <w:t>Other (income) expense</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(200)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2025 compared with Q1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 income decreased due to higher divestiture-related costs.</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and Other Financial Charges</w:t>
      </w:r>
    </w:p>
    <w:p>
      <w:pPr>
        <w:spacing w:after="0" w:line="158"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 March</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6350</wp:posOffset>
            </wp:positionV>
            <wp:extent cx="12433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8" w:lineRule="exact"/>
        <w:rPr>
          <w:sz w:val="20"/>
          <w:szCs w:val="20"/>
          <w:color w:val="auto"/>
        </w:rPr>
      </w:pPr>
    </w:p>
    <w:p>
      <w:pPr>
        <w:ind w:left="9560"/>
        <w:spacing w:after="0"/>
        <w:tabs>
          <w:tab w:leader="none" w:pos="1062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9280" w:val="left"/>
          <w:tab w:leader="none" w:pos="9820" w:val="left"/>
          <w:tab w:leader="none" w:pos="10380" w:val="left"/>
          <w:tab w:leader="none" w:pos="10920" w:val="left"/>
        </w:tabs>
        <w:rPr>
          <w:sz w:val="20"/>
          <w:szCs w:val="20"/>
          <w:color w:val="auto"/>
        </w:rPr>
      </w:pPr>
      <w:r>
        <w:rPr>
          <w:rFonts w:ascii="Arial" w:cs="Arial" w:eastAsia="Arial" w:hAnsi="Arial"/>
          <w:sz w:val="14"/>
          <w:szCs w:val="14"/>
          <w:color w:val="auto"/>
        </w:rPr>
        <w:t>Interest and other financial charges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286</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2025 compared with Q1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Interest and other financial charges increased due to prior year issuances of long-term debt.</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89535</wp:posOffset>
            </wp:positionV>
            <wp:extent cx="3000375" cy="213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0037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2025 compared with Q1 2024</w:t>
      </w:r>
    </w:p>
    <w:p>
      <w:pPr>
        <w:spacing w:after="0" w:line="2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effective tax rate increased 90 basis-points as a result of increased tax expense related to internal legal entity restructuring in advance of the anticipated sale of the PPE business.</w:t>
      </w:r>
    </w:p>
    <w:p>
      <w:pPr>
        <w:spacing w:after="0" w:line="200" w:lineRule="exact"/>
        <w:rPr>
          <w:sz w:val="20"/>
          <w:szCs w:val="20"/>
          <w:color w:val="auto"/>
        </w:rPr>
      </w:pPr>
    </w:p>
    <w:p>
      <w:pPr>
        <w:spacing w:after="0" w:line="216"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Attributable to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1431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003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2025 compared to Q1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of common stock–assuming dilution slightly decreased primarily due to the following:</w:t>
      </w:r>
    </w:p>
    <w:p>
      <w:pPr>
        <w:spacing w:after="0" w:line="111" w:lineRule="exact"/>
        <w:rPr>
          <w:sz w:val="20"/>
          <w:szCs w:val="20"/>
          <w:color w:val="auto"/>
        </w:rPr>
      </w:pPr>
    </w:p>
    <w:p>
      <w:pPr>
        <w:ind w:left="200" w:hanging="192"/>
        <w:spacing w:after="0"/>
        <w:tabs>
          <w:tab w:leader="none" w:pos="200" w:val="left"/>
        </w:tabs>
        <w:numPr>
          <w:ilvl w:val="0"/>
          <w:numId w:val="44"/>
        </w:numPr>
        <w:rPr>
          <w:rFonts w:ascii="Arial" w:cs="Arial" w:eastAsia="Arial" w:hAnsi="Arial"/>
          <w:sz w:val="16"/>
          <w:szCs w:val="16"/>
          <w:color w:val="D7282F"/>
        </w:rPr>
      </w:pPr>
      <w:r>
        <w:rPr>
          <w:rFonts w:ascii="Arial" w:cs="Arial" w:eastAsia="Arial" w:hAnsi="Arial"/>
          <w:sz w:val="16"/>
          <w:szCs w:val="16"/>
          <w:color w:val="auto"/>
        </w:rPr>
        <w:t>Higher divestiture-related costs ($0.08 after tax),</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44"/>
        </w:numPr>
        <w:rPr>
          <w:rFonts w:ascii="Arial" w:cs="Arial" w:eastAsia="Arial" w:hAnsi="Arial"/>
          <w:sz w:val="16"/>
          <w:szCs w:val="16"/>
          <w:color w:val="D7282F"/>
        </w:rPr>
      </w:pPr>
      <w:r>
        <w:rPr>
          <w:rFonts w:ascii="Arial" w:cs="Arial" w:eastAsia="Arial" w:hAnsi="Arial"/>
          <w:sz w:val="16"/>
          <w:szCs w:val="16"/>
          <w:color w:val="auto"/>
        </w:rPr>
        <w:t>Higher interest and other financial charges ($0.08 after tax), and</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44"/>
        </w:numPr>
        <w:rPr>
          <w:rFonts w:ascii="Arial" w:cs="Arial" w:eastAsia="Arial" w:hAnsi="Arial"/>
          <w:sz w:val="16"/>
          <w:szCs w:val="16"/>
          <w:color w:val="D7282F"/>
        </w:rPr>
      </w:pPr>
      <w:r>
        <w:rPr>
          <w:rFonts w:ascii="Arial" w:cs="Arial" w:eastAsia="Arial" w:hAnsi="Arial"/>
          <w:sz w:val="16"/>
          <w:szCs w:val="16"/>
          <w:color w:val="auto"/>
        </w:rPr>
        <w:t>Higher acquisition-related intangibles amortization ($0.07 after tax),</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44"/>
        </w:numPr>
        <w:rPr>
          <w:rFonts w:ascii="Arial" w:cs="Arial" w:eastAsia="Arial" w:hAnsi="Arial"/>
          <w:sz w:val="16"/>
          <w:szCs w:val="16"/>
          <w:color w:val="DC202E"/>
        </w:rPr>
      </w:pPr>
      <w:r>
        <w:rPr>
          <w:rFonts w:ascii="Arial" w:cs="Arial" w:eastAsia="Arial" w:hAnsi="Arial"/>
          <w:sz w:val="16"/>
          <w:szCs w:val="16"/>
          <w:color w:val="auto"/>
        </w:rPr>
        <w:t>Partially offset by higher segment profit ($0.20 after tax).</w:t>
      </w:r>
    </w:p>
    <w:p>
      <w:pPr>
        <w:spacing w:after="0" w:line="200" w:lineRule="exact"/>
        <w:rPr>
          <w:sz w:val="20"/>
          <w:szCs w:val="20"/>
          <w:color w:val="auto"/>
        </w:rPr>
      </w:pPr>
    </w:p>
    <w:p>
      <w:pPr>
        <w:spacing w:after="0" w:line="225" w:lineRule="exact"/>
        <w:rPr>
          <w:sz w:val="20"/>
          <w:szCs w:val="20"/>
          <w:color w:val="auto"/>
        </w:rPr>
      </w:pPr>
    </w:p>
    <w:p>
      <w:pPr>
        <w:ind w:left="400" w:hanging="392"/>
        <w:spacing w:after="0"/>
        <w:tabs>
          <w:tab w:leader="none" w:pos="400" w:val="left"/>
        </w:tabs>
        <w:numPr>
          <w:ilvl w:val="0"/>
          <w:numId w:val="4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REVIEW OF BUSINESS SEGMENTS</w:t>
      </w:r>
    </w:p>
    <w:p>
      <w:pPr>
        <w:spacing w:after="0" w:line="393"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We globally manage our business operations through four reportable business segments: Aerospace Technologies, Industrial Automation, Building Automation, and Energy and Sustainability Solutions.</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AEROSPACE TECHNOLOGIES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89535</wp:posOffset>
            </wp:positionV>
            <wp:extent cx="3000375" cy="25717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0003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836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tcPr>
          <w:p>
            <w:pPr>
              <w:spacing w:after="0"/>
              <w:rPr>
                <w:sz w:val="16"/>
                <w:szCs w:val="16"/>
                <w:color w:val="auto"/>
              </w:rPr>
            </w:pPr>
          </w:p>
        </w:tc>
        <w:tc>
          <w:tcPr>
            <w:tcW w:w="2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w w:val="99"/>
              </w:rPr>
              <w:t>March 31,</w:t>
            </w:r>
          </w:p>
        </w:tc>
        <w:tc>
          <w:tcPr>
            <w:tcW w:w="9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96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836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vMerge w:val="continue"/>
          </w:tcPr>
          <w:p>
            <w:pPr>
              <w:spacing w:after="0"/>
              <w:rPr>
                <w:sz w:val="16"/>
                <w:szCs w:val="16"/>
                <w:color w:val="auto"/>
              </w:rPr>
            </w:pPr>
          </w:p>
        </w:tc>
        <w:tc>
          <w:tcPr>
            <w:tcW w:w="2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vMerge w:val="continue"/>
          </w:tcPr>
          <w:p>
            <w:pPr>
              <w:spacing w:after="0"/>
              <w:rPr>
                <w:sz w:val="16"/>
                <w:szCs w:val="16"/>
                <w:color w:val="auto"/>
              </w:rPr>
            </w:pPr>
          </w:p>
        </w:tc>
        <w:tc>
          <w:tcPr>
            <w:tcW w:w="9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4,172</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3,669</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2,592</w:t>
            </w: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2,217</w:t>
            </w:r>
          </w:p>
        </w:tc>
        <w:tc>
          <w:tcPr>
            <w:tcW w:w="96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auto"/>
              </w:rPr>
              <w:t>481</w:t>
            </w: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417</w:t>
            </w:r>
          </w:p>
        </w:tc>
        <w:tc>
          <w:tcPr>
            <w:tcW w:w="96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3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1,099</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1,035</w:t>
            </w: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6 %</w:t>
            </w:r>
          </w:p>
        </w:tc>
        <w:tc>
          <w:tcPr>
            <w:tcW w:w="0" w:type="dxa"/>
            <w:vAlign w:val="bottom"/>
          </w:tcPr>
          <w:p>
            <w:pPr>
              <w:spacing w:after="0"/>
              <w:rPr>
                <w:sz w:val="1"/>
                <w:szCs w:val="1"/>
                <w:color w:val="auto"/>
              </w:rPr>
            </w:pPr>
          </w:p>
        </w:tc>
      </w:tr>
      <w:tr>
        <w:trPr>
          <w:trHeight w:val="426"/>
        </w:trPr>
        <w:tc>
          <w:tcPr>
            <w:tcW w:w="8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Borders>
              <w:bottom w:val="single" w:sz="8" w:color="D7282F"/>
            </w:tcBorders>
          </w:tcPr>
          <w:p>
            <w:pPr>
              <w:spacing w:after="0"/>
              <w:rPr>
                <w:sz w:val="24"/>
                <w:szCs w:val="24"/>
                <w:color w:val="auto"/>
              </w:rPr>
            </w:pPr>
          </w:p>
        </w:tc>
        <w:tc>
          <w:tcPr>
            <w:tcW w:w="400" w:type="dxa"/>
            <w:vAlign w:val="bottom"/>
            <w:tcBorders>
              <w:bottom w:val="single" w:sz="8" w:color="D7282F"/>
            </w:tcBorders>
          </w:tcPr>
          <w:p>
            <w:pPr>
              <w:spacing w:after="0"/>
              <w:rPr>
                <w:sz w:val="24"/>
                <w:szCs w:val="24"/>
                <w:color w:val="auto"/>
              </w:rPr>
            </w:pPr>
          </w:p>
        </w:tc>
        <w:tc>
          <w:tcPr>
            <w:tcW w:w="1780" w:type="dxa"/>
            <w:vAlign w:val="bottom"/>
            <w:tcBorders>
              <w:bottom w:val="single" w:sz="8" w:color="D7282F"/>
            </w:tcBorders>
            <w:gridSpan w:val="2"/>
          </w:tcPr>
          <w:p>
            <w:pPr>
              <w:jc w:val="center"/>
              <w:ind w:right="348"/>
              <w:spacing w:after="0"/>
              <w:rPr>
                <w:sz w:val="20"/>
                <w:szCs w:val="20"/>
                <w:color w:val="auto"/>
              </w:rPr>
            </w:pPr>
            <w:r>
              <w:rPr>
                <w:rFonts w:ascii="Arial" w:cs="Arial" w:eastAsia="Arial" w:hAnsi="Arial"/>
                <w:sz w:val="14"/>
                <w:szCs w:val="14"/>
                <w:b w:val="1"/>
                <w:bCs w:val="1"/>
                <w:color w:val="auto"/>
              </w:rPr>
              <w:t>2025 vs. 2024</w:t>
            </w:r>
          </w:p>
        </w:tc>
        <w:tc>
          <w:tcPr>
            <w:tcW w:w="0" w:type="dxa"/>
            <w:vAlign w:val="bottom"/>
          </w:tcPr>
          <w:p>
            <w:pPr>
              <w:spacing w:after="0"/>
              <w:rPr>
                <w:sz w:val="1"/>
                <w:szCs w:val="1"/>
                <w:color w:val="auto"/>
              </w:rPr>
            </w:pPr>
          </w:p>
        </w:tc>
      </w:tr>
      <w:tr>
        <w:trPr>
          <w:trHeight w:val="147"/>
        </w:trPr>
        <w:tc>
          <w:tcPr>
            <w:tcW w:w="8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8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1780" w:type="dxa"/>
            <w:vAlign w:val="bottom"/>
            <w:tcBorders>
              <w:bottom w:val="single" w:sz="8" w:color="D7282F"/>
            </w:tcBorders>
            <w:gridSpan w:val="2"/>
          </w:tcPr>
          <w:p>
            <w:pPr>
              <w:jc w:val="center"/>
              <w:ind w:right="34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6"/>
        </w:trPr>
        <w:tc>
          <w:tcPr>
            <w:tcW w:w="8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right"/>
              <w:ind w:right="568"/>
              <w:spacing w:after="0" w:line="147" w:lineRule="exact"/>
              <w:rPr>
                <w:sz w:val="20"/>
                <w:szCs w:val="20"/>
                <w:color w:val="auto"/>
              </w:rPr>
            </w:pPr>
            <w:r>
              <w:rPr>
                <w:rFonts w:ascii="Arial" w:cs="Arial" w:eastAsia="Arial" w:hAnsi="Arial"/>
                <w:sz w:val="14"/>
                <w:szCs w:val="14"/>
                <w:b w:val="1"/>
                <w:bCs w:val="1"/>
                <w:color w:val="auto"/>
              </w:rPr>
              <w:t>Net</w:t>
            </w:r>
          </w:p>
        </w:tc>
        <w:tc>
          <w:tcPr>
            <w:tcW w:w="960" w:type="dxa"/>
            <w:vAlign w:val="bottom"/>
          </w:tcPr>
          <w:p>
            <w:pPr>
              <w:jc w:val="right"/>
              <w:ind w:right="10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8360" w:type="dxa"/>
            <w:vAlign w:val="bottom"/>
            <w:tcBorders>
              <w:bottom w:val="single" w:sz="8" w:color="D7282F"/>
            </w:tcBorders>
            <w:vMerge w:val="continue"/>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tcPr>
          <w:p>
            <w:pPr>
              <w:spacing w:after="0"/>
              <w:rPr>
                <w:sz w:val="16"/>
                <w:szCs w:val="16"/>
                <w:color w:val="auto"/>
              </w:rPr>
            </w:pPr>
          </w:p>
        </w:tc>
        <w:tc>
          <w:tcPr>
            <w:tcW w:w="20" w:type="dxa"/>
            <w:vAlign w:val="bottom"/>
            <w:tcBorders>
              <w:bottom w:val="single" w:sz="8" w:color="D7282F"/>
            </w:tcBorders>
          </w:tcPr>
          <w:p>
            <w:pPr>
              <w:spacing w:after="0"/>
              <w:rPr>
                <w:sz w:val="16"/>
                <w:szCs w:val="16"/>
                <w:color w:val="auto"/>
              </w:rPr>
            </w:pPr>
          </w:p>
        </w:tc>
        <w:tc>
          <w:tcPr>
            <w:tcW w:w="1220" w:type="dxa"/>
            <w:vAlign w:val="bottom"/>
            <w:tcBorders>
              <w:bottom w:val="single" w:sz="8" w:color="D7282F"/>
            </w:tcBorders>
            <w:gridSpan w:val="2"/>
          </w:tcPr>
          <w:p>
            <w:pPr>
              <w:jc w:val="right"/>
              <w:ind w:right="488"/>
              <w:spacing w:after="0"/>
              <w:rPr>
                <w:sz w:val="20"/>
                <w:szCs w:val="20"/>
                <w:color w:val="auto"/>
              </w:rPr>
            </w:pPr>
            <w:r>
              <w:rPr>
                <w:rFonts w:ascii="Arial" w:cs="Arial" w:eastAsia="Arial" w:hAnsi="Arial"/>
                <w:sz w:val="14"/>
                <w:szCs w:val="14"/>
                <w:b w:val="1"/>
                <w:bCs w:val="1"/>
                <w:color w:val="auto"/>
              </w:rPr>
              <w:t>Sales</w:t>
            </w:r>
          </w:p>
        </w:tc>
        <w:tc>
          <w:tcPr>
            <w:tcW w:w="96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Organic</w:t>
            </w:r>
            <w:r>
              <w:rPr>
                <w:rFonts w:ascii="Arial" w:cs="Arial" w:eastAsia="Arial" w:hAnsi="Arial"/>
                <w:sz w:val="18"/>
                <w:szCs w:val="18"/>
                <w:color w:val="auto"/>
                <w:vertAlign w:val="superscript"/>
              </w:rPr>
              <w:t>1</w:t>
            </w:r>
          </w:p>
        </w:tc>
        <w:tc>
          <w:tcPr>
            <w:tcW w:w="16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c>
          <w:tcPr>
            <w:tcW w:w="2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9 %</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spacing w:after="0"/>
              <w:rPr>
                <w:sz w:val="16"/>
                <w:szCs w:val="16"/>
                <w:color w:val="auto"/>
              </w:rPr>
            </w:pPr>
          </w:p>
        </w:tc>
        <w:tc>
          <w:tcPr>
            <w:tcW w:w="20" w:type="dxa"/>
            <w:vAlign w:val="bottom"/>
            <w:tcBorders>
              <w:bottom w:val="single" w:sz="8" w:color="61656A"/>
            </w:tcBorders>
          </w:tcPr>
          <w:p>
            <w:pPr>
              <w:spacing w:after="0"/>
              <w:rPr>
                <w:sz w:val="16"/>
                <w:szCs w:val="16"/>
                <w:color w:val="auto"/>
              </w:rPr>
            </w:pPr>
          </w:p>
        </w:tc>
        <w:tc>
          <w:tcPr>
            <w:tcW w:w="40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2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5 %</w:t>
            </w: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9"/>
        </w:trPr>
        <w:tc>
          <w:tcPr>
            <w:tcW w:w="83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2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14 %</w:t>
            </w: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80" w:right="20" w:hanging="344"/>
        <w:spacing w:after="0" w:line="189" w:lineRule="auto"/>
        <w:tabs>
          <w:tab w:leader="none" w:pos="480" w:val="left"/>
        </w:tabs>
        <w:numPr>
          <w:ilvl w:val="0"/>
          <w:numId w:val="46"/>
        </w:numPr>
        <w:rPr>
          <w:rFonts w:ascii="Arial" w:cs="Arial" w:eastAsia="Arial" w:hAnsi="Arial"/>
          <w:sz w:val="25"/>
          <w:szCs w:val="25"/>
          <w:color w:val="auto"/>
          <w:vertAlign w:val="superscript"/>
        </w:rPr>
      </w:pPr>
      <w:r>
        <w:rPr>
          <w:rFonts w:ascii="Arial" w:cs="Arial" w:eastAsia="Arial" w:hAnsi="Arial"/>
          <w:sz w:val="13"/>
          <w:szCs w:val="13"/>
          <w:color w:val="auto"/>
        </w:rPr>
        <w:t>Organic sales percent change, presented for all of our reportable business segments, is defined as the change in Net sales, excluding the impact on sales from foreign currency translation and acquisitions, net of divestitures, for the first 12 months following the transaction date. We believe this non-GAAP measure is useful to investors and management in understanding the ongoing operations and analysis of ongoing operating trends.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0" w:hanging="392"/>
        <w:spacing w:after="0"/>
        <w:tabs>
          <w:tab w:leader="none" w:pos="400" w:val="left"/>
        </w:tabs>
        <w:numPr>
          <w:ilvl w:val="0"/>
          <w:numId w:val="4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2025 compared to Q1 2024</w:t>
      </w:r>
    </w:p>
    <w:p>
      <w:pPr>
        <w:spacing w:after="0" w:line="21"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Sales increased $503 million due to higher organic sales of $243 million in Commercial Aviation Aftermarket driven by higher sales volumes in air transport due to an increase in flight hours and higher organic sales of $135 million in Defense and Space driven by higher sales volumes due to increased shipments. Additionally, the acquisitions of CAES and Civitanavi Systems contributed $180 million to 2025 sales.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$64 million and segment margin percentage decreased 190 basis points to 26.3% compared to 28.2% for the same period of 2024.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On February 6, 2025, the Company announced its intention to separate its Automation and Aerospace Technologies businesses into independent, 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publicly traded companies.</w:t>
      </w:r>
    </w:p>
    <w:p>
      <w:pPr>
        <w:spacing w:after="0" w:line="268" w:lineRule="exact"/>
        <w:rPr>
          <w:sz w:val="20"/>
          <w:szCs w:val="20"/>
          <w:color w:val="auto"/>
        </w:rPr>
      </w:pPr>
    </w:p>
    <w:p>
      <w:pPr>
        <w:spacing w:after="0"/>
        <w:rPr>
          <w:sz w:val="20"/>
          <w:szCs w:val="20"/>
          <w:color w:val="auto"/>
        </w:rPr>
      </w:pPr>
      <w:r>
        <w:rPr>
          <w:rFonts w:ascii="Arial" w:cs="Arial" w:eastAsia="Arial" w:hAnsi="Arial"/>
          <w:sz w:val="29"/>
          <w:szCs w:val="29"/>
          <w:color w:val="D7282F"/>
        </w:rPr>
        <w:t>INDUSTRIAL AUTOMATION</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8803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0037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4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tcPr>
          <w:p>
            <w:pPr>
              <w:spacing w:after="0"/>
              <w:rPr>
                <w:sz w:val="16"/>
                <w:szCs w:val="16"/>
                <w:color w:val="auto"/>
              </w:rPr>
            </w:pPr>
          </w:p>
        </w:tc>
        <w:tc>
          <w:tcPr>
            <w:tcW w:w="2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tcBorders>
              <w:bottom w:val="single" w:sz="8" w:color="D7282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94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4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vMerge w:val="continue"/>
          </w:tcPr>
          <w:p>
            <w:pPr>
              <w:spacing w:after="0"/>
              <w:rPr>
                <w:sz w:val="16"/>
                <w:szCs w:val="16"/>
                <w:color w:val="auto"/>
              </w:rPr>
            </w:pPr>
          </w:p>
        </w:tc>
        <w:tc>
          <w:tcPr>
            <w:tcW w:w="2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vMerge w:val="continue"/>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2,378</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2,478</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1,384</w:t>
            </w: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1,446</w:t>
            </w:r>
          </w:p>
        </w:tc>
        <w:tc>
          <w:tcPr>
            <w:tcW w:w="940" w:type="dxa"/>
            <w:vAlign w:val="bottom"/>
            <w:tcBorders>
              <w:bottom w:val="single" w:sz="8" w:color="61656A"/>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auto"/>
              </w:rPr>
              <w:t>570</w:t>
            </w: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558</w:t>
            </w:r>
          </w:p>
        </w:tc>
        <w:tc>
          <w:tcPr>
            <w:tcW w:w="940" w:type="dxa"/>
            <w:vAlign w:val="bottom"/>
            <w:tcBorders>
              <w:bottom w:val="single" w:sz="8" w:color="D7282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340" w:type="dxa"/>
            <w:vAlign w:val="bottom"/>
            <w:tcBorders>
              <w:bottom w:val="single" w:sz="8" w:color="D7282F"/>
            </w:tcBorders>
          </w:tcPr>
          <w:p>
            <w:pPr>
              <w:ind w:left="12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424</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474</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Borders>
              <w:bottom w:val="single" w:sz="8" w:color="D7282F"/>
            </w:tcBorders>
          </w:tcPr>
          <w:p>
            <w:pPr>
              <w:spacing w:after="0"/>
              <w:rPr>
                <w:sz w:val="24"/>
                <w:szCs w:val="24"/>
                <w:color w:val="auto"/>
              </w:rPr>
            </w:pPr>
          </w:p>
        </w:tc>
        <w:tc>
          <w:tcPr>
            <w:tcW w:w="400" w:type="dxa"/>
            <w:vAlign w:val="bottom"/>
            <w:tcBorders>
              <w:bottom w:val="single" w:sz="8" w:color="D7282F"/>
            </w:tcBorders>
          </w:tcPr>
          <w:p>
            <w:pPr>
              <w:spacing w:after="0"/>
              <w:rPr>
                <w:sz w:val="24"/>
                <w:szCs w:val="24"/>
                <w:color w:val="auto"/>
              </w:rPr>
            </w:pPr>
          </w:p>
        </w:tc>
        <w:tc>
          <w:tcPr>
            <w:tcW w:w="1760" w:type="dxa"/>
            <w:vAlign w:val="bottom"/>
            <w:tcBorders>
              <w:bottom w:val="single" w:sz="8" w:color="D7282F"/>
            </w:tcBorders>
            <w:gridSpan w:val="2"/>
          </w:tcPr>
          <w:p>
            <w:pPr>
              <w:jc w:val="center"/>
              <w:ind w:right="328"/>
              <w:spacing w:after="0"/>
              <w:rPr>
                <w:sz w:val="20"/>
                <w:szCs w:val="20"/>
                <w:color w:val="auto"/>
              </w:rPr>
            </w:pPr>
            <w:r>
              <w:rPr>
                <w:rFonts w:ascii="Arial" w:cs="Arial" w:eastAsia="Arial" w:hAnsi="Arial"/>
                <w:sz w:val="14"/>
                <w:szCs w:val="14"/>
                <w:b w:val="1"/>
                <w:bCs w:val="1"/>
                <w:color w:val="auto"/>
              </w:rPr>
              <w:t>2025 vs. 2024</w:t>
            </w:r>
          </w:p>
        </w:tc>
        <w:tc>
          <w:tcPr>
            <w:tcW w:w="2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1760" w:type="dxa"/>
            <w:vAlign w:val="bottom"/>
            <w:tcBorders>
              <w:bottom w:val="single" w:sz="8" w:color="D7282F"/>
            </w:tcBorders>
            <w:gridSpan w:val="2"/>
          </w:tcPr>
          <w:p>
            <w:pPr>
              <w:jc w:val="center"/>
              <w:ind w:right="328"/>
              <w:spacing w:after="0"/>
              <w:rPr>
                <w:sz w:val="20"/>
                <w:szCs w:val="20"/>
                <w:color w:val="auto"/>
              </w:rPr>
            </w:pPr>
            <w:r>
              <w:rPr>
                <w:rFonts w:ascii="Arial" w:cs="Arial" w:eastAsia="Arial" w:hAnsi="Arial"/>
                <w:sz w:val="14"/>
                <w:szCs w:val="14"/>
                <w:b w:val="1"/>
                <w:bCs w:val="1"/>
                <w:color w:val="auto"/>
              </w:rPr>
              <w:t>March 31,</w:t>
            </w:r>
          </w:p>
        </w:tc>
        <w:tc>
          <w:tcPr>
            <w:tcW w:w="2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340" w:type="dxa"/>
            <w:vAlign w:val="bottom"/>
            <w:vMerge w:val="restart"/>
          </w:tcPr>
          <w:p>
            <w:pPr>
              <w:spacing w:after="0"/>
              <w:rPr>
                <w:sz w:val="20"/>
                <w:szCs w:val="20"/>
                <w:color w:val="auto"/>
              </w:rPr>
            </w:pPr>
            <w:r>
              <w:rPr>
                <w:rFonts w:ascii="Arial" w:cs="Arial" w:eastAsia="Arial" w:hAnsi="Arial"/>
                <w:sz w:val="14"/>
                <w:szCs w:val="14"/>
                <w:b w:val="1"/>
                <w:bCs w:val="1"/>
                <w:color w:val="auto"/>
              </w:rPr>
              <w:t>Factors Contributing to Year-Over-Year Change</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right"/>
              <w:ind w:right="568"/>
              <w:spacing w:after="0" w:line="147" w:lineRule="exact"/>
              <w:rPr>
                <w:sz w:val="20"/>
                <w:szCs w:val="20"/>
                <w:color w:val="auto"/>
              </w:rPr>
            </w:pPr>
            <w:r>
              <w:rPr>
                <w:rFonts w:ascii="Arial" w:cs="Arial" w:eastAsia="Arial" w:hAnsi="Arial"/>
                <w:sz w:val="14"/>
                <w:szCs w:val="14"/>
                <w:b w:val="1"/>
                <w:bCs w:val="1"/>
                <w:color w:val="auto"/>
              </w:rPr>
              <w:t>Net</w:t>
            </w:r>
          </w:p>
        </w:tc>
        <w:tc>
          <w:tcPr>
            <w:tcW w:w="940" w:type="dxa"/>
            <w:vAlign w:val="bottom"/>
          </w:tcPr>
          <w:p>
            <w:pPr>
              <w:jc w:val="right"/>
              <w:ind w:right="88"/>
              <w:spacing w:after="0" w:line="147" w:lineRule="exact"/>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D7282F"/>
            </w:tcBorders>
          </w:tcPr>
          <w:p>
            <w:pPr>
              <w:spacing w:after="0"/>
              <w:rPr>
                <w:sz w:val="16"/>
                <w:szCs w:val="16"/>
                <w:color w:val="auto"/>
              </w:rPr>
            </w:pPr>
          </w:p>
        </w:tc>
        <w:tc>
          <w:tcPr>
            <w:tcW w:w="8340" w:type="dxa"/>
            <w:vAlign w:val="bottom"/>
            <w:tcBorders>
              <w:bottom w:val="single" w:sz="8" w:color="D7282F"/>
            </w:tcBorders>
            <w:vMerge w:val="continue"/>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20" w:type="dxa"/>
            <w:vAlign w:val="bottom"/>
            <w:tcBorders>
              <w:bottom w:val="single" w:sz="8" w:color="D7282F"/>
            </w:tcBorders>
          </w:tcPr>
          <w:p>
            <w:pPr>
              <w:spacing w:after="0"/>
              <w:rPr>
                <w:sz w:val="16"/>
                <w:szCs w:val="16"/>
                <w:color w:val="auto"/>
              </w:rPr>
            </w:pPr>
          </w:p>
        </w:tc>
        <w:tc>
          <w:tcPr>
            <w:tcW w:w="20" w:type="dxa"/>
            <w:vAlign w:val="bottom"/>
            <w:tcBorders>
              <w:bottom w:val="single" w:sz="8" w:color="D7282F"/>
            </w:tcBorders>
          </w:tcPr>
          <w:p>
            <w:pPr>
              <w:spacing w:after="0"/>
              <w:rPr>
                <w:sz w:val="16"/>
                <w:szCs w:val="16"/>
                <w:color w:val="auto"/>
              </w:rPr>
            </w:pPr>
          </w:p>
        </w:tc>
        <w:tc>
          <w:tcPr>
            <w:tcW w:w="1220" w:type="dxa"/>
            <w:vAlign w:val="bottom"/>
            <w:tcBorders>
              <w:bottom w:val="single" w:sz="8" w:color="D7282F"/>
            </w:tcBorders>
            <w:gridSpan w:val="2"/>
          </w:tcPr>
          <w:p>
            <w:pPr>
              <w:jc w:val="right"/>
              <w:ind w:right="488"/>
              <w:spacing w:after="0"/>
              <w:rPr>
                <w:sz w:val="20"/>
                <w:szCs w:val="20"/>
                <w:color w:val="auto"/>
              </w:rPr>
            </w:pPr>
            <w:r>
              <w:rPr>
                <w:rFonts w:ascii="Arial" w:cs="Arial" w:eastAsia="Arial" w:hAnsi="Arial"/>
                <w:sz w:val="14"/>
                <w:szCs w:val="14"/>
                <w:b w:val="1"/>
                <w:bCs w:val="1"/>
                <w:color w:val="auto"/>
              </w:rPr>
              <w:t>Sales</w:t>
            </w:r>
          </w:p>
        </w:tc>
        <w:tc>
          <w:tcPr>
            <w:tcW w:w="94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Profit</w:t>
            </w:r>
          </w:p>
        </w:tc>
        <w:tc>
          <w:tcPr>
            <w:tcW w:w="2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61656A"/>
            </w:tcBorders>
          </w:tcPr>
          <w:p>
            <w:pPr>
              <w:spacing w:after="0"/>
              <w:rPr>
                <w:sz w:val="16"/>
                <w:szCs w:val="16"/>
                <w:color w:val="auto"/>
              </w:rPr>
            </w:pPr>
          </w:p>
        </w:tc>
        <w:tc>
          <w:tcPr>
            <w:tcW w:w="8340" w:type="dxa"/>
            <w:vAlign w:val="bottom"/>
            <w:tcBorders>
              <w:bottom w:val="single" w:sz="8" w:color="61656A"/>
            </w:tcBorders>
          </w:tcPr>
          <w:p>
            <w:pPr>
              <w:spacing w:after="0"/>
              <w:rPr>
                <w:sz w:val="20"/>
                <w:szCs w:val="20"/>
                <w:color w:val="auto"/>
              </w:rPr>
            </w:pPr>
            <w:r>
              <w:rPr>
                <w:rFonts w:ascii="Arial" w:cs="Arial" w:eastAsia="Arial" w:hAnsi="Arial"/>
                <w:sz w:val="14"/>
                <w:szCs w:val="14"/>
                <w:color w:val="auto"/>
              </w:rPr>
              <w:t>Organic</w:t>
            </w:r>
          </w:p>
        </w:tc>
        <w:tc>
          <w:tcPr>
            <w:tcW w:w="1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spacing w:after="0"/>
              <w:rPr>
                <w:sz w:val="16"/>
                <w:szCs w:val="16"/>
                <w:color w:val="auto"/>
              </w:rPr>
            </w:pPr>
          </w:p>
        </w:tc>
        <w:tc>
          <w:tcPr>
            <w:tcW w:w="20" w:type="dxa"/>
            <w:vAlign w:val="bottom"/>
            <w:tcBorders>
              <w:bottom w:val="single" w:sz="8" w:color="61656A"/>
            </w:tcBorders>
          </w:tcPr>
          <w:p>
            <w:pPr>
              <w:spacing w:after="0"/>
              <w:rPr>
                <w:sz w:val="16"/>
                <w:szCs w:val="16"/>
                <w:color w:val="auto"/>
              </w:rPr>
            </w:pPr>
          </w:p>
        </w:tc>
        <w:tc>
          <w:tcPr>
            <w:tcW w:w="40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(2)%</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w:t>
            </w:r>
          </w:p>
        </w:tc>
        <w:tc>
          <w:tcPr>
            <w:tcW w:w="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61656A"/>
            </w:tcBorders>
          </w:tcPr>
          <w:p>
            <w:pPr>
              <w:spacing w:after="0"/>
              <w:rPr>
                <w:sz w:val="17"/>
                <w:szCs w:val="17"/>
                <w:color w:val="auto"/>
              </w:rPr>
            </w:pPr>
          </w:p>
        </w:tc>
        <w:tc>
          <w:tcPr>
            <w:tcW w:w="8340" w:type="dxa"/>
            <w:vAlign w:val="bottom"/>
            <w:tcBorders>
              <w:bottom w:val="single" w:sz="8" w:color="61656A"/>
            </w:tcBorders>
          </w:tcPr>
          <w:p>
            <w:pPr>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c>
          <w:tcPr>
            <w:tcW w:w="2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(2)%</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c>
          <w:tcPr>
            <w:tcW w:w="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D7282F"/>
            </w:tcBorders>
          </w:tcPr>
          <w:p>
            <w:pPr>
              <w:spacing w:after="0"/>
              <w:rPr>
                <w:sz w:val="17"/>
                <w:szCs w:val="17"/>
                <w:color w:val="auto"/>
              </w:rPr>
            </w:pPr>
          </w:p>
        </w:tc>
        <w:tc>
          <w:tcPr>
            <w:tcW w:w="8340" w:type="dxa"/>
            <w:vAlign w:val="bottom"/>
            <w:tcBorders>
              <w:bottom w:val="single" w:sz="8" w:color="D7282F"/>
            </w:tcBorders>
          </w:tcPr>
          <w:p>
            <w:pPr>
              <w:spacing w:after="0"/>
              <w:rPr>
                <w:sz w:val="20"/>
                <w:szCs w:val="20"/>
                <w:color w:val="auto"/>
              </w:rPr>
            </w:pPr>
            <w:r>
              <w:rPr>
                <w:rFonts w:ascii="Arial" w:cs="Arial" w:eastAsia="Arial" w:hAnsi="Arial"/>
                <w:sz w:val="14"/>
                <w:szCs w:val="14"/>
                <w:color w:val="auto"/>
              </w:rPr>
              <w:t>Acquisitions, divestitures, and other, net</w:t>
            </w:r>
          </w:p>
        </w:tc>
        <w:tc>
          <w:tcPr>
            <w:tcW w:w="1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2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 %</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D7282F"/>
            </w:tcBorders>
          </w:tcPr>
          <w:p>
            <w:pPr>
              <w:spacing w:after="0"/>
              <w:rPr>
                <w:sz w:val="17"/>
                <w:szCs w:val="17"/>
                <w:color w:val="auto"/>
              </w:rPr>
            </w:pPr>
          </w:p>
        </w:tc>
        <w:tc>
          <w:tcPr>
            <w:tcW w:w="8340" w:type="dxa"/>
            <w:vAlign w:val="bottom"/>
            <w:tcBorders>
              <w:bottom w:val="single" w:sz="8" w:color="D7282F"/>
            </w:tcBorders>
          </w:tcPr>
          <w:p>
            <w:pPr>
              <w:ind w:left="120"/>
              <w:spacing w:after="0"/>
              <w:rPr>
                <w:sz w:val="20"/>
                <w:szCs w:val="20"/>
                <w:color w:val="auto"/>
              </w:rPr>
            </w:pPr>
            <w:r>
              <w:rPr>
                <w:rFonts w:ascii="Arial" w:cs="Arial" w:eastAsia="Arial" w:hAnsi="Arial"/>
                <w:sz w:val="14"/>
                <w:szCs w:val="14"/>
                <w:b w:val="1"/>
                <w:bCs w:val="1"/>
                <w:color w:val="auto"/>
              </w:rPr>
              <w:t>Total % change</w:t>
            </w:r>
          </w:p>
        </w:tc>
        <w:tc>
          <w:tcPr>
            <w:tcW w:w="1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2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(4)%</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w:t>
            </w:r>
          </w:p>
        </w:tc>
        <w:tc>
          <w:tcPr>
            <w:tcW w:w="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40</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2025 compared to Q1 2024</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Sales decreased $100 million due to lower organic sales of $48 million in Productivity Solutions and Services driven by a decrease in license and settlement payments, lower organic sales of $21 million in Sensing and Safety Technologies driven by lower demand for personal protective equipment, and unfavorable impact of foreign currency translation of $42 million.</w:t>
      </w:r>
    </w:p>
    <w:p>
      <w:pPr>
        <w:spacing w:after="0" w:line="79"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During the second quarter of 2022, our Productivity Solutions and Services business entered into a license and settlement agreement (the Agreement). Under the Agreement, we received $360 million, paid in equal quarterly installments over eight quarters, beginning with the second quarter of 2022 and ending with the first quarter of 2024. The Agreement provides each party a license to its existing patent portfolio for use by the other party’s existing products and resolved the patent-related litigation between the parties.</w:t>
      </w:r>
    </w:p>
    <w:p>
      <w:pPr>
        <w:spacing w:after="0" w:line="65" w:lineRule="exact"/>
        <w:rPr>
          <w:sz w:val="20"/>
          <w:szCs w:val="20"/>
          <w:color w:val="auto"/>
        </w:rPr>
      </w:pPr>
    </w:p>
    <w:p>
      <w:pPr>
        <w:jc w:val="both"/>
        <w:ind w:right="20"/>
        <w:spacing w:after="0" w:line="272" w:lineRule="auto"/>
        <w:rPr>
          <w:sz w:val="20"/>
          <w:szCs w:val="20"/>
          <w:color w:val="auto"/>
        </w:rPr>
      </w:pPr>
      <w:r>
        <w:rPr>
          <w:rFonts w:ascii="Arial" w:cs="Arial" w:eastAsia="Arial" w:hAnsi="Arial"/>
          <w:sz w:val="16"/>
          <w:szCs w:val="16"/>
          <w:color w:val="auto"/>
        </w:rPr>
        <w:t>Segment profit decreased $50 million and segment margin percentage decreased 130 basis points to 17.8% compared to 19.1% for the same period in 2024.</w:t>
      </w:r>
    </w:p>
    <w:p>
      <w:pPr>
        <w:spacing w:after="0" w:line="29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November 22, 2024, we announced an agreement to sell our PPE business for $1.3 billion, with the assets and liabilities of the business classified as held for sale until the closing date of the sale. The transaction is expected to be completed in the second quarter of 2025.</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BUILDING AUTOMATION</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571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003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2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4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2"/>
                <w:szCs w:val="12"/>
                <w:color w:val="auto"/>
              </w:rPr>
            </w:pPr>
          </w:p>
        </w:tc>
        <w:tc>
          <w:tcPr>
            <w:tcW w:w="112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2024</w:t>
            </w:r>
          </w:p>
        </w:tc>
        <w:tc>
          <w:tcPr>
            <w:tcW w:w="820" w:type="dxa"/>
            <w:vAlign w:val="bottom"/>
          </w:tcPr>
          <w:p>
            <w:pPr>
              <w:jc w:val="right"/>
              <w:ind w:right="348"/>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80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40" w:type="dxa"/>
            <w:vAlign w:val="bottom"/>
            <w:tcBorders>
              <w:bottom w:val="single" w:sz="8" w:color="D7282F"/>
            </w:tcBorders>
            <w:vMerge w:val="continue"/>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vMerge w:val="continue"/>
          </w:tcPr>
          <w:p>
            <w:pPr>
              <w:spacing w:after="0"/>
              <w:rPr>
                <w:sz w:val="16"/>
                <w:szCs w:val="16"/>
                <w:color w:val="auto"/>
              </w:rPr>
            </w:pPr>
          </w:p>
        </w:tc>
        <w:tc>
          <w:tcPr>
            <w:tcW w:w="8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8020" w:type="dxa"/>
            <w:vAlign w:val="bottom"/>
            <w:tcBorders>
              <w:bottom w:val="single" w:sz="8" w:color="61656A"/>
            </w:tcBorders>
          </w:tcPr>
          <w:p>
            <w:pPr>
              <w:spacing w:after="0"/>
              <w:rPr>
                <w:sz w:val="20"/>
                <w:szCs w:val="20"/>
                <w:color w:val="auto"/>
              </w:rPr>
            </w:pPr>
            <w:r>
              <w:rPr>
                <w:rFonts w:ascii="Arial" w:cs="Arial" w:eastAsia="Arial" w:hAnsi="Arial"/>
                <w:sz w:val="14"/>
                <w:szCs w:val="14"/>
                <w:color w:val="auto"/>
              </w:rPr>
              <w:t>Net sales</w:t>
            </w:r>
          </w:p>
        </w:tc>
        <w:tc>
          <w:tcPr>
            <w:tcW w:w="18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1,692</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1,426</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61656A"/>
            </w:tcBorders>
          </w:tcPr>
          <w:p>
            <w:pPr>
              <w:spacing w:after="0"/>
              <w:rPr>
                <w:sz w:val="20"/>
                <w:szCs w:val="20"/>
                <w:color w:val="auto"/>
              </w:rPr>
            </w:pPr>
            <w:r>
              <w:rPr>
                <w:rFonts w:ascii="Arial" w:cs="Arial" w:eastAsia="Arial" w:hAnsi="Arial"/>
                <w:sz w:val="14"/>
                <w:szCs w:val="14"/>
                <w:color w:val="auto"/>
              </w:rPr>
              <w:t>Cost of products and services sold</w:t>
            </w:r>
          </w:p>
        </w:tc>
        <w:tc>
          <w:tcPr>
            <w:tcW w:w="1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868</w:t>
            </w:r>
          </w:p>
        </w:tc>
        <w:tc>
          <w:tcPr>
            <w:tcW w:w="40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764</w:t>
            </w:r>
          </w:p>
        </w:tc>
        <w:tc>
          <w:tcPr>
            <w:tcW w:w="8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D7282F"/>
            </w:tcBorders>
          </w:tcPr>
          <w:p>
            <w:pPr>
              <w:spacing w:after="0"/>
              <w:rPr>
                <w:sz w:val="20"/>
                <w:szCs w:val="20"/>
                <w:color w:val="auto"/>
              </w:rPr>
            </w:pPr>
            <w:r>
              <w:rPr>
                <w:rFonts w:ascii="Arial" w:cs="Arial" w:eastAsia="Arial" w:hAnsi="Arial"/>
                <w:sz w:val="14"/>
                <w:szCs w:val="14"/>
                <w:color w:val="auto"/>
              </w:rPr>
              <w:t>Selling, general and administrative and other expenses</w:t>
            </w:r>
          </w:p>
        </w:tc>
        <w:tc>
          <w:tcPr>
            <w:tcW w:w="18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384</w:t>
            </w:r>
          </w:p>
        </w:tc>
        <w:tc>
          <w:tcPr>
            <w:tcW w:w="40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312</w:t>
            </w:r>
          </w:p>
        </w:tc>
        <w:tc>
          <w:tcPr>
            <w:tcW w:w="8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20" w:type="dxa"/>
            <w:vAlign w:val="bottom"/>
            <w:tcBorders>
              <w:bottom w:val="single" w:sz="8" w:color="D7282F"/>
            </w:tcBorders>
          </w:tcPr>
          <w:p>
            <w:pPr>
              <w:ind w:left="120"/>
              <w:spacing w:after="0"/>
              <w:rPr>
                <w:sz w:val="20"/>
                <w:szCs w:val="20"/>
                <w:color w:val="auto"/>
              </w:rPr>
            </w:pPr>
            <w:r>
              <w:rPr>
                <w:rFonts w:ascii="Arial" w:cs="Arial" w:eastAsia="Arial" w:hAnsi="Arial"/>
                <w:sz w:val="14"/>
                <w:szCs w:val="14"/>
                <w:b w:val="1"/>
                <w:bCs w:val="1"/>
                <w:color w:val="auto"/>
              </w:rPr>
              <w:t>Segment profit</w:t>
            </w:r>
          </w:p>
        </w:tc>
        <w:tc>
          <w:tcPr>
            <w:tcW w:w="18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440</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350</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41</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40" w:type="dxa"/>
            <w:vAlign w:val="bottom"/>
          </w:tcPr>
          <w:p>
            <w:pPr>
              <w:spacing w:after="0"/>
              <w:rPr>
                <w:sz w:val="17"/>
                <w:szCs w:val="17"/>
                <w:color w:val="auto"/>
              </w:rPr>
            </w:pPr>
          </w:p>
        </w:tc>
        <w:tc>
          <w:tcPr>
            <w:tcW w:w="220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2025 vs. 2024</w:t>
            </w:r>
          </w:p>
        </w:tc>
        <w:tc>
          <w:tcPr>
            <w:tcW w:w="0" w:type="dxa"/>
            <w:vAlign w:val="bottom"/>
          </w:tcPr>
          <w:p>
            <w:pPr>
              <w:spacing w:after="0"/>
              <w:rPr>
                <w:sz w:val="1"/>
                <w:szCs w:val="1"/>
                <w:color w:val="auto"/>
              </w:rPr>
            </w:pPr>
          </w:p>
        </w:tc>
      </w:tr>
      <w:tr>
        <w:trPr>
          <w:trHeight w:val="147"/>
        </w:trPr>
        <w:tc>
          <w:tcPr>
            <w:tcW w:w="9040" w:type="dxa"/>
            <w:vAlign w:val="bottom"/>
          </w:tcPr>
          <w:p>
            <w:pPr>
              <w:spacing w:after="0"/>
              <w:rPr>
                <w:sz w:val="12"/>
                <w:szCs w:val="12"/>
                <w:color w:val="auto"/>
              </w:rPr>
            </w:pPr>
          </w:p>
        </w:tc>
        <w:tc>
          <w:tcPr>
            <w:tcW w:w="22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9040" w:type="dxa"/>
            <w:vAlign w:val="bottom"/>
          </w:tcPr>
          <w:p>
            <w:pPr>
              <w:spacing w:after="0"/>
              <w:rPr>
                <w:sz w:val="16"/>
                <w:szCs w:val="16"/>
                <w:color w:val="auto"/>
              </w:rPr>
            </w:pPr>
          </w:p>
        </w:tc>
        <w:tc>
          <w:tcPr>
            <w:tcW w:w="220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6"/>
        </w:trPr>
        <w:tc>
          <w:tcPr>
            <w:tcW w:w="9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80" w:type="dxa"/>
            <w:vAlign w:val="bottom"/>
          </w:tcPr>
          <w:p>
            <w:pPr>
              <w:jc w:val="right"/>
              <w:ind w:right="508"/>
              <w:spacing w:after="0" w:line="147" w:lineRule="exact"/>
              <w:rPr>
                <w:sz w:val="20"/>
                <w:szCs w:val="20"/>
                <w:color w:val="auto"/>
              </w:rPr>
            </w:pPr>
            <w:r>
              <w:rPr>
                <w:rFonts w:ascii="Arial" w:cs="Arial" w:eastAsia="Arial" w:hAnsi="Arial"/>
                <w:sz w:val="14"/>
                <w:szCs w:val="14"/>
                <w:b w:val="1"/>
                <w:bCs w:val="1"/>
                <w:color w:val="auto"/>
              </w:rPr>
              <w:t>Net</w:t>
            </w:r>
          </w:p>
        </w:tc>
        <w:tc>
          <w:tcPr>
            <w:tcW w:w="1020" w:type="dxa"/>
            <w:vAlign w:val="bottom"/>
          </w:tcPr>
          <w:p>
            <w:pPr>
              <w:jc w:val="right"/>
              <w:ind w:right="10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9040" w:type="dxa"/>
            <w:vAlign w:val="bottom"/>
            <w:tcBorders>
              <w:bottom w:val="single" w:sz="8" w:color="D7282F"/>
            </w:tcBorders>
            <w:vMerge w:val="continue"/>
          </w:tcPr>
          <w:p>
            <w:pPr>
              <w:spacing w:after="0"/>
              <w:rPr>
                <w:sz w:val="16"/>
                <w:szCs w:val="16"/>
                <w:color w:val="auto"/>
              </w:rPr>
            </w:pPr>
          </w:p>
        </w:tc>
        <w:tc>
          <w:tcPr>
            <w:tcW w:w="118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Sales</w:t>
            </w:r>
          </w:p>
        </w:tc>
        <w:tc>
          <w:tcPr>
            <w:tcW w:w="102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90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118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8 %</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96"/>
        </w:trPr>
        <w:tc>
          <w:tcPr>
            <w:tcW w:w="90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18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(2)%</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6"/>
        </w:trPr>
        <w:tc>
          <w:tcPr>
            <w:tcW w:w="90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1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13 %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99"/>
        </w:trPr>
        <w:tc>
          <w:tcPr>
            <w:tcW w:w="90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1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19 %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26 %</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2025 compared to Q1 2024</w:t>
      </w:r>
    </w:p>
    <w:p>
      <w:pPr>
        <w:spacing w:after="0" w:line="2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Sales increased $266 million due to higher organic sales of $68 million in Building Solutions and higher organic sales of $51 million in Products, both driven by higher demand. The acquisition of Access Solutions contributed $179 million to first quarter 2025 sales.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$90 million and segment margin percentage increased 150 basis points to 26.0% compared to 24.5% for the same period of 2024.</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D7282F"/>
        </w:rPr>
        <w:t>ENERGY AND SUSTAINABILITY SOLUTIONS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89535</wp:posOffset>
            </wp:positionV>
            <wp:extent cx="3000375" cy="25717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0003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36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w w:val="99"/>
              </w:rPr>
              <w:t>March 31,</w:t>
            </w:r>
          </w:p>
        </w:tc>
        <w:tc>
          <w:tcPr>
            <w:tcW w:w="72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2"/>
                <w:szCs w:val="12"/>
                <w:color w:val="auto"/>
              </w:rPr>
            </w:pPr>
          </w:p>
        </w:tc>
        <w:tc>
          <w:tcPr>
            <w:tcW w:w="106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2024</w:t>
            </w:r>
          </w:p>
        </w:tc>
        <w:tc>
          <w:tcPr>
            <w:tcW w:w="72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836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vMerge w:val="continue"/>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vMerge w:val="continue"/>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1,561</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1,525</w:t>
            </w: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982</w:t>
            </w:r>
          </w:p>
        </w:tc>
        <w:tc>
          <w:tcPr>
            <w:tcW w:w="40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999</w:t>
            </w:r>
          </w:p>
        </w:tc>
        <w:tc>
          <w:tcPr>
            <w:tcW w:w="7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233</w:t>
            </w:r>
          </w:p>
        </w:tc>
        <w:tc>
          <w:tcPr>
            <w:tcW w:w="40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223</w:t>
            </w:r>
          </w:p>
        </w:tc>
        <w:tc>
          <w:tcPr>
            <w:tcW w:w="7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3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346</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303</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42</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40" w:type="dxa"/>
            <w:vAlign w:val="bottom"/>
          </w:tcPr>
          <w:p>
            <w:pPr>
              <w:spacing w:after="0"/>
              <w:rPr>
                <w:sz w:val="17"/>
                <w:szCs w:val="17"/>
                <w:color w:val="auto"/>
              </w:rPr>
            </w:pPr>
          </w:p>
        </w:tc>
        <w:tc>
          <w:tcPr>
            <w:tcW w:w="220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2025 vs. 2024</w:t>
            </w:r>
          </w:p>
        </w:tc>
        <w:tc>
          <w:tcPr>
            <w:tcW w:w="0" w:type="dxa"/>
            <w:vAlign w:val="bottom"/>
          </w:tcPr>
          <w:p>
            <w:pPr>
              <w:spacing w:after="0"/>
              <w:rPr>
                <w:sz w:val="1"/>
                <w:szCs w:val="1"/>
                <w:color w:val="auto"/>
              </w:rPr>
            </w:pPr>
          </w:p>
        </w:tc>
      </w:tr>
      <w:tr>
        <w:trPr>
          <w:trHeight w:val="147"/>
        </w:trPr>
        <w:tc>
          <w:tcPr>
            <w:tcW w:w="9040" w:type="dxa"/>
            <w:vAlign w:val="bottom"/>
          </w:tcPr>
          <w:p>
            <w:pPr>
              <w:spacing w:after="0"/>
              <w:rPr>
                <w:sz w:val="12"/>
                <w:szCs w:val="12"/>
                <w:color w:val="auto"/>
              </w:rPr>
            </w:pPr>
          </w:p>
        </w:tc>
        <w:tc>
          <w:tcPr>
            <w:tcW w:w="22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9040" w:type="dxa"/>
            <w:vAlign w:val="bottom"/>
          </w:tcPr>
          <w:p>
            <w:pPr>
              <w:spacing w:after="0"/>
              <w:rPr>
                <w:sz w:val="16"/>
                <w:szCs w:val="16"/>
                <w:color w:val="auto"/>
              </w:rPr>
            </w:pPr>
          </w:p>
        </w:tc>
        <w:tc>
          <w:tcPr>
            <w:tcW w:w="220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6"/>
        </w:trPr>
        <w:tc>
          <w:tcPr>
            <w:tcW w:w="9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80" w:type="dxa"/>
            <w:vAlign w:val="bottom"/>
          </w:tcPr>
          <w:p>
            <w:pPr>
              <w:jc w:val="right"/>
              <w:ind w:right="508"/>
              <w:spacing w:after="0" w:line="147" w:lineRule="exact"/>
              <w:rPr>
                <w:sz w:val="20"/>
                <w:szCs w:val="20"/>
                <w:color w:val="auto"/>
              </w:rPr>
            </w:pPr>
            <w:r>
              <w:rPr>
                <w:rFonts w:ascii="Arial" w:cs="Arial" w:eastAsia="Arial" w:hAnsi="Arial"/>
                <w:sz w:val="14"/>
                <w:szCs w:val="14"/>
                <w:b w:val="1"/>
                <w:bCs w:val="1"/>
                <w:color w:val="auto"/>
              </w:rPr>
              <w:t>Net</w:t>
            </w:r>
          </w:p>
        </w:tc>
        <w:tc>
          <w:tcPr>
            <w:tcW w:w="1020" w:type="dxa"/>
            <w:vAlign w:val="bottom"/>
          </w:tcPr>
          <w:p>
            <w:pPr>
              <w:jc w:val="right"/>
              <w:ind w:right="10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9040" w:type="dxa"/>
            <w:vAlign w:val="bottom"/>
            <w:tcBorders>
              <w:bottom w:val="single" w:sz="8" w:color="D7282F"/>
            </w:tcBorders>
            <w:vMerge w:val="continue"/>
          </w:tcPr>
          <w:p>
            <w:pPr>
              <w:spacing w:after="0"/>
              <w:rPr>
                <w:sz w:val="16"/>
                <w:szCs w:val="16"/>
                <w:color w:val="auto"/>
              </w:rPr>
            </w:pPr>
          </w:p>
        </w:tc>
        <w:tc>
          <w:tcPr>
            <w:tcW w:w="118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Sales</w:t>
            </w:r>
          </w:p>
        </w:tc>
        <w:tc>
          <w:tcPr>
            <w:tcW w:w="102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90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118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(2)%</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96"/>
        </w:trPr>
        <w:tc>
          <w:tcPr>
            <w:tcW w:w="90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18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(1)%</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90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1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5 %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99"/>
        </w:trPr>
        <w:tc>
          <w:tcPr>
            <w:tcW w:w="90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1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14 %</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 2025 compared to Q1 2024</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Sales increased $36 million due to $75 million of sales contributed by the acquisition of LNG, partially offset by lower organic sales of $39 million in Advanced Materials driven by lower sales volumes of fluorine products.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$43 million and segment margin percentage increased 230 basis points to 22.2% compared to 19.9% for the same period of 2024.</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On October 8, 2024, the Company announced its intention to spin off its Advanced Materials business into Solstice Advanced Materials, an independent, U.S. publicly traded company.</w:t>
      </w:r>
    </w:p>
    <w:p>
      <w:pPr>
        <w:spacing w:after="0" w:line="191" w:lineRule="exact"/>
        <w:rPr>
          <w:sz w:val="20"/>
          <w:szCs w:val="20"/>
          <w:color w:val="auto"/>
        </w:rPr>
      </w:pPr>
    </w:p>
    <w:p>
      <w:pPr>
        <w:spacing w:after="0"/>
        <w:rPr>
          <w:sz w:val="20"/>
          <w:szCs w:val="20"/>
          <w:color w:val="auto"/>
        </w:rPr>
      </w:pPr>
      <w:r>
        <w:rPr>
          <w:rFonts w:ascii="Arial" w:cs="Arial" w:eastAsia="Arial" w:hAnsi="Arial"/>
          <w:sz w:val="29"/>
          <w:szCs w:val="29"/>
          <w:color w:val="D7282F"/>
        </w:rPr>
        <w:t>CORPORATE AND ALL OTHER</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Corporate and All Other primarily includes unallocated corporate costs, interest expense on holding-company debt, and the controlling majority-owned interest in Quantinuum. Corporate and All Other is not a separate reportable business segment as segment reporting criteria is not met. The Company continues to monitor the activities in Corporate and All Other to determine the need for further reportable business segment disaggregation.</w:t>
      </w: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color w:val="D7282F"/>
        </w:rPr>
        <w:t>REPOSITIONING CHARGES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See Note 5 </w:t>
      </w:r>
      <w:r>
        <w:rPr>
          <w:rFonts w:ascii="Arial" w:cs="Arial" w:eastAsia="Arial" w:hAnsi="Arial"/>
          <w:sz w:val="16"/>
          <w:szCs w:val="16"/>
          <w:u w:val="single" w:color="auto"/>
          <w:color w:val="0000FF"/>
        </w:rPr>
        <w:t>Repositioning and Other Charges</w:t>
      </w:r>
      <w:r>
        <w:rPr>
          <w:rFonts w:ascii="Arial" w:cs="Arial" w:eastAsia="Arial" w:hAnsi="Arial"/>
          <w:sz w:val="16"/>
          <w:szCs w:val="16"/>
          <w:color w:val="auto"/>
        </w:rPr>
        <w:t xml:space="preserve"> of Notes to Consolidated Financial Statements for a discussion of our repositioning actions and related charges incurred in the three months ended March 31, 2025, and 2024. Cash spending related to our repositioning actions was $43 million in the three months ended March 31, 2025, and was funded through operating cash flows.</w:t>
      </w:r>
    </w:p>
    <w:p>
      <w:pPr>
        <w:spacing w:after="0" w:line="395" w:lineRule="exact"/>
        <w:rPr>
          <w:sz w:val="20"/>
          <w:szCs w:val="20"/>
          <w:color w:val="auto"/>
        </w:rPr>
      </w:pPr>
    </w:p>
    <w:p>
      <w:pPr>
        <w:ind w:left="400" w:hanging="392"/>
        <w:spacing w:after="0"/>
        <w:tabs>
          <w:tab w:leader="none" w:pos="400" w:val="left"/>
        </w:tabs>
        <w:numPr>
          <w:ilvl w:val="0"/>
          <w:numId w:val="4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LIQUIDITY AND CAPITAL RESOURCES</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in millions)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leverage operating cash flows as the primary source of liquidity. Each of our businesses focuses on increasing operating cash flows through revenue growth, margin expansion, and improved working capital turnover. We also maintain other key sources of liquidity, including U.S. cash balances, and the ability to access non-U.S. cash balances, short-term debt from the commercial paper market, long-term borrowings, committed credit lines, and access to the public debt and equity markets.</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CASH</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March 31, 2025, and December 31, 2024, we held $10.1 billion and $11.0 billion, respectively, of cash and cash equivalents, including our short-term investments. We monitor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counterparty.</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March 31, 2025, we held $8.0 billion of the Company’s cash, cash equivalents, and short-term investments in non-U.S. subsidiaries. We do not have material amounts related to any jurisdiction subject to currency control restrictions that impact our ability to access and repatriate such amounts. Under current laws, we do not expect taxes on repatriation or restrictions on amounts held outside of the U.S. to have a material effect on our overall liquidity.</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CASH FLOW SUMMARY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Our cash flows from operating, investing, and financing activities, as reflected in the Consolidated Statement of Cash Flows,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Pr>
          <w:p>
            <w:pPr>
              <w:spacing w:after="0"/>
              <w:rPr>
                <w:sz w:val="17"/>
                <w:szCs w:val="17"/>
                <w:color w:val="auto"/>
              </w:rPr>
            </w:pPr>
          </w:p>
        </w:tc>
        <w:tc>
          <w:tcPr>
            <w:tcW w:w="200" w:type="dxa"/>
            <w:vAlign w:val="bottom"/>
            <w:tcBorders>
              <w:bottom w:val="single" w:sz="8" w:color="D7282F"/>
            </w:tcBorders>
          </w:tcPr>
          <w:p>
            <w:pPr>
              <w:spacing w:after="0"/>
              <w:rPr>
                <w:sz w:val="17"/>
                <w:szCs w:val="17"/>
                <w:color w:val="auto"/>
              </w:rPr>
            </w:pPr>
          </w:p>
        </w:tc>
        <w:tc>
          <w:tcPr>
            <w:tcW w:w="286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180" w:type="dxa"/>
            <w:vAlign w:val="bottom"/>
            <w:tcBorders>
              <w:bottom w:val="single" w:sz="8" w:color="D7282F"/>
            </w:tcBorders>
          </w:tcPr>
          <w:p>
            <w:pPr>
              <w:spacing w:after="0"/>
              <w:rPr>
                <w:sz w:val="17"/>
                <w:szCs w:val="17"/>
                <w:color w:val="auto"/>
              </w:rPr>
            </w:pP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w w:val="99"/>
              </w:rPr>
              <w:t>Variance</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10,567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7,925</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2,642</w:t>
            </w:r>
          </w:p>
        </w:tc>
      </w:tr>
      <w:tr>
        <w:trPr>
          <w:trHeight w:val="196"/>
        </w:trPr>
        <w:tc>
          <w:tcPr>
            <w:tcW w:w="81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r>
      <w:tr>
        <w:trPr>
          <w:trHeight w:val="193"/>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Honeywell</w:t>
            </w:r>
          </w:p>
        </w:tc>
        <w:tc>
          <w:tcPr>
            <w:tcW w:w="20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1,449</w:t>
            </w:r>
          </w:p>
        </w:tc>
        <w:tc>
          <w:tcPr>
            <w:tcW w:w="3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1,463</w:t>
            </w:r>
          </w:p>
        </w:tc>
        <w:tc>
          <w:tcPr>
            <w:tcW w:w="2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Noncash adjustments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315</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289</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w:t>
            </w:r>
          </w:p>
        </w:tc>
      </w:tr>
      <w:tr>
        <w:trPr>
          <w:trHeight w:val="196"/>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Changes in working capital</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(754)</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(468)</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(286)</w:t>
            </w:r>
          </w:p>
        </w:tc>
      </w:tr>
      <w:tr>
        <w:trPr>
          <w:trHeight w:val="196"/>
        </w:trPr>
        <w:tc>
          <w:tcPr>
            <w:tcW w:w="81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operating activities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(413)</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(836)</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423</w:t>
            </w:r>
          </w:p>
        </w:tc>
      </w:tr>
      <w:tr>
        <w:trPr>
          <w:trHeight w:val="199"/>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597</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448</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149</w:t>
            </w:r>
          </w:p>
        </w:tc>
      </w:tr>
      <w:tr>
        <w:trPr>
          <w:trHeight w:val="193"/>
        </w:trPr>
        <w:tc>
          <w:tcPr>
            <w:tcW w:w="8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used for investing activities</w:t>
            </w:r>
          </w:p>
        </w:tc>
        <w:tc>
          <w:tcPr>
            <w:tcW w:w="20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(371)</w:t>
            </w:r>
          </w:p>
        </w:tc>
        <w:tc>
          <w:tcPr>
            <w:tcW w:w="3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(273)</w:t>
            </w:r>
          </w:p>
        </w:tc>
        <w:tc>
          <w:tcPr>
            <w:tcW w:w="2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(98)</w:t>
            </w:r>
          </w:p>
        </w:tc>
      </w:tr>
      <w:tr>
        <w:trPr>
          <w:trHeight w:val="196"/>
        </w:trPr>
        <w:tc>
          <w:tcPr>
            <w:tcW w:w="8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(used for) provided by financing activities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(1,180)</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3,696</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(4,876)</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44</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(40)</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84</w:t>
            </w:r>
          </w:p>
        </w:tc>
      </w:tr>
      <w:tr>
        <w:trPr>
          <w:trHeight w:val="199"/>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(910)</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3,831</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(4,741)</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9,657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11,756</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(2,099)</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March 31, 2025</w:t>
      </w:r>
    </w:p>
    <w:p>
      <w:pPr>
        <w:spacing w:after="0" w:line="3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Net cash provided by operating activities was driven by Net income, partially offset by changes in working capital driven by an increase in accounts receivable due to timing of customer cash collections.</w:t>
      </w:r>
    </w:p>
    <w:p>
      <w:pPr>
        <w:spacing w:after="0" w:line="64"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Net cash used for investing activities was driven by $251 million of capital expenditures and $125 million of net payments from settlements of derivative contracts.</w:t>
      </w:r>
    </w:p>
    <w:p>
      <w:pPr>
        <w:spacing w:after="0" w:line="3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Net cash used for financing activities was driven by $1,902 million of repurchases of common stock and $732 million of cash dividends paid, partially offset by $1,442 million of net proceeds of commercial paper.</w:t>
      </w:r>
    </w:p>
    <w:p>
      <w:pPr>
        <w:spacing w:after="0" w:line="373" w:lineRule="exact"/>
        <w:rPr>
          <w:sz w:val="20"/>
          <w:szCs w:val="20"/>
          <w:color w:val="auto"/>
        </w:rPr>
      </w:pPr>
    </w:p>
    <w:p>
      <w:pPr>
        <w:ind w:left="400" w:hanging="392"/>
        <w:spacing w:after="0"/>
        <w:tabs>
          <w:tab w:leader="none" w:pos="400" w:val="left"/>
        </w:tabs>
        <w:numPr>
          <w:ilvl w:val="0"/>
          <w:numId w:val="4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March 31, 2025 compared with three months ended March 31, 2024</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Net cash provided by operating activities increased by $149 million, driven by a $423 million favorable impact of other operating activities due to timing of customer advances, partially offset by a $286 million unfavorable impact of working capital driven by an increase in accounts receivable due to timing of customer cash collections.</w:t>
      </w:r>
    </w:p>
    <w:p>
      <w:pPr>
        <w:spacing w:after="0" w:line="7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Net cash used for investing activities increased by $98 million, driven by a $168 million net increase in payments from settlements of derivative contracts, partially offset by $70 million net decrease in investments.</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cash (used for) provided by financing activities decreased by $4,876 million, driven by a $5,664 million decrease in long-term debt proceeds, as we issued long-term debt in 2024 to fund acquisitions, and a $1,231 million increase in repurchases of common stock, partially offset by a $1,689 million increase in net proceeds of commercial paper and a $529 million decrease in payments of long-term debt.</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CASH REQUIREMENTS AND ASSESSMENT OF CURRENT LIQUIDITY</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addition to our normal operating cash requirements, our principal future cash requirements will include funding capital expenditures, share repurchases, dividends, strategic acquisitions, and debt repayments. During the three months ended March 31, 2025, we repurchased common stock of $1.9 billion. Refer to the section titled Liquidity and Capital Resources of our 2024 Form 10-K for a discussion of our expected capital expenditures, share repurchases, mergers and acquisitions activity, and dividends for 2025.</w:t>
      </w:r>
    </w:p>
    <w:p>
      <w:pPr>
        <w:spacing w:after="0" w:line="6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continually seek opportunities to improve our liquidity and working capital efficiency, which includes the extension of payment terms with our suppliers and transfer of our trade receivables to unaffiliated financial institutions on a true sale basis. The impact of these programs is not material to our overall liquidity.</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Additionally, we continue to assess the relative strength of each business in our portfolio as to strategic fit, market position, profit, and cash flow contribution in order to identify target investment and acquisition opportunities in order to upgrade our combined portfolio. We identify acquisition candidates that will further our strategic plan and strengthen our existing core businesses. In the first quarter of 2025, we announced our intention to acquire Sundyne for approximately $2.2 billion.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 On October 8, 2024, we announced our intention to spin off the Advanced Materials business into Solstice Advanced Materials, an independent, U.S. publicly traded company, which is targeted to be completed by the end of 2025 or early 2026. In addition, on November 22, 2024, we announced an agreement to sell our personal protective equipment business for $1.3 billion, with the assets and liabilities of the business classified as held for sale until the closing date of a sale. On February 6, 2025, the Company announced its intention to separate its Automation and Aerospace Technologies businesses into independent, U.S. publicly traded companies. See Note 3 </w:t>
      </w:r>
      <w:r>
        <w:rPr>
          <w:rFonts w:ascii="Arial" w:cs="Arial" w:eastAsia="Arial" w:hAnsi="Arial"/>
          <w:sz w:val="16"/>
          <w:szCs w:val="16"/>
          <w:u w:val="single" w:color="auto"/>
          <w:color w:val="0000FF"/>
        </w:rPr>
        <w:t>Acquisitions, Divestitures, and Assets and Liabilities Held for Sale</w:t>
      </w:r>
      <w:r>
        <w:rPr>
          <w:rFonts w:ascii="Arial" w:cs="Arial" w:eastAsia="Arial" w:hAnsi="Arial"/>
          <w:sz w:val="16"/>
          <w:szCs w:val="16"/>
          <w:color w:val="auto"/>
        </w:rPr>
        <w:t xml:space="preserve"> of Notes to Consolidated Financial Statements for additional discussion.</w:t>
      </w:r>
    </w:p>
    <w:p>
      <w:pPr>
        <w:spacing w:after="0" w:line="7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Based on past performance and current expectations, we believe that our operating cash flows will be sufficient to meet our future operating cash needs for at least the next twelve months. Our available cash, committed credit lines, and access to the public debt and equity markets provide additional sources of short-term and long-term liquidity to fund current operations, debt maturities, and future investment opportunities.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9 </w:t>
      </w:r>
      <w:r>
        <w:rPr>
          <w:rFonts w:ascii="Arial" w:cs="Arial" w:eastAsia="Arial" w:hAnsi="Arial"/>
          <w:sz w:val="16"/>
          <w:szCs w:val="16"/>
          <w:u w:val="single" w:color="auto"/>
          <w:color w:val="0000FF"/>
        </w:rPr>
        <w:t>Debt and Credit Agreements</w:t>
      </w:r>
      <w:r>
        <w:rPr>
          <w:rFonts w:ascii="Arial" w:cs="Arial" w:eastAsia="Arial" w:hAnsi="Arial"/>
          <w:sz w:val="16"/>
          <w:szCs w:val="16"/>
          <w:color w:val="auto"/>
        </w:rPr>
        <w:t xml:space="preserve"> of Notes to Consolidated Financial Statements for additional discussion of items impacting our liquidity.</w:t>
      </w:r>
    </w:p>
    <w:p>
      <w:pPr>
        <w:spacing w:after="0" w:line="200" w:lineRule="exact"/>
        <w:rPr>
          <w:sz w:val="20"/>
          <w:szCs w:val="20"/>
          <w:color w:val="auto"/>
        </w:rPr>
      </w:pPr>
    </w:p>
    <w:p>
      <w:pPr>
        <w:spacing w:after="0" w:line="252" w:lineRule="exact"/>
        <w:rPr>
          <w:sz w:val="20"/>
          <w:szCs w:val="20"/>
          <w:color w:val="auto"/>
        </w:rPr>
      </w:pPr>
    </w:p>
    <w:p>
      <w:pPr>
        <w:ind w:left="400" w:hanging="392"/>
        <w:spacing w:after="0"/>
        <w:tabs>
          <w:tab w:leader="none" w:pos="400" w:val="left"/>
        </w:tabs>
        <w:numPr>
          <w:ilvl w:val="0"/>
          <w:numId w:val="5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BORROWINGS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leverage a variety of debt instruments to manage our overall borrowing costs. As of March 31, 2025, and December 31, 2024, our total borrowings were $32.8 billion and $31.1 billion, respectively.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Borders>
              <w:bottom w:val="single" w:sz="8" w:color="D7282F"/>
            </w:tcBorders>
          </w:tcPr>
          <w:p>
            <w:pPr>
              <w:spacing w:after="0"/>
              <w:rPr>
                <w:sz w:val="17"/>
                <w:szCs w:val="17"/>
                <w:color w:val="auto"/>
              </w:rPr>
            </w:pPr>
          </w:p>
        </w:tc>
        <w:tc>
          <w:tcPr>
            <w:tcW w:w="288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March 31, 2025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3"/>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Fixed rate notes</w:t>
            </w:r>
          </w:p>
        </w:tc>
        <w:tc>
          <w:tcPr>
            <w:tcW w:w="28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26,052</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25,853</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Commercial paper</w:t>
            </w:r>
          </w:p>
        </w:tc>
        <w:tc>
          <w:tcPr>
            <w:tcW w:w="288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5,755</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4,271</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Term loan</w:t>
            </w:r>
          </w:p>
        </w:tc>
        <w:tc>
          <w:tcPr>
            <w:tcW w:w="288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Variable rate notes</w:t>
            </w:r>
          </w:p>
        </w:tc>
        <w:tc>
          <w:tcPr>
            <w:tcW w:w="288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w:t>
            </w:r>
          </w:p>
        </w:tc>
        <w:tc>
          <w:tcPr>
            <w:tcW w:w="288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411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392</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Fair value of hedging instruments</w:t>
            </w:r>
          </w:p>
        </w:tc>
        <w:tc>
          <w:tcPr>
            <w:tcW w:w="2880" w:type="dxa"/>
            <w:vAlign w:val="bottom"/>
            <w:tcBorders>
              <w:bottom w:val="single" w:sz="8" w:color="61656A"/>
            </w:tcBorders>
          </w:tcPr>
          <w:p>
            <w:pPr>
              <w:spacing w:after="0"/>
              <w:rPr>
                <w:sz w:val="17"/>
                <w:szCs w:val="17"/>
                <w:color w:val="auto"/>
              </w:rPr>
            </w:pPr>
          </w:p>
        </w:tc>
        <w:tc>
          <w:tcPr>
            <w:tcW w:w="16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(112)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(136)</w:t>
            </w:r>
          </w:p>
        </w:tc>
      </w:tr>
      <w:tr>
        <w:trPr>
          <w:trHeight w:val="196"/>
        </w:trPr>
        <w:tc>
          <w:tcPr>
            <w:tcW w:w="48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2880" w:type="dxa"/>
            <w:vAlign w:val="bottom"/>
            <w:tcBorders>
              <w:bottom w:val="single" w:sz="8" w:color="D7282F"/>
            </w:tcBorders>
          </w:tcPr>
          <w:p>
            <w:pPr>
              <w:spacing w:after="0"/>
              <w:rPr>
                <w:sz w:val="17"/>
                <w:szCs w:val="17"/>
                <w:color w:val="auto"/>
              </w:rPr>
            </w:pPr>
          </w:p>
        </w:tc>
        <w:tc>
          <w:tcPr>
            <w:tcW w:w="16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(296)</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(303)</w:t>
            </w:r>
          </w:p>
        </w:tc>
      </w:tr>
      <w:tr>
        <w:trPr>
          <w:trHeight w:val="199"/>
        </w:trPr>
        <w:tc>
          <w:tcPr>
            <w:tcW w:w="48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borrowings</w:t>
            </w:r>
          </w:p>
        </w:tc>
        <w:tc>
          <w:tcPr>
            <w:tcW w:w="28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32,832</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31,099</w:t>
            </w:r>
          </w:p>
        </w:tc>
      </w:tr>
    </w:tbl>
    <w:p>
      <w:pPr>
        <w:spacing w:after="0" w:line="17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 key source of liquidity is our ability to access the corporate bond markets. Through these markets, we issue a variety of long-term fixed rate notes to manage our overall funding costs.</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Another key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We also have the following loan and revolving credit agreements:</w:t>
      </w:r>
    </w:p>
    <w:p>
      <w:pPr>
        <w:spacing w:after="0" w:line="127" w:lineRule="exact"/>
        <w:rPr>
          <w:sz w:val="20"/>
          <w:szCs w:val="20"/>
          <w:color w:val="auto"/>
        </w:rPr>
      </w:pPr>
    </w:p>
    <w:p>
      <w:pPr>
        <w:jc w:val="both"/>
        <w:ind w:left="200" w:hanging="192"/>
        <w:spacing w:after="0" w:line="265" w:lineRule="auto"/>
        <w:tabs>
          <w:tab w:leader="none" w:pos="197" w:val="left"/>
        </w:tabs>
        <w:numPr>
          <w:ilvl w:val="0"/>
          <w:numId w:val="51"/>
        </w:numPr>
        <w:rPr>
          <w:rFonts w:ascii="Arial" w:cs="Arial" w:eastAsia="Arial" w:hAnsi="Arial"/>
          <w:sz w:val="16"/>
          <w:szCs w:val="16"/>
          <w:color w:val="D7282F"/>
        </w:rPr>
      </w:pPr>
      <w:r>
        <w:rPr>
          <w:rFonts w:ascii="Arial" w:cs="Arial" w:eastAsia="Arial" w:hAnsi="Arial"/>
          <w:sz w:val="16"/>
          <w:szCs w:val="16"/>
          <w:color w:val="auto"/>
        </w:rPr>
        <w:t>A $1.0 billion Fixed Rate Term Loan Credit Agreement (the Fixed Rate Term Loan Credit Agreement), dated as of August 12, 2024. Amounts borrowed under the Fixed Rate Term Loan Credit Agreement are required to be repaid no later than August 12, 2027, unless the Fixed Rate Term Loan Credit Agreement is terminated earlier pursuant to its terms. As of March 31, 2025, there were $1.0 billion of borrowings outstanding under the Fixed Rate Term Loan Credit Agreement.</w:t>
      </w:r>
    </w:p>
    <w:p>
      <w:pPr>
        <w:spacing w:after="0" w:line="37" w:lineRule="exact"/>
        <w:rPr>
          <w:rFonts w:ascii="Arial" w:cs="Arial" w:eastAsia="Arial" w:hAnsi="Arial"/>
          <w:sz w:val="16"/>
          <w:szCs w:val="16"/>
          <w:color w:val="D7282F"/>
        </w:rPr>
      </w:pPr>
    </w:p>
    <w:p>
      <w:pPr>
        <w:jc w:val="both"/>
        <w:ind w:left="200" w:hanging="192"/>
        <w:spacing w:after="0" w:line="261" w:lineRule="auto"/>
        <w:tabs>
          <w:tab w:leader="none" w:pos="197" w:val="left"/>
        </w:tabs>
        <w:numPr>
          <w:ilvl w:val="0"/>
          <w:numId w:val="51"/>
        </w:numPr>
        <w:rPr>
          <w:rFonts w:ascii="Arial" w:cs="Arial" w:eastAsia="Arial" w:hAnsi="Arial"/>
          <w:sz w:val="16"/>
          <w:szCs w:val="16"/>
          <w:color w:val="D7282F"/>
        </w:rPr>
      </w:pPr>
      <w:r>
        <w:rPr>
          <w:rFonts w:ascii="Arial" w:cs="Arial" w:eastAsia="Arial" w:hAnsi="Arial"/>
          <w:sz w:val="16"/>
          <w:szCs w:val="16"/>
          <w:color w:val="auto"/>
        </w:rPr>
        <w:t>A $3.0 billion 364-day credit agreement (the 364-Day Credit Agreement) with a syndicate of banks, dated as of March 17, 2025. Amounts borrowed under the 364-Day Credit Agreement are required to be repaid no later than March 16, 2026, unless (i) we elect to convert all then outstanding amounts into a term loan, upon which such amounts shall be repaid in full on March 16, 2027, or (ii) the 364-Day Credit Agreement is terminated earlier pursuant to its terms. The 364-Day Credit Agreement replaced the previously reported $1.5 billion 364-day credit agreement dated as of March 18, 2024, which was terminated in accordance with its terms effective March 17, 2025. As of March 31, 2025, there were no outstanding borrowings under our 364-Day Credit Agreement.</w:t>
      </w:r>
    </w:p>
    <w:p>
      <w:pPr>
        <w:spacing w:after="0" w:line="27" w:lineRule="exact"/>
        <w:rPr>
          <w:rFonts w:ascii="Arial" w:cs="Arial" w:eastAsia="Arial" w:hAnsi="Arial"/>
          <w:sz w:val="16"/>
          <w:szCs w:val="16"/>
          <w:color w:val="D7282F"/>
        </w:rPr>
      </w:pPr>
    </w:p>
    <w:p>
      <w:pPr>
        <w:jc w:val="both"/>
        <w:ind w:left="200" w:hanging="192"/>
        <w:spacing w:after="0" w:line="275" w:lineRule="auto"/>
        <w:tabs>
          <w:tab w:leader="none" w:pos="197" w:val="left"/>
        </w:tabs>
        <w:numPr>
          <w:ilvl w:val="0"/>
          <w:numId w:val="51"/>
        </w:numPr>
        <w:rPr>
          <w:rFonts w:ascii="Arial" w:cs="Arial" w:eastAsia="Arial" w:hAnsi="Arial"/>
          <w:sz w:val="16"/>
          <w:szCs w:val="16"/>
          <w:color w:val="D7282F"/>
        </w:rPr>
      </w:pPr>
      <w:r>
        <w:rPr>
          <w:rFonts w:ascii="Arial" w:cs="Arial" w:eastAsia="Arial" w:hAnsi="Arial"/>
          <w:sz w:val="16"/>
          <w:szCs w:val="16"/>
          <w:color w:val="auto"/>
        </w:rPr>
        <w:t>A $4.0 billion five-year credit agreement (the Five-Year Credit Agreement) with a syndicate of banks, dated as of March 18, 2024. Commitments under the Five-Year Credit Agreement can be increased pursuant to the terms of the Five-Year Credit Agreement to an aggregate amount not to exceed $4.5 billion. As of March 31, 2025, there were no outstanding borrowings under our Five-Year Credit Agreement.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9 </w:t>
      </w:r>
      <w:r>
        <w:rPr>
          <w:rFonts w:ascii="Arial" w:cs="Arial" w:eastAsia="Arial" w:hAnsi="Arial"/>
          <w:sz w:val="16"/>
          <w:szCs w:val="16"/>
          <w:u w:val="single" w:color="auto"/>
          <w:color w:val="0000FF"/>
        </w:rPr>
        <w:t>Debt and Credit Agreements</w:t>
      </w:r>
      <w:r>
        <w:rPr>
          <w:rFonts w:ascii="Arial" w:cs="Arial" w:eastAsia="Arial" w:hAnsi="Arial"/>
          <w:sz w:val="16"/>
          <w:szCs w:val="16"/>
          <w:color w:val="auto"/>
        </w:rPr>
        <w:t xml:space="preserve"> of Notes to Consolidated Financial Statements for additional information regarding our debt instruments.</w:t>
      </w:r>
    </w:p>
    <w:p>
      <w:pPr>
        <w:spacing w:after="0" w:line="12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also maintain a current shelf registration statement filed with the SEC under which we may issue additional debt securities, common stock, and preferred stock that may be offered in one or more offerings on terms to be determined at the time of the offering. We anticipate that net proceeds of any offering would be used for general corporate purposes, including repayment of existing indebtedness, share repurchases, capital expenditures, and acquisitions.</w:t>
      </w:r>
    </w:p>
    <w:p>
      <w:pPr>
        <w:spacing w:after="0" w:line="395"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CREDIT RATINGS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ability to access the global debt capital markets and the related cost of these borrowings is affected by the strength of our credit rating and market conditions. Our credit ratings are periodically reviewed by the major independent debt-rating agencies. As of March 31, 2025, S&amp;P Global Inc. (S&amp;P), Fitch Ratings Inc. (Fitch), and Moody’s Investor Service (Moody's) have ratings on our debt set forth in the table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40" w:type="dxa"/>
            <w:vAlign w:val="bottom"/>
            <w:tcBorders>
              <w:bottom w:val="single" w:sz="8" w:color="D7282F"/>
            </w:tcBorders>
          </w:tcPr>
          <w:p>
            <w:pPr>
              <w:spacing w:after="0"/>
              <w:rPr>
                <w:sz w:val="17"/>
                <w:szCs w:val="17"/>
                <w:color w:val="auto"/>
              </w:rPr>
            </w:pPr>
          </w:p>
        </w:tc>
        <w:tc>
          <w:tcPr>
            <w:tcW w:w="4340" w:type="dxa"/>
            <w:vAlign w:val="bottom"/>
            <w:tcBorders>
              <w:bottom w:val="single" w:sz="8" w:color="D7282F"/>
            </w:tcBorders>
          </w:tcPr>
          <w:p>
            <w:pPr>
              <w:jc w:val="center"/>
              <w:ind w:left="2648"/>
              <w:spacing w:after="0"/>
              <w:rPr>
                <w:sz w:val="20"/>
                <w:szCs w:val="20"/>
                <w:color w:val="auto"/>
              </w:rPr>
            </w:pPr>
            <w:r>
              <w:rPr>
                <w:rFonts w:ascii="Arial" w:cs="Arial" w:eastAsia="Arial" w:hAnsi="Arial"/>
                <w:sz w:val="14"/>
                <w:szCs w:val="14"/>
                <w:b w:val="1"/>
                <w:bCs w:val="1"/>
                <w:color w:val="auto"/>
              </w:rPr>
              <w:t>S&amp;P</w:t>
            </w:r>
          </w:p>
        </w:tc>
        <w:tc>
          <w:tcPr>
            <w:tcW w:w="1740" w:type="dxa"/>
            <w:vAlign w:val="bottom"/>
            <w:tcBorders>
              <w:bottom w:val="single" w:sz="8" w:color="D7282F"/>
            </w:tcBorders>
          </w:tcPr>
          <w:p>
            <w:pPr>
              <w:jc w:val="center"/>
              <w:ind w:right="8"/>
              <w:spacing w:after="0"/>
              <w:rPr>
                <w:sz w:val="20"/>
                <w:szCs w:val="20"/>
                <w:color w:val="auto"/>
              </w:rPr>
            </w:pPr>
            <w:r>
              <w:rPr>
                <w:rFonts w:ascii="Arial" w:cs="Arial" w:eastAsia="Arial" w:hAnsi="Arial"/>
                <w:sz w:val="14"/>
                <w:szCs w:val="14"/>
                <w:b w:val="1"/>
                <w:bCs w:val="1"/>
                <w:color w:val="auto"/>
              </w:rPr>
              <w:t>Fitch</w:t>
            </w:r>
          </w:p>
        </w:tc>
        <w:tc>
          <w:tcPr>
            <w:tcW w:w="14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Moody's</w:t>
            </w:r>
          </w:p>
        </w:tc>
      </w:tr>
      <w:tr>
        <w:trPr>
          <w:trHeight w:val="193"/>
        </w:trPr>
        <w:tc>
          <w:tcPr>
            <w:tcW w:w="37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Outlook</w:t>
            </w:r>
          </w:p>
        </w:tc>
        <w:tc>
          <w:tcPr>
            <w:tcW w:w="4340" w:type="dxa"/>
            <w:vAlign w:val="bottom"/>
            <w:tcBorders>
              <w:bottom w:val="single" w:sz="8" w:color="61656A"/>
            </w:tcBorders>
          </w:tcPr>
          <w:p>
            <w:pPr>
              <w:jc w:val="center"/>
              <w:ind w:left="2648"/>
              <w:spacing w:after="0"/>
              <w:rPr>
                <w:sz w:val="20"/>
                <w:szCs w:val="20"/>
                <w:color w:val="auto"/>
              </w:rPr>
            </w:pPr>
            <w:r>
              <w:rPr>
                <w:rFonts w:ascii="Arial" w:cs="Arial" w:eastAsia="Arial" w:hAnsi="Arial"/>
                <w:sz w:val="14"/>
                <w:szCs w:val="14"/>
                <w:color w:val="auto"/>
              </w:rPr>
              <w:t>Watch Negative</w:t>
            </w:r>
          </w:p>
        </w:tc>
        <w:tc>
          <w:tcPr>
            <w:tcW w:w="1740" w:type="dxa"/>
            <w:vAlign w:val="bottom"/>
            <w:tcBorders>
              <w:bottom w:val="single" w:sz="8" w:color="61656A"/>
            </w:tcBorders>
          </w:tcPr>
          <w:p>
            <w:pPr>
              <w:jc w:val="center"/>
              <w:ind w:right="28"/>
              <w:spacing w:after="0"/>
              <w:rPr>
                <w:sz w:val="20"/>
                <w:szCs w:val="20"/>
                <w:color w:val="auto"/>
              </w:rPr>
            </w:pPr>
            <w:r>
              <w:rPr>
                <w:rFonts w:ascii="Arial" w:cs="Arial" w:eastAsia="Arial" w:hAnsi="Arial"/>
                <w:sz w:val="14"/>
                <w:szCs w:val="14"/>
                <w:color w:val="auto"/>
              </w:rPr>
              <w:t>Watch Negative</w:t>
            </w:r>
          </w:p>
        </w:tc>
        <w:tc>
          <w:tcPr>
            <w:tcW w:w="142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Stable</w:t>
            </w:r>
          </w:p>
        </w:tc>
      </w:tr>
      <w:tr>
        <w:trPr>
          <w:trHeight w:val="196"/>
        </w:trPr>
        <w:tc>
          <w:tcPr>
            <w:tcW w:w="37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Short-term</w:t>
            </w:r>
          </w:p>
        </w:tc>
        <w:tc>
          <w:tcPr>
            <w:tcW w:w="4340" w:type="dxa"/>
            <w:vAlign w:val="bottom"/>
            <w:tcBorders>
              <w:bottom w:val="single" w:sz="8" w:color="61656A"/>
            </w:tcBorders>
          </w:tcPr>
          <w:p>
            <w:pPr>
              <w:jc w:val="center"/>
              <w:ind w:left="2648"/>
              <w:spacing w:after="0"/>
              <w:rPr>
                <w:sz w:val="20"/>
                <w:szCs w:val="20"/>
                <w:color w:val="auto"/>
              </w:rPr>
            </w:pPr>
            <w:r>
              <w:rPr>
                <w:rFonts w:ascii="Arial" w:cs="Arial" w:eastAsia="Arial" w:hAnsi="Arial"/>
                <w:sz w:val="14"/>
                <w:szCs w:val="14"/>
                <w:color w:val="auto"/>
              </w:rPr>
              <w:t>A-1</w:t>
            </w:r>
          </w:p>
        </w:tc>
        <w:tc>
          <w:tcPr>
            <w:tcW w:w="1740" w:type="dxa"/>
            <w:vAlign w:val="bottom"/>
            <w:tcBorders>
              <w:bottom w:val="single" w:sz="8" w:color="61656A"/>
            </w:tcBorders>
          </w:tcPr>
          <w:p>
            <w:pPr>
              <w:jc w:val="center"/>
              <w:ind w:right="28"/>
              <w:spacing w:after="0"/>
              <w:rPr>
                <w:sz w:val="20"/>
                <w:szCs w:val="20"/>
                <w:color w:val="auto"/>
              </w:rPr>
            </w:pPr>
            <w:r>
              <w:rPr>
                <w:rFonts w:ascii="Arial" w:cs="Arial" w:eastAsia="Arial" w:hAnsi="Arial"/>
                <w:sz w:val="14"/>
                <w:szCs w:val="14"/>
                <w:color w:val="auto"/>
                <w:w w:val="97"/>
              </w:rPr>
              <w:t>F1</w:t>
            </w:r>
          </w:p>
        </w:tc>
        <w:tc>
          <w:tcPr>
            <w:tcW w:w="142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3"/>
              </w:rPr>
              <w:t>P1</w:t>
            </w:r>
          </w:p>
        </w:tc>
      </w:tr>
      <w:tr>
        <w:trPr>
          <w:trHeight w:val="196"/>
        </w:trPr>
        <w:tc>
          <w:tcPr>
            <w:tcW w:w="37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w:t>
            </w:r>
          </w:p>
        </w:tc>
        <w:tc>
          <w:tcPr>
            <w:tcW w:w="4340" w:type="dxa"/>
            <w:vAlign w:val="bottom"/>
            <w:tcBorders>
              <w:bottom w:val="single" w:sz="8" w:color="D7282F"/>
            </w:tcBorders>
          </w:tcPr>
          <w:p>
            <w:pPr>
              <w:jc w:val="center"/>
              <w:ind w:left="2648"/>
              <w:spacing w:after="0"/>
              <w:rPr>
                <w:sz w:val="20"/>
                <w:szCs w:val="20"/>
                <w:color w:val="auto"/>
              </w:rPr>
            </w:pPr>
            <w:r>
              <w:rPr>
                <w:rFonts w:ascii="Arial" w:cs="Arial" w:eastAsia="Arial" w:hAnsi="Arial"/>
                <w:sz w:val="14"/>
                <w:szCs w:val="14"/>
                <w:color w:val="auto"/>
              </w:rPr>
              <w:t>A</w:t>
            </w:r>
          </w:p>
        </w:tc>
        <w:tc>
          <w:tcPr>
            <w:tcW w:w="1740" w:type="dxa"/>
            <w:vAlign w:val="bottom"/>
            <w:tcBorders>
              <w:bottom w:val="single" w:sz="8" w:color="D7282F"/>
            </w:tcBorders>
          </w:tcPr>
          <w:p>
            <w:pPr>
              <w:jc w:val="center"/>
              <w:ind w:right="8"/>
              <w:spacing w:after="0"/>
              <w:rPr>
                <w:sz w:val="20"/>
                <w:szCs w:val="20"/>
                <w:color w:val="auto"/>
              </w:rPr>
            </w:pPr>
            <w:r>
              <w:rPr>
                <w:rFonts w:ascii="Arial" w:cs="Arial" w:eastAsia="Arial" w:hAnsi="Arial"/>
                <w:sz w:val="14"/>
                <w:szCs w:val="14"/>
                <w:color w:val="auto"/>
              </w:rPr>
              <w:t>A</w:t>
            </w:r>
          </w:p>
        </w:tc>
        <w:tc>
          <w:tcPr>
            <w:tcW w:w="14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w w:val="93"/>
              </w:rPr>
              <w:t>A2</w:t>
            </w: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January 10, 2025, Moody's revised their credit rating outlook from positive to stable. On February 6, 2025, S&amp;P revised their credit rating outlook from stable to credit watch negative. On February 7, 2025, Fitch revised their credit rating outlook from stable to rating watch negative.</w:t>
      </w:r>
    </w:p>
    <w:p>
      <w:pPr>
        <w:spacing w:after="0" w:line="29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OTHER MATTERS</w:t>
      </w: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D7282F"/>
        </w:rPr>
        <w:t>LITIGATION</w:t>
      </w:r>
    </w:p>
    <w:p>
      <w:pPr>
        <w:spacing w:after="0" w:line="23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See Note 15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of Notes to Consolidated Financial Statements for further discussion of environmental, asbestos, and other litigation matters.</w:t>
      </w:r>
    </w:p>
    <w:p>
      <w:pPr>
        <w:spacing w:after="0" w:line="204" w:lineRule="exact"/>
        <w:rPr>
          <w:sz w:val="20"/>
          <w:szCs w:val="20"/>
          <w:color w:val="auto"/>
        </w:rPr>
      </w:pPr>
    </w:p>
    <w:p>
      <w:pPr>
        <w:spacing w:after="0"/>
        <w:rPr>
          <w:sz w:val="20"/>
          <w:szCs w:val="20"/>
          <w:color w:val="auto"/>
        </w:rPr>
      </w:pPr>
      <w:r>
        <w:rPr>
          <w:rFonts w:ascii="Arial" w:cs="Arial" w:eastAsia="Arial" w:hAnsi="Arial"/>
          <w:sz w:val="29"/>
          <w:szCs w:val="29"/>
          <w:color w:val="D7282F"/>
        </w:rPr>
        <w:t>CRITICAL ACCOUNTING ESTIMATES</w:t>
      </w:r>
    </w:p>
    <w:p>
      <w:pPr>
        <w:spacing w:after="0" w:line="23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There have been no material changes to our Critical Accounting Estimates presented in our 2024 Annual Report on Form 10-K. For a discussion of the Company’s Critical Accounting Estimates, see the section titled Critical Accounting Estimates in our 2024 Annual Report on Form 10-K.</w:t>
      </w:r>
    </w:p>
    <w:p>
      <w:pPr>
        <w:spacing w:after="0" w:line="191" w:lineRule="exact"/>
        <w:rPr>
          <w:sz w:val="20"/>
          <w:szCs w:val="20"/>
          <w:color w:val="auto"/>
        </w:rPr>
      </w:pPr>
    </w:p>
    <w:p>
      <w:pPr>
        <w:spacing w:after="0"/>
        <w:rPr>
          <w:sz w:val="20"/>
          <w:szCs w:val="20"/>
          <w:color w:val="auto"/>
        </w:rPr>
      </w:pPr>
      <w:r>
        <w:rPr>
          <w:rFonts w:ascii="Arial" w:cs="Arial" w:eastAsia="Arial" w:hAnsi="Arial"/>
          <w:sz w:val="29"/>
          <w:szCs w:val="29"/>
          <w:color w:val="D7282F"/>
        </w:rPr>
        <w:t>RECENT ACCOUNTING PRONOUNCEMENTS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See Note 2 </w:t>
      </w:r>
      <w:r>
        <w:rPr>
          <w:rFonts w:ascii="Arial" w:cs="Arial" w:eastAsia="Arial" w:hAnsi="Arial"/>
          <w:sz w:val="16"/>
          <w:szCs w:val="16"/>
          <w:u w:val="single" w:color="auto"/>
          <w:color w:val="0000FF"/>
        </w:rPr>
        <w:t>Summary of Significant Accounting Policies</w:t>
      </w:r>
      <w:r>
        <w:rPr>
          <w:rFonts w:ascii="Arial" w:cs="Arial" w:eastAsia="Arial" w:hAnsi="Arial"/>
          <w:sz w:val="16"/>
          <w:szCs w:val="16"/>
          <w:color w:val="auto"/>
        </w:rPr>
        <w:t xml:space="preserve"> of Notes to Consolidated Financial Statements for a discussion of recent accounting pronouncements.</w:t>
      </w:r>
    </w:p>
    <w:p>
      <w:pPr>
        <w:spacing w:after="0" w:line="200" w:lineRule="exact"/>
        <w:rPr>
          <w:sz w:val="20"/>
          <w:szCs w:val="20"/>
          <w:color w:val="auto"/>
        </w:rPr>
      </w:pPr>
    </w:p>
    <w:p>
      <w:pPr>
        <w:spacing w:after="0" w:line="331" w:lineRule="exact"/>
        <w:rPr>
          <w:sz w:val="20"/>
          <w:szCs w:val="20"/>
          <w:color w:val="auto"/>
        </w:rPr>
      </w:pPr>
    </w:p>
    <w:p>
      <w:pPr>
        <w:ind w:right="1240"/>
        <w:spacing w:after="0" w:line="297" w:lineRule="auto"/>
        <w:rPr>
          <w:sz w:val="20"/>
          <w:szCs w:val="20"/>
          <w:color w:val="auto"/>
        </w:rPr>
      </w:pPr>
      <w:r>
        <w:rPr>
          <w:rFonts w:ascii="Arial" w:cs="Arial" w:eastAsia="Arial" w:hAnsi="Arial"/>
          <w:sz w:val="36"/>
          <w:szCs w:val="36"/>
          <w:b w:val="1"/>
          <w:bCs w:val="1"/>
          <w:color w:val="auto"/>
        </w:rPr>
        <w:t>ITEM 3. QUANTITATIVE AND QUALITATIVE DISCLOSURES ABOUT MARKET RISKS</w:t>
      </w:r>
    </w:p>
    <w:p>
      <w:pPr>
        <w:spacing w:after="0" w:line="21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For a discussion of the Company’s quantitative and qualitative disclosures about market risks, see the section titled Quantitative and Qualitative Disclosures About Market Risks in our 2024 Annual Report on Form 10-K. As of March 31, 2025, there has been no material change in this information.</w:t>
      </w:r>
    </w:p>
    <w:p>
      <w:pPr>
        <w:spacing w:after="0" w:line="400" w:lineRule="exact"/>
        <w:rPr>
          <w:sz w:val="20"/>
          <w:szCs w:val="20"/>
          <w:color w:val="auto"/>
        </w:rPr>
      </w:pPr>
    </w:p>
    <w:p>
      <w:pPr>
        <w:ind w:left="400" w:hanging="392"/>
        <w:spacing w:after="0"/>
        <w:tabs>
          <w:tab w:leader="none" w:pos="400" w:val="left"/>
        </w:tabs>
        <w:numPr>
          <w:ilvl w:val="0"/>
          <w:numId w:val="5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CONTROLS AND PROCEDURES</w:t>
      </w:r>
    </w:p>
    <w:p>
      <w:pPr>
        <w:spacing w:after="0" w:line="37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Honeywell management, including the Chairman and Chief Executive Officer (CEO) and Chief Financial Officer (CFO),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Chairman and CEO and the CFO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SEC's rules and forms, and that it is accumulated and communicated to our management, including our Chairman and CEO, our CFO, and our Controller, as appropriate, to allow timely decisions regarding required disclosure. There were no changes that materially affected, or are reasonably likely to materially affect, Honeywell’s internal control over financial reporting that occurred during the period covered by this Quarterly Report on Form 10-Q.</w:t>
      </w:r>
    </w:p>
    <w:p>
      <w:pPr>
        <w:spacing w:after="0" w:line="200" w:lineRule="exact"/>
        <w:rPr>
          <w:sz w:val="20"/>
          <w:szCs w:val="20"/>
          <w:color w:val="auto"/>
        </w:rPr>
      </w:pPr>
    </w:p>
    <w:p>
      <w:pPr>
        <w:spacing w:after="0" w:line="222" w:lineRule="exact"/>
        <w:rPr>
          <w:sz w:val="20"/>
          <w:szCs w:val="20"/>
          <w:color w:val="auto"/>
        </w:rPr>
      </w:pPr>
    </w:p>
    <w:p>
      <w:pPr>
        <w:ind w:left="400" w:hanging="392"/>
        <w:spacing w:after="0"/>
        <w:tabs>
          <w:tab w:leader="none" w:pos="400" w:val="left"/>
        </w:tabs>
        <w:numPr>
          <w:ilvl w:val="0"/>
          <w:numId w:val="5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II. OTHER INFORMATION</w:t>
      </w:r>
    </w:p>
    <w:p>
      <w:pPr>
        <w:spacing w:after="0" w:line="38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 LEGAL PROCEEDINGS</w:t>
      </w:r>
    </w:p>
    <w:p>
      <w:pPr>
        <w:spacing w:after="0" w:line="37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We are subject to a number of lawsuits, investigations, and claims (some of which involve substantial amounts) arising out of the conduct of our business. See a discussion of environmental, asbestos, and other litigation matters in Note 15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of Notes to Consolidated Financial Statements.</w:t>
      </w:r>
    </w:p>
    <w:p>
      <w:pPr>
        <w:spacing w:after="0" w:line="5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There were no matters requiring disclosure pursuant to the requirement to disclose certain environmental matters involving potential monetary sanctions in excess of $300,000.</w:t>
      </w:r>
    </w:p>
    <w:p>
      <w:pPr>
        <w:spacing w:after="0" w:line="28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1A. RISK FACTORS</w:t>
      </w:r>
    </w:p>
    <w:p>
      <w:pPr>
        <w:spacing w:after="0" w:line="39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Other than as noted below, there have been no material changes to our Risk Factors presented in our 2024 Annual Report on Form 10-K under the section titled Risk Factors. For further discussion of our Risk Factors, refer to the section titled Risk Factors in our 2024 Annual Report on Form 10-K.</w:t>
      </w:r>
    </w:p>
    <w:p>
      <w:pPr>
        <w:spacing w:after="0" w:line="4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D7282F"/>
        </w:rPr>
        <w:t>The Company and each of our businesses is subject to unique industry and economic conditions that may adversely affect the markets and operating conditions of our customers, which in turn can affect demand for our products and services and our results of operations.</w:t>
      </w:r>
    </w:p>
    <w:p>
      <w:pPr>
        <w:spacing w:after="0" w:line="18" w:lineRule="exact"/>
        <w:rPr>
          <w:sz w:val="20"/>
          <w:szCs w:val="20"/>
          <w:color w:val="auto"/>
        </w:rPr>
      </w:pPr>
    </w:p>
    <w:p>
      <w:pPr>
        <w:jc w:val="both"/>
        <w:ind w:left="200" w:hanging="192"/>
        <w:spacing w:after="0" w:line="259" w:lineRule="auto"/>
        <w:tabs>
          <w:tab w:leader="none" w:pos="197" w:val="left"/>
        </w:tabs>
        <w:numPr>
          <w:ilvl w:val="0"/>
          <w:numId w:val="55"/>
        </w:numPr>
        <w:rPr>
          <w:rFonts w:ascii="Arial" w:cs="Arial" w:eastAsia="Arial" w:hAnsi="Arial"/>
          <w:sz w:val="16"/>
          <w:szCs w:val="16"/>
          <w:color w:val="D7282F"/>
        </w:rPr>
      </w:pPr>
      <w:r>
        <w:rPr>
          <w:rFonts w:ascii="Arial" w:cs="Arial" w:eastAsia="Arial" w:hAnsi="Arial"/>
          <w:sz w:val="16"/>
          <w:szCs w:val="16"/>
          <w:b w:val="1"/>
          <w:bCs w:val="1"/>
          <w:i w:val="1"/>
          <w:iCs w:val="1"/>
          <w:color w:val="auto"/>
        </w:rPr>
        <w:t>Aerospace Technologies</w:t>
      </w:r>
      <w:r>
        <w:rPr>
          <w:rFonts w:ascii="Arial" w:cs="Arial" w:eastAsia="Arial" w:hAnsi="Arial"/>
          <w:sz w:val="16"/>
          <w:szCs w:val="16"/>
          <w:color w:val="auto"/>
        </w:rPr>
        <w:t>—Our Aerospace business is impacted by customer buying patterns of aftermarket parts, supplier stability, factory transitions,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global supply chain capacity constraints that may lead to shortages of crucial components. Operating results may be adversely affected by downturns in the global demand for air travel, which may impact new aircraft production or result in the delay or cancellation of new aircraft orders, delays in launch schedules for new aircrafts, the retirement of aircrafts, and reductions in global flying hours, which impacts air transport and regional, business, and general aviation aircraft utilization rates. Operating results may also be adversely affected by any decrease in air travel demand due to regional restrictions or suspension of service for events related to public health, safety, the environment, or regional conflicts. Operating results could also be impacted by changes in overall trends related to end market demand for the product portfolio, as well as new entrants and non-traditional players entering the market. Operating results in our Defense and Space business unit may be affected by the mix of U.S. and foreign government appropriations for defense and space programs and by compliance risks. Results may also be impacted by the potential introduction of counterfeit parts into our global supply chain.</w:t>
      </w:r>
    </w:p>
    <w:p>
      <w:pPr>
        <w:spacing w:after="0" w:line="224" w:lineRule="exact"/>
        <w:rPr>
          <w:rFonts w:ascii="Arial" w:cs="Arial" w:eastAsia="Arial" w:hAnsi="Arial"/>
          <w:sz w:val="16"/>
          <w:szCs w:val="16"/>
          <w:color w:val="D7282F"/>
        </w:rPr>
      </w:pPr>
    </w:p>
    <w:p>
      <w:pPr>
        <w:jc w:val="both"/>
        <w:ind w:left="200" w:hanging="192"/>
        <w:spacing w:after="0" w:line="271" w:lineRule="auto"/>
        <w:tabs>
          <w:tab w:leader="none" w:pos="197" w:val="left"/>
        </w:tabs>
        <w:numPr>
          <w:ilvl w:val="0"/>
          <w:numId w:val="55"/>
        </w:numPr>
        <w:rPr>
          <w:rFonts w:ascii="Arial" w:cs="Arial" w:eastAsia="Arial" w:hAnsi="Arial"/>
          <w:sz w:val="16"/>
          <w:szCs w:val="16"/>
          <w:color w:val="D7282F"/>
        </w:rPr>
      </w:pPr>
      <w:r>
        <w:rPr>
          <w:rFonts w:ascii="Arial" w:cs="Arial" w:eastAsia="Arial" w:hAnsi="Arial"/>
          <w:sz w:val="16"/>
          <w:szCs w:val="16"/>
          <w:b w:val="1"/>
          <w:bCs w:val="1"/>
          <w:i w:val="1"/>
          <w:iCs w:val="1"/>
          <w:color w:val="auto"/>
        </w:rPr>
        <w:t>Industrial Automation</w:t>
      </w:r>
      <w:r>
        <w:rPr>
          <w:rFonts w:ascii="Arial" w:cs="Arial" w:eastAsia="Arial" w:hAnsi="Arial"/>
          <w:sz w:val="16"/>
          <w:szCs w:val="16"/>
          <w:color w:val="auto"/>
        </w:rPr>
        <w:t>—Operating results may be adversely impacted by reduced investments in process automation, safety monitoring, and plant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capacity utilization initiatives, fluctuations in retail markets, a slowdown in demand for safety products, changes in the competitive landscape, including new market entrants and new technologies that may lead to product commoditization, and adverse industry economic conditions, all of which could result in lower market share, reduced selling prices, and lower margins.</w:t>
      </w:r>
    </w:p>
    <w:p>
      <w:pPr>
        <w:spacing w:after="0" w:line="19" w:lineRule="exact"/>
        <w:rPr>
          <w:rFonts w:ascii="Arial" w:cs="Arial" w:eastAsia="Arial" w:hAnsi="Arial"/>
          <w:sz w:val="16"/>
          <w:szCs w:val="16"/>
          <w:color w:val="D7282F"/>
        </w:rPr>
      </w:pPr>
    </w:p>
    <w:p>
      <w:pPr>
        <w:jc w:val="both"/>
        <w:ind w:left="200" w:hanging="192"/>
        <w:spacing w:after="0" w:line="275" w:lineRule="auto"/>
        <w:tabs>
          <w:tab w:leader="none" w:pos="197" w:val="left"/>
        </w:tabs>
        <w:numPr>
          <w:ilvl w:val="0"/>
          <w:numId w:val="55"/>
        </w:numPr>
        <w:rPr>
          <w:rFonts w:ascii="Arial" w:cs="Arial" w:eastAsia="Arial" w:hAnsi="Arial"/>
          <w:sz w:val="16"/>
          <w:szCs w:val="16"/>
          <w:color w:val="D7282F"/>
        </w:rPr>
      </w:pPr>
      <w:r>
        <w:rPr>
          <w:rFonts w:ascii="Arial" w:cs="Arial" w:eastAsia="Arial" w:hAnsi="Arial"/>
          <w:sz w:val="16"/>
          <w:szCs w:val="16"/>
          <w:b w:val="1"/>
          <w:bCs w:val="1"/>
          <w:i w:val="1"/>
          <w:iCs w:val="1"/>
          <w:color w:val="auto"/>
        </w:rPr>
        <w:t>Building Automation</w:t>
      </w:r>
      <w:r>
        <w:rPr>
          <w:rFonts w:ascii="Arial" w:cs="Arial" w:eastAsia="Arial" w:hAnsi="Arial"/>
          <w:sz w:val="16"/>
          <w:szCs w:val="16"/>
          <w:color w:val="auto"/>
        </w:rPr>
        <w:t>—Operating results may be adversely impacted by downturns in the level of global buildings and infrastructure construction activity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retrofits and upgrades), lower capital spending and operating expenditures on projects, changes in the competitive landscape, including new market entrants and new technologies, and fluctuations in inventory levels in distribution channels.</w:t>
      </w:r>
    </w:p>
    <w:p>
      <w:pPr>
        <w:spacing w:after="0" w:line="29" w:lineRule="exact"/>
        <w:rPr>
          <w:rFonts w:ascii="Arial" w:cs="Arial" w:eastAsia="Arial" w:hAnsi="Arial"/>
          <w:sz w:val="16"/>
          <w:szCs w:val="16"/>
          <w:color w:val="D7282F"/>
        </w:rPr>
      </w:pPr>
    </w:p>
    <w:p>
      <w:pPr>
        <w:jc w:val="both"/>
        <w:ind w:left="200" w:hanging="192"/>
        <w:spacing w:after="0" w:line="260" w:lineRule="auto"/>
        <w:tabs>
          <w:tab w:leader="none" w:pos="197" w:val="left"/>
        </w:tabs>
        <w:numPr>
          <w:ilvl w:val="0"/>
          <w:numId w:val="55"/>
        </w:numPr>
        <w:rPr>
          <w:rFonts w:ascii="Arial" w:cs="Arial" w:eastAsia="Arial" w:hAnsi="Arial"/>
          <w:sz w:val="16"/>
          <w:szCs w:val="16"/>
          <w:color w:val="D7282F"/>
        </w:rPr>
      </w:pPr>
      <w:r>
        <w:rPr>
          <w:rFonts w:ascii="Arial" w:cs="Arial" w:eastAsia="Arial" w:hAnsi="Arial"/>
          <w:sz w:val="16"/>
          <w:szCs w:val="16"/>
          <w:b w:val="1"/>
          <w:bCs w:val="1"/>
          <w:i w:val="1"/>
          <w:iCs w:val="1"/>
          <w:color w:val="auto"/>
        </w:rPr>
        <w:t>Energy and Sustainability Solutions</w:t>
      </w:r>
      <w:r>
        <w:rPr>
          <w:rFonts w:ascii="Arial" w:cs="Arial" w:eastAsia="Arial" w:hAnsi="Arial"/>
          <w:sz w:val="16"/>
          <w:szCs w:val="16"/>
          <w:color w:val="auto"/>
        </w:rPr>
        <w:t>—Operating results may be adversely impacted by downturns in capacity utilization for chemical, industrial,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refining, petrochemical, and semiconductor plants, our customers’ availability of capital for refinery construction and expansion, raw material demand and supply, product commoditization, continued illegal imports of hydrofluorocarbons into Europe, and our ability to maximize our facilities’ production capacity and minimize downtime. Periods of increased volatility in oil and natural gas prices may result in less investment by our customers and therefore, lower demand for our products and services.</w:t>
      </w:r>
    </w:p>
    <w:p>
      <w:pPr>
        <w:spacing w:after="0" w:line="8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addition, the Company and each of its businesses may continue to be, negatively affected by global macroeconomic conditions, including the impacts of inflation, high interest rates, supply chain and labor disruptions, unemployment rates, geopolitical instability and regional conflicts, the adoption and expansion of trade restrictions and tariffs, quotas, embargoes, and other related actions, and the occurrence or threat of a trade war or other governmental action related to tariffs or trade agreements or policies. Such factors could adversely impact, demand for our products, our costs, our customers, our suppliers, and the world and U.S. economies. The impact of such factors could have a material adverse effect on our business, operating results,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0" w:hanging="392"/>
        <w:spacing w:after="0"/>
        <w:tabs>
          <w:tab w:leader="none" w:pos="400" w:val="left"/>
        </w:tabs>
        <w:numPr>
          <w:ilvl w:val="0"/>
          <w:numId w:val="5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540"/>
        <w:spacing w:after="0" w:line="297" w:lineRule="auto"/>
        <w:rPr>
          <w:sz w:val="20"/>
          <w:szCs w:val="20"/>
          <w:color w:val="auto"/>
        </w:rPr>
      </w:pPr>
      <w:r>
        <w:rPr>
          <w:rFonts w:ascii="Arial" w:cs="Arial" w:eastAsia="Arial" w:hAnsi="Arial"/>
          <w:sz w:val="36"/>
          <w:szCs w:val="36"/>
          <w:b w:val="1"/>
          <w:bCs w:val="1"/>
          <w:color w:val="auto"/>
        </w:rPr>
        <w:t>ITEM 2. UNREGISTERED SALES OF EQUITY SECURITIES AND USE OF PROCEEDS</w:t>
      </w:r>
    </w:p>
    <w:p>
      <w:pPr>
        <w:spacing w:after="0" w:line="18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On April 24, 2023, the Board of Directors authorized the repurchase of up to $10 billion of Honeywell common stock, including approximately $2.1 billion of remaining availability under the previously announced $10 billion share repurchase authorization. The repurchase authorization does not have an expiration date and may be amended or terminated by the Board of Directors at any time without prior notice.</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Repurchases may be made through a variety of methods, which could include open market purchases, accelerated share repurchase transactions, negotiated block transactions, 10b5-1 plans, other transactions that may be structured through investment banking institutions or privately negotiated, or a combination of the foregoing. Honeywell presently expects to repurchase outstanding shares from time to time (i) to offset the dilutive impact of employee stock-based compensation plans, including option exercises, restricted unit vesting, and matching contributions under our savings plans, and (ii) to reduce share count via share repurchases as and when attractive opportunities arise. The amount and timing of future repurchases may vary depending on market conditions and the level of operating, financing, and other investing activities.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three months ended March 31, 2025, Honeywell repurchased 8.9 million shares of its common stock, par value $1 per share. As of March 31, 2025, $3.6 billion remained available under the share repurchase authorization for additional share repurchases. The following table summarizes our purchases of Honeywell's common stock for the three months ended March 31, 2025:</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500" w:type="dxa"/>
            <w:vAlign w:val="bottom"/>
            <w:tcBorders>
              <w:top w:val="single" w:sz="8" w:color="D7282F"/>
            </w:tcBorders>
          </w:tcPr>
          <w:p>
            <w:pPr>
              <w:spacing w:after="0"/>
              <w:rPr>
                <w:sz w:val="12"/>
                <w:szCs w:val="12"/>
                <w:color w:val="auto"/>
              </w:rPr>
            </w:pPr>
          </w:p>
        </w:tc>
        <w:tc>
          <w:tcPr>
            <w:tcW w:w="2300" w:type="dxa"/>
            <w:vAlign w:val="bottom"/>
            <w:tcBorders>
              <w:top w:val="single" w:sz="8" w:color="D7282F"/>
            </w:tcBorders>
          </w:tcPr>
          <w:p>
            <w:pPr>
              <w:spacing w:after="0"/>
              <w:rPr>
                <w:sz w:val="12"/>
                <w:szCs w:val="12"/>
                <w:color w:val="auto"/>
              </w:rPr>
            </w:pPr>
          </w:p>
        </w:tc>
        <w:tc>
          <w:tcPr>
            <w:tcW w:w="1680" w:type="dxa"/>
            <w:vAlign w:val="bottom"/>
            <w:tcBorders>
              <w:top w:val="single" w:sz="8" w:color="D7282F"/>
            </w:tcBorders>
          </w:tcPr>
          <w:p>
            <w:pPr>
              <w:spacing w:after="0"/>
              <w:rPr>
                <w:sz w:val="12"/>
                <w:szCs w:val="12"/>
                <w:color w:val="auto"/>
              </w:rPr>
            </w:pPr>
          </w:p>
        </w:tc>
        <w:tc>
          <w:tcPr>
            <w:tcW w:w="1700" w:type="dxa"/>
            <w:vAlign w:val="bottom"/>
            <w:tcBorders>
              <w:top w:val="single" w:sz="8" w:color="D7282F"/>
            </w:tcBorders>
          </w:tcPr>
          <w:p>
            <w:pPr>
              <w:jc w:val="center"/>
              <w:ind w:left="188"/>
              <w:spacing w:after="0" w:line="149" w:lineRule="exact"/>
              <w:rPr>
                <w:sz w:val="20"/>
                <w:szCs w:val="20"/>
                <w:color w:val="auto"/>
              </w:rPr>
            </w:pPr>
            <w:r>
              <w:rPr>
                <w:rFonts w:ascii="Arial" w:cs="Arial" w:eastAsia="Arial" w:hAnsi="Arial"/>
                <w:sz w:val="14"/>
                <w:szCs w:val="14"/>
                <w:b w:val="1"/>
                <w:bCs w:val="1"/>
                <w:color w:val="auto"/>
              </w:rPr>
              <w:t>Total Number</w:t>
            </w:r>
          </w:p>
        </w:tc>
        <w:tc>
          <w:tcPr>
            <w:tcW w:w="2060" w:type="dxa"/>
            <w:vAlign w:val="bottom"/>
            <w:tcBorders>
              <w:top w:val="single" w:sz="8" w:color="D7282F"/>
            </w:tcBorders>
            <w:vMerge w:val="restart"/>
          </w:tcPr>
          <w:p>
            <w:pPr>
              <w:jc w:val="center"/>
              <w:ind w:left="88"/>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0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of Shares</w:t>
            </w: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2300" w:type="dxa"/>
            <w:vAlign w:val="bottom"/>
            <w:vMerge w:val="restart"/>
          </w:tcPr>
          <w:p>
            <w:pPr>
              <w:jc w:val="center"/>
              <w:ind w:left="448"/>
              <w:spacing w:after="0"/>
              <w:rPr>
                <w:sz w:val="20"/>
                <w:szCs w:val="20"/>
                <w:color w:val="auto"/>
              </w:rPr>
            </w:pPr>
            <w:r>
              <w:rPr>
                <w:rFonts w:ascii="Arial" w:cs="Arial" w:eastAsia="Arial" w:hAnsi="Arial"/>
                <w:sz w:val="14"/>
                <w:szCs w:val="14"/>
                <w:b w:val="1"/>
                <w:bCs w:val="1"/>
                <w:color w:val="auto"/>
              </w:rPr>
              <w:t>Total</w:t>
            </w:r>
          </w:p>
        </w:tc>
        <w:tc>
          <w:tcPr>
            <w:tcW w:w="1680" w:type="dxa"/>
            <w:vAlign w:val="bottom"/>
          </w:tcPr>
          <w:p>
            <w:pPr>
              <w:spacing w:after="0"/>
              <w:rPr>
                <w:sz w:val="12"/>
                <w:szCs w:val="12"/>
                <w:color w:val="auto"/>
              </w:rPr>
            </w:pPr>
          </w:p>
        </w:tc>
        <w:tc>
          <w:tcPr>
            <w:tcW w:w="1700" w:type="dxa"/>
            <w:vAlign w:val="bottom"/>
          </w:tcPr>
          <w:p>
            <w:pPr>
              <w:jc w:val="center"/>
              <w:ind w:left="168"/>
              <w:spacing w:after="0" w:line="145" w:lineRule="exact"/>
              <w:rPr>
                <w:sz w:val="20"/>
                <w:szCs w:val="20"/>
                <w:color w:val="auto"/>
              </w:rPr>
            </w:pPr>
            <w:r>
              <w:rPr>
                <w:rFonts w:ascii="Arial" w:cs="Arial" w:eastAsia="Arial" w:hAnsi="Arial"/>
                <w:sz w:val="14"/>
                <w:szCs w:val="14"/>
                <w:b w:val="1"/>
                <w:bCs w:val="1"/>
                <w:color w:val="auto"/>
              </w:rPr>
              <w:t>Purchased as</w:t>
            </w:r>
          </w:p>
        </w:tc>
        <w:tc>
          <w:tcPr>
            <w:tcW w:w="2060" w:type="dxa"/>
            <w:vAlign w:val="bottom"/>
          </w:tcPr>
          <w:p>
            <w:pPr>
              <w:jc w:val="center"/>
              <w:ind w:left="88"/>
              <w:spacing w:after="0" w:line="145"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16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Part of Publicly</w:t>
            </w:r>
          </w:p>
        </w:tc>
        <w:tc>
          <w:tcPr>
            <w:tcW w:w="206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39"/>
        </w:trPr>
        <w:tc>
          <w:tcPr>
            <w:tcW w:w="3500" w:type="dxa"/>
            <w:vAlign w:val="bottom"/>
          </w:tcPr>
          <w:p>
            <w:pPr>
              <w:spacing w:after="0"/>
              <w:rPr>
                <w:sz w:val="12"/>
                <w:szCs w:val="12"/>
                <w:color w:val="auto"/>
              </w:rPr>
            </w:pPr>
          </w:p>
        </w:tc>
        <w:tc>
          <w:tcPr>
            <w:tcW w:w="2300" w:type="dxa"/>
            <w:vAlign w:val="bottom"/>
          </w:tcPr>
          <w:p>
            <w:pPr>
              <w:jc w:val="center"/>
              <w:ind w:left="468"/>
              <w:spacing w:after="0" w:line="139" w:lineRule="exact"/>
              <w:rPr>
                <w:sz w:val="20"/>
                <w:szCs w:val="20"/>
                <w:color w:val="auto"/>
              </w:rPr>
            </w:pPr>
            <w:r>
              <w:rPr>
                <w:rFonts w:ascii="Arial" w:cs="Arial" w:eastAsia="Arial" w:hAnsi="Arial"/>
                <w:sz w:val="14"/>
                <w:szCs w:val="14"/>
                <w:b w:val="1"/>
                <w:bCs w:val="1"/>
                <w:color w:val="auto"/>
              </w:rPr>
              <w:t>Number of</w:t>
            </w:r>
          </w:p>
        </w:tc>
        <w:tc>
          <w:tcPr>
            <w:tcW w:w="1680" w:type="dxa"/>
            <w:vAlign w:val="bottom"/>
            <w:vMerge w:val="continue"/>
          </w:tcPr>
          <w:p>
            <w:pPr>
              <w:spacing w:after="0"/>
              <w:rPr>
                <w:sz w:val="12"/>
                <w:szCs w:val="12"/>
                <w:color w:val="auto"/>
              </w:rPr>
            </w:pPr>
          </w:p>
        </w:tc>
        <w:tc>
          <w:tcPr>
            <w:tcW w:w="1700" w:type="dxa"/>
            <w:vAlign w:val="bottom"/>
          </w:tcPr>
          <w:p>
            <w:pPr>
              <w:jc w:val="center"/>
              <w:ind w:left="168"/>
              <w:spacing w:after="0" w:line="139" w:lineRule="exact"/>
              <w:rPr>
                <w:sz w:val="20"/>
                <w:szCs w:val="20"/>
                <w:color w:val="auto"/>
              </w:rPr>
            </w:pPr>
            <w:r>
              <w:rPr>
                <w:rFonts w:ascii="Arial" w:cs="Arial" w:eastAsia="Arial" w:hAnsi="Arial"/>
                <w:sz w:val="14"/>
                <w:szCs w:val="14"/>
                <w:b w:val="1"/>
                <w:bCs w:val="1"/>
                <w:color w:val="auto"/>
              </w:rPr>
              <w:t>Announced</w:t>
            </w:r>
          </w:p>
        </w:tc>
        <w:tc>
          <w:tcPr>
            <w:tcW w:w="2060" w:type="dxa"/>
            <w:vAlign w:val="bottom"/>
          </w:tcPr>
          <w:p>
            <w:pPr>
              <w:jc w:val="center"/>
              <w:ind w:left="68"/>
              <w:spacing w:after="0" w:line="139" w:lineRule="exact"/>
              <w:rPr>
                <w:sz w:val="20"/>
                <w:szCs w:val="20"/>
                <w:color w:val="auto"/>
              </w:rPr>
            </w:pPr>
            <w:r>
              <w:rPr>
                <w:rFonts w:ascii="Arial" w:cs="Arial" w:eastAsia="Arial" w:hAnsi="Arial"/>
                <w:sz w:val="14"/>
                <w:szCs w:val="14"/>
                <w:b w:val="1"/>
                <w:bCs w:val="1"/>
                <w:color w:val="auto"/>
              </w:rPr>
              <w:t>Purchased Under Plans or</w:t>
            </w:r>
          </w:p>
        </w:tc>
        <w:tc>
          <w:tcPr>
            <w:tcW w:w="0" w:type="dxa"/>
            <w:vAlign w:val="bottom"/>
          </w:tcPr>
          <w:p>
            <w:pPr>
              <w:spacing w:after="0"/>
              <w:rPr>
                <w:sz w:val="1"/>
                <w:szCs w:val="1"/>
                <w:color w:val="auto"/>
              </w:rPr>
            </w:pPr>
          </w:p>
        </w:tc>
      </w:tr>
      <w:tr>
        <w:trPr>
          <w:trHeight w:val="144"/>
        </w:trPr>
        <w:tc>
          <w:tcPr>
            <w:tcW w:w="3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300" w:type="dxa"/>
            <w:vAlign w:val="bottom"/>
          </w:tcPr>
          <w:p>
            <w:pPr>
              <w:jc w:val="center"/>
              <w:ind w:left="468"/>
              <w:spacing w:after="0" w:line="145" w:lineRule="exact"/>
              <w:rPr>
                <w:sz w:val="20"/>
                <w:szCs w:val="20"/>
                <w:color w:val="auto"/>
              </w:rPr>
            </w:pPr>
            <w:r>
              <w:rPr>
                <w:rFonts w:ascii="Arial" w:cs="Arial" w:eastAsia="Arial" w:hAnsi="Arial"/>
                <w:sz w:val="14"/>
                <w:szCs w:val="14"/>
                <w:b w:val="1"/>
                <w:bCs w:val="1"/>
                <w:color w:val="auto"/>
              </w:rPr>
              <w:t>Shares</w:t>
            </w:r>
          </w:p>
        </w:tc>
        <w:tc>
          <w:tcPr>
            <w:tcW w:w="1680" w:type="dxa"/>
            <w:vAlign w:val="bottom"/>
          </w:tcPr>
          <w:p>
            <w:pPr>
              <w:jc w:val="center"/>
              <w:ind w:left="28"/>
              <w:spacing w:after="0" w:line="145" w:lineRule="exact"/>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ind w:left="168"/>
              <w:spacing w:after="0" w:line="145" w:lineRule="exact"/>
              <w:rPr>
                <w:sz w:val="20"/>
                <w:szCs w:val="20"/>
                <w:color w:val="auto"/>
              </w:rPr>
            </w:pPr>
            <w:r>
              <w:rPr>
                <w:rFonts w:ascii="Arial" w:cs="Arial" w:eastAsia="Arial" w:hAnsi="Arial"/>
                <w:sz w:val="14"/>
                <w:szCs w:val="14"/>
                <w:b w:val="1"/>
                <w:bCs w:val="1"/>
                <w:color w:val="auto"/>
              </w:rPr>
              <w:t>Plans</w:t>
            </w:r>
          </w:p>
        </w:tc>
        <w:tc>
          <w:tcPr>
            <w:tcW w:w="2060" w:type="dxa"/>
            <w:vAlign w:val="bottom"/>
          </w:tcPr>
          <w:p>
            <w:pPr>
              <w:jc w:val="center"/>
              <w:ind w:left="88"/>
              <w:spacing w:after="0" w:line="145"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89"/>
        </w:trPr>
        <w:tc>
          <w:tcPr>
            <w:tcW w:w="3500" w:type="dxa"/>
            <w:vAlign w:val="bottom"/>
            <w:tcBorders>
              <w:bottom w:val="single" w:sz="8" w:color="D7282F"/>
            </w:tcBorders>
            <w:vMerge w:val="continue"/>
          </w:tcPr>
          <w:p>
            <w:pPr>
              <w:spacing w:after="0"/>
              <w:rPr>
                <w:sz w:val="16"/>
                <w:szCs w:val="16"/>
                <w:color w:val="auto"/>
              </w:rPr>
            </w:pPr>
          </w:p>
        </w:tc>
        <w:tc>
          <w:tcPr>
            <w:tcW w:w="2300" w:type="dxa"/>
            <w:vAlign w:val="bottom"/>
            <w:tcBorders>
              <w:bottom w:val="single" w:sz="8" w:color="D7282F"/>
            </w:tcBorders>
          </w:tcPr>
          <w:p>
            <w:pPr>
              <w:jc w:val="center"/>
              <w:ind w:left="448"/>
              <w:spacing w:after="0"/>
              <w:rPr>
                <w:sz w:val="20"/>
                <w:szCs w:val="20"/>
                <w:color w:val="auto"/>
              </w:rPr>
            </w:pPr>
            <w:r>
              <w:rPr>
                <w:rFonts w:ascii="Arial" w:cs="Arial" w:eastAsia="Arial" w:hAnsi="Arial"/>
                <w:sz w:val="14"/>
                <w:szCs w:val="14"/>
                <w:b w:val="1"/>
                <w:bCs w:val="1"/>
                <w:color w:val="auto"/>
              </w:rPr>
              <w:t>Purchased</w:t>
            </w:r>
          </w:p>
        </w:tc>
        <w:tc>
          <w:tcPr>
            <w:tcW w:w="1680" w:type="dxa"/>
            <w:vAlign w:val="bottom"/>
            <w:tcBorders>
              <w:bottom w:val="single" w:sz="8" w:color="D7282F"/>
            </w:tcBorders>
          </w:tcPr>
          <w:p>
            <w:pPr>
              <w:jc w:val="center"/>
              <w:ind w:left="8"/>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1</w:t>
            </w:r>
          </w:p>
        </w:tc>
        <w:tc>
          <w:tcPr>
            <w:tcW w:w="1700" w:type="dxa"/>
            <w:vAlign w:val="bottom"/>
            <w:tcBorders>
              <w:bottom w:val="single" w:sz="8" w:color="D7282F"/>
            </w:tcBorders>
          </w:tcPr>
          <w:p>
            <w:pPr>
              <w:jc w:val="center"/>
              <w:ind w:left="168"/>
              <w:spacing w:after="0"/>
              <w:rPr>
                <w:sz w:val="20"/>
                <w:szCs w:val="20"/>
                <w:color w:val="auto"/>
              </w:rPr>
            </w:pPr>
            <w:r>
              <w:rPr>
                <w:rFonts w:ascii="Arial" w:cs="Arial" w:eastAsia="Arial" w:hAnsi="Arial"/>
                <w:sz w:val="14"/>
                <w:szCs w:val="14"/>
                <w:b w:val="1"/>
                <w:bCs w:val="1"/>
                <w:color w:val="auto"/>
              </w:rPr>
              <w:t>or Programs</w:t>
            </w:r>
          </w:p>
        </w:tc>
        <w:tc>
          <w:tcPr>
            <w:tcW w:w="2060" w:type="dxa"/>
            <w:vAlign w:val="bottom"/>
            <w:tcBorders>
              <w:bottom w:val="single" w:sz="8" w:color="D7282F"/>
            </w:tcBorders>
          </w:tcPr>
          <w:p>
            <w:pPr>
              <w:jc w:val="center"/>
              <w:ind w:left="88"/>
              <w:spacing w:after="0" w:line="189" w:lineRule="exact"/>
              <w:rPr>
                <w:sz w:val="20"/>
                <w:szCs w:val="20"/>
                <w:color w:val="auto"/>
              </w:rPr>
            </w:pPr>
            <w:r>
              <w:rPr>
                <w:rFonts w:ascii="Arial" w:cs="Arial" w:eastAsia="Arial" w:hAnsi="Arial"/>
                <w:sz w:val="14"/>
                <w:szCs w:val="14"/>
                <w:b w:val="1"/>
                <w:bCs w:val="1"/>
                <w:color w:val="auto"/>
              </w:rPr>
              <w:t>(Dollars in millions)</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92"/>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January 1, 2025 - January 25, 2025</w:t>
            </w:r>
          </w:p>
        </w:tc>
        <w:tc>
          <w:tcPr>
            <w:tcW w:w="2300" w:type="dxa"/>
            <w:vAlign w:val="bottom"/>
            <w:tcBorders>
              <w:bottom w:val="single" w:sz="8" w:color="61656A"/>
            </w:tcBorders>
          </w:tcPr>
          <w:p>
            <w:pPr>
              <w:jc w:val="center"/>
              <w:ind w:left="468"/>
              <w:spacing w:after="0"/>
              <w:rPr>
                <w:sz w:val="20"/>
                <w:szCs w:val="20"/>
                <w:color w:val="auto"/>
              </w:rPr>
            </w:pPr>
            <w:r>
              <w:rPr>
                <w:rFonts w:ascii="Arial" w:cs="Arial" w:eastAsia="Arial" w:hAnsi="Arial"/>
                <w:sz w:val="14"/>
                <w:szCs w:val="14"/>
                <w:color w:val="auto"/>
              </w:rPr>
              <w:t>1,145,869</w:t>
            </w:r>
          </w:p>
        </w:tc>
        <w:tc>
          <w:tcPr>
            <w:tcW w:w="168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$222.52</w:t>
            </w:r>
          </w:p>
        </w:tc>
        <w:tc>
          <w:tcPr>
            <w:tcW w:w="1700" w:type="dxa"/>
            <w:vAlign w:val="bottom"/>
            <w:tcBorders>
              <w:bottom w:val="single" w:sz="8" w:color="61656A"/>
            </w:tcBorders>
          </w:tcPr>
          <w:p>
            <w:pPr>
              <w:jc w:val="center"/>
              <w:ind w:left="188"/>
              <w:spacing w:after="0"/>
              <w:rPr>
                <w:sz w:val="20"/>
                <w:szCs w:val="20"/>
                <w:color w:val="auto"/>
              </w:rPr>
            </w:pPr>
            <w:r>
              <w:rPr>
                <w:rFonts w:ascii="Arial" w:cs="Arial" w:eastAsia="Arial" w:hAnsi="Arial"/>
                <w:sz w:val="14"/>
                <w:szCs w:val="14"/>
                <w:color w:val="auto"/>
              </w:rPr>
              <w:t>1,145,869</w:t>
            </w:r>
          </w:p>
        </w:tc>
        <w:tc>
          <w:tcPr>
            <w:tcW w:w="2060" w:type="dxa"/>
            <w:vAlign w:val="bottom"/>
            <w:tcBorders>
              <w:bottom w:val="single" w:sz="8" w:color="61656A"/>
            </w:tcBorders>
          </w:tcPr>
          <w:p>
            <w:pPr>
              <w:jc w:val="center"/>
              <w:ind w:left="68"/>
              <w:spacing w:after="0"/>
              <w:rPr>
                <w:sz w:val="20"/>
                <w:szCs w:val="20"/>
                <w:color w:val="auto"/>
              </w:rPr>
            </w:pPr>
            <w:r>
              <w:rPr>
                <w:rFonts w:ascii="Arial" w:cs="Arial" w:eastAsia="Arial" w:hAnsi="Arial"/>
                <w:sz w:val="14"/>
                <w:szCs w:val="14"/>
                <w:color w:val="auto"/>
              </w:rPr>
              <w:t>$5,224</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January 26, 2025 - February 22, 2025</w:t>
            </w:r>
          </w:p>
        </w:tc>
        <w:tc>
          <w:tcPr>
            <w:tcW w:w="2300" w:type="dxa"/>
            <w:vAlign w:val="bottom"/>
            <w:tcBorders>
              <w:bottom w:val="single" w:sz="8" w:color="61656A"/>
            </w:tcBorders>
          </w:tcPr>
          <w:p>
            <w:pPr>
              <w:jc w:val="center"/>
              <w:ind w:left="468"/>
              <w:spacing w:after="0"/>
              <w:rPr>
                <w:sz w:val="20"/>
                <w:szCs w:val="20"/>
                <w:color w:val="auto"/>
              </w:rPr>
            </w:pPr>
            <w:r>
              <w:rPr>
                <w:rFonts w:ascii="Arial" w:cs="Arial" w:eastAsia="Arial" w:hAnsi="Arial"/>
                <w:sz w:val="14"/>
                <w:szCs w:val="14"/>
                <w:color w:val="auto"/>
              </w:rPr>
              <w:t>1,981,309</w:t>
            </w:r>
          </w:p>
        </w:tc>
        <w:tc>
          <w:tcPr>
            <w:tcW w:w="168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$211.46</w:t>
            </w:r>
          </w:p>
        </w:tc>
        <w:tc>
          <w:tcPr>
            <w:tcW w:w="1700" w:type="dxa"/>
            <w:vAlign w:val="bottom"/>
            <w:tcBorders>
              <w:bottom w:val="single" w:sz="8" w:color="61656A"/>
            </w:tcBorders>
          </w:tcPr>
          <w:p>
            <w:pPr>
              <w:jc w:val="center"/>
              <w:ind w:left="188"/>
              <w:spacing w:after="0"/>
              <w:rPr>
                <w:sz w:val="20"/>
                <w:szCs w:val="20"/>
                <w:color w:val="auto"/>
              </w:rPr>
            </w:pPr>
            <w:r>
              <w:rPr>
                <w:rFonts w:ascii="Arial" w:cs="Arial" w:eastAsia="Arial" w:hAnsi="Arial"/>
                <w:sz w:val="14"/>
                <w:szCs w:val="14"/>
                <w:color w:val="auto"/>
              </w:rPr>
              <w:t>1,981,309</w:t>
            </w:r>
          </w:p>
        </w:tc>
        <w:tc>
          <w:tcPr>
            <w:tcW w:w="2060" w:type="dxa"/>
            <w:vAlign w:val="bottom"/>
            <w:tcBorders>
              <w:bottom w:val="single" w:sz="8" w:color="61656A"/>
            </w:tcBorders>
          </w:tcPr>
          <w:p>
            <w:pPr>
              <w:jc w:val="center"/>
              <w:ind w:left="68"/>
              <w:spacing w:after="0"/>
              <w:rPr>
                <w:sz w:val="20"/>
                <w:szCs w:val="20"/>
                <w:color w:val="auto"/>
              </w:rPr>
            </w:pPr>
            <w:r>
              <w:rPr>
                <w:rFonts w:ascii="Arial" w:cs="Arial" w:eastAsia="Arial" w:hAnsi="Arial"/>
                <w:sz w:val="14"/>
                <w:szCs w:val="14"/>
                <w:color w:val="auto"/>
              </w:rPr>
              <w:t>$4,805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February 23, 2025 - March 29, 2025</w:t>
            </w:r>
          </w:p>
        </w:tc>
        <w:tc>
          <w:tcPr>
            <w:tcW w:w="2300" w:type="dxa"/>
            <w:vAlign w:val="bottom"/>
            <w:tcBorders>
              <w:bottom w:val="single" w:sz="8" w:color="D7282F"/>
            </w:tcBorders>
          </w:tcPr>
          <w:p>
            <w:pPr>
              <w:jc w:val="center"/>
              <w:ind w:left="468"/>
              <w:spacing w:after="0"/>
              <w:rPr>
                <w:sz w:val="20"/>
                <w:szCs w:val="20"/>
                <w:color w:val="auto"/>
              </w:rPr>
            </w:pPr>
            <w:r>
              <w:rPr>
                <w:rFonts w:ascii="Arial" w:cs="Arial" w:eastAsia="Arial" w:hAnsi="Arial"/>
                <w:sz w:val="14"/>
                <w:szCs w:val="14"/>
                <w:color w:val="auto"/>
              </w:rPr>
              <w:t>5,802,894</w:t>
            </w:r>
          </w:p>
        </w:tc>
        <w:tc>
          <w:tcPr>
            <w:tcW w:w="168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rPr>
              <w:t>$211.60</w:t>
            </w:r>
          </w:p>
        </w:tc>
        <w:tc>
          <w:tcPr>
            <w:tcW w:w="1700" w:type="dxa"/>
            <w:vAlign w:val="bottom"/>
            <w:tcBorders>
              <w:bottom w:val="single" w:sz="8" w:color="D7282F"/>
            </w:tcBorders>
          </w:tcPr>
          <w:p>
            <w:pPr>
              <w:jc w:val="center"/>
              <w:ind w:left="188"/>
              <w:spacing w:after="0"/>
              <w:rPr>
                <w:sz w:val="20"/>
                <w:szCs w:val="20"/>
                <w:color w:val="auto"/>
              </w:rPr>
            </w:pPr>
            <w:r>
              <w:rPr>
                <w:rFonts w:ascii="Arial" w:cs="Arial" w:eastAsia="Arial" w:hAnsi="Arial"/>
                <w:sz w:val="14"/>
                <w:szCs w:val="14"/>
                <w:color w:val="auto"/>
              </w:rPr>
              <w:t>5,802,894</w:t>
            </w:r>
          </w:p>
        </w:tc>
        <w:tc>
          <w:tcPr>
            <w:tcW w:w="206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color w:val="auto"/>
              </w:rPr>
              <w:t>$3,577</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80" w:hanging="344"/>
        <w:spacing w:after="0"/>
        <w:tabs>
          <w:tab w:leader="none" w:pos="4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Excludes excise tax on net share repurchases.</w:t>
      </w:r>
    </w:p>
    <w:p>
      <w:pPr>
        <w:spacing w:after="0" w:line="20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MINE SAFETY DISCLOSURES</w:t>
      </w:r>
    </w:p>
    <w:p>
      <w:pPr>
        <w:spacing w:after="0" w:line="37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quarterly report.</w:t>
      </w: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5. OTHER INFORMATION</w:t>
      </w: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D7282F"/>
        </w:rPr>
        <w:t>EQUITY TRADING ARRANGEMENTS ELECTIONS</w:t>
      </w:r>
    </w:p>
    <w:p>
      <w:pPr>
        <w:spacing w:after="0" w:line="23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Certain executive officers and directors of the Company may execute purchases and sales of the Company's common stock through Rule 10b5-1 and non-Rule 10b5-1 equity trading arrangements.</w:t>
      </w:r>
    </w:p>
    <w:p>
      <w:pPr>
        <w:spacing w:after="0" w:line="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three months ended March 31, 2025, none of our executive officers or directors adopted, terminated, or modified a "Rule 10b5-1 trading arrangement," or adopted, terminated, or modified any "non-Rule 10b5-1 trading arrangement" (each as defined in Item 408 of Regulation S-K).</w:t>
      </w:r>
    </w:p>
    <w:p>
      <w:pPr>
        <w:spacing w:after="0" w:line="400" w:lineRule="exact"/>
        <w:rPr>
          <w:sz w:val="20"/>
          <w:szCs w:val="20"/>
          <w:color w:val="auto"/>
        </w:rPr>
      </w:pPr>
    </w:p>
    <w:p>
      <w:pPr>
        <w:ind w:left="400" w:hanging="392"/>
        <w:spacing w:after="0"/>
        <w:tabs>
          <w:tab w:leader="none" w:pos="400" w:val="left"/>
        </w:tabs>
        <w:numPr>
          <w:ilvl w:val="0"/>
          <w:numId w:val="5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6. EXHIBITS</w:t>
      </w: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0120" w:type="dxa"/>
            <w:vAlign w:val="bottom"/>
            <w:tcBorders>
              <w:bottom w:val="single" w:sz="8" w:color="D7282F"/>
            </w:tcBorders>
          </w:tcPr>
          <w:p>
            <w:pPr>
              <w:ind w:left="300"/>
              <w:spacing w:after="0"/>
              <w:rPr>
                <w:sz w:val="20"/>
                <w:szCs w:val="20"/>
                <w:color w:val="auto"/>
              </w:rPr>
            </w:pPr>
            <w:r>
              <w:rPr>
                <w:rFonts w:ascii="Arial" w:cs="Arial" w:eastAsia="Arial" w:hAnsi="Arial"/>
                <w:sz w:val="14"/>
                <w:szCs w:val="14"/>
                <w:b w:val="1"/>
                <w:bCs w:val="1"/>
                <w:color w:val="auto"/>
              </w:rPr>
              <w:t>Description</w:t>
            </w:r>
          </w:p>
        </w:tc>
      </w:tr>
      <w:tr>
        <w:trPr>
          <w:trHeight w:val="143"/>
        </w:trPr>
        <w:tc>
          <w:tcPr>
            <w:tcW w:w="1080" w:type="dxa"/>
            <w:vAlign w:val="bottom"/>
          </w:tcPr>
          <w:p>
            <w:pPr>
              <w:ind w:left="20"/>
              <w:spacing w:after="0" w:line="143" w:lineRule="exact"/>
              <w:rPr>
                <w:sz w:val="20"/>
                <w:szCs w:val="20"/>
                <w:color w:val="auto"/>
              </w:rPr>
            </w:pPr>
            <w:r>
              <w:rPr>
                <w:rFonts w:ascii="Arial" w:cs="Arial" w:eastAsia="Arial" w:hAnsi="Arial"/>
                <w:sz w:val="14"/>
                <w:szCs w:val="14"/>
                <w:color w:val="auto"/>
              </w:rPr>
              <w:t>10.1*</w:t>
            </w:r>
          </w:p>
        </w:tc>
        <w:tc>
          <w:tcPr>
            <w:tcW w:w="10120" w:type="dxa"/>
            <w:vAlign w:val="bottom"/>
          </w:tcPr>
          <w:p>
            <w:pPr>
              <w:ind w:left="300"/>
              <w:spacing w:after="0" w:line="143" w:lineRule="exact"/>
              <w:rPr>
                <w:rFonts w:ascii="Arial" w:cs="Arial" w:eastAsia="Arial" w:hAnsi="Arial"/>
                <w:sz w:val="14"/>
                <w:szCs w:val="14"/>
                <w:color w:val="auto"/>
              </w:rPr>
            </w:pPr>
            <w:hyperlink r:id="rId88">
              <w:r>
                <w:rPr>
                  <w:rFonts w:ascii="Arial" w:cs="Arial" w:eastAsia="Arial" w:hAnsi="Arial"/>
                  <w:sz w:val="14"/>
                  <w:szCs w:val="14"/>
                  <w:color w:val="auto"/>
                </w:rPr>
                <w:t>Offer Letter dated February 7, 2025 from Honeywell International Inc. to Michal Stepniak (incorporated by reference to Exhibit 10.1 to Honeywell's Form 8-</w:t>
              </w:r>
            </w:hyperlink>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rFonts w:ascii="Arial" w:cs="Arial" w:eastAsia="Arial" w:hAnsi="Arial"/>
                <w:sz w:val="14"/>
                <w:szCs w:val="14"/>
                <w:color w:val="auto"/>
              </w:rPr>
            </w:pPr>
            <w:hyperlink r:id="rId88">
              <w:r>
                <w:rPr>
                  <w:rFonts w:ascii="Arial" w:cs="Arial" w:eastAsia="Arial" w:hAnsi="Arial"/>
                  <w:sz w:val="14"/>
                  <w:szCs w:val="14"/>
                  <w:color w:val="auto"/>
                </w:rPr>
                <w:t>K filed February 18, 2025)</w:t>
              </w:r>
            </w:hyperlink>
          </w:p>
        </w:tc>
      </w:tr>
      <w:tr>
        <w:trPr>
          <w:trHeight w:val="142"/>
        </w:trPr>
        <w:tc>
          <w:tcPr>
            <w:tcW w:w="1080" w:type="dxa"/>
            <w:vAlign w:val="bottom"/>
          </w:tcPr>
          <w:p>
            <w:pPr>
              <w:ind w:left="20"/>
              <w:spacing w:after="0" w:line="142" w:lineRule="exact"/>
              <w:rPr>
                <w:sz w:val="20"/>
                <w:szCs w:val="20"/>
                <w:color w:val="auto"/>
              </w:rPr>
            </w:pPr>
            <w:r>
              <w:rPr>
                <w:rFonts w:ascii="Arial" w:cs="Arial" w:eastAsia="Arial" w:hAnsi="Arial"/>
                <w:sz w:val="14"/>
                <w:szCs w:val="14"/>
                <w:color w:val="auto"/>
              </w:rPr>
              <w:t>10.2*</w:t>
            </w:r>
          </w:p>
        </w:tc>
        <w:tc>
          <w:tcPr>
            <w:tcW w:w="10120" w:type="dxa"/>
            <w:vAlign w:val="bottom"/>
          </w:tcPr>
          <w:p>
            <w:pPr>
              <w:ind w:left="300"/>
              <w:spacing w:after="0" w:line="142" w:lineRule="exact"/>
              <w:rPr>
                <w:rFonts w:ascii="Arial" w:cs="Arial" w:eastAsia="Arial" w:hAnsi="Arial"/>
                <w:sz w:val="14"/>
                <w:szCs w:val="14"/>
                <w:color w:val="auto"/>
              </w:rPr>
            </w:pPr>
            <w:hyperlink r:id="rId89">
              <w:r>
                <w:rPr>
                  <w:rFonts w:ascii="Arial" w:cs="Arial" w:eastAsia="Arial" w:hAnsi="Arial"/>
                  <w:sz w:val="14"/>
                  <w:szCs w:val="14"/>
                  <w:color w:val="auto"/>
                </w:rPr>
                <w:t>Offer Letter dated February 12, 2025 from Honeywell International Inc. to Gregory P. Lewis (incorporated by reference to Exhibit 10.2 to Honeywell's Form</w:t>
              </w:r>
            </w:hyperlink>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rFonts w:ascii="Arial" w:cs="Arial" w:eastAsia="Arial" w:hAnsi="Arial"/>
                <w:sz w:val="14"/>
                <w:szCs w:val="14"/>
                <w:color w:val="auto"/>
              </w:rPr>
            </w:pPr>
            <w:hyperlink r:id="rId89">
              <w:r>
                <w:rPr>
                  <w:rFonts w:ascii="Arial" w:cs="Arial" w:eastAsia="Arial" w:hAnsi="Arial"/>
                  <w:sz w:val="14"/>
                  <w:szCs w:val="14"/>
                  <w:color w:val="auto"/>
                </w:rPr>
                <w:t>8-K filed February 18, 2025)</w:t>
              </w:r>
            </w:hyperlink>
          </w:p>
        </w:tc>
      </w:tr>
      <w:tr>
        <w:trPr>
          <w:trHeight w:val="142"/>
        </w:trPr>
        <w:tc>
          <w:tcPr>
            <w:tcW w:w="1080" w:type="dxa"/>
            <w:vAlign w:val="bottom"/>
          </w:tcPr>
          <w:p>
            <w:pPr>
              <w:ind w:left="20"/>
              <w:spacing w:after="0" w:line="142" w:lineRule="exact"/>
              <w:rPr>
                <w:sz w:val="20"/>
                <w:szCs w:val="20"/>
                <w:color w:val="auto"/>
              </w:rPr>
            </w:pPr>
            <w:r>
              <w:rPr>
                <w:rFonts w:ascii="Arial" w:cs="Arial" w:eastAsia="Arial" w:hAnsi="Arial"/>
                <w:sz w:val="14"/>
                <w:szCs w:val="14"/>
                <w:color w:val="auto"/>
              </w:rPr>
              <w:t>10.3</w:t>
            </w:r>
          </w:p>
        </w:tc>
        <w:tc>
          <w:tcPr>
            <w:tcW w:w="10120" w:type="dxa"/>
            <w:vAlign w:val="bottom"/>
          </w:tcPr>
          <w:p>
            <w:pPr>
              <w:ind w:left="300"/>
              <w:spacing w:after="0" w:line="142" w:lineRule="exact"/>
              <w:rPr>
                <w:rFonts w:ascii="Arial" w:cs="Arial" w:eastAsia="Arial" w:hAnsi="Arial"/>
                <w:sz w:val="14"/>
                <w:szCs w:val="14"/>
                <w:color w:val="auto"/>
              </w:rPr>
            </w:pPr>
            <w:hyperlink r:id="rId90">
              <w:r>
                <w:rPr>
                  <w:rFonts w:ascii="Arial" w:cs="Arial" w:eastAsia="Arial" w:hAnsi="Arial"/>
                  <w:sz w:val="14"/>
                  <w:szCs w:val="14"/>
                  <w:color w:val="auto"/>
                </w:rPr>
                <w:t>364-Day Credit Agreement, dated as of March 17, 2025, among Honeywell International Inc., the banks, financial institutions and other institutional</w:t>
              </w:r>
            </w:hyperlink>
          </w:p>
        </w:tc>
      </w:tr>
      <w:tr>
        <w:trPr>
          <w:trHeight w:val="139"/>
        </w:trPr>
        <w:tc>
          <w:tcPr>
            <w:tcW w:w="1080" w:type="dxa"/>
            <w:vAlign w:val="bottom"/>
          </w:tcPr>
          <w:p>
            <w:pPr>
              <w:spacing w:after="0"/>
              <w:rPr>
                <w:sz w:val="12"/>
                <w:szCs w:val="12"/>
                <w:color w:val="auto"/>
              </w:rPr>
            </w:pPr>
          </w:p>
        </w:tc>
        <w:tc>
          <w:tcPr>
            <w:tcW w:w="10120" w:type="dxa"/>
            <w:vAlign w:val="bottom"/>
          </w:tcPr>
          <w:p>
            <w:pPr>
              <w:ind w:left="300"/>
              <w:spacing w:after="0" w:line="139" w:lineRule="exact"/>
              <w:rPr>
                <w:rFonts w:ascii="Arial" w:cs="Arial" w:eastAsia="Arial" w:hAnsi="Arial"/>
                <w:sz w:val="14"/>
                <w:szCs w:val="14"/>
                <w:color w:val="auto"/>
              </w:rPr>
            </w:pPr>
            <w:hyperlink r:id="rId90">
              <w:r>
                <w:rPr>
                  <w:rFonts w:ascii="Arial" w:cs="Arial" w:eastAsia="Arial" w:hAnsi="Arial"/>
                  <w:sz w:val="14"/>
                  <w:szCs w:val="14"/>
                  <w:color w:val="auto"/>
                </w:rPr>
                <w:t>lenders party thereto, Bank of America, N.A., as administrative agent, and JPMorgan Chase Bank, N.A. and Wells Fargo Bank, National Association, as</w:t>
              </w:r>
            </w:hyperlink>
          </w:p>
        </w:tc>
      </w:tr>
      <w:tr>
        <w:trPr>
          <w:trHeight w:val="148"/>
        </w:trPr>
        <w:tc>
          <w:tcPr>
            <w:tcW w:w="1080" w:type="dxa"/>
            <w:vAlign w:val="bottom"/>
          </w:tcPr>
          <w:p>
            <w:pPr>
              <w:spacing w:after="0"/>
              <w:rPr>
                <w:sz w:val="12"/>
                <w:szCs w:val="12"/>
                <w:color w:val="auto"/>
              </w:rPr>
            </w:pPr>
          </w:p>
        </w:tc>
        <w:tc>
          <w:tcPr>
            <w:tcW w:w="10120" w:type="dxa"/>
            <w:vAlign w:val="bottom"/>
          </w:tcPr>
          <w:p>
            <w:pPr>
              <w:ind w:left="300"/>
              <w:spacing w:after="0" w:line="149" w:lineRule="exact"/>
              <w:rPr>
                <w:rFonts w:ascii="Arial" w:cs="Arial" w:eastAsia="Arial" w:hAnsi="Arial"/>
                <w:sz w:val="14"/>
                <w:szCs w:val="14"/>
                <w:color w:val="auto"/>
              </w:rPr>
            </w:pPr>
            <w:hyperlink r:id="rId90">
              <w:r>
                <w:rPr>
                  <w:rFonts w:ascii="Arial" w:cs="Arial" w:eastAsia="Arial" w:hAnsi="Arial"/>
                  <w:sz w:val="14"/>
                  <w:szCs w:val="14"/>
                  <w:color w:val="auto"/>
                </w:rPr>
                <w:t>syndication agents, and the documentation agents named therein (incorporated by reference to Exhibit 10.1 to Honeywell's Form 8-K filed March 17,</w:t>
              </w:r>
            </w:hyperlink>
          </w:p>
        </w:tc>
      </w:tr>
      <w:tr>
        <w:trPr>
          <w:trHeight w:val="194"/>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rFonts w:ascii="Arial" w:cs="Arial" w:eastAsia="Arial" w:hAnsi="Arial"/>
                <w:sz w:val="14"/>
                <w:szCs w:val="14"/>
                <w:color w:val="auto"/>
              </w:rPr>
            </w:pPr>
            <w:hyperlink r:id="rId90">
              <w:r>
                <w:rPr>
                  <w:rFonts w:ascii="Arial" w:cs="Arial" w:eastAsia="Arial" w:hAnsi="Arial"/>
                  <w:sz w:val="14"/>
                  <w:szCs w:val="14"/>
                  <w:color w:val="auto"/>
                </w:rPr>
                <w:t>2025)</w:t>
              </w:r>
            </w:hyperlink>
          </w:p>
        </w:tc>
      </w:tr>
      <w:tr>
        <w:trPr>
          <w:trHeight w:val="146"/>
        </w:trPr>
        <w:tc>
          <w:tcPr>
            <w:tcW w:w="1080" w:type="dxa"/>
            <w:vAlign w:val="bottom"/>
          </w:tcPr>
          <w:p>
            <w:pPr>
              <w:ind w:left="20"/>
              <w:spacing w:after="0" w:line="146" w:lineRule="exact"/>
              <w:rPr>
                <w:sz w:val="20"/>
                <w:szCs w:val="20"/>
                <w:color w:val="auto"/>
              </w:rPr>
            </w:pPr>
            <w:r>
              <w:rPr>
                <w:rFonts w:ascii="Arial" w:cs="Arial" w:eastAsia="Arial" w:hAnsi="Arial"/>
                <w:sz w:val="14"/>
                <w:szCs w:val="14"/>
                <w:color w:val="auto"/>
              </w:rPr>
              <w:t>10.4*</w:t>
            </w:r>
          </w:p>
        </w:tc>
        <w:tc>
          <w:tcPr>
            <w:tcW w:w="10120" w:type="dxa"/>
            <w:vAlign w:val="bottom"/>
          </w:tcPr>
          <w:p>
            <w:pPr>
              <w:ind w:left="300"/>
              <w:spacing w:after="0" w:line="146" w:lineRule="exact"/>
              <w:rPr>
                <w:rFonts w:ascii="Arial" w:cs="Arial" w:eastAsia="Arial" w:hAnsi="Arial"/>
                <w:sz w:val="14"/>
                <w:szCs w:val="14"/>
                <w:color w:val="auto"/>
              </w:rPr>
            </w:pPr>
            <w:hyperlink r:id="rId91">
              <w:r>
                <w:rPr>
                  <w:rFonts w:ascii="Arial" w:cs="Arial" w:eastAsia="Arial" w:hAnsi="Arial"/>
                  <w:sz w:val="14"/>
                  <w:szCs w:val="14"/>
                  <w:color w:val="auto"/>
                </w:rPr>
                <w:t>Offer Letter dated April 4, 2025 from Honeywell International Inc. to Anne T. Madden (incorporated by reference to Exhibit 99.1 to Honeywell's Form 8-K</w:t>
              </w:r>
            </w:hyperlink>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rFonts w:ascii="Arial" w:cs="Arial" w:eastAsia="Arial" w:hAnsi="Arial"/>
                <w:sz w:val="14"/>
                <w:szCs w:val="14"/>
                <w:color w:val="auto"/>
              </w:rPr>
            </w:pPr>
            <w:hyperlink r:id="rId91">
              <w:r>
                <w:rPr>
                  <w:rFonts w:ascii="Arial" w:cs="Arial" w:eastAsia="Arial" w:hAnsi="Arial"/>
                  <w:sz w:val="14"/>
                  <w:szCs w:val="14"/>
                  <w:color w:val="auto"/>
                </w:rPr>
                <w:t>filed April 7, 2025)</w:t>
              </w:r>
            </w:hyperlink>
          </w:p>
        </w:tc>
      </w:tr>
      <w:tr>
        <w:trPr>
          <w:trHeight w:val="192"/>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31.1</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Certification of Principal Executive Officer Pursuant to Section 302 of the Sarbanes-Oxley Act of 2002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31.2</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Certification of Principal Financial Officer Pursuant to Section 302 of the Sarbanes-Oxley Act of 2002 (filed herewith)</w:t>
            </w:r>
          </w:p>
        </w:tc>
      </w:tr>
      <w:tr>
        <w:trPr>
          <w:trHeight w:val="146"/>
        </w:trPr>
        <w:tc>
          <w:tcPr>
            <w:tcW w:w="1080" w:type="dxa"/>
            <w:vAlign w:val="bottom"/>
          </w:tcPr>
          <w:p>
            <w:pPr>
              <w:ind w:left="20"/>
              <w:spacing w:after="0" w:line="146" w:lineRule="exact"/>
              <w:rPr>
                <w:sz w:val="20"/>
                <w:szCs w:val="20"/>
                <w:color w:val="auto"/>
              </w:rPr>
            </w:pPr>
            <w:r>
              <w:rPr>
                <w:rFonts w:ascii="Arial" w:cs="Arial" w:eastAsia="Arial" w:hAnsi="Arial"/>
                <w:sz w:val="14"/>
                <w:szCs w:val="14"/>
                <w:color w:val="auto"/>
              </w:rPr>
              <w:t>32.1</w:t>
            </w:r>
          </w:p>
        </w:tc>
        <w:tc>
          <w:tcPr>
            <w:tcW w:w="10120" w:type="dxa"/>
            <w:vAlign w:val="bottom"/>
          </w:tcPr>
          <w:p>
            <w:pPr>
              <w:ind w:left="300"/>
              <w:spacing w:after="0" w:line="146" w:lineRule="exact"/>
              <w:rPr>
                <w:sz w:val="20"/>
                <w:szCs w:val="20"/>
                <w:color w:val="auto"/>
              </w:rPr>
            </w:pPr>
            <w:r>
              <w:rPr>
                <w:rFonts w:ascii="Arial" w:cs="Arial" w:eastAsia="Arial" w:hAnsi="Arial"/>
                <w:sz w:val="14"/>
                <w:szCs w:val="14"/>
                <w:color w:val="auto"/>
              </w:rPr>
              <w:t>Certification of Principal Executive Officer Pursuant to 18 U.S.C. Section 1350, as Adopted Pursuant to Section 906 of the Sarbanes-Oxley Act of 2002</w:t>
            </w:r>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(furnished herewith)</w:t>
            </w:r>
          </w:p>
        </w:tc>
      </w:tr>
      <w:tr>
        <w:trPr>
          <w:trHeight w:val="142"/>
        </w:trPr>
        <w:tc>
          <w:tcPr>
            <w:tcW w:w="1080" w:type="dxa"/>
            <w:vAlign w:val="bottom"/>
          </w:tcPr>
          <w:p>
            <w:pPr>
              <w:ind w:left="20"/>
              <w:spacing w:after="0" w:line="142" w:lineRule="exact"/>
              <w:rPr>
                <w:sz w:val="20"/>
                <w:szCs w:val="20"/>
                <w:color w:val="auto"/>
              </w:rPr>
            </w:pPr>
            <w:r>
              <w:rPr>
                <w:rFonts w:ascii="Arial" w:cs="Arial" w:eastAsia="Arial" w:hAnsi="Arial"/>
                <w:sz w:val="14"/>
                <w:szCs w:val="14"/>
                <w:color w:val="auto"/>
              </w:rPr>
              <w:t>32.2</w:t>
            </w:r>
          </w:p>
        </w:tc>
        <w:tc>
          <w:tcPr>
            <w:tcW w:w="10120" w:type="dxa"/>
            <w:vAlign w:val="bottom"/>
          </w:tcPr>
          <w:p>
            <w:pPr>
              <w:ind w:left="300"/>
              <w:spacing w:after="0" w:line="142" w:lineRule="exact"/>
              <w:rPr>
                <w:sz w:val="20"/>
                <w:szCs w:val="20"/>
                <w:color w:val="auto"/>
              </w:rPr>
            </w:pPr>
            <w:r>
              <w:rPr>
                <w:rFonts w:ascii="Arial" w:cs="Arial" w:eastAsia="Arial" w:hAnsi="Arial"/>
                <w:sz w:val="14"/>
                <w:szCs w:val="14"/>
                <w:color w:val="auto"/>
              </w:rPr>
              <w:t>Certification of Principal Financial Officer Pursuant to 18 U.S.C. Section 1350, as Adopted Pursuant to Section 906 of the Sarbanes-Oxley Act of 2002</w:t>
            </w:r>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(furnished herewith)</w:t>
            </w:r>
          </w:p>
        </w:tc>
      </w:tr>
      <w:tr>
        <w:trPr>
          <w:trHeight w:val="192"/>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95</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Mine Safety Disclosures (filed herewith)</w:t>
            </w:r>
          </w:p>
        </w:tc>
      </w:tr>
      <w:tr>
        <w:trPr>
          <w:trHeight w:val="146"/>
        </w:trPr>
        <w:tc>
          <w:tcPr>
            <w:tcW w:w="1080" w:type="dxa"/>
            <w:vAlign w:val="bottom"/>
          </w:tcPr>
          <w:p>
            <w:pPr>
              <w:ind w:left="20"/>
              <w:spacing w:after="0" w:line="146" w:lineRule="exact"/>
              <w:rPr>
                <w:sz w:val="20"/>
                <w:szCs w:val="20"/>
                <w:color w:val="auto"/>
              </w:rPr>
            </w:pPr>
            <w:r>
              <w:rPr>
                <w:rFonts w:ascii="Arial" w:cs="Arial" w:eastAsia="Arial" w:hAnsi="Arial"/>
                <w:sz w:val="14"/>
                <w:szCs w:val="14"/>
                <w:color w:val="auto"/>
              </w:rPr>
              <w:t>101.INS</w:t>
            </w:r>
          </w:p>
        </w:tc>
        <w:tc>
          <w:tcPr>
            <w:tcW w:w="10120" w:type="dxa"/>
            <w:vAlign w:val="bottom"/>
          </w:tcPr>
          <w:p>
            <w:pPr>
              <w:ind w:left="300"/>
              <w:spacing w:after="0" w:line="146" w:lineRule="exact"/>
              <w:rPr>
                <w:sz w:val="20"/>
                <w:szCs w:val="20"/>
                <w:color w:val="auto"/>
              </w:rPr>
            </w:pPr>
            <w:r>
              <w:rPr>
                <w:rFonts w:ascii="Arial" w:cs="Arial" w:eastAsia="Arial" w:hAnsi="Arial"/>
                <w:sz w:val="14"/>
                <w:szCs w:val="14"/>
                <w:color w:val="auto"/>
              </w:rPr>
              <w:t>Inline XBRL Instance Document (the instance document does not appear in the Interactive Data File because its XBRL tags are embedded within the</w:t>
            </w:r>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document)</w:t>
            </w:r>
          </w:p>
        </w:tc>
      </w:tr>
      <w:tr>
        <w:trPr>
          <w:trHeight w:val="192"/>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101.SCH</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Schema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101.CAL</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Calculation Linkbase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101.DEF</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Definition Linkbase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101.LAB</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Label Linkbase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101.PRE</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Presentation Linkbase (filed herewith)</w:t>
            </w:r>
          </w:p>
        </w:tc>
      </w:tr>
      <w:tr>
        <w:trPr>
          <w:trHeight w:val="196"/>
        </w:trPr>
        <w:tc>
          <w:tcPr>
            <w:tcW w:w="10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104</w:t>
            </w:r>
          </w:p>
        </w:tc>
        <w:tc>
          <w:tcPr>
            <w:tcW w:w="10120" w:type="dxa"/>
            <w:vAlign w:val="bottom"/>
            <w:tcBorders>
              <w:bottom w:val="single" w:sz="8" w:color="D7282F"/>
            </w:tcBorders>
          </w:tcPr>
          <w:p>
            <w:pPr>
              <w:ind w:left="300"/>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Exhibits identified above with an asterisk (*) are management contracts or compensatory plans or arrangements.</w:t>
      </w:r>
    </w:p>
    <w:p>
      <w:pPr>
        <w:spacing w:after="0" w:line="200" w:lineRule="exact"/>
        <w:rPr>
          <w:sz w:val="20"/>
          <w:szCs w:val="20"/>
          <w:color w:val="auto"/>
        </w:rPr>
      </w:pPr>
    </w:p>
    <w:p>
      <w:pPr>
        <w:spacing w:after="0" w:line="266" w:lineRule="exact"/>
        <w:rPr>
          <w:sz w:val="20"/>
          <w:szCs w:val="20"/>
          <w:color w:val="auto"/>
        </w:rPr>
      </w:pPr>
    </w:p>
    <w:p>
      <w:pPr>
        <w:ind w:left="400" w:hanging="392"/>
        <w:spacing w:after="0"/>
        <w:tabs>
          <w:tab w:leader="none" w:pos="400" w:val="left"/>
        </w:tabs>
        <w:numPr>
          <w:ilvl w:val="0"/>
          <w:numId w:val="5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SIGNATURES</w:t>
      </w:r>
    </w:p>
    <w:p>
      <w:pPr>
        <w:spacing w:after="0" w:line="3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9"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HONEYWELL INTERNATIONAL INC.</w:t>
      </w:r>
    </w:p>
    <w:p>
      <w:pPr>
        <w:spacing w:after="0" w:line="248" w:lineRule="exact"/>
        <w:rPr>
          <w:sz w:val="20"/>
          <w:szCs w:val="20"/>
          <w:color w:val="auto"/>
        </w:rPr>
      </w:pPr>
    </w:p>
    <w:p>
      <w:pPr>
        <w:ind w:left="20"/>
        <w:spacing w:after="0"/>
        <w:tabs>
          <w:tab w:leader="none" w:pos="6640" w:val="left"/>
          <w:tab w:leader="none" w:pos="7160" w:val="left"/>
        </w:tabs>
        <w:rPr>
          <w:sz w:val="20"/>
          <w:szCs w:val="20"/>
          <w:color w:val="auto"/>
        </w:rPr>
      </w:pPr>
      <w:r>
        <w:rPr>
          <w:rFonts w:ascii="Arial" w:cs="Arial" w:eastAsia="Arial" w:hAnsi="Arial"/>
          <w:sz w:val="16"/>
          <w:szCs w:val="16"/>
          <w:color w:val="auto"/>
        </w:rPr>
        <w:t>Date: April 29,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20955</wp:posOffset>
            </wp:positionV>
            <wp:extent cx="24517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20"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Robert D. Mailloux</w:t>
      </w:r>
    </w:p>
    <w:p>
      <w:pPr>
        <w:ind w:left="7180"/>
        <w:spacing w:after="0" w:line="211" w:lineRule="auto"/>
        <w:rPr>
          <w:sz w:val="20"/>
          <w:szCs w:val="20"/>
          <w:color w:val="auto"/>
        </w:rPr>
      </w:pPr>
      <w:r>
        <w:rPr>
          <w:rFonts w:ascii="Arial" w:cs="Arial" w:eastAsia="Arial" w:hAnsi="Arial"/>
          <w:sz w:val="16"/>
          <w:szCs w:val="16"/>
          <w:color w:val="auto"/>
        </w:rPr>
        <w:t>Vice President and Controller</w:t>
      </w:r>
    </w:p>
    <w:p>
      <w:pPr>
        <w:ind w:left="7180"/>
        <w:spacing w:after="0" w:line="211" w:lineRule="auto"/>
        <w:rPr>
          <w:sz w:val="20"/>
          <w:szCs w:val="20"/>
          <w:color w:val="auto"/>
        </w:rPr>
      </w:pPr>
      <w:r>
        <w:rPr>
          <w:rFonts w:ascii="Arial" w:cs="Arial" w:eastAsia="Arial" w:hAnsi="Arial"/>
          <w:sz w:val="16"/>
          <w:szCs w:val="16"/>
          <w:color w:val="auto"/>
        </w:rPr>
        <w:t>(on behalf of the Registrant</w:t>
      </w:r>
    </w:p>
    <w:p>
      <w:pPr>
        <w:ind w:left="7180"/>
        <w:spacing w:after="0" w:line="211" w:lineRule="auto"/>
        <w:rPr>
          <w:sz w:val="20"/>
          <w:szCs w:val="20"/>
          <w:color w:val="auto"/>
        </w:rPr>
      </w:pPr>
      <w:r>
        <w:rPr>
          <w:rFonts w:ascii="Arial" w:cs="Arial" w:eastAsia="Arial" w:hAnsi="Arial"/>
          <w:sz w:val="16"/>
          <w:szCs w:val="16"/>
          <w:color w:val="auto"/>
        </w:rPr>
        <w:t>and as the Registrant’s</w:t>
      </w:r>
    </w:p>
    <w:p>
      <w:pPr>
        <w:spacing w:after="0" w:line="1"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 w:hanging="392"/>
        <w:spacing w:after="0"/>
        <w:tabs>
          <w:tab w:leader="none" w:pos="400" w:val="left"/>
        </w:tabs>
        <w:numPr>
          <w:ilvl w:val="0"/>
          <w:numId w:val="6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ectPr>
          <w:pgSz w:w="11900" w:h="16838" w:orient="portrait"/>
          <w:cols w:equalWidth="0" w:num="1">
            <w:col w:w="11240"/>
          </w:cols>
          <w:pgMar w:left="320" w:top="122"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Vimal Kapur, certify that:</w:t>
      </w:r>
    </w:p>
    <w:p>
      <w:pPr>
        <w:spacing w:after="0" w:line="266" w:lineRule="exact"/>
        <w:rPr>
          <w:sz w:val="20"/>
          <w:szCs w:val="20"/>
          <w:color w:val="auto"/>
        </w:rPr>
      </w:pPr>
    </w:p>
    <w:p>
      <w:pPr>
        <w:ind w:left="360" w:hanging="334"/>
        <w:spacing w:after="0"/>
        <w:tabs>
          <w:tab w:leader="none" w:pos="3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0" w:lineRule="exact"/>
        <w:rPr>
          <w:rFonts w:ascii="Arial" w:cs="Arial" w:eastAsia="Arial" w:hAnsi="Arial"/>
          <w:sz w:val="18"/>
          <w:szCs w:val="18"/>
          <w:color w:val="auto"/>
        </w:rPr>
      </w:pPr>
    </w:p>
    <w:p>
      <w:pPr>
        <w:ind w:left="360" w:right="60" w:hanging="334"/>
        <w:spacing w:after="0"/>
        <w:tabs>
          <w:tab w:leader="none" w:pos="3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4" w:lineRule="exact"/>
        <w:rPr>
          <w:rFonts w:ascii="Arial" w:cs="Arial" w:eastAsia="Arial" w:hAnsi="Arial"/>
          <w:sz w:val="18"/>
          <w:szCs w:val="18"/>
          <w:color w:val="auto"/>
        </w:rPr>
      </w:pPr>
    </w:p>
    <w:p>
      <w:pPr>
        <w:jc w:val="both"/>
        <w:ind w:left="360" w:right="60" w:hanging="334"/>
        <w:spacing w:after="0" w:line="221" w:lineRule="auto"/>
        <w:tabs>
          <w:tab w:leader="none" w:pos="3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jc w:val="both"/>
        <w:ind w:left="1380" w:right="80" w:hanging="608"/>
        <w:spacing w:after="0" w:line="233" w:lineRule="auto"/>
        <w:tabs>
          <w:tab w:leader="none" w:pos="13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Arial" w:cs="Arial" w:eastAsia="Arial" w:hAnsi="Arial"/>
          <w:sz w:val="18"/>
          <w:szCs w:val="18"/>
          <w:color w:val="auto"/>
        </w:rPr>
      </w:pPr>
    </w:p>
    <w:p>
      <w:pPr>
        <w:jc w:val="both"/>
        <w:ind w:left="1380" w:right="60" w:hanging="603"/>
        <w:spacing w:after="0" w:line="233" w:lineRule="auto"/>
        <w:tabs>
          <w:tab w:leader="none" w:pos="13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0"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0" w:lineRule="exact"/>
        <w:rPr>
          <w:rFonts w:ascii="Arial" w:cs="Arial" w:eastAsia="Arial" w:hAnsi="Arial"/>
          <w:sz w:val="18"/>
          <w:szCs w:val="18"/>
          <w:color w:val="auto"/>
        </w:rPr>
      </w:pPr>
    </w:p>
    <w:p>
      <w:pPr>
        <w:ind w:left="1380" w:right="60" w:hanging="608"/>
        <w:spacing w:after="0"/>
        <w:tabs>
          <w:tab w:leader="none" w:pos="13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April 29,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Vimal Kapur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17780</wp:posOffset>
            </wp:positionV>
            <wp:extent cx="32232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Vimal Kapur</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90"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Michal Stepniak, certify that:</w:t>
      </w:r>
    </w:p>
    <w:p>
      <w:pPr>
        <w:spacing w:after="0" w:line="266" w:lineRule="exact"/>
        <w:rPr>
          <w:sz w:val="20"/>
          <w:szCs w:val="20"/>
          <w:color w:val="auto"/>
        </w:rPr>
      </w:pPr>
    </w:p>
    <w:p>
      <w:pPr>
        <w:ind w:left="360" w:hanging="334"/>
        <w:spacing w:after="0"/>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0" w:lineRule="exact"/>
        <w:rPr>
          <w:rFonts w:ascii="Arial" w:cs="Arial" w:eastAsia="Arial" w:hAnsi="Arial"/>
          <w:sz w:val="18"/>
          <w:szCs w:val="18"/>
          <w:color w:val="auto"/>
        </w:rPr>
      </w:pPr>
    </w:p>
    <w:p>
      <w:pPr>
        <w:ind w:left="360" w:right="60" w:hanging="334"/>
        <w:spacing w:after="0"/>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4" w:lineRule="exact"/>
        <w:rPr>
          <w:rFonts w:ascii="Arial" w:cs="Arial" w:eastAsia="Arial" w:hAnsi="Arial"/>
          <w:sz w:val="18"/>
          <w:szCs w:val="18"/>
          <w:color w:val="auto"/>
        </w:rPr>
      </w:pPr>
    </w:p>
    <w:p>
      <w:pPr>
        <w:jc w:val="both"/>
        <w:ind w:left="360" w:right="60" w:hanging="334"/>
        <w:spacing w:after="0" w:line="221" w:lineRule="auto"/>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jc w:val="both"/>
        <w:ind w:left="1380" w:right="80" w:hanging="608"/>
        <w:spacing w:after="0" w:line="233" w:lineRule="auto"/>
        <w:tabs>
          <w:tab w:leader="none" w:pos="13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Arial" w:cs="Arial" w:eastAsia="Arial" w:hAnsi="Arial"/>
          <w:sz w:val="18"/>
          <w:szCs w:val="18"/>
          <w:color w:val="auto"/>
        </w:rPr>
      </w:pPr>
    </w:p>
    <w:p>
      <w:pPr>
        <w:jc w:val="both"/>
        <w:ind w:left="1380" w:right="60" w:hanging="603"/>
        <w:spacing w:after="0" w:line="233" w:lineRule="auto"/>
        <w:tabs>
          <w:tab w:leader="none" w:pos="13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0"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0" w:lineRule="exact"/>
        <w:rPr>
          <w:rFonts w:ascii="Arial" w:cs="Arial" w:eastAsia="Arial" w:hAnsi="Arial"/>
          <w:sz w:val="18"/>
          <w:szCs w:val="18"/>
          <w:color w:val="auto"/>
        </w:rPr>
      </w:pPr>
    </w:p>
    <w:p>
      <w:pPr>
        <w:ind w:left="1380" w:right="60" w:hanging="608"/>
        <w:spacing w:after="0"/>
        <w:tabs>
          <w:tab w:leader="none" w:pos="13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April 29,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Michal Stepniak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17780</wp:posOffset>
            </wp:positionV>
            <wp:extent cx="32232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Michal Stepniak</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90"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March 31, 2025 as filed with the Securities and Exchange Commission on the date hereof (the Report), I, Vimal Kapur, Chairman and Chief Executive Officer of the Company, certify, pursuant to 18 U.S.C. Section 1350, as adopted pursuant to Section 906 of the Sarbanes-Oxley Act of 2002, that:</w:t>
      </w:r>
    </w:p>
    <w:p>
      <w:pPr>
        <w:spacing w:after="0" w:line="171" w:lineRule="exact"/>
        <w:rPr>
          <w:sz w:val="20"/>
          <w:szCs w:val="20"/>
          <w:color w:val="auto"/>
        </w:rPr>
      </w:pPr>
    </w:p>
    <w:p>
      <w:pPr>
        <w:ind w:left="800" w:hanging="306"/>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820" w:right="20" w:hanging="326"/>
        <w:spacing w:after="0" w:line="266" w:lineRule="auto"/>
        <w:tabs>
          <w:tab w:leader="none" w:pos="81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3500" w:type="dxa"/>
            <w:vAlign w:val="bottom"/>
          </w:tcPr>
          <w:p>
            <w:pPr>
              <w:spacing w:after="0"/>
              <w:rPr>
                <w:sz w:val="20"/>
                <w:szCs w:val="20"/>
                <w:color w:val="auto"/>
              </w:rPr>
            </w:pPr>
            <w:r>
              <w:rPr>
                <w:rFonts w:ascii="Arial" w:cs="Arial" w:eastAsia="Arial" w:hAnsi="Arial"/>
                <w:sz w:val="18"/>
                <w:szCs w:val="18"/>
                <w:color w:val="auto"/>
              </w:rPr>
              <w:t>Date: April 29, 2025</w:t>
            </w:r>
          </w:p>
        </w:tc>
        <w:tc>
          <w:tcPr>
            <w:tcW w:w="2520" w:type="dxa"/>
            <w:vAlign w:val="bottom"/>
          </w:tcPr>
          <w:p>
            <w:pPr>
              <w:ind w:left="19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Vimal Kapur</w:t>
            </w:r>
          </w:p>
        </w:tc>
      </w:tr>
      <w:tr>
        <w:trPr>
          <w:trHeight w:val="218"/>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Vimal Kapur</w:t>
            </w:r>
          </w:p>
        </w:tc>
      </w:tr>
      <w:tr>
        <w:trPr>
          <w:trHeight w:val="239"/>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bl>
    <w:p>
      <w:pPr>
        <w:sectPr>
          <w:pgSz w:w="11900" w:h="16838" w:orient="portrait"/>
          <w:cols w:equalWidth="0" w:num="1">
            <w:col w:w="11240"/>
          </w:cols>
          <w:pgMar w:left="320" w:top="890"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March 31, 2025 as filed with the Securities and Exchange Commission on the date hereof (the Report), I, Michal Stepniak, Senior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800" w:hanging="306"/>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820" w:right="20" w:hanging="326"/>
        <w:spacing w:after="0" w:line="266" w:lineRule="auto"/>
        <w:tabs>
          <w:tab w:leader="none" w:pos="81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3500" w:type="dxa"/>
            <w:vAlign w:val="bottom"/>
          </w:tcPr>
          <w:p>
            <w:pPr>
              <w:spacing w:after="0"/>
              <w:rPr>
                <w:sz w:val="20"/>
                <w:szCs w:val="20"/>
                <w:color w:val="auto"/>
              </w:rPr>
            </w:pPr>
            <w:r>
              <w:rPr>
                <w:rFonts w:ascii="Arial" w:cs="Arial" w:eastAsia="Arial" w:hAnsi="Arial"/>
                <w:sz w:val="18"/>
                <w:szCs w:val="18"/>
                <w:color w:val="auto"/>
              </w:rPr>
              <w:t>Date: April 29, 2025</w:t>
            </w:r>
          </w:p>
        </w:tc>
        <w:tc>
          <w:tcPr>
            <w:tcW w:w="2520" w:type="dxa"/>
            <w:vAlign w:val="bottom"/>
          </w:tcPr>
          <w:p>
            <w:pPr>
              <w:ind w:left="19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Michal Stepniak</w:t>
            </w:r>
          </w:p>
        </w:tc>
      </w:tr>
      <w:tr>
        <w:trPr>
          <w:trHeight w:val="218"/>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Michal Stepniak</w:t>
            </w:r>
          </w:p>
        </w:tc>
      </w:tr>
      <w:tr>
        <w:trPr>
          <w:trHeight w:val="239"/>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90"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95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Disclosures</w:t>
      </w:r>
    </w:p>
    <w:p>
      <w:pPr>
        <w:spacing w:after="0" w:line="333"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w:t>
      </w:r>
    </w:p>
    <w:p>
      <w:pPr>
        <w:spacing w:after="0" w:line="71"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During the quarter ended March 31, 2025,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74"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In addition, during the quarter ended March 31, 2025,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bullet"/>
      <w:start w:val="1"/>
    </w:lvl>
  </w:abstractNum>
  <w:abstractNum w:abstractNumId="3">
    <w:nsid w:val="614FD4A1"/>
    <w:multiLevelType w:val="hybridMultilevel"/>
    <w:lvl w:ilvl="0">
      <w:lvlJc w:val="left"/>
      <w:lvlText w:val="2"/>
      <w:numFmt w:val="bullet"/>
      <w:start w:val="1"/>
    </w:lvl>
  </w:abstractNum>
  <w:abstractNum w:abstractNumId="4">
    <w:nsid w:val="419AC241"/>
    <w:multiLevelType w:val="hybridMultilevel"/>
    <w:lvl w:ilvl="0">
      <w:lvlJc w:val="left"/>
      <w:lvlText w:val="3"/>
      <w:numFmt w:val="bullet"/>
      <w:start w:val="1"/>
    </w:lvl>
  </w:abstractNum>
  <w:abstractNum w:abstractNumId="5">
    <w:nsid w:val="5577F8E1"/>
    <w:multiLevelType w:val="hybridMultilevel"/>
    <w:lvl w:ilvl="0">
      <w:lvlJc w:val="left"/>
      <w:lvlText w:val="4"/>
      <w:numFmt w:val="bullet"/>
      <w:start w:val="1"/>
    </w:lvl>
  </w:abstractNum>
  <w:abstractNum w:abstractNumId="6">
    <w:nsid w:val="440BADFC"/>
    <w:multiLevelType w:val="hybridMultilevel"/>
    <w:lvl w:ilvl="0">
      <w:lvlJc w:val="left"/>
      <w:lvlText w:val="5"/>
      <w:numFmt w:val="bullet"/>
      <w:start w:val="1"/>
    </w:lvl>
  </w:abstractNum>
  <w:abstractNum w:abstractNumId="7">
    <w:nsid w:val="5072367"/>
    <w:multiLevelType w:val="hybridMultilevel"/>
    <w:lvl w:ilvl="0">
      <w:lvlJc w:val="left"/>
      <w:lvlText w:val="6"/>
      <w:numFmt w:val="bullet"/>
      <w:start w:val="1"/>
    </w:lvl>
  </w:abstractNum>
  <w:abstractNum w:abstractNumId="8">
    <w:nsid w:val="3804823E"/>
    <w:multiLevelType w:val="hybridMultilevel"/>
    <w:lvl w:ilvl="0">
      <w:lvlJc w:val="left"/>
      <w:lvlText w:val="7"/>
      <w:numFmt w:val="bullet"/>
      <w:start w:val="1"/>
    </w:lvl>
  </w:abstractNum>
  <w:abstractNum w:abstractNumId="9">
    <w:nsid w:val="77465F01"/>
    <w:multiLevelType w:val="hybridMultilevel"/>
    <w:lvl w:ilvl="0">
      <w:lvlJc w:val="left"/>
      <w:lvlText w:val="8"/>
      <w:numFmt w:val="bullet"/>
      <w:start w:val="1"/>
    </w:lvl>
  </w:abstractNum>
  <w:abstractNum w:abstractNumId="10">
    <w:nsid w:val="7724C67E"/>
    <w:multiLevelType w:val="hybridMultilevel"/>
    <w:lvl w:ilvl="0">
      <w:lvlJc w:val="left"/>
      <w:lvlText w:val="9"/>
      <w:numFmt w:val="bullet"/>
      <w:start w:val="1"/>
    </w:lvl>
  </w:abstractNum>
  <w:abstractNum w:abstractNumId="11">
    <w:nsid w:val="5C482A97"/>
    <w:multiLevelType w:val="hybridMultilevel"/>
    <w:lvl w:ilvl="0">
      <w:lvlJc w:val="left"/>
      <w:lvlText w:val="%1"/>
      <w:numFmt w:val="decimal"/>
      <w:start w:val="10"/>
    </w:lvl>
  </w:abstractNum>
  <w:abstractNum w:abstractNumId="12">
    <w:nsid w:val="2463B9EA"/>
    <w:multiLevelType w:val="hybridMultilevel"/>
    <w:lvl w:ilvl="0">
      <w:lvlJc w:val="left"/>
      <w:lvlText w:val="%1"/>
      <w:numFmt w:val="decimal"/>
      <w:start w:val="12"/>
    </w:lvl>
  </w:abstractNum>
  <w:abstractNum w:abstractNumId="13">
    <w:nsid w:val="5E884ADC"/>
    <w:multiLevelType w:val="hybridMultilevel"/>
    <w:lvl w:ilvl="0">
      <w:lvlJc w:val="left"/>
      <w:lvlText w:val="%1"/>
      <w:numFmt w:val="decimal"/>
      <w:start w:val="13"/>
    </w:lvl>
  </w:abstractNum>
  <w:abstractNum w:abstractNumId="14">
    <w:nsid w:val="51EAD36B"/>
    <w:multiLevelType w:val="hybridMultilevel"/>
    <w:lvl w:ilvl="0">
      <w:lvlJc w:val="left"/>
      <w:lvlText w:val="%1"/>
      <w:numFmt w:val="decimal"/>
      <w:start w:val="14"/>
    </w:lvl>
  </w:abstractNum>
  <w:abstractNum w:abstractNumId="15">
    <w:nsid w:val="2D517796"/>
    <w:multiLevelType w:val="hybridMultilevel"/>
    <w:lvl w:ilvl="0">
      <w:lvlJc w:val="left"/>
      <w:lvlText w:val="%1"/>
      <w:numFmt w:val="decimal"/>
      <w:start w:val="15"/>
    </w:lvl>
  </w:abstractNum>
  <w:abstractNum w:abstractNumId="16">
    <w:nsid w:val="580BD78F"/>
    <w:multiLevelType w:val="hybridMultilevel"/>
    <w:lvl w:ilvl="0">
      <w:lvlJc w:val="left"/>
      <w:lvlText w:val="%1"/>
      <w:numFmt w:val="decimal"/>
      <w:start w:val="17"/>
    </w:lvl>
  </w:abstractNum>
  <w:abstractNum w:abstractNumId="17">
    <w:nsid w:val="153EA438"/>
    <w:multiLevelType w:val="hybridMultilevel"/>
    <w:lvl w:ilvl="0">
      <w:lvlJc w:val="left"/>
      <w:lvlText w:val="%1"/>
      <w:numFmt w:val="decimal"/>
      <w:start w:val="20"/>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1"/>
      <w:numFmt w:val="decimal"/>
      <w:start w:val="22"/>
    </w:lvl>
  </w:abstractNum>
  <w:abstractNum w:abstractNumId="20">
    <w:nsid w:val="6A2342EC"/>
    <w:multiLevelType w:val="hybridMultilevel"/>
    <w:lvl w:ilvl="0">
      <w:lvlJc w:val="left"/>
      <w:lvlText w:val="%1"/>
      <w:numFmt w:val="decimal"/>
      <w:start w:val="23"/>
    </w:lvl>
  </w:abstractNum>
  <w:abstractNum w:abstractNumId="21">
    <w:nsid w:val="2A487CB0"/>
    <w:multiLevelType w:val="hybridMultilevel"/>
    <w:lvl w:ilvl="0">
      <w:lvlJc w:val="left"/>
      <w:lvlText w:val="%1"/>
      <w:numFmt w:val="decimal"/>
      <w:start w:val="26"/>
    </w:lvl>
  </w:abstractNum>
  <w:abstractNum w:abstractNumId="22">
    <w:nsid w:val="1D4ED43B"/>
    <w:multiLevelType w:val="hybridMultilevel"/>
    <w:lvl w:ilvl="0">
      <w:lvlJc w:val="left"/>
      <w:lvlText w:val="%1"/>
      <w:numFmt w:val="decimal"/>
      <w:start w:val="28"/>
    </w:lvl>
  </w:abstractNum>
  <w:abstractNum w:abstractNumId="23">
    <w:nsid w:val="725A06FB"/>
    <w:multiLevelType w:val="hybridMultilevel"/>
    <w:lvl w:ilvl="0">
      <w:lvlJc w:val="left"/>
      <w:lvlText w:val="1"/>
      <w:numFmt w:val="bullet"/>
      <w:start w:val="1"/>
    </w:lvl>
  </w:abstractNum>
  <w:abstractNum w:abstractNumId="24">
    <w:nsid w:val="2CD89A32"/>
    <w:multiLevelType w:val="hybridMultilevel"/>
    <w:lvl w:ilvl="0">
      <w:lvlJc w:val="left"/>
      <w:lvlText w:val="1"/>
      <w:numFmt w:val="bullet"/>
      <w:start w:val="1"/>
    </w:lvl>
  </w:abstractNum>
  <w:abstractNum w:abstractNumId="25">
    <w:nsid w:val="57E4CCAF"/>
    <w:multiLevelType w:val="hybridMultilevel"/>
    <w:lvl w:ilvl="0">
      <w:lvlJc w:val="left"/>
      <w:lvlText w:val="1"/>
      <w:numFmt w:val="bullet"/>
      <w:start w:val="1"/>
    </w:lvl>
  </w:abstractNum>
  <w:abstractNum w:abstractNumId="26">
    <w:nsid w:val="7A6D8D3C"/>
    <w:multiLevelType w:val="hybridMultilevel"/>
    <w:lvl w:ilvl="0">
      <w:lvlJc w:val="left"/>
      <w:lvlText w:val="2"/>
      <w:numFmt w:val="bullet"/>
      <w:start w:val="1"/>
    </w:lvl>
  </w:abstractNum>
  <w:abstractNum w:abstractNumId="27">
    <w:nsid w:val="4B588F54"/>
    <w:multiLevelType w:val="hybridMultilevel"/>
    <w:lvl w:ilvl="0">
      <w:lvlJc w:val="left"/>
      <w:lvlText w:val="3"/>
      <w:numFmt w:val="bullet"/>
      <w:start w:val="1"/>
    </w:lvl>
  </w:abstractNum>
  <w:abstractNum w:abstractNumId="28">
    <w:nsid w:val="542289EC"/>
    <w:multiLevelType w:val="hybridMultilevel"/>
    <w:lvl w:ilvl="0">
      <w:lvlJc w:val="left"/>
      <w:lvlText w:val="4"/>
      <w:numFmt w:val="bullet"/>
      <w:start w:val="1"/>
    </w:lvl>
  </w:abstractNum>
  <w:abstractNum w:abstractNumId="29">
    <w:nsid w:val="6DE91B18"/>
    <w:multiLevelType w:val="hybridMultilevel"/>
    <w:lvl w:ilvl="0">
      <w:lvlJc w:val="left"/>
      <w:lvlText w:val="5"/>
      <w:numFmt w:val="bullet"/>
      <w:start w:val="1"/>
    </w:lvl>
  </w:abstractNum>
  <w:abstractNum w:abstractNumId="30">
    <w:nsid w:val="38437FDB"/>
    <w:multiLevelType w:val="hybridMultilevel"/>
    <w:lvl w:ilvl="0">
      <w:lvlJc w:val="left"/>
      <w:lvlText w:val="6"/>
      <w:numFmt w:val="bullet"/>
      <w:start w:val="1"/>
    </w:lvl>
  </w:abstractNum>
  <w:abstractNum w:abstractNumId="31">
    <w:nsid w:val="7644A45C"/>
    <w:multiLevelType w:val="hybridMultilevel"/>
    <w:lvl w:ilvl="0">
      <w:lvlJc w:val="left"/>
      <w:lvlText w:val="%1"/>
      <w:numFmt w:val="decimal"/>
      <w:start w:val="30"/>
    </w:lvl>
  </w:abstractNum>
  <w:abstractNum w:abstractNumId="32">
    <w:nsid w:val="32FFF902"/>
    <w:multiLevelType w:val="hybridMultilevel"/>
    <w:lvl w:ilvl="0">
      <w:lvlJc w:val="left"/>
      <w:lvlText w:val="%1"/>
      <w:numFmt w:val="decimal"/>
      <w:start w:val="31"/>
    </w:lvl>
  </w:abstractNum>
  <w:abstractNum w:abstractNumId="33">
    <w:nsid w:val="684A481A"/>
    <w:multiLevelType w:val="hybridMultilevel"/>
    <w:lvl w:ilvl="0">
      <w:lvlJc w:val="left"/>
      <w:lvlText w:val="%1"/>
      <w:numFmt w:val="decimal"/>
      <w:start w:val="32"/>
    </w:lvl>
  </w:abstractNum>
  <w:abstractNum w:abstractNumId="34">
    <w:nsid w:val="579478FE"/>
    <w:multiLevelType w:val="hybridMultilevel"/>
    <w:lvl w:ilvl="0">
      <w:lvlJc w:val="left"/>
      <w:lvlText w:val="%1"/>
      <w:numFmt w:val="decimal"/>
      <w:start w:val="33"/>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1"/>
      <w:numFmt w:val="bullet"/>
      <w:start w:val="1"/>
    </w:lvl>
  </w:abstractNum>
  <w:abstractNum w:abstractNumId="37">
    <w:nsid w:val="1BA026FA"/>
    <w:multiLevelType w:val="hybridMultilevel"/>
    <w:lvl w:ilvl="0">
      <w:lvlJc w:val="left"/>
      <w:lvlText w:val="%1"/>
      <w:numFmt w:val="decimal"/>
      <w:start w:val="34"/>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1"/>
      <w:numFmt w:val="decimal"/>
      <w:start w:val="35"/>
    </w:lvl>
  </w:abstractNum>
  <w:abstractNum w:abstractNumId="40">
    <w:nsid w:val="12E685FB"/>
    <w:multiLevelType w:val="hybridMultilevel"/>
    <w:lvl w:ilvl="0">
      <w:lvlJc w:val="left"/>
      <w:lvlText w:val="1"/>
      <w:numFmt w:val="bullet"/>
      <w:start w:val="1"/>
    </w:lvl>
  </w:abstractNum>
  <w:abstractNum w:abstractNumId="41">
    <w:nsid w:val="70C6A529"/>
    <w:multiLevelType w:val="hybridMultilevel"/>
    <w:lvl w:ilvl="0">
      <w:lvlJc w:val="left"/>
      <w:lvlText w:val="%1"/>
      <w:numFmt w:val="decimal"/>
      <w:start w:val="36"/>
    </w:lvl>
  </w:abstractNum>
  <w:abstractNum w:abstractNumId="42">
    <w:nsid w:val="520EEDD1"/>
    <w:multiLevelType w:val="hybridMultilevel"/>
    <w:lvl w:ilvl="0">
      <w:lvlJc w:val="left"/>
      <w:lvlText w:val="%1"/>
      <w:numFmt w:val="decimal"/>
      <w:start w:val="37"/>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1"/>
      <w:numFmt w:val="decimal"/>
      <w:start w:val="38"/>
    </w:lvl>
  </w:abstractNum>
  <w:abstractNum w:abstractNumId="45">
    <w:nsid w:val="23F9C13C"/>
    <w:multiLevelType w:val="hybridMultilevel"/>
    <w:lvl w:ilvl="0">
      <w:lvlJc w:val="left"/>
      <w:lvlText w:val="1"/>
      <w:numFmt w:val="bullet"/>
      <w:start w:val="1"/>
    </w:lvl>
  </w:abstractNum>
  <w:abstractNum w:abstractNumId="46">
    <w:nsid w:val="649BB77C"/>
    <w:multiLevelType w:val="hybridMultilevel"/>
    <w:lvl w:ilvl="0">
      <w:lvlJc w:val="left"/>
      <w:lvlText w:val="%1"/>
      <w:numFmt w:val="decimal"/>
      <w:start w:val="39"/>
    </w:lvl>
  </w:abstractNum>
  <w:abstractNum w:abstractNumId="47">
    <w:nsid w:val="275AC794"/>
    <w:multiLevelType w:val="hybridMultilevel"/>
    <w:lvl w:ilvl="0">
      <w:lvlJc w:val="left"/>
      <w:lvlText w:val="%1"/>
      <w:numFmt w:val="decimal"/>
      <w:start w:val="43"/>
    </w:lvl>
  </w:abstractNum>
  <w:abstractNum w:abstractNumId="48">
    <w:nsid w:val="39386575"/>
    <w:multiLevelType w:val="hybridMultilevel"/>
    <w:lvl w:ilvl="0">
      <w:lvlJc w:val="left"/>
      <w:lvlText w:val="%1"/>
      <w:numFmt w:val="decimal"/>
      <w:start w:val="44"/>
    </w:lvl>
  </w:abstractNum>
  <w:abstractNum w:abstractNumId="49">
    <w:nsid w:val="1CF10FD8"/>
    <w:multiLevelType w:val="hybridMultilevel"/>
    <w:lvl w:ilvl="0">
      <w:lvlJc w:val="left"/>
      <w:lvlText w:val="%1"/>
      <w:numFmt w:val="decimal"/>
      <w:start w:val="45"/>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1"/>
      <w:numFmt w:val="decimal"/>
      <w:start w:val="46"/>
    </w:lvl>
  </w:abstractNum>
  <w:abstractNum w:abstractNumId="52">
    <w:nsid w:val="47398C89"/>
    <w:multiLevelType w:val="hybridMultilevel"/>
    <w:lvl w:ilvl="0">
      <w:lvlJc w:val="left"/>
      <w:lvlText w:val="%1"/>
      <w:numFmt w:val="decimal"/>
      <w:start w:val="47"/>
    </w:lvl>
  </w:abstractNum>
  <w:abstractNum w:abstractNumId="53">
    <w:nsid w:val="354FE9F9"/>
    <w:multiLevelType w:val="hybridMultilevel"/>
    <w:lvl w:ilvl="0">
      <w:lvlJc w:val="left"/>
      <w:lvlText w:val="%1"/>
      <w:numFmt w:val="decimal"/>
      <w:start w:val="48"/>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1"/>
      <w:numFmt w:val="decimal"/>
      <w:start w:val="49"/>
    </w:lvl>
  </w:abstractNum>
  <w:abstractNum w:abstractNumId="56">
    <w:nsid w:val="D34B6A8"/>
    <w:multiLevelType w:val="hybridMultilevel"/>
    <w:lvl w:ilvl="0">
      <w:lvlJc w:val="left"/>
      <w:lvlText w:val="1"/>
      <w:numFmt w:val="bullet"/>
      <w:start w:val="1"/>
    </w:lvl>
  </w:abstractNum>
  <w:abstractNum w:abstractNumId="57">
    <w:nsid w:val="10233C99"/>
    <w:multiLevelType w:val="hybridMultilevel"/>
    <w:lvl w:ilvl="0">
      <w:lvlJc w:val="left"/>
      <w:lvlText w:val="%1"/>
      <w:numFmt w:val="decimal"/>
      <w:start w:val="50"/>
    </w:lvl>
  </w:abstractNum>
  <w:abstractNum w:abstractNumId="58">
    <w:nsid w:val="3F6AB60F"/>
    <w:multiLevelType w:val="hybridMultilevel"/>
    <w:lvl w:ilvl="0">
      <w:lvlJc w:val="left"/>
      <w:lvlText w:val="%1"/>
      <w:numFmt w:val="decimal"/>
      <w:start w:val="51"/>
    </w:lvl>
  </w:abstractNum>
  <w:abstractNum w:abstractNumId="59">
    <w:nsid w:val="61574095"/>
    <w:multiLevelType w:val="hybridMultilevel"/>
    <w:lvl w:ilvl="0">
      <w:lvlJc w:val="left"/>
      <w:lvlText w:val="%1"/>
      <w:numFmt w:val="decimal"/>
      <w:start w:val="52"/>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88" Type="http://schemas.openxmlformats.org/officeDocument/2006/relationships/hyperlink" Target="https://www.sec.gov/Archives/edgar/data/773840/000077384025000014/exhibit101.htm" TargetMode="External"/><Relationship Id="rId89" Type="http://schemas.openxmlformats.org/officeDocument/2006/relationships/hyperlink" Target="https://www.sec.gov/Archives/edgar/data/773840/000077384025000014/exhibit102.htm" TargetMode="External"/><Relationship Id="rId90" Type="http://schemas.openxmlformats.org/officeDocument/2006/relationships/hyperlink" Target="https://www.sec.gov/Archives/edgar/data/773840/000119312525055636/d915924dex101.htm" TargetMode="External"/><Relationship Id="rId91" Type="http://schemas.openxmlformats.org/officeDocument/2006/relationships/hyperlink" Target="https://www.sec.gov/Archives/edgar/data/773840/000077384025000025/exhibit991annemaddenoffer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2025-04-29T08:52:52Z</dcterms:created>
  <dcterms:modified xsi:type="dcterms:W3CDTF">2025-04-29T08:52:52Z</dcterms:modified>
</cp:coreProperties>
</file>