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17"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117"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3260" w:hanging="209"/>
        <w:spacing w:after="0"/>
        <w:tabs>
          <w:tab w:leader="none" w:pos="3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17" w:lineRule="exact"/>
        <w:rPr>
          <w:rFonts w:ascii="MS PGothic" w:cs="MS PGothic" w:eastAsia="MS PGothic" w:hAnsi="MS PGothic"/>
          <w:sz w:val="18"/>
          <w:szCs w:val="18"/>
          <w:color w:val="auto"/>
        </w:rPr>
      </w:pPr>
    </w:p>
    <w:p>
      <w:pPr>
        <w:jc w:val="center"/>
        <w:ind w:left="3860" w:right="3700" w:hanging="149"/>
        <w:spacing w:after="0" w:line="397" w:lineRule="auto"/>
        <w:rPr>
          <w:rFonts w:ascii="MS PGothic" w:cs="MS PGothic" w:eastAsia="MS PGothic" w:hAnsi="MS PGothic"/>
          <w:sz w:val="18"/>
          <w:szCs w:val="18"/>
          <w:color w:val="auto"/>
        </w:rPr>
      </w:pPr>
      <w:r>
        <w:rPr>
          <w:rFonts w:ascii="Arial" w:cs="Arial" w:eastAsia="Arial" w:hAnsi="Arial"/>
          <w:sz w:val="17"/>
          <w:szCs w:val="17"/>
          <w:color w:val="auto"/>
        </w:rPr>
        <w:t>OF THE SECURITIES EXCHANGE ACT OF 1934 For the transition period from ______ to _____</w:t>
      </w:r>
    </w:p>
    <w:p>
      <w:pPr>
        <w:spacing w:after="0" w:line="1" w:lineRule="exact"/>
        <w:rPr>
          <w:rFonts w:ascii="MS PGothic" w:cs="MS PGothic" w:eastAsia="MS PGothic" w:hAnsi="MS PGothic"/>
          <w:sz w:val="18"/>
          <w:szCs w:val="18"/>
          <w:color w:val="auto"/>
        </w:rPr>
      </w:pPr>
    </w:p>
    <w:p>
      <w:pPr>
        <w:ind w:left="444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1220" w:type="dxa"/>
        <w:tblCellMar>
          <w:top w:w="0" w:type="dxa"/>
          <w:left w:w="0" w:type="dxa"/>
          <w:bottom w:w="0" w:type="dxa"/>
          <w:right w:w="0" w:type="dxa"/>
        </w:tblCellMar>
      </w:tblP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4600" w:type="dxa"/>
            <w:vAlign w:val="bottom"/>
            <w:gridSpan w:val="2"/>
          </w:tcPr>
          <w:p>
            <w:pPr>
              <w:jc w:val="right"/>
              <w:ind w:right="1690"/>
              <w:spacing w:after="0"/>
              <w:rPr>
                <w:sz w:val="20"/>
                <w:szCs w:val="20"/>
                <w:color w:val="auto"/>
              </w:rPr>
            </w:pPr>
            <w:r>
              <w:rPr>
                <w:rFonts w:ascii="Arial" w:cs="Arial" w:eastAsia="Arial" w:hAnsi="Arial"/>
                <w:sz w:val="18"/>
                <w:szCs w:val="18"/>
                <w:color w:val="auto"/>
              </w:rPr>
              <w:t>22-2640650</w:t>
            </w:r>
          </w:p>
        </w:tc>
      </w:tr>
      <w:tr>
        <w:trPr>
          <w:trHeight w:val="229"/>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10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440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10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92"/>
        </w:trPr>
        <w:tc>
          <w:tcPr>
            <w:tcW w:w="4400" w:type="dxa"/>
            <w:vAlign w:val="bottom"/>
          </w:tcPr>
          <w:p>
            <w:pPr>
              <w:jc w:val="center"/>
              <w:spacing w:after="0"/>
              <w:rPr>
                <w:sz w:val="20"/>
                <w:szCs w:val="20"/>
                <w:color w:val="auto"/>
              </w:rPr>
            </w:pPr>
            <w:r>
              <w:rPr>
                <w:rFonts w:ascii="Arial" w:cs="Arial" w:eastAsia="Arial" w:hAnsi="Arial"/>
                <w:sz w:val="18"/>
                <w:szCs w:val="18"/>
                <w:color w:val="auto"/>
                <w:w w:val="99"/>
              </w:rPr>
              <w:t>300 South Tryon Street</w:t>
            </w:r>
          </w:p>
        </w:tc>
        <w:tc>
          <w:tcPr>
            <w:tcW w:w="1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77"/>
        </w:trPr>
        <w:tc>
          <w:tcPr>
            <w:tcW w:w="4400" w:type="dxa"/>
            <w:vAlign w:val="bottom"/>
          </w:tcPr>
          <w:p>
            <w:pPr>
              <w:ind w:left="1600"/>
              <w:spacing w:after="0"/>
              <w:rPr>
                <w:sz w:val="20"/>
                <w:szCs w:val="20"/>
                <w:color w:val="auto"/>
              </w:rPr>
            </w:pPr>
            <w:r>
              <w:rPr>
                <w:rFonts w:ascii="Arial" w:cs="Arial" w:eastAsia="Arial" w:hAnsi="Arial"/>
                <w:sz w:val="18"/>
                <w:szCs w:val="18"/>
                <w:color w:val="auto"/>
              </w:rPr>
              <w:t>Charlotte, NC</w:t>
            </w:r>
          </w:p>
        </w:tc>
        <w:tc>
          <w:tcPr>
            <w:tcW w:w="4600" w:type="dxa"/>
            <w:vAlign w:val="bottom"/>
            <w:gridSpan w:val="2"/>
          </w:tcPr>
          <w:p>
            <w:pPr>
              <w:jc w:val="right"/>
              <w:ind w:right="1910"/>
              <w:spacing w:after="0"/>
              <w:rPr>
                <w:sz w:val="20"/>
                <w:szCs w:val="20"/>
                <w:color w:val="auto"/>
              </w:rPr>
            </w:pPr>
            <w:r>
              <w:rPr>
                <w:rFonts w:ascii="Arial" w:cs="Arial" w:eastAsia="Arial" w:hAnsi="Arial"/>
                <w:sz w:val="18"/>
                <w:szCs w:val="18"/>
                <w:color w:val="auto"/>
              </w:rPr>
              <w:t>28202</w:t>
            </w:r>
          </w:p>
        </w:tc>
      </w:tr>
      <w:tr>
        <w:trPr>
          <w:trHeight w:val="243"/>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00" w:type="dxa"/>
            <w:vAlign w:val="bottom"/>
          </w:tcPr>
          <w:p>
            <w:pPr>
              <w:spacing w:after="0"/>
              <w:rPr>
                <w:sz w:val="21"/>
                <w:szCs w:val="21"/>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88"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49225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43"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4922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3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(Former name, former address and former fiscal year,</w:t>
      </w:r>
    </w:p>
    <w:p>
      <w:pPr>
        <w:jc w:val="center"/>
        <w:ind w:right="-19"/>
        <w:spacing w:after="0"/>
        <w:rPr>
          <w:sz w:val="20"/>
          <w:szCs w:val="20"/>
          <w:color w:val="auto"/>
        </w:rPr>
      </w:pPr>
      <w:r>
        <w:rPr>
          <w:rFonts w:ascii="Arial" w:cs="Arial" w:eastAsia="Arial" w:hAnsi="Arial"/>
          <w:sz w:val="18"/>
          <w:szCs w:val="18"/>
          <w:color w:val="auto"/>
        </w:rPr>
        <w:t>if changed since last report)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Trading</w:t>
            </w:r>
          </w:p>
        </w:tc>
        <w:tc>
          <w:tcPr>
            <w:tcW w:w="5360" w:type="dxa"/>
            <w:vAlign w:val="bottom"/>
          </w:tcPr>
          <w:p>
            <w:pPr>
              <w:spacing w:after="0"/>
              <w:rPr>
                <w:sz w:val="18"/>
                <w:szCs w:val="18"/>
                <w:color w:val="auto"/>
              </w:rPr>
            </w:pPr>
          </w:p>
        </w:tc>
      </w:tr>
      <w:tr>
        <w:trPr>
          <w:trHeight w:val="22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Symbol(s)</w:t>
            </w:r>
          </w:p>
        </w:tc>
        <w:tc>
          <w:tcPr>
            <w:tcW w:w="100" w:type="dxa"/>
            <w:vAlign w:val="bottom"/>
          </w:tcPr>
          <w:p>
            <w:pPr>
              <w:spacing w:after="0"/>
              <w:rPr>
                <w:sz w:val="19"/>
                <w:szCs w:val="19"/>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Common Stock, par value $1 per share*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HON</w:t>
            </w:r>
          </w:p>
        </w:tc>
        <w:tc>
          <w:tcPr>
            <w:tcW w:w="536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0.650% Senior Notes due 2020</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HON 20</w:t>
            </w:r>
          </w:p>
        </w:tc>
        <w:tc>
          <w:tcPr>
            <w:tcW w:w="536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1.300% Senior Notes due 2023</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HON 23A</w:t>
            </w:r>
          </w:p>
        </w:tc>
        <w:tc>
          <w:tcPr>
            <w:tcW w:w="536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2.250% Senior Notes due 2028</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HON 28A</w:t>
            </w:r>
          </w:p>
        </w:tc>
        <w:tc>
          <w:tcPr>
            <w:tcW w:w="536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 The common stock is also listed on the London Stock Exchange</w:t>
      </w:r>
    </w:p>
    <w:p>
      <w:pPr>
        <w:spacing w:after="0" w:line="11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280"/>
              <w:spacing w:after="0"/>
              <w:rPr>
                <w:sz w:val="20"/>
                <w:szCs w:val="20"/>
                <w:color w:val="auto"/>
              </w:rPr>
            </w:pPr>
            <w:r>
              <w:rPr>
                <w:rFonts w:ascii="Arial" w:cs="Arial" w:eastAsia="Arial" w:hAnsi="Arial"/>
                <w:sz w:val="18"/>
                <w:szCs w:val="18"/>
                <w:color w:val="auto"/>
              </w:rPr>
              <w:t>x</w:t>
            </w:r>
          </w:p>
        </w:tc>
        <w:tc>
          <w:tcPr>
            <w:tcW w:w="396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96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0"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There were 714,533,499 shares of Common Stock outstanding at September 30, 2019.</w:t>
      </w:r>
    </w:p>
    <w:p>
      <w:pPr>
        <w:sectPr>
          <w:pgSz w:w="11900" w:h="16838" w:orient="portrait"/>
          <w:cols w:equalWidth="0" w:num="1">
            <w:col w:w="11420"/>
          </w:cols>
          <w:pgMar w:left="240" w:top="247" w:right="239" w:bottom="874"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0" w:type="dxa"/>
            <w:vAlign w:val="bottom"/>
          </w:tcPr>
          <w:p>
            <w:pPr>
              <w:spacing w:after="0"/>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w:t>
              </w:r>
            </w:hyperlink>
          </w:p>
        </w:tc>
        <w:tc>
          <w:tcPr>
            <w:tcW w:w="2000" w:type="dxa"/>
            <w:vAlign w:val="bottom"/>
            <w:gridSpan w:val="8"/>
          </w:tcPr>
          <w:p>
            <w:pPr>
              <w:spacing w:after="0"/>
              <w:rPr>
                <w:sz w:val="17"/>
                <w:szCs w:val="17"/>
                <w:color w:val="auto"/>
              </w:rPr>
            </w:pPr>
          </w:p>
        </w:tc>
        <w:tc>
          <w:tcPr>
            <w:tcW w:w="760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w w:val="96"/>
              </w:rPr>
              <w:t>Page No.</w:t>
            </w:r>
          </w:p>
        </w:tc>
      </w:tr>
      <w:tr>
        <w:trPr>
          <w:trHeight w:val="250"/>
        </w:trPr>
        <w:tc>
          <w:tcPr>
            <w:tcW w:w="5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82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780" w:type="dxa"/>
            <w:vAlign w:val="bottom"/>
            <w:gridSpan w:val="12"/>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 Three and Nine Months Ended September</w:t>
              </w:r>
            </w:hyperlink>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30, 2019 and 2018</w:t>
              </w:r>
            </w:hyperlink>
          </w:p>
        </w:tc>
        <w:tc>
          <w:tcPr>
            <w:tcW w:w="6080" w:type="dxa"/>
            <w:vAlign w:val="bottom"/>
            <w:gridSpan w:val="14"/>
          </w:tcPr>
          <w:p>
            <w:pPr>
              <w:spacing w:after="0"/>
              <w:rPr>
                <w:sz w:val="15"/>
                <w:szCs w:val="15"/>
                <w:color w:val="auto"/>
              </w:rPr>
            </w:pPr>
          </w:p>
        </w:tc>
        <w:tc>
          <w:tcPr>
            <w:tcW w:w="1040" w:type="dxa"/>
            <w:vAlign w:val="bottom"/>
            <w:gridSpan w:val="2"/>
          </w:tcPr>
          <w:p>
            <w:pPr>
              <w:jc w:val="center"/>
              <w:ind w:left="170"/>
              <w:spacing w:after="0" w:line="182"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r>
      <w:tr>
        <w:trPr>
          <w:trHeight w:val="35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 Three and Nine Months</w:t>
              </w:r>
            </w:hyperlink>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1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Ended September 30, 2019 and 2018</w:t>
              </w:r>
            </w:hyperlink>
          </w:p>
        </w:tc>
        <w:tc>
          <w:tcPr>
            <w:tcW w:w="480" w:type="dxa"/>
            <w:vAlign w:val="bottom"/>
            <w:gridSpan w:val="3"/>
          </w:tcPr>
          <w:p>
            <w:pPr>
              <w:spacing w:after="0"/>
              <w:rPr>
                <w:sz w:val="15"/>
                <w:szCs w:val="15"/>
                <w:color w:val="auto"/>
              </w:rPr>
            </w:pPr>
          </w:p>
        </w:tc>
        <w:tc>
          <w:tcPr>
            <w:tcW w:w="1040" w:type="dxa"/>
            <w:vAlign w:val="bottom"/>
            <w:gridSpan w:val="2"/>
          </w:tcPr>
          <w:p>
            <w:pPr>
              <w:jc w:val="center"/>
              <w:ind w:left="170"/>
              <w:spacing w:after="0" w:line="182"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4</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6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 (unaudited) – September 30, 2019 and December 31, 2018</w:t>
              </w:r>
            </w:hyperlink>
          </w:p>
        </w:tc>
        <w:tc>
          <w:tcPr>
            <w:tcW w:w="540" w:type="dxa"/>
            <w:vAlign w:val="bottom"/>
            <w:gridSpan w:val="5"/>
          </w:tcPr>
          <w:p>
            <w:pPr>
              <w:spacing w:after="0"/>
              <w:rPr>
                <w:sz w:val="24"/>
                <w:szCs w:val="24"/>
                <w:color w:val="auto"/>
              </w:rPr>
            </w:pPr>
          </w:p>
        </w:tc>
        <w:tc>
          <w:tcPr>
            <w:tcW w:w="1040" w:type="dxa"/>
            <w:vAlign w:val="bottom"/>
            <w:gridSpan w:val="2"/>
          </w:tcPr>
          <w:p>
            <w:pPr>
              <w:jc w:val="center"/>
              <w:ind w:left="170"/>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r>
      <w:tr>
        <w:trPr>
          <w:trHeight w:val="35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 Nine Months Ended September 30, 2019</w:t>
              </w:r>
            </w:hyperlink>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and 2018</w:t>
              </w:r>
            </w:hyperlink>
          </w:p>
        </w:tc>
        <w:tc>
          <w:tcPr>
            <w:tcW w:w="6780" w:type="dxa"/>
            <w:vAlign w:val="bottom"/>
            <w:tcBorders>
              <w:top w:val="single" w:sz="8" w:color="0000EE"/>
            </w:tcBorders>
            <w:gridSpan w:val="16"/>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center"/>
              <w:ind w:left="170"/>
              <w:spacing w:after="0" w:line="182"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6</w:t>
              </w:r>
            </w:hyperlink>
          </w:p>
        </w:tc>
      </w:tr>
      <w:tr>
        <w:trPr>
          <w:trHeight w:val="35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4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 of Shareowners' Equity (unaudited) – Three and Nine Months Ended</w:t>
              </w:r>
            </w:hyperlink>
          </w:p>
        </w:tc>
        <w:tc>
          <w:tcPr>
            <w:tcW w:w="1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September 30, 2019 and 2018</w:t>
              </w:r>
            </w:hyperlink>
          </w:p>
        </w:tc>
        <w:tc>
          <w:tcPr>
            <w:tcW w:w="5160" w:type="dxa"/>
            <w:vAlign w:val="bottom"/>
            <w:gridSpan w:val="10"/>
          </w:tcPr>
          <w:p>
            <w:pPr>
              <w:spacing w:after="0"/>
              <w:rPr>
                <w:sz w:val="15"/>
                <w:szCs w:val="15"/>
                <w:color w:val="auto"/>
              </w:rPr>
            </w:pPr>
          </w:p>
        </w:tc>
        <w:tc>
          <w:tcPr>
            <w:tcW w:w="1040" w:type="dxa"/>
            <w:vAlign w:val="bottom"/>
            <w:gridSpan w:val="2"/>
          </w:tcPr>
          <w:p>
            <w:pPr>
              <w:jc w:val="center"/>
              <w:ind w:left="170"/>
              <w:spacing w:after="0" w:line="182" w:lineRule="exact"/>
              <w:rPr>
                <w:rFonts w:ascii="Arial" w:cs="Arial" w:eastAsia="Arial" w:hAnsi="Arial"/>
                <w:sz w:val="18"/>
                <w:szCs w:val="18"/>
                <w:color w:val="auto"/>
                <w:w w:val="99"/>
              </w:rPr>
            </w:pPr>
            <w:hyperlink w:anchor="page7">
              <w:r>
                <w:rPr>
                  <w:rFonts w:ascii="Arial" w:cs="Arial" w:eastAsia="Arial" w:hAnsi="Arial"/>
                  <w:sz w:val="18"/>
                  <w:szCs w:val="18"/>
                  <w:color w:val="auto"/>
                  <w:w w:val="99"/>
                </w:rPr>
                <w:t>7</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040" w:type="dxa"/>
            <w:vAlign w:val="bottom"/>
            <w:gridSpan w:val="2"/>
          </w:tcPr>
          <w:p>
            <w:pPr>
              <w:jc w:val="center"/>
              <w:ind w:left="170"/>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8</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2.</w:t>
              </w:r>
            </w:hyperlink>
          </w:p>
        </w:tc>
        <w:tc>
          <w:tcPr>
            <w:tcW w:w="680" w:type="dxa"/>
            <w:vAlign w:val="bottom"/>
            <w:gridSpan w:val="2"/>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2"/>
          </w:tcPr>
          <w:p>
            <w:pPr>
              <w:jc w:val="center"/>
              <w:ind w:left="190"/>
              <w:spacing w:after="0"/>
              <w:rPr>
                <w:rFonts w:ascii="Arial" w:cs="Arial" w:eastAsia="Arial" w:hAnsi="Arial"/>
                <w:sz w:val="18"/>
                <w:szCs w:val="18"/>
                <w:color w:val="auto"/>
                <w:w w:val="99"/>
              </w:rPr>
            </w:pPr>
            <w:hyperlink w:anchor="page35">
              <w:r>
                <w:rPr>
                  <w:rFonts w:ascii="Arial" w:cs="Arial" w:eastAsia="Arial" w:hAnsi="Arial"/>
                  <w:sz w:val="18"/>
                  <w:szCs w:val="18"/>
                  <w:color w:val="auto"/>
                  <w:w w:val="99"/>
                </w:rPr>
                <w:t>34</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top w:val="single" w:sz="8" w:color="0000EE"/>
            </w:tcBorders>
            <w:gridSpan w:val="3"/>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Item 3.</w:t>
              </w:r>
            </w:hyperlink>
          </w:p>
        </w:tc>
        <w:tc>
          <w:tcPr>
            <w:tcW w:w="680" w:type="dxa"/>
            <w:vAlign w:val="bottom"/>
            <w:gridSpan w:val="2"/>
          </w:tcPr>
          <w:p>
            <w:pPr>
              <w:spacing w:after="0"/>
              <w:rPr>
                <w:sz w:val="24"/>
                <w:szCs w:val="24"/>
                <w:color w:val="auto"/>
              </w:rPr>
            </w:pPr>
          </w:p>
        </w:tc>
        <w:tc>
          <w:tcPr>
            <w:tcW w:w="7080" w:type="dxa"/>
            <w:vAlign w:val="bottom"/>
            <w:tcBorders>
              <w:top w:val="single" w:sz="8" w:color="0000EE"/>
            </w:tcBorders>
            <w:gridSpan w:val="1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Risks</w:t>
              </w:r>
            </w:hyperlink>
          </w:p>
        </w:tc>
        <w:tc>
          <w:tcPr>
            <w:tcW w:w="520" w:type="dxa"/>
            <w:vAlign w:val="bottom"/>
            <w:gridSpan w:val="4"/>
          </w:tcPr>
          <w:p>
            <w:pPr>
              <w:spacing w:after="0"/>
              <w:rPr>
                <w:sz w:val="24"/>
                <w:szCs w:val="24"/>
                <w:color w:val="auto"/>
              </w:rPr>
            </w:pPr>
          </w:p>
        </w:tc>
        <w:tc>
          <w:tcPr>
            <w:tcW w:w="1040" w:type="dxa"/>
            <w:vAlign w:val="bottom"/>
            <w:gridSpan w:val="2"/>
          </w:tcPr>
          <w:p>
            <w:pPr>
              <w:jc w:val="center"/>
              <w:ind w:left="190"/>
              <w:spacing w:after="0"/>
              <w:rPr>
                <w:rFonts w:ascii="Arial" w:cs="Arial" w:eastAsia="Arial" w:hAnsi="Arial"/>
                <w:sz w:val="18"/>
                <w:szCs w:val="18"/>
                <w:color w:val="auto"/>
                <w:w w:val="99"/>
              </w:rPr>
            </w:pPr>
            <w:hyperlink w:anchor="page44">
              <w:r>
                <w:rPr>
                  <w:rFonts w:ascii="Arial" w:cs="Arial" w:eastAsia="Arial" w:hAnsi="Arial"/>
                  <w:sz w:val="18"/>
                  <w:szCs w:val="18"/>
                  <w:color w:val="auto"/>
                  <w:w w:val="99"/>
                </w:rPr>
                <w:t>43</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top w:val="single" w:sz="8" w:color="0000EE"/>
            </w:tcBorders>
            <w:gridSpan w:val="3"/>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Item 4.</w:t>
              </w:r>
            </w:hyperlink>
          </w:p>
        </w:tc>
        <w:tc>
          <w:tcPr>
            <w:tcW w:w="680" w:type="dxa"/>
            <w:vAlign w:val="bottom"/>
            <w:gridSpan w:val="2"/>
          </w:tcPr>
          <w:p>
            <w:pPr>
              <w:spacing w:after="0"/>
              <w:rPr>
                <w:sz w:val="24"/>
                <w:szCs w:val="24"/>
                <w:color w:val="auto"/>
              </w:rPr>
            </w:pPr>
          </w:p>
        </w:tc>
        <w:tc>
          <w:tcPr>
            <w:tcW w:w="4800" w:type="dxa"/>
            <w:vAlign w:val="bottom"/>
            <w:tcBorders>
              <w:top w:val="single" w:sz="8" w:color="0000EE"/>
            </w:tcBorders>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2800" w:type="dxa"/>
            <w:vAlign w:val="bottom"/>
            <w:gridSpan w:val="7"/>
          </w:tcPr>
          <w:p>
            <w:pPr>
              <w:spacing w:after="0"/>
              <w:rPr>
                <w:sz w:val="24"/>
                <w:szCs w:val="24"/>
                <w:color w:val="auto"/>
              </w:rPr>
            </w:pPr>
          </w:p>
        </w:tc>
        <w:tc>
          <w:tcPr>
            <w:tcW w:w="1040" w:type="dxa"/>
            <w:vAlign w:val="bottom"/>
            <w:gridSpan w:val="2"/>
          </w:tcPr>
          <w:p>
            <w:pPr>
              <w:jc w:val="center"/>
              <w:ind w:left="190"/>
              <w:spacing w:after="0"/>
              <w:rPr>
                <w:rFonts w:ascii="Arial" w:cs="Arial" w:eastAsia="Arial" w:hAnsi="Arial"/>
                <w:sz w:val="18"/>
                <w:szCs w:val="18"/>
                <w:color w:val="auto"/>
                <w:w w:val="99"/>
              </w:rPr>
            </w:pPr>
            <w:hyperlink w:anchor="page44">
              <w:r>
                <w:rPr>
                  <w:rFonts w:ascii="Arial" w:cs="Arial" w:eastAsia="Arial" w:hAnsi="Arial"/>
                  <w:sz w:val="18"/>
                  <w:szCs w:val="18"/>
                  <w:color w:val="auto"/>
                  <w:w w:val="99"/>
                </w:rPr>
                <w:t>43</w:t>
              </w:r>
            </w:hyperlink>
          </w:p>
        </w:tc>
      </w:tr>
      <w:tr>
        <w:trPr>
          <w:trHeight w:val="372"/>
        </w:trPr>
        <w:tc>
          <w:tcPr>
            <w:tcW w:w="1280" w:type="dxa"/>
            <w:vAlign w:val="bottom"/>
            <w:gridSpan w:val="5"/>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w:t>
              </w:r>
            </w:hyperlink>
          </w:p>
        </w:tc>
        <w:tc>
          <w:tcPr>
            <w:tcW w:w="520" w:type="dxa"/>
            <w:vAlign w:val="bottom"/>
            <w:tcBorders>
              <w:top w:val="single" w:sz="8" w:color="0000EE"/>
            </w:tcBorders>
          </w:tcPr>
          <w:p>
            <w:pPr>
              <w:spacing w:after="0"/>
              <w:rPr>
                <w:sz w:val="24"/>
                <w:szCs w:val="24"/>
                <w:color w:val="auto"/>
              </w:rPr>
            </w:pPr>
          </w:p>
        </w:tc>
        <w:tc>
          <w:tcPr>
            <w:tcW w:w="700" w:type="dxa"/>
            <w:vAlign w:val="bottom"/>
            <w:gridSpan w:val="3"/>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Other Information</w:t>
              </w:r>
            </w:hyperlink>
          </w:p>
        </w:tc>
        <w:tc>
          <w:tcPr>
            <w:tcW w:w="560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2"/>
        </w:trPr>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1.</w:t>
              </w:r>
            </w:hyperlink>
          </w:p>
        </w:tc>
        <w:tc>
          <w:tcPr>
            <w:tcW w:w="680" w:type="dxa"/>
            <w:vAlign w:val="bottom"/>
            <w:gridSpan w:val="2"/>
          </w:tcPr>
          <w:p>
            <w:pPr>
              <w:spacing w:after="0"/>
              <w:rPr>
                <w:sz w:val="24"/>
                <w:szCs w:val="24"/>
                <w:color w:val="auto"/>
              </w:rPr>
            </w:pPr>
          </w:p>
        </w:tc>
        <w:tc>
          <w:tcPr>
            <w:tcW w:w="1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Legal Proceedings</w:t>
              </w:r>
            </w:hyperlink>
          </w:p>
        </w:tc>
        <w:tc>
          <w:tcPr>
            <w:tcW w:w="20" w:type="dxa"/>
            <w:vAlign w:val="bottom"/>
            <w:tcBorders>
              <w:top w:val="single" w:sz="8" w:color="0000EE"/>
            </w:tcBorders>
          </w:tcPr>
          <w:p>
            <w:pPr>
              <w:spacing w:after="0"/>
              <w:rPr>
                <w:sz w:val="24"/>
                <w:szCs w:val="24"/>
                <w:color w:val="auto"/>
              </w:rPr>
            </w:pPr>
          </w:p>
        </w:tc>
        <w:tc>
          <w:tcPr>
            <w:tcW w:w="6080" w:type="dxa"/>
            <w:vAlign w:val="bottom"/>
            <w:gridSpan w:val="14"/>
          </w:tcPr>
          <w:p>
            <w:pPr>
              <w:spacing w:after="0"/>
              <w:rPr>
                <w:sz w:val="24"/>
                <w:szCs w:val="24"/>
                <w:color w:val="auto"/>
              </w:rPr>
            </w:pPr>
          </w:p>
        </w:tc>
        <w:tc>
          <w:tcPr>
            <w:tcW w:w="1040" w:type="dxa"/>
            <w:vAlign w:val="bottom"/>
            <w:gridSpan w:val="2"/>
          </w:tcPr>
          <w:p>
            <w:pPr>
              <w:jc w:val="center"/>
              <w:ind w:left="190"/>
              <w:spacing w:after="0"/>
              <w:rPr>
                <w:rFonts w:ascii="Arial" w:cs="Arial" w:eastAsia="Arial" w:hAnsi="Arial"/>
                <w:sz w:val="18"/>
                <w:szCs w:val="18"/>
                <w:color w:val="auto"/>
                <w:w w:val="99"/>
              </w:rPr>
            </w:pPr>
            <w:hyperlink w:anchor="page46">
              <w:r>
                <w:rPr>
                  <w:rFonts w:ascii="Arial" w:cs="Arial" w:eastAsia="Arial" w:hAnsi="Arial"/>
                  <w:sz w:val="18"/>
                  <w:szCs w:val="18"/>
                  <w:color w:val="auto"/>
                  <w:w w:val="99"/>
                </w:rPr>
                <w:t>45</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1A.</w:t>
              </w:r>
            </w:hyperlink>
          </w:p>
        </w:tc>
        <w:tc>
          <w:tcPr>
            <w:tcW w:w="760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1040" w:type="dxa"/>
            <w:vAlign w:val="bottom"/>
            <w:gridSpan w:val="2"/>
          </w:tcPr>
          <w:p>
            <w:pPr>
              <w:jc w:val="center"/>
              <w:ind w:left="190"/>
              <w:spacing w:after="0"/>
              <w:rPr>
                <w:rFonts w:ascii="Arial" w:cs="Arial" w:eastAsia="Arial" w:hAnsi="Arial"/>
                <w:sz w:val="18"/>
                <w:szCs w:val="18"/>
                <w:color w:val="auto"/>
                <w:w w:val="99"/>
              </w:rPr>
            </w:pPr>
            <w:hyperlink w:anchor="page46">
              <w:r>
                <w:rPr>
                  <w:rFonts w:ascii="Arial" w:cs="Arial" w:eastAsia="Arial" w:hAnsi="Arial"/>
                  <w:sz w:val="18"/>
                  <w:szCs w:val="18"/>
                  <w:color w:val="auto"/>
                  <w:w w:val="99"/>
                </w:rPr>
                <w:t>45</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2.</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Unregistered Sales of Equity Securities and Use of Proceeds</w:t>
              </w:r>
            </w:hyperlink>
          </w:p>
        </w:tc>
        <w:tc>
          <w:tcPr>
            <w:tcW w:w="2740" w:type="dxa"/>
            <w:vAlign w:val="bottom"/>
            <w:gridSpan w:val="6"/>
          </w:tcPr>
          <w:p>
            <w:pPr>
              <w:spacing w:after="0"/>
              <w:rPr>
                <w:sz w:val="24"/>
                <w:szCs w:val="24"/>
                <w:color w:val="auto"/>
              </w:rPr>
            </w:pPr>
          </w:p>
        </w:tc>
        <w:tc>
          <w:tcPr>
            <w:tcW w:w="1040" w:type="dxa"/>
            <w:vAlign w:val="bottom"/>
            <w:gridSpan w:val="2"/>
          </w:tcPr>
          <w:p>
            <w:pPr>
              <w:jc w:val="center"/>
              <w:ind w:left="190"/>
              <w:spacing w:after="0"/>
              <w:rPr>
                <w:rFonts w:ascii="Arial" w:cs="Arial" w:eastAsia="Arial" w:hAnsi="Arial"/>
                <w:sz w:val="18"/>
                <w:szCs w:val="18"/>
                <w:color w:val="auto"/>
                <w:w w:val="99"/>
              </w:rPr>
            </w:pPr>
            <w:hyperlink w:anchor="page46">
              <w:r>
                <w:rPr>
                  <w:rFonts w:ascii="Arial" w:cs="Arial" w:eastAsia="Arial" w:hAnsi="Arial"/>
                  <w:sz w:val="18"/>
                  <w:szCs w:val="18"/>
                  <w:color w:val="auto"/>
                  <w:w w:val="99"/>
                </w:rPr>
                <w:t>45</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760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1040" w:type="dxa"/>
            <w:vAlign w:val="bottom"/>
            <w:gridSpan w:val="2"/>
          </w:tcPr>
          <w:p>
            <w:pPr>
              <w:jc w:val="center"/>
              <w:ind w:left="190"/>
              <w:spacing w:after="0"/>
              <w:rPr>
                <w:rFonts w:ascii="Arial" w:cs="Arial" w:eastAsia="Arial" w:hAnsi="Arial"/>
                <w:sz w:val="18"/>
                <w:szCs w:val="18"/>
                <w:color w:val="auto"/>
                <w:w w:val="99"/>
              </w:rPr>
            </w:pPr>
            <w:hyperlink w:anchor="page47">
              <w:r>
                <w:rPr>
                  <w:rFonts w:ascii="Arial" w:cs="Arial" w:eastAsia="Arial" w:hAnsi="Arial"/>
                  <w:sz w:val="18"/>
                  <w:szCs w:val="18"/>
                  <w:color w:val="auto"/>
                  <w:w w:val="99"/>
                </w:rPr>
                <w:t>46</w:t>
              </w:r>
            </w:hyperlink>
          </w:p>
        </w:tc>
      </w:tr>
      <w:tr>
        <w:trPr>
          <w:trHeight w:val="372"/>
        </w:trPr>
        <w:tc>
          <w:tcPr>
            <w:tcW w:w="86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Signatures</w:t>
              </w:r>
            </w:hyperlink>
          </w:p>
        </w:tc>
        <w:tc>
          <w:tcPr>
            <w:tcW w:w="420" w:type="dxa"/>
            <w:vAlign w:val="bottom"/>
            <w:gridSpan w:val="2"/>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center"/>
              <w:ind w:left="190"/>
              <w:spacing w:after="0"/>
              <w:rPr>
                <w:rFonts w:ascii="Arial" w:cs="Arial" w:eastAsia="Arial" w:hAnsi="Arial"/>
                <w:sz w:val="18"/>
                <w:szCs w:val="18"/>
                <w:color w:val="auto"/>
                <w:w w:val="99"/>
              </w:rPr>
            </w:pPr>
            <w:hyperlink w:anchor="page48">
              <w:r>
                <w:rPr>
                  <w:rFonts w:ascii="Arial" w:cs="Arial" w:eastAsia="Arial" w:hAnsi="Arial"/>
                  <w:sz w:val="18"/>
                  <w:szCs w:val="18"/>
                  <w:color w:val="auto"/>
                  <w:w w:val="99"/>
                </w:rPr>
                <w:t>47</w:t>
              </w:r>
            </w:hyperlink>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2018 Annual Report on Form 10-K.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The financial statements and related footnotes as of September 30, 2019 should be read in conjunction with the financial statements for the year ended December 31, 2018 contained in our 2018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0"/>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gridSpan w:val="9"/>
          </w:tcPr>
          <w:p>
            <w:pPr>
              <w:jc w:val="right"/>
              <w:ind w:right="5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40" w:type="dxa"/>
            <w:vAlign w:val="bottom"/>
          </w:tcPr>
          <w:p>
            <w:pPr>
              <w:spacing w:after="0"/>
              <w:rPr>
                <w:sz w:val="18"/>
                <w:szCs w:val="18"/>
                <w:color w:val="auto"/>
              </w:rPr>
            </w:pPr>
          </w:p>
        </w:tc>
      </w:tr>
      <w:tr>
        <w:trPr>
          <w:trHeight w:val="27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25,414</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 sales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2,293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6,659</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9,086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10,762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27,213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32,073</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Costs, expenses and other</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products sold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18,234</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4,127</w:t>
            </w:r>
          </w:p>
        </w:tc>
      </w:tr>
      <w:tr>
        <w:trPr>
          <w:trHeight w:val="257"/>
        </w:trPr>
        <w:tc>
          <w:tcPr>
            <w:tcW w:w="6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22,361</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4,527</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Interest and other financial charges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277</w:t>
            </w:r>
          </w:p>
        </w:tc>
      </w:tr>
      <w:tr>
        <w:trPr>
          <w:trHeight w:val="250"/>
        </w:trPr>
        <w:tc>
          <w:tcPr>
            <w:tcW w:w="60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7,119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8,904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21,422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26,306</w:t>
            </w:r>
          </w:p>
        </w:tc>
      </w:tr>
      <w:tr>
        <w:trPr>
          <w:trHeight w:val="250"/>
        </w:trPr>
        <w:tc>
          <w:tcPr>
            <w:tcW w:w="602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5,767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50"/>
        </w:trPr>
        <w:tc>
          <w:tcPr>
            <w:tcW w:w="6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5,088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the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97"/>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Honeywell</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4,581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5,044</w:t>
            </w:r>
          </w:p>
        </w:tc>
      </w:tr>
      <w:tr>
        <w:trPr>
          <w:trHeight w:val="23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Earnings per share of common stock - assuming dilution</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1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17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r>
      <w:tr>
        <w:trPr>
          <w:trHeight w:val="210"/>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6"/>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5,088</w:t>
            </w:r>
          </w:p>
        </w:tc>
      </w:tr>
      <w:tr>
        <w:trPr>
          <w:trHeight w:val="263"/>
        </w:trPr>
        <w:tc>
          <w:tcPr>
            <w:tcW w:w="7420" w:type="dxa"/>
            <w:vAlign w:val="bottom"/>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7"/>
        </w:trPr>
        <w:tc>
          <w:tcPr>
            <w:tcW w:w="7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exchange translation adjustment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63"/>
        </w:trPr>
        <w:tc>
          <w:tcPr>
            <w:tcW w:w="7420" w:type="dxa"/>
            <w:vAlign w:val="bottom"/>
          </w:tcPr>
          <w:p>
            <w:pPr>
              <w:ind w:left="720"/>
              <w:spacing w:after="0"/>
              <w:rPr>
                <w:sz w:val="20"/>
                <w:szCs w:val="20"/>
                <w:color w:val="auto"/>
              </w:rPr>
            </w:pPr>
            <w:r>
              <w:rPr>
                <w:rFonts w:ascii="Arial" w:cs="Arial" w:eastAsia="Arial" w:hAnsi="Arial"/>
                <w:sz w:val="18"/>
                <w:szCs w:val="18"/>
                <w:color w:val="auto"/>
              </w:rPr>
              <w:t>Prior service credit (cost)</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7"/>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Actuarial (gains) losses recognized</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4"/>
        </w:trPr>
        <w:tc>
          <w:tcPr>
            <w:tcW w:w="74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Prior service (credit) cost recognized</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7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and other postretirement benefits adjustments</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7420" w:type="dxa"/>
            <w:vAlign w:val="bottom"/>
          </w:tcPr>
          <w:p>
            <w:pPr>
              <w:ind w:left="720"/>
              <w:spacing w:after="0"/>
              <w:rPr>
                <w:sz w:val="20"/>
                <w:szCs w:val="20"/>
                <w:color w:val="auto"/>
              </w:rPr>
            </w:pPr>
            <w:r>
              <w:rPr>
                <w:rFonts w:ascii="Arial" w:cs="Arial" w:eastAsia="Arial" w:hAnsi="Arial"/>
                <w:sz w:val="18"/>
                <w:szCs w:val="18"/>
                <w:color w:val="auto"/>
              </w:rPr>
              <w:t>Cash flow hedges recognized in other comprehensive income (loss)</w:t>
            </w:r>
          </w:p>
        </w:tc>
        <w:tc>
          <w:tcPr>
            <w:tcW w:w="20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74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Changes in fair value of cash flow hedges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w:t>
            </w:r>
          </w:p>
        </w:tc>
      </w:tr>
      <w:tr>
        <w:trPr>
          <w:trHeight w:val="250"/>
        </w:trPr>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50"/>
        </w:trPr>
        <w:tc>
          <w:tcPr>
            <w:tcW w:w="74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5,198</w:t>
            </w:r>
          </w:p>
        </w:tc>
      </w:tr>
      <w:tr>
        <w:trPr>
          <w:trHeight w:val="270"/>
        </w:trPr>
        <w:tc>
          <w:tcPr>
            <w:tcW w:w="7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57"/>
        </w:trPr>
        <w:tc>
          <w:tcPr>
            <w:tcW w:w="7420" w:type="dxa"/>
            <w:vAlign w:val="bottom"/>
          </w:tcPr>
          <w:p>
            <w:pPr>
              <w:ind w:left="40"/>
              <w:spacing w:after="0"/>
              <w:rPr>
                <w:sz w:val="20"/>
                <w:szCs w:val="20"/>
                <w:color w:val="auto"/>
              </w:rPr>
            </w:pPr>
            <w:r>
              <w:rPr>
                <w:rFonts w:ascii="Arial" w:cs="Arial" w:eastAsia="Arial" w:hAnsi="Arial"/>
                <w:sz w:val="18"/>
                <w:szCs w:val="18"/>
                <w:color w:val="auto"/>
              </w:rPr>
              <w:t>Comprehensive income attributable to Honeywell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5,167</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tcPr>
          <w:p>
            <w:pPr>
              <w:spacing w:after="0"/>
              <w:rPr>
                <w:sz w:val="18"/>
                <w:szCs w:val="18"/>
                <w:color w:val="auto"/>
              </w:rPr>
            </w:pP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10,908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9,287</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1,623</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 net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7,583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7,508</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4,326</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r>
      <w:tr>
        <w:trPr>
          <w:trHeight w:val="250"/>
        </w:trPr>
        <w:tc>
          <w:tcPr>
            <w:tcW w:w="85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26,188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24,362</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and long-term receivables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5,296</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15,426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15,546</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Other intangible assets - net</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4,139</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recoveries for asbestos related 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8,179</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6,869</w:t>
            </w:r>
          </w:p>
        </w:tc>
      </w:tr>
      <w:tr>
        <w:trPr>
          <w:trHeight w:val="297"/>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60,104</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57,773</w:t>
            </w: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5,522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5,607</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Commercial paper and other short-term borrowings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3,586</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6,883</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6,859</w:t>
            </w:r>
          </w:p>
        </w:tc>
      </w:tr>
      <w:tr>
        <w:trPr>
          <w:trHeight w:val="25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19,915</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18,924</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9,756</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Postretirement benefit obligations other than pensions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Asbestos related 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2,269</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6,402</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SHAREOWNERS’ EQUITY</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 common stock issued</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r>
      <w:tr>
        <w:trPr>
          <w:trHeight w:val="263"/>
        </w:trPr>
        <w:tc>
          <w:tcPr>
            <w:tcW w:w="8560" w:type="dxa"/>
            <w:vAlign w:val="bottom"/>
          </w:tcPr>
          <w:p>
            <w:pPr>
              <w:ind w:left="720"/>
              <w:spacing w:after="0"/>
              <w:rPr>
                <w:sz w:val="20"/>
                <w:szCs w:val="20"/>
                <w:color w:val="auto"/>
              </w:rPr>
            </w:pPr>
            <w:r>
              <w:rPr>
                <w:rFonts w:ascii="Arial" w:cs="Arial" w:eastAsia="Arial" w:hAnsi="Arial"/>
                <w:sz w:val="18"/>
                <w:szCs w:val="18"/>
                <w:color w:val="auto"/>
              </w:rPr>
              <w:t>- additional paid-in capital</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6,452</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held in treasury, at cost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36,775</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33,978</w:t>
            </w:r>
          </w:p>
        </w:tc>
      </w:tr>
      <w:tr>
        <w:trPr>
          <w:trHeight w:val="250"/>
        </w:trPr>
        <w:tc>
          <w:tcPr>
            <w:tcW w:w="8560" w:type="dxa"/>
            <w:vAlign w:val="bottom"/>
          </w:tcPr>
          <w:p>
            <w:pPr>
              <w:ind w:left="280"/>
              <w:spacing w:after="0"/>
              <w:rPr>
                <w:sz w:val="20"/>
                <w:szCs w:val="20"/>
                <w:color w:val="auto"/>
              </w:rPr>
            </w:pPr>
            <w:r>
              <w:rPr>
                <w:rFonts w:ascii="Arial" w:cs="Arial" w:eastAsia="Arial" w:hAnsi="Arial"/>
                <w:sz w:val="18"/>
                <w:szCs w:val="18"/>
                <w:color w:val="auto"/>
              </w:rPr>
              <w:t>Total Honeywell shareowners’ equity</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18,109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18,180</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50"/>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shareowners’ equity</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18,306</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18,358</w:t>
            </w: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60,104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57,773</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(Dollars in millions)</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5,088</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the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Net income attributable to Honeywell</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5,044</w:t>
            </w:r>
          </w:p>
        </w:tc>
      </w:tr>
      <w:tr>
        <w:trPr>
          <w:trHeight w:val="23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63"/>
        </w:trPr>
        <w:tc>
          <w:tcPr>
            <w:tcW w:w="83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63"/>
        </w:trPr>
        <w:tc>
          <w:tcPr>
            <w:tcW w:w="8340" w:type="dxa"/>
            <w:vAlign w:val="bottom"/>
          </w:tcPr>
          <w:p>
            <w:pPr>
              <w:ind w:left="500"/>
              <w:spacing w:after="0"/>
              <w:rPr>
                <w:sz w:val="20"/>
                <w:szCs w:val="20"/>
                <w:color w:val="auto"/>
              </w:rPr>
            </w:pPr>
            <w:r>
              <w:rPr>
                <w:rFonts w:ascii="Arial" w:cs="Arial" w:eastAsia="Arial" w:hAnsi="Arial"/>
                <w:sz w:val="18"/>
                <w:szCs w:val="18"/>
                <w:color w:val="auto"/>
              </w:rPr>
              <w:t>Repositioning and other charges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7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payments for repositioning and other charges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63"/>
        </w:trPr>
        <w:tc>
          <w:tcPr>
            <w:tcW w:w="8340" w:type="dxa"/>
            <w:vAlign w:val="bottom"/>
          </w:tcPr>
          <w:p>
            <w:pPr>
              <w:ind w:left="500"/>
              <w:spacing w:after="0"/>
              <w:rPr>
                <w:sz w:val="20"/>
                <w:szCs w:val="20"/>
                <w:color w:val="auto"/>
              </w:rPr>
            </w:pPr>
            <w:r>
              <w:rPr>
                <w:rFonts w:ascii="Arial" w:cs="Arial" w:eastAsia="Arial" w:hAnsi="Arial"/>
                <w:sz w:val="18"/>
                <w:szCs w:val="18"/>
                <w:color w:val="auto"/>
              </w:rPr>
              <w:t>Pension and other postretirement income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and other postretirement benefit payments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8340" w:type="dxa"/>
            <w:vAlign w:val="bottom"/>
          </w:tcPr>
          <w:p>
            <w:pPr>
              <w:ind w:left="500"/>
              <w:spacing w:after="0"/>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63"/>
        </w:trPr>
        <w:tc>
          <w:tcPr>
            <w:tcW w:w="8340" w:type="dxa"/>
            <w:vAlign w:val="bottom"/>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7"/>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6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7"/>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64"/>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r>
      <w:tr>
        <w:trPr>
          <w:trHeight w:val="257"/>
        </w:trPr>
        <w:tc>
          <w:tcPr>
            <w:tcW w:w="83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cash provided by (used for) operating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4,283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disposals of property, plant and equipment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investments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Decrease in investments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4,634</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paid for acquisitions, net of cash acquired</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r>
      <w:tr>
        <w:trPr>
          <w:trHeight w:val="257"/>
        </w:trPr>
        <w:tc>
          <w:tcPr>
            <w:tcW w:w="83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cash provided by (used for) investing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commercial paper and other short-term borrowings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19,300</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commercial paper and other short-term borrowings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(19,153)</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of long-term debt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Pre-separation funding</w:t>
            </w: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1,604</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9,287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7,059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10,908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9,803</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420"/>
          </w:cols>
          <w:pgMar w:left="240" w:top="796" w:right="239" w:bottom="89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894"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Shareowners'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796" w:right="239" w:bottom="1440" w:gutter="0" w:footer="0" w:header="0"/>
        </w:sectPr>
      </w:pPr>
    </w:p>
    <w:p>
      <w:pPr>
        <w:spacing w:after="0" w:line="213"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26035</wp:posOffset>
            </wp:positionV>
            <wp:extent cx="2109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5360"/>
        <w:spacing w:after="0"/>
        <w:tabs>
          <w:tab w:leader="none" w:pos="70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26035</wp:posOffset>
            </wp:positionV>
            <wp:extent cx="2109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26035</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ind w:left="180"/>
        <w:spacing w:after="0"/>
        <w:tabs>
          <w:tab w:leader="none" w:pos="18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26035</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880" w:space="720"/>
            <w:col w:w="282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r>
      <w:tr>
        <w:trPr>
          <w:trHeight w:val="237"/>
        </w:trPr>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7"/>
          </w:tcPr>
          <w:p>
            <w:pPr>
              <w:jc w:val="right"/>
              <w:spacing w:after="0"/>
              <w:rPr>
                <w:sz w:val="20"/>
                <w:szCs w:val="20"/>
                <w:color w:val="auto"/>
              </w:rPr>
            </w:pPr>
            <w:r>
              <w:rPr>
                <w:rFonts w:ascii="Arial" w:cs="Arial" w:eastAsia="Arial" w:hAnsi="Arial"/>
                <w:sz w:val="14"/>
                <w:szCs w:val="14"/>
                <w:b w:val="1"/>
                <w:bCs w:val="1"/>
                <w:color w:val="auto"/>
              </w:rPr>
              <w:t>(Dollars in millions, except per share amounts)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 par value</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6,212</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Issued for employee savings and option plans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0"/>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6,806</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6,398</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6,806</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6,398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(15,914)</w:t>
            </w:r>
          </w:p>
        </w:tc>
      </w:tr>
      <w:tr>
        <w:trPr>
          <w:trHeight w:val="277"/>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Reacquired stock or repurchases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r>
      <w:tr>
        <w:trPr>
          <w:trHeight w:val="264"/>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Issued for employee savings and option plans</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35,741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29,331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33,978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27,481</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Adoption of new accounting standards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7"/>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attributable to Honeywell</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5,044</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Dividends on common stock</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Redemption value adjustment</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31,110</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31,110</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(2,235)</w:t>
            </w:r>
          </w:p>
        </w:tc>
      </w:tr>
      <w:tr>
        <w:trPr>
          <w:trHeight w:val="277"/>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exchange translation adjustment</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29"/>
        </w:trPr>
        <w:tc>
          <w:tcPr>
            <w:tcW w:w="4700" w:type="dxa"/>
            <w:vAlign w:val="bottom"/>
          </w:tcPr>
          <w:p>
            <w:pPr>
              <w:ind w:left="320"/>
              <w:spacing w:after="0"/>
              <w:rPr>
                <w:sz w:val="20"/>
                <w:szCs w:val="20"/>
                <w:color w:val="auto"/>
              </w:rPr>
            </w:pPr>
            <w:r>
              <w:rPr>
                <w:rFonts w:ascii="Arial" w:cs="Arial" w:eastAsia="Arial" w:hAnsi="Arial"/>
                <w:sz w:val="18"/>
                <w:szCs w:val="18"/>
                <w:color w:val="auto"/>
              </w:rPr>
              <w:t>Pensions and other postretirement benefit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fair value of cash flow hedges</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277"/>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 divestitures, and other</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Net income attributable to noncontrolling interest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7"/>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exchange translation adjustment</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Dividends paid</w:t>
            </w: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9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shareowners' equity</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4"/>
                <w:szCs w:val="24"/>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18,306</w:t>
            </w:r>
          </w:p>
        </w:tc>
        <w:tc>
          <w:tcPr>
            <w:tcW w:w="780" w:type="dxa"/>
            <w:vAlign w:val="bottom"/>
            <w:gridSpan w:val="2"/>
          </w:tcPr>
          <w:p>
            <w:pPr>
              <w:jc w:val="right"/>
              <w:ind w:right="22"/>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4"/>
                <w:szCs w:val="24"/>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18,416</w:t>
            </w:r>
          </w:p>
        </w:tc>
        <w:tc>
          <w:tcPr>
            <w:tcW w:w="780" w:type="dxa"/>
            <w:vAlign w:val="bottom"/>
            <w:gridSpan w:val="2"/>
          </w:tcPr>
          <w:p>
            <w:pPr>
              <w:jc w:val="right"/>
              <w:ind w:right="19"/>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18,306</w:t>
            </w:r>
          </w:p>
        </w:tc>
        <w:tc>
          <w:tcPr>
            <w:tcW w:w="780" w:type="dxa"/>
            <w:vAlign w:val="bottom"/>
            <w:gridSpan w:val="2"/>
          </w:tcPr>
          <w:p>
            <w:pPr>
              <w:jc w:val="right"/>
              <w:ind w:right="19"/>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18,416</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per share of common stock</w:t>
            </w: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  0.820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  0.745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  2.460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  2.235</w:t>
            </w:r>
          </w:p>
        </w:tc>
      </w:tr>
      <w:tr>
        <w:trPr>
          <w:trHeight w:val="20"/>
        </w:trPr>
        <w:tc>
          <w:tcPr>
            <w:tcW w:w="5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1"/>
        </w:trPr>
        <w:tc>
          <w:tcPr>
            <w:tcW w:w="9720" w:type="dxa"/>
            <w:vAlign w:val="bottom"/>
            <w:gridSpan w:val="12"/>
          </w:tcPr>
          <w:p>
            <w:pPr>
              <w:ind w:left="2480"/>
              <w:spacing w:after="0"/>
              <w:rPr>
                <w:sz w:val="20"/>
                <w:szCs w:val="20"/>
                <w:color w:val="auto"/>
              </w:rPr>
            </w:pPr>
            <w:r>
              <w:rPr>
                <w:rFonts w:ascii="Arial" w:cs="Arial" w:eastAsia="Arial" w:hAnsi="Arial"/>
                <w:sz w:val="18"/>
                <w:szCs w:val="18"/>
                <w:color w:val="auto"/>
              </w:rPr>
              <w:t>Notes to Consolidated Financial Statements are an integral part of this statement.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59"/>
        </w:trPr>
        <w:tc>
          <w:tcPr>
            <w:tcW w:w="4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4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September 30, 2019 and December 31, 2018, the cash flows for the nine months ended September 30, 2019 and 2018 and the results of operations for the three and nine months ended September 30, 2019 and 2018. The results of operations for the three and nine months ended September 30, 2019 and cash flows for the nine months ended September 30, 2019 should not necessarily be taken as indicative of the entire year.</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nine months ended September 30, 2019 and 2018 were September 28, 2019 and September 29, 2018.</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October 1, 2018, the Company completed the tax-free spin-off to Honeywell shareowners of its Transportation Systems business, previously part of Aerospace, into a standalone publicly-traded company, Garrett Motion Inc. (“Garrett”). On October 29, 2018, the Company completed the tax-free spin-off to Honeywell shareowners of its Homes and Global Distribution business, previously part of Home and Building Technologies (renamed Honeywell Building Technologies following the spin-off), into a standalone publicly-traded company, Resideo Technologies, Inc. (“Resideo”). The assets and liabilities associated with Garrett and Resideo have been removed from the Company’s Consolidated Balance Sheet as of the effective dates of the respective spin-offs. The results of operations for Garrett and Resideo are included in the Consolidated Statement of Operations through the effective dates of the respective spin-offs.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accounting policies of the Company are set forth in Note 1 to Consolidated Financial Statements contained in the Company’s 2018 Annual Report on Form 10-K. We include herein certain updates to those policies.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year amounts have been reclassified to conform to the current year presentation.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—At the inception of a contract, we assess whether the contract is, or contains, a lease. The assessment is based on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the contract involves the use of a distinct identified asset, (2) whether the Company obtains the right to substantially all the economic benefit from the use of the asset throughout the period, and (3) whether the Company has the right to direct the use of the asset.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 term leases) and we recognize lease expense for these leases as incurred over the lease term.</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asset also includes any lease payments related to initial direct cost and prepayments and excludes lease incentives. Lease expense is recognized on a straight-line basis over the lease term. We have lease agreements with lease and non-lease components, which are generally accounted for separately.</w:t>
      </w:r>
    </w:p>
    <w:p>
      <w:pPr>
        <w:spacing w:after="0" w:line="21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We primarily use our incremental borrowing rate, which is based on the information available at the lease commencement date, in determining the present value of the lease payments. In determining the borrowing rate, we consider the lease term, secured incremental borrowing rate, and for leases denominated in a currency different than U.S. dollar, the collateralized borrowing rate in the foreign currency using the U.S. dollar and foreign currency swap spread, when availab</w:t>
      </w:r>
      <w:r>
        <w:rPr>
          <w:rFonts w:ascii="Arial" w:cs="Arial" w:eastAsia="Arial" w:hAnsi="Arial"/>
          <w:sz w:val="19"/>
          <w:szCs w:val="19"/>
          <w:color w:val="auto"/>
        </w:rPr>
        <w:t>le.</w:t>
      </w:r>
    </w:p>
    <w:p>
      <w:pPr>
        <w:spacing w:after="0" w:line="16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—We consider the applicability and impact of all Accounting Standards Updates (ASUs)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Financial Accounting Standards Board (FASB). ASUs not yet adopted that are not listed below were assessed and determined to be either not applicable or are expected to have minimal impact on our consolidated result of operations, financial position and cash flows.</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February 2018, the FASB issued guidance that allows for an entity to elect to reclassify from accumulated other comprehensive income to retained earnings the income tax effects on items resulting from what is commonly referred to as the U.S. Tax Cuts and Jobs Act (“U.S. Tax Reform”). The guidance is effective for fiscal years beginning after December 15, 2018 with early adoption permitted, including interim periods within those years. The Company has elected to not reclassify the stranded income tax effects of U.S. Tax Reform from accumulated other comprehensive income to retained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88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Exit costs</w:t>
            </w: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Reserve adjustments</w:t>
            </w: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repositioning charge</w:t>
            </w:r>
          </w:p>
        </w:tc>
        <w:tc>
          <w:tcPr>
            <w:tcW w:w="8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50"/>
        </w:trPr>
        <w:tc>
          <w:tcPr>
            <w:tcW w:w="6020" w:type="dxa"/>
            <w:vAlign w:val="bottom"/>
          </w:tcPr>
          <w:p>
            <w:pPr>
              <w:ind w:left="40"/>
              <w:spacing w:after="0"/>
              <w:rPr>
                <w:sz w:val="20"/>
                <w:szCs w:val="20"/>
                <w:color w:val="auto"/>
              </w:rPr>
            </w:pPr>
            <w:r>
              <w:rPr>
                <w:rFonts w:ascii="Arial" w:cs="Arial" w:eastAsia="Arial" w:hAnsi="Arial"/>
                <w:sz w:val="18"/>
                <w:szCs w:val="18"/>
                <w:color w:val="auto"/>
              </w:rPr>
              <w:t>Asbestos related litigation charges, net of insurance and indemnities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3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Probable and reasonably estimable environmental liabilities, net of</w:t>
            </w: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indemnities</w:t>
            </w: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w:t>
            </w: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756</w:t>
            </w:r>
          </w:p>
        </w:tc>
      </w:tr>
      <w:tr>
        <w:trPr>
          <w:trHeight w:val="20"/>
        </w:trPr>
        <w:tc>
          <w:tcPr>
            <w:tcW w:w="6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and services sold</w:t>
            </w:r>
          </w:p>
        </w:tc>
        <w:tc>
          <w:tcPr>
            <w:tcW w:w="226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2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88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Safety and Productivity Solutions</w:t>
            </w:r>
          </w:p>
        </w:tc>
        <w:tc>
          <w:tcPr>
            <w:tcW w:w="88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52</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8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r>
      <w:tr>
        <w:trPr>
          <w:trHeight w:val="250"/>
        </w:trPr>
        <w:tc>
          <w:tcPr>
            <w:tcW w:w="6020" w:type="dxa"/>
            <w:vAlign w:val="bottom"/>
          </w:tcPr>
          <w:p>
            <w:pPr>
              <w:spacing w:after="0"/>
              <w:rPr>
                <w:sz w:val="21"/>
                <w:szCs w:val="21"/>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756</w:t>
            </w:r>
          </w:p>
        </w:tc>
      </w:tr>
      <w:tr>
        <w:trPr>
          <w:trHeight w:val="20"/>
        </w:trPr>
        <w:tc>
          <w:tcPr>
            <w:tcW w:w="6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quarter ended September 30, 2019, we recognized gross repositioning charges totaling $89 million including severance costs of $41 million related to workforce reductions of 1,123 manufacturing and administrative positions across our segments. The workforce reductions were primarily related to cost savings actions taken in connection with our productivity and ongoing functional transformation initiatives. The repositioning charges included exit costs of $33 million primarily related to termination fees associated with the early cancellation of supply agreements for certain raw materials in Performance Materials and Technologies and Honeywell Building Technologies and current period exit costs incurred for previously approved repositioning projects.</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quarter ended September 30, 2018, we recognized gross repositioning charges totaling $73 million including severance costs of $39 million related to workforce reductions of 816 manufacturing and administrative positions across our segments. The workforce reductions were primarily related to site transitions, mainly in Safety and Productivity Solutions and Performance Materials and Technologies, to more cost-effective locations. The repositioning charges included asset impairments of $26 million primarily due to the write-off of certain capitalized assets in Corporate and manufacturing equipment associated with a site transition in Performance Materials and Technologies.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nine months ended September 30, 2019, we recognized gross repositioning charges totaling $235 million including severance costs of $147 million related to workforce reductions of 3,436 manufacturing and administrative positions across our segments. The workforce reductions were primarily related to cost savings actions taken in connection with our productivity and ongoing functional transformation initiatives and to site transitions in Aerospace to more cost-effective locations. The repositioning charges included exit costs of $62 million primarily related to current period exit costs incurred for previously approved repositioning projects, termination fees associated with the early cancellation of supply agreements for certain raw materials in Performance Materials and Technologies and Honeywell Building Technologies and closure obligations associated with site transitions.</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nine months ended September 30, 2018, we recognized gross repositioning charges totaling $222 million including severance costs of $100 million related to workforce reductions of 2,700 manufacturing and administrative positions across our segments. The workforce reductions were primarily related to site transitions, mainly in Safety and Productivity Solutions, Performance Materials and Technologies and Aerospace, to more cost-effective locations and to cost savings actions taken in connection with our productivity and ongoing functional transformation initiatives. The repositioning charges included asset impairments of $74 million primarily related to the write-down of a legacy property in Corporate in connection with its planned disposition, and the write-off of certain capitalized assets in Corporate and manufacturing equipment associated with a site transition in Performance Materials and Technologies. The repositioning charges included exit costs of $ 48 million primarily related to a termination fee associated with the early cancellation of a supply agreement for certain raw materials in Performance Materials and Technologies.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4"/>
                <w:szCs w:val="14"/>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Charges</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 - cash</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Usage - noncash</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704"/>
        <w:spacing w:after="0" w:line="262"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the quarter and nine months ended September 30, 2019 and 2018 were not significant.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Pension ongoing income – non-service</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postretirement income – non-service</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Equity income of affiliated companies</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(gain) on sale of non-strategic business and assets</w:t>
            </w:r>
          </w:p>
        </w:tc>
        <w:tc>
          <w:tcPr>
            <w:tcW w:w="8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Separation costs</w:t>
            </w:r>
          </w:p>
        </w:tc>
        <w:tc>
          <w:tcPr>
            <w:tcW w:w="8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r>
      <w:tr>
        <w:trPr>
          <w:trHeight w:val="250"/>
        </w:trPr>
        <w:tc>
          <w:tcPr>
            <w:tcW w:w="6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0"/>
        </w:trPr>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Separation costs are associated with the spin-offs of our Homes and Global Distribution business and Transportation Systems business, and are primarily associated with third party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 increased for the quarter and nine months ended September 30, 2019 compared to the quarter and nine months ended September 30, 2018 primarily due to lower tax benefits (reduction of accrued withholding taxes of approximately $114 million in 2019 and approximately $1.1 billion in 2018 related to unremitted foreign earnings), partially offset by $432 million of tax costs incurred in 2018 related to the spin-offs. Other changes to the tax rate include increased tax benefits for employee share-based compensation, and lower forecasted Global Intangible Low Taxed Income tax expense in the current year.</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effective tax rate for the quarter and nine months ended September 30, 2019 was lower than the U.S. federal statutory rate of 21% primarily due to the reduction of withholding taxes related to unremitted foreign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66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5580" w:type="dxa"/>
            <w:vAlign w:val="bottom"/>
            <w:gridSpan w:val="3"/>
          </w:tcPr>
          <w:p>
            <w:pPr>
              <w:ind w:left="4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5,044</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717.6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746.0</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6.76</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18"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66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5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5,044</w:t>
            </w:r>
          </w:p>
        </w:tc>
      </w:tr>
      <w:tr>
        <w:trPr>
          <w:trHeight w:val="230"/>
        </w:trPr>
        <w:tc>
          <w:tcPr>
            <w:tcW w:w="5580" w:type="dxa"/>
            <w:vAlign w:val="bottom"/>
            <w:gridSpan w:val="4"/>
          </w:tcPr>
          <w:p>
            <w:pPr>
              <w:ind w:left="40"/>
              <w:spacing w:after="0"/>
              <w:rPr>
                <w:sz w:val="20"/>
                <w:szCs w:val="20"/>
                <w:color w:val="auto"/>
              </w:rPr>
            </w:pPr>
            <w:r>
              <w:rPr>
                <w:rFonts w:ascii="Arial" w:cs="Arial" w:eastAsia="Arial" w:hAnsi="Arial"/>
                <w:sz w:val="14"/>
                <w:szCs w:val="14"/>
                <w:b w:val="1"/>
                <w:bCs w:val="1"/>
                <w:color w:val="auto"/>
              </w:rPr>
              <w:t>Average Shares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0"/>
        </w:trPr>
        <w:tc>
          <w:tcPr>
            <w:tcW w:w="5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746.0</w:t>
            </w:r>
          </w:p>
        </w:tc>
      </w:tr>
      <w:tr>
        <w:trPr>
          <w:trHeight w:val="264"/>
        </w:trPr>
        <w:tc>
          <w:tcPr>
            <w:tcW w:w="55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Dilutive securities issuable - stock plans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r>
      <w:tr>
        <w:trPr>
          <w:trHeight w:val="257"/>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weighted average shares outstanding</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726.7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756.0</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Earnings per share of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6.67</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nine months ended September 30, 2019, the weighted average number of stock options excluded from the computations were 2.9 million and 3.2 million. For the three and nine months ended September 30, 2018, the weighted average number of stock options excluded from the computations were 3.0 million and 2.4 million. These stock options were outstanding at the end of each of the respective periods.</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of September 30, 2019 and 2018, total shares outstanding were 714.5 million and 740.3 million and as of September 30, 2019 and 2018, total shares issued were 957.6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 and Contracts with Customers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Honeywell has a comprehensive offering of products and services, including software and technologies, that are sold to a variety of customers in multiple end markets. See the following table and related discussions by operating segment for details.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6"/>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Commercial Aviation Original Equipment</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2,131</w:t>
            </w:r>
          </w:p>
        </w:tc>
      </w:tr>
      <w:tr>
        <w:trPr>
          <w:trHeight w:val="277"/>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Commercial Aviation Aftermarket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3,964</w:t>
            </w: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Defense and Space</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3,348</w:t>
            </w:r>
          </w:p>
        </w:tc>
      </w:tr>
      <w:tr>
        <w:trPr>
          <w:trHeight w:val="270"/>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Transportation Systems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2,622</w:t>
            </w:r>
          </w:p>
        </w:tc>
      </w:tr>
      <w:tr>
        <w:trPr>
          <w:trHeight w:val="250"/>
        </w:trPr>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4,030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10,393</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12,065</w:t>
            </w:r>
          </w:p>
        </w:tc>
      </w:tr>
      <w:tr>
        <w:trPr>
          <w:trHeight w:val="216"/>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Honeywell Building Technologies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Homes Products and Software</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1,554</w:t>
            </w:r>
          </w:p>
        </w:tc>
      </w:tr>
      <w:tr>
        <w:trPr>
          <w:trHeight w:val="277"/>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Distribution (ADI)</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1,985</w:t>
            </w: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Products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2,188</w:t>
            </w:r>
          </w:p>
        </w:tc>
      </w:tr>
      <w:tr>
        <w:trPr>
          <w:trHeight w:val="270"/>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Building Solutions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1,769</w:t>
            </w:r>
          </w:p>
        </w:tc>
      </w:tr>
      <w:tr>
        <w:trPr>
          <w:trHeight w:val="250"/>
        </w:trPr>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7,496</w:t>
            </w:r>
          </w:p>
        </w:tc>
      </w:tr>
      <w:tr>
        <w:trPr>
          <w:trHeight w:val="216"/>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UOP</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2,012</w:t>
            </w:r>
          </w:p>
        </w:tc>
      </w:tr>
      <w:tr>
        <w:trPr>
          <w:trHeight w:val="277"/>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Process Solutions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3,712</w:t>
            </w: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847</w:t>
            </w:r>
          </w:p>
        </w:tc>
      </w:tr>
      <w:tr>
        <w:trPr>
          <w:trHeight w:val="270"/>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Fluorine Products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1,301</w:t>
            </w:r>
          </w:p>
        </w:tc>
      </w:tr>
      <w:tr>
        <w:trPr>
          <w:trHeight w:val="250"/>
        </w:trPr>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2,670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7,977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7,872</w:t>
            </w:r>
          </w:p>
        </w:tc>
      </w:tr>
      <w:tr>
        <w:trPr>
          <w:trHeight w:val="216"/>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Safety and Productivity Solutions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Safety and Retail</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1,680</w:t>
            </w:r>
          </w:p>
        </w:tc>
      </w:tr>
      <w:tr>
        <w:trPr>
          <w:trHeight w:val="277"/>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Productivity Products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Warehouse and Workflow Solutions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1,299</w:t>
            </w:r>
          </w:p>
        </w:tc>
      </w:tr>
      <w:tr>
        <w:trPr>
          <w:trHeight w:val="270"/>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Sensing &amp; Internet-of-Things (IoT)</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r>
      <w:tr>
        <w:trPr>
          <w:trHeight w:val="250"/>
        </w:trPr>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4,589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4,640</w:t>
            </w:r>
          </w:p>
        </w:tc>
      </w:tr>
      <w:tr>
        <w:trPr>
          <w:trHeight w:val="257"/>
        </w:trPr>
        <w:tc>
          <w:tcPr>
            <w:tcW w:w="6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32,073</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 Products include aircraft propulsion engines, auxiliary</w:t>
      </w:r>
      <w:r>
        <w:rPr>
          <w:rFonts w:ascii="Arial" w:cs="Arial" w:eastAsia="Arial" w:hAnsi="Arial"/>
          <w:sz w:val="18"/>
          <w:szCs w:val="18"/>
          <w:b w:val="1"/>
          <w:bCs w:val="1"/>
          <w:color w:val="auto"/>
        </w:rPr>
        <w:t xml:space="preserve"> </w:t>
      </w:r>
      <w:r>
        <w:rPr>
          <w:rFonts w:ascii="Arial" w:cs="Arial" w:eastAsia="Arial" w:hAnsi="Arial"/>
          <w:sz w:val="18"/>
          <w:szCs w:val="18"/>
          <w:color w:val="auto"/>
        </w:rPr>
        <w:t>power units, environmental control systems, integrated avionics, electric power systems, hardware for engine controls, flight safety, communications and navigation, satellite and space components, aircraft wheels and brakes, and thermal systems. Software includes engine controls, flight safety, communications, navigation, radar and surveillance systems, internet connectivity and aircraft instrumentation. Services are provided to customers for the repair, overhaul, retrofit and modification of propulsion engines, auxiliary power units, avionics and mechanical systems and aircraft wheels and brakes.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for buildings.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controls and displays for heating, cooling, indoor air quality, ventilation, humidification, combustion, and lighting; sensors, switches, control systems and instruments for measuring pressure, air flow, temperature and electrical current; access control; video surveillance; fire detection; and installation, maintenance and upgrades of systems that keep buildings safe, comfortable and productive. Software includes monitoring and managing heating, cooling, indoor air quality, ventilation, humidification, combustion, and lighting; advanced applications for building control and optimization; video surveillance; and remote patient monitoring systems. Installation, maintenance and upgrade services of products used in commercial building applications for heating, cooling, maintaining indoor air quality, ventilation, humidification, combustion, lighting, video surveillance and fire safety.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of products, software, solutions and technologies. Products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catalysts, adsorbents, equipment and high-performance materials, devices for measurement, regulation, control and metering of gases and electricity, and metering and communications systems for water utilities and industries. Software is provided to support process technologies supporting automation and to monitor a variety of industrial processes used in industries such as oil and gas, chemicals, petrochemicals, metals, minerals and mining industries. Services are provided for installation and maintenance of products.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software and solutions. Products include personal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and footwear, gas detection devices, mobile computing, data collection and thermal printing devices, automation equipment for supply chain and warehouse automation and custom-engineered sensors, switches and controls. Software and solutions are provided to customers for supply chain and warehouse automation, to manage data and assets to drive productivity and for computing, data collection and thermal printing.</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For a summary by disaggregated product and services sales for each segment, refer to Note 14 </w:t>
      </w:r>
      <w:r>
        <w:rPr>
          <w:rFonts w:ascii="Arial" w:cs="Arial" w:eastAsia="Arial" w:hAnsi="Arial"/>
          <w:sz w:val="18"/>
          <w:szCs w:val="18"/>
          <w:i w:val="1"/>
          <w:iCs w:val="1"/>
          <w:color w:val="auto"/>
        </w:rPr>
        <w:t>Segment Financial Data</w:t>
      </w:r>
      <w:r>
        <w:rPr>
          <w:rFonts w:ascii="Arial" w:cs="Arial" w:eastAsia="Arial" w:hAnsi="Arial"/>
          <w:sz w:val="18"/>
          <w:szCs w:val="18"/>
          <w:color w:val="auto"/>
        </w:rPr>
        <w:t xml:space="preserve"> of Notes to Consolidated Financial Statements.</w:t>
      </w:r>
    </w:p>
    <w:p>
      <w:pPr>
        <w:spacing w:after="0" w:line="180"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recognize revenue arising from performance obligations outlined in contracts with our customers that are satisfied at a point in time and over time. The disaggregation of our revenue based off timing of recognition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8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5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Products, transferred point in time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64"/>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Products, transferred over time</w:t>
            </w:r>
          </w:p>
        </w:tc>
        <w:tc>
          <w:tcPr>
            <w:tcW w:w="8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r>
      <w:tr>
        <w:trPr>
          <w:trHeight w:val="257"/>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79</w:t>
            </w:r>
          </w:p>
        </w:tc>
      </w:tr>
      <w:tr>
        <w:trPr>
          <w:trHeight w:val="26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Services, transferred point in time</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8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r>
      <w:tr>
        <w:trPr>
          <w:trHeight w:val="250"/>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service sales</w:t>
            </w:r>
          </w:p>
        </w:tc>
        <w:tc>
          <w:tcPr>
            <w:tcW w:w="8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r>
      <w:tr>
        <w:trPr>
          <w:trHeight w:val="257"/>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Progress on satisfying performance obligations under contracts with customers and the related billings and cash collections are recorded on the Consolidated Balance Sheet in Accounts receivable - net and Other assets (the current and noncurrent portions, respectively, of unbilled receivables (contract assets) and billed receivables) and Accrued liabilities and Other liabilities (the current and noncurrent portions, respectively, of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 assets and liabilities balances: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assets - Beginning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1,548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1,721</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 assets - September 30</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1,812</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1,689</w:t>
            </w: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contract assets - increase (decrease)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Beginning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 liabilities - September 30</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contract liabilities - decrease (increase)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454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net change for the nine months ended September 30, 2019 was primarily driven by the recognition of revenue as performance obligations were satisfied prior to billing and exceeded receipt of advance payments from customers. The net change for the nine months ended September 30, 2018 was due primarily to customer payments received exceeding the related revenue recognition upon the completion of the underlying performance obligations to the customer.</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three and nine months ended September 30, 2019, we recognized revenue of $215 million and $1,195 million that was previously included in the beginning balance of contract liabilities. For the three and nine months ended September 30, 2018, we recognized revenue of $122 million and $1,023 million that was previously included in the beginning balance of contract liabilities.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2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5"/>
        </w:trPr>
        <w:tc>
          <w:tcPr>
            <w:tcW w:w="10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Honeywell International Inc.</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9"/>
        </w:trPr>
        <w:tc>
          <w:tcPr>
            <w:tcW w:w="10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75"/>
        </w:trPr>
        <w:tc>
          <w:tcPr>
            <w:tcW w:w="10040" w:type="dxa"/>
            <w:vAlign w:val="bottom"/>
          </w:tcPr>
          <w:p>
            <w:pPr>
              <w:ind w:left="660"/>
              <w:spacing w:after="0"/>
              <w:rPr>
                <w:sz w:val="20"/>
                <w:szCs w:val="20"/>
                <w:color w:val="auto"/>
              </w:rPr>
            </w:pPr>
            <w:r>
              <w:rPr>
                <w:rFonts w:ascii="Arial" w:cs="Arial" w:eastAsia="Arial" w:hAnsi="Arial"/>
                <w:sz w:val="18"/>
                <w:szCs w:val="18"/>
                <w:color w:val="auto"/>
              </w:rPr>
              <w:t>The following table outlines our performance obligations disaggregated by segment: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0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10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56"/>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11,412</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1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5,558</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6,320</w:t>
            </w:r>
          </w:p>
        </w:tc>
      </w:tr>
      <w:tr>
        <w:trPr>
          <w:trHeight w:val="250"/>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Safety and Productivity Solutions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1,839</w:t>
            </w:r>
          </w:p>
        </w:tc>
      </w:tr>
      <w:tr>
        <w:trPr>
          <w:trHeight w:val="250"/>
        </w:trPr>
        <w:tc>
          <w:tcPr>
            <w:tcW w:w="10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25,129</w:t>
            </w:r>
          </w:p>
        </w:tc>
      </w:tr>
      <w:tr>
        <w:trPr>
          <w:trHeight w:val="20"/>
        </w:trPr>
        <w:tc>
          <w:tcPr>
            <w:tcW w:w="10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obligations recognized as of September 30, 2019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57% and 43%, respectively.</w:t>
      </w:r>
    </w:p>
    <w:p>
      <w:pPr>
        <w:spacing w:after="0" w:line="20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timing of satisfaction of our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 - Net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8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7,705</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 Allowance for doubtful accounts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7,508</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Trade receivables include $1,796 million and $1,543 million of unbilled balances under long-term contracts as of September 30, 2019 and December 31, 2018. These amounts are billed in accordance with the terms of the customer contracts to which they relate.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8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811</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2,445</w:t>
            </w:r>
          </w:p>
        </w:tc>
      </w:tr>
      <w:tr>
        <w:trPr>
          <w:trHeight w:val="250"/>
        </w:trPr>
        <w:tc>
          <w:tcPr>
            <w:tcW w:w="8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4,365</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Reduction to LIFO cost basis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0"/>
        </w:trPr>
        <w:tc>
          <w:tcPr>
            <w:tcW w:w="85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4,326</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January 1, 2019, the Company adopted the new lease accounting standard using the modified retrospective method of applying the new standard at the adoption date. In addition, we elected the package of practical expedients permitted under the transition guidance within the new standard. This allowed us to carry forward the historical lease classification. Adoption of this standard resulted in the recording of net operating lease right-of-use (ROU) assets and corresponding operating lease liabilities of $0.7 billion. Financial position for reporting periods beginning on or after January 1, 2019 are presented under the new guidance, while prior periods amounts are not adjusted and continue to be reported in accordance with previous guidance.</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significant portion of our operating and finance lease portfolio includes corporate offices, research and development facilities, manufacturing sites, information technology (IT) equipment, and automobiles. The majority of our leases have remaining lease terms of 1 year to 20 years, some of which include options to extend the leases for 5 years or more. Operating lease ROU assets are presented within Other assets. The current portion of operating lease liabilities are presented within Accrued liabilities, and the non-current portion of operating lease liabilities are presented within Other liabilities on the Consolidated Balance Sheet. Finance lease assets are included in Property, plant and equipment - net, and the finance lease obligations are included in Current maturities of long-term debt, and in Long-term debt on the Consolidated Balance Sheet.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portion of our real estate leases is generally subject to annual changes in the Consumer Price Index (CPI). The changes to the CPI are treated as variable lease payments and recognized in the period in which the obligation for those payments was incurred. In addition, a subset of our automobile leases is considered variable. The variable lease payments for such automobiles leases are based on actual mileage incurred at the stated contractual rate and recognized in the period in which the obligation for those payments was incurred.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220" w:type="dxa"/>
            <w:vAlign w:val="bottom"/>
          </w:tcPr>
          <w:p>
            <w:pPr>
              <w:jc w:val="center"/>
              <w:ind w:right="77"/>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20" w:type="dxa"/>
            <w:vAlign w:val="bottom"/>
          </w:tcPr>
          <w:p>
            <w:pPr>
              <w:jc w:val="center"/>
              <w:ind w:right="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4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4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4420" w:type="dxa"/>
            <w:vAlign w:val="bottom"/>
          </w:tcPr>
          <w:p>
            <w:pPr>
              <w:ind w:left="280"/>
              <w:spacing w:after="0"/>
              <w:rPr>
                <w:sz w:val="20"/>
                <w:szCs w:val="20"/>
                <w:color w:val="auto"/>
              </w:rPr>
            </w:pPr>
            <w:r>
              <w:rPr>
                <w:rFonts w:ascii="Arial" w:cs="Arial" w:eastAsia="Arial" w:hAnsi="Arial"/>
                <w:sz w:val="18"/>
                <w:szCs w:val="18"/>
                <w:color w:val="auto"/>
              </w:rPr>
              <w:t>Financing lease cost:</w:t>
            </w:r>
          </w:p>
        </w:tc>
        <w:tc>
          <w:tcPr>
            <w:tcW w:w="4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right-of-use assets</w:t>
            </w:r>
          </w:p>
        </w:tc>
        <w:tc>
          <w:tcPr>
            <w:tcW w:w="4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Interest on lease liability</w:t>
            </w:r>
          </w:p>
        </w:tc>
        <w:tc>
          <w:tcPr>
            <w:tcW w:w="4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financing lease cost</w:t>
            </w:r>
          </w:p>
        </w:tc>
        <w:tc>
          <w:tcPr>
            <w:tcW w:w="4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4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140" w:type="dxa"/>
            <w:vAlign w:val="bottom"/>
            <w:vMerge w:val="restart"/>
          </w:tcPr>
          <w:p>
            <w:pPr>
              <w:jc w:val="right"/>
              <w:ind w:right="265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5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2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2019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September 30, 2019</w:t>
            </w:r>
          </w:p>
        </w:tc>
      </w:tr>
      <w:tr>
        <w:trPr>
          <w:trHeight w:val="256"/>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63"/>
        </w:trPr>
        <w:tc>
          <w:tcPr>
            <w:tcW w:w="7280" w:type="dxa"/>
            <w:vAlign w:val="bottom"/>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7"/>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cash flows from finance leases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63"/>
        </w:trPr>
        <w:tc>
          <w:tcPr>
            <w:tcW w:w="7280" w:type="dxa"/>
            <w:vAlign w:val="bottom"/>
          </w:tcPr>
          <w:p>
            <w:pPr>
              <w:ind w:left="280"/>
              <w:spacing w:after="0"/>
              <w:rPr>
                <w:sz w:val="20"/>
                <w:szCs w:val="20"/>
                <w:color w:val="auto"/>
              </w:rPr>
            </w:pPr>
            <w:r>
              <w:rPr>
                <w:rFonts w:ascii="Arial" w:cs="Arial" w:eastAsia="Arial" w:hAnsi="Arial"/>
                <w:sz w:val="18"/>
                <w:szCs w:val="18"/>
                <w:color w:val="auto"/>
              </w:rPr>
              <w:t>Financing cash flows from finance leases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72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7"/>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594"/>
        </w:trPr>
        <w:tc>
          <w:tcPr>
            <w:tcW w:w="7280" w:type="dxa"/>
            <w:vAlign w:val="bottom"/>
          </w:tcPr>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9"/>
        </w:trPr>
        <w:tc>
          <w:tcPr>
            <w:tcW w:w="72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rPr>
              <w:t>September 30, 2019</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50"/>
        </w:trPr>
        <w:tc>
          <w:tcPr>
            <w:tcW w:w="7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677</w:t>
            </w:r>
          </w:p>
        </w:tc>
      </w:tr>
      <w:tr>
        <w:trPr>
          <w:trHeight w:val="257"/>
        </w:trPr>
        <w:tc>
          <w:tcPr>
            <w:tcW w:w="7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8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176</w:t>
            </w:r>
          </w:p>
        </w:tc>
      </w:tr>
      <w:tr>
        <w:trPr>
          <w:trHeight w:val="250"/>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535</w:t>
            </w:r>
          </w:p>
        </w:tc>
      </w:tr>
      <w:tr>
        <w:trPr>
          <w:trHeight w:val="25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711</w:t>
            </w: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Financing leases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321</w:t>
            </w:r>
          </w:p>
        </w:tc>
      </w:tr>
      <w:tr>
        <w:trPr>
          <w:trHeight w:val="250"/>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Accumulated depreciation</w:t>
            </w:r>
          </w:p>
        </w:tc>
        <w:tc>
          <w:tcPr>
            <w:tcW w:w="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r>
      <w:tr>
        <w:trPr>
          <w:trHeight w:val="25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196</w:t>
            </w:r>
          </w:p>
        </w:tc>
      </w:tr>
      <w:tr>
        <w:trPr>
          <w:trHeight w:val="250"/>
        </w:trPr>
        <w:tc>
          <w:tcPr>
            <w:tcW w:w="728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50</w:t>
            </w:r>
          </w:p>
        </w:tc>
      </w:tr>
      <w:tr>
        <w:trPr>
          <w:trHeight w:val="257"/>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150</w:t>
            </w:r>
          </w:p>
        </w:tc>
      </w:tr>
      <w:tr>
        <w:trPr>
          <w:trHeight w:val="250"/>
        </w:trPr>
        <w:tc>
          <w:tcPr>
            <w:tcW w:w="7280" w:type="dxa"/>
            <w:vAlign w:val="bottom"/>
          </w:tcPr>
          <w:p>
            <w:pPr>
              <w:ind w:left="40"/>
              <w:spacing w:after="0"/>
              <w:rPr>
                <w:sz w:val="20"/>
                <w:szCs w:val="20"/>
                <w:color w:val="auto"/>
              </w:rPr>
            </w:pPr>
            <w:r>
              <w:rPr>
                <w:rFonts w:ascii="Arial" w:cs="Arial" w:eastAsia="Arial" w:hAnsi="Arial"/>
                <w:sz w:val="18"/>
                <w:szCs w:val="18"/>
                <w:color w:val="auto"/>
              </w:rPr>
              <w:t>Total financing lease liabilities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200</w:t>
            </w:r>
          </w:p>
        </w:tc>
      </w:tr>
      <w:tr>
        <w:trPr>
          <w:trHeight w:val="270"/>
        </w:trPr>
        <w:tc>
          <w:tcPr>
            <w:tcW w:w="7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w:t>
            </w:r>
          </w:p>
        </w:tc>
        <w:tc>
          <w:tcPr>
            <w:tcW w:w="8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50"/>
        </w:trPr>
        <w:tc>
          <w:tcPr>
            <w:tcW w:w="72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6 years</w:t>
            </w: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Financing leases</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 years</w:t>
            </w:r>
          </w:p>
        </w:tc>
      </w:tr>
      <w:tr>
        <w:trPr>
          <w:trHeight w:val="263"/>
        </w:trPr>
        <w:tc>
          <w:tcPr>
            <w:tcW w:w="72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608"/>
        </w:trPr>
        <w:tc>
          <w:tcPr>
            <w:tcW w:w="7280" w:type="dxa"/>
            <w:vAlign w:val="bottom"/>
          </w:tcPr>
          <w:p>
            <w:pPr>
              <w:ind w:left="660"/>
              <w:spacing w:after="0"/>
              <w:rPr>
                <w:sz w:val="20"/>
                <w:szCs w:val="20"/>
                <w:color w:val="auto"/>
              </w:rPr>
            </w:pPr>
            <w:r>
              <w:rPr>
                <w:rFonts w:ascii="Arial" w:cs="Arial" w:eastAsia="Arial" w:hAnsi="Arial"/>
                <w:sz w:val="18"/>
                <w:szCs w:val="18"/>
                <w:color w:val="auto"/>
              </w:rPr>
              <w:t>As of September 30, 2019, maturities of lease liabilities were as follows: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45"/>
        </w:trPr>
        <w:tc>
          <w:tcPr>
            <w:tcW w:w="728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Operating Leases</w:t>
            </w: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Financing Leases</w:t>
            </w:r>
          </w:p>
        </w:tc>
      </w:tr>
      <w:tr>
        <w:trPr>
          <w:trHeight w:val="256"/>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8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50"/>
        </w:trPr>
        <w:tc>
          <w:tcPr>
            <w:tcW w:w="7280" w:type="dxa"/>
            <w:vAlign w:val="bottom"/>
          </w:tcPr>
          <w:p>
            <w:pPr>
              <w:ind w:left="28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50"/>
        </w:trPr>
        <w:tc>
          <w:tcPr>
            <w:tcW w:w="7280" w:type="dxa"/>
            <w:vAlign w:val="bottom"/>
          </w:tcPr>
          <w:p>
            <w:pPr>
              <w:ind w:left="280"/>
              <w:spacing w:after="0"/>
              <w:rPr>
                <w:sz w:val="20"/>
                <w:szCs w:val="20"/>
                <w:color w:val="auto"/>
              </w:rPr>
            </w:pPr>
            <w:r>
              <w:rPr>
                <w:rFonts w:ascii="Arial" w:cs="Arial" w:eastAsia="Arial" w:hAnsi="Arial"/>
                <w:sz w:val="18"/>
                <w:szCs w:val="18"/>
                <w:color w:val="auto"/>
              </w:rPr>
              <w:t>2022</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50"/>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184</w:t>
            </w: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r>
      <w:tr>
        <w:trPr>
          <w:trHeight w:val="25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793</w:t>
            </w: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50"/>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interest</w:t>
            </w: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0"/>
        </w:trPr>
        <w:tc>
          <w:tcPr>
            <w:tcW w:w="7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18"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As previously disclosed in our 2018 Annual Report on Form 10-K and under the previous lease accounting standard, future minimum lease payments for operating leases having initial or remaining noncancellable lease terms in excess of one year would have been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0"/>
        </w:trPr>
        <w:tc>
          <w:tcPr>
            <w:tcW w:w="8560" w:type="dxa"/>
            <w:vAlign w:val="bottom"/>
          </w:tcPr>
          <w:p>
            <w:pPr>
              <w:ind w:left="28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63"/>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0"/>
        </w:trPr>
        <w:tc>
          <w:tcPr>
            <w:tcW w:w="8560" w:type="dxa"/>
            <w:vAlign w:val="bottom"/>
          </w:tcPr>
          <w:p>
            <w:pPr>
              <w:ind w:left="28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3"/>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Note 11. Long-term Debt and Credit Agreements</w:t>
            </w: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1.40% notes due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Three year floating rate notes due 2019</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Two year floating rate notes due 2019</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1.80% notes due 2019</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0.65% Euro notes due 2020</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4.25% notes due 2021</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1.85% notes due 2021</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2.15% notes due 2022</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Floating rate notes due 2022</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1.30% Euro notes due 2023</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3.35% notes due 2023</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2.30% notes due 2024</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2.50% notes due 2026</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2.25% Euro notes due 2028</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2.70% notes due 2029</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5.70% notes due 2036</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5.70% notes due 2037</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5.375% notes due 2041</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3.812% notes due 2047</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6.625% debentures due 2028</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9.065% debentures due 2033</w:t>
            </w:r>
          </w:p>
        </w:tc>
        <w:tc>
          <w:tcPr>
            <w:tcW w:w="16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5"/>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 and debt issuance costs), 6.0% weighted average maturing at various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dates through 2025</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August 8, 2019, the Company issued $600 million 2.15% Senior Notes due 2022, $600 million Floating Rate Senior Notes due 2022, $750 million 2.30% Senior Notes due 2024 and $750 million 2.70% Senior Notes due</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18"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2029 (collectively the "2019 Notes"). The 2019 Notes are senior unsecured and unsubordinated obligations of Honeywell and rank equally with all of Honeywell's existing and future senior unsecured debt and senior to all of Honeywell's subordinated debt. The offering resulted in gross proceeds of $2,700 million, offset by $18 million in discount and closing costs related to the offering. The 2019 Notes issued in the amount of $2,700 million were issued to prefund the repayment of our 1.40% notes, 1.80% notes, three year floating rate notes and two year floating rate notes, in each case due on October 30, 2019.</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issuances described above, unless otherwise noted, all debt issuance costs are deferred and recognized as a direct deduction to the related debt liability and are amortized to interest expense over the debt term.</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April 26, 2019, the Company entered into a $4.0 billion Amended and Restated Five Year Credit Agreement (the “5-Year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 The 5-Year Credit Agreement amends and restates the previously reported $4.0 billion amended and restated five year credit agreement dated as of April 27, 2018 (the "Prior Agreement"). The 5-Year Credit Agreement has substantially the same material terms and conditions of the Prior Agreement.</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April 26, 2019, the Company entered into a $1.5 billion 364-Day Credit Agreement with a syndicate of banks. This 364-Day Credit Agreement is maintained for general corporate purposes.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there are no outstanding borrowings under any of our credit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credit, market, foreign currency and interest rate risk management policies are described in Note 15, </w:t>
      </w:r>
      <w:r>
        <w:rPr>
          <w:rFonts w:ascii="Arial" w:cs="Arial" w:eastAsia="Arial" w:hAnsi="Arial"/>
          <w:sz w:val="18"/>
          <w:szCs w:val="18"/>
          <w:i w:val="1"/>
          <w:iCs w:val="1"/>
          <w:color w:val="auto"/>
        </w:rPr>
        <w:t>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Measures </w:t>
      </w:r>
      <w:r>
        <w:rPr>
          <w:rFonts w:ascii="Arial" w:cs="Arial" w:eastAsia="Arial" w:hAnsi="Arial"/>
          <w:sz w:val="18"/>
          <w:szCs w:val="18"/>
          <w:color w:val="auto"/>
        </w:rPr>
        <w:t>of Notes to Consolidated Financial Statements in our 2018 Annual Report on Form 10-K.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8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 for sale investments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Cross currency swap agreements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060" w:type="dxa"/>
            <w:vAlign w:val="bottom"/>
          </w:tcPr>
          <w:p>
            <w:pPr>
              <w:jc w:val="right"/>
              <w:ind w:right="477"/>
              <w:spacing w:after="0"/>
              <w:rPr>
                <w:sz w:val="20"/>
                <w:szCs w:val="20"/>
                <w:color w:val="auto"/>
              </w:rPr>
            </w:pPr>
            <w:r>
              <w:rPr>
                <w:rFonts w:ascii="Arial" w:cs="Arial" w:eastAsia="Arial" w:hAnsi="Arial"/>
                <w:sz w:val="14"/>
                <w:szCs w:val="14"/>
                <w:b w:val="1"/>
                <w:bCs w:val="1"/>
                <w:color w:val="auto"/>
              </w:rPr>
              <w:t>Fair</w:t>
            </w:r>
          </w:p>
        </w:tc>
      </w:tr>
      <w:tr>
        <w:trPr>
          <w:trHeight w:val="196"/>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Value</w:t>
            </w:r>
          </w:p>
        </w:tc>
      </w:tr>
      <w:tr>
        <w:trPr>
          <w:trHeight w:val="256"/>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Long-term receivables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3"/>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329</w:t>
            </w: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Long-term debt and related current maturities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15,189</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16,455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3"/>
              <w:spacing w:after="0"/>
              <w:rPr>
                <w:sz w:val="20"/>
                <w:szCs w:val="20"/>
                <w:color w:val="auto"/>
              </w:rPr>
            </w:pPr>
            <w:r>
              <w:rPr>
                <w:rFonts w:ascii="Arial" w:cs="Arial" w:eastAsia="Arial" w:hAnsi="Arial"/>
                <w:sz w:val="18"/>
                <w:szCs w:val="18"/>
                <w:color w:val="auto"/>
              </w:rPr>
              <w:t>12,628</w:t>
            </w:r>
          </w:p>
        </w:tc>
        <w:tc>
          <w:tcPr>
            <w:tcW w:w="1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13,133</w:t>
            </w:r>
          </w:p>
        </w:tc>
      </w:tr>
      <w:tr>
        <w:trPr>
          <w:trHeight w:val="701"/>
        </w:trPr>
        <w:tc>
          <w:tcPr>
            <w:tcW w:w="11420" w:type="dxa"/>
            <w:vAlign w:val="bottom"/>
            <w:gridSpan w:val="13"/>
          </w:tcPr>
          <w:p>
            <w:pPr>
              <w:ind w:left="660"/>
              <w:spacing w:after="0"/>
              <w:rPr>
                <w:sz w:val="20"/>
                <w:szCs w:val="20"/>
                <w:color w:val="auto"/>
              </w:rPr>
            </w:pPr>
            <w:r>
              <w:rPr>
                <w:rFonts w:ascii="Arial" w:cs="Arial" w:eastAsia="Arial" w:hAnsi="Arial"/>
                <w:sz w:val="18"/>
                <w:szCs w:val="18"/>
                <w:color w:val="auto"/>
              </w:rPr>
              <w:t>The following table sets forth the amounts on the Consolidated Balance Sheet related to cumulative basis adjustments for fair value</w:t>
            </w:r>
          </w:p>
        </w:tc>
      </w:tr>
      <w:tr>
        <w:trPr>
          <w:trHeight w:val="217"/>
        </w:trPr>
        <w:tc>
          <w:tcPr>
            <w:tcW w:w="5580" w:type="dxa"/>
            <w:vAlign w:val="bottom"/>
            <w:gridSpan w:val="2"/>
          </w:tcPr>
          <w:p>
            <w:pPr>
              <w:spacing w:after="0"/>
              <w:rPr>
                <w:sz w:val="20"/>
                <w:szCs w:val="20"/>
                <w:color w:val="auto"/>
              </w:rPr>
            </w:pPr>
            <w:r>
              <w:rPr>
                <w:rFonts w:ascii="Arial" w:cs="Arial" w:eastAsia="Arial" w:hAnsi="Arial"/>
                <w:sz w:val="18"/>
                <w:szCs w:val="18"/>
                <w:color w:val="auto"/>
              </w:rPr>
              <w:t>hedges: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11"/>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Cumulative Amount of Fair Value</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rPr>
              <w:t>Hedging Adjustment Included in the</w:t>
            </w:r>
          </w:p>
        </w:tc>
      </w:tr>
      <w:tr>
        <w:trPr>
          <w:trHeight w:val="196"/>
        </w:trPr>
        <w:tc>
          <w:tcPr>
            <w:tcW w:w="5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Carrying Amount of the Hedged Item</w:t>
            </w: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Carrying Amount of the Hedged Item</w:t>
            </w: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55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Line in the Consolidated Balance Sheet of Hedged Item</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4,773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nine months ended September 30, 2019, we recognized $55 million and $118 million of gains in earnings on interest rate swap agreements. For the three and nine months ended September 30, 2018, we recognized $12 million and $75 million of losses in earnings on interest rate swap agreements. Gains and losses are fully offset by losses and gains on the underlying debt being hedged.</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economically hedge our exposure to changes in foreign exchange rates primarily with forward contracts. These contracts are marked-to-market with the resulting gains and losses recognized in earnings offsetting the gains and losses on the non-functional currency denominated monetary assets and liabilities being hedged. For the three and nine months ended September 30, 2019, we recognized $182 million and $231 million of income in Other (income) expense. For the three and nine months ended September 30, 2018, we recognized $30 million and $245 million of income in Other (income) expense.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following tables summarize the location and impact to the Consolidated Statement of Operations related to fair value and cash flow hedging relationships:</w:t>
      </w:r>
    </w:p>
    <w:p>
      <w:pPr>
        <w:spacing w:after="0" w:line="400"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26035</wp:posOffset>
            </wp:positionV>
            <wp:extent cx="3576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Other</w:t>
            </w:r>
          </w:p>
        </w:tc>
      </w:t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Products Sold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Charges</w:t>
            </w:r>
          </w:p>
        </w:tc>
      </w:tr>
      <w:tr>
        <w:trPr>
          <w:trHeight w:val="256"/>
        </w:trPr>
        <w:tc>
          <w:tcPr>
            <w:tcW w:w="5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9,086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96</w:t>
            </w:r>
          </w:p>
        </w:tc>
      </w:tr>
      <w:tr>
        <w:trPr>
          <w:trHeight w:val="263"/>
        </w:trPr>
        <w:tc>
          <w:tcPr>
            <w:tcW w:w="596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9"/>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income into income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35"/>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5960" w:type="dxa"/>
            <w:vAlign w:val="bottom"/>
            <w:gridSpan w:val="2"/>
          </w:tcPr>
          <w:p>
            <w:pPr>
              <w:jc w:val="center"/>
              <w:ind w:right="2880"/>
              <w:spacing w:after="0"/>
              <w:rPr>
                <w:sz w:val="20"/>
                <w:szCs w:val="20"/>
                <w:color w:val="auto"/>
              </w:rPr>
            </w:pPr>
            <w:r>
              <w:rPr>
                <w:rFonts w:ascii="Arial" w:cs="Arial" w:eastAsia="Arial" w:hAnsi="Arial"/>
                <w:sz w:val="18"/>
                <w:szCs w:val="18"/>
                <w:b w:val="1"/>
                <w:bCs w:val="1"/>
                <w:color w:val="auto"/>
                <w:w w:val="99"/>
              </w:rPr>
              <w:t>Gain or (loss) on fair value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60" w:type="dxa"/>
            <w:vAlign w:val="bottom"/>
            <w:gridSpan w:val="2"/>
            <w:shd w:val="clear" w:color="auto" w:fill="CCEEFF"/>
          </w:tcPr>
          <w:p>
            <w:pPr>
              <w:jc w:val="center"/>
              <w:ind w:right="2920"/>
              <w:spacing w:after="0"/>
              <w:rPr>
                <w:sz w:val="20"/>
                <w:szCs w:val="20"/>
                <w:color w:val="auto"/>
              </w:rPr>
            </w:pPr>
            <w:r>
              <w:rPr>
                <w:rFonts w:ascii="Arial" w:cs="Arial" w:eastAsia="Arial" w:hAnsi="Arial"/>
                <w:sz w:val="18"/>
                <w:szCs w:val="18"/>
                <w:color w:val="auto"/>
                <w:w w:val="99"/>
              </w:rPr>
              <w:t>Interest rate swap agreements: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Hedged items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w:t>
            </w:r>
          </w:p>
        </w:tc>
      </w:tr>
      <w:tr>
        <w:trPr>
          <w:trHeight w:val="615"/>
        </w:trPr>
        <w:tc>
          <w:tcPr>
            <w:tcW w:w="5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Three Months Ended September 30, 2018</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5"/>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Other</w:t>
            </w:r>
          </w:p>
        </w:tc>
      </w:t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Products Sold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Charges</w:t>
            </w:r>
          </w:p>
        </w:tc>
      </w:tr>
      <w:tr>
        <w:trPr>
          <w:trHeight w:val="256"/>
        </w:trPr>
        <w:tc>
          <w:tcPr>
            <w:tcW w:w="5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99</w:t>
            </w:r>
          </w:p>
        </w:tc>
      </w:tr>
      <w:tr>
        <w:trPr>
          <w:trHeight w:val="263"/>
        </w:trPr>
        <w:tc>
          <w:tcPr>
            <w:tcW w:w="596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9"/>
              </w:rPr>
              <w:t>Gain or (loss) on cash flow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9"/>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income into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35"/>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5960" w:type="dxa"/>
            <w:vAlign w:val="bottom"/>
            <w:gridSpan w:val="2"/>
          </w:tcPr>
          <w:p>
            <w:pPr>
              <w:jc w:val="center"/>
              <w:ind w:right="2880"/>
              <w:spacing w:after="0"/>
              <w:rPr>
                <w:sz w:val="20"/>
                <w:szCs w:val="20"/>
                <w:color w:val="auto"/>
              </w:rPr>
            </w:pPr>
            <w:r>
              <w:rPr>
                <w:rFonts w:ascii="Arial" w:cs="Arial" w:eastAsia="Arial" w:hAnsi="Arial"/>
                <w:sz w:val="18"/>
                <w:szCs w:val="18"/>
                <w:b w:val="1"/>
                <w:bCs w:val="1"/>
                <w:color w:val="auto"/>
                <w:w w:val="99"/>
              </w:rPr>
              <w:t>Gain or (loss) on fair value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60" w:type="dxa"/>
            <w:vAlign w:val="bottom"/>
            <w:gridSpan w:val="2"/>
            <w:shd w:val="clear" w:color="auto" w:fill="CCEEFF"/>
          </w:tcPr>
          <w:p>
            <w:pPr>
              <w:jc w:val="center"/>
              <w:ind w:right="2920"/>
              <w:spacing w:after="0"/>
              <w:rPr>
                <w:sz w:val="20"/>
                <w:szCs w:val="20"/>
                <w:color w:val="auto"/>
              </w:rPr>
            </w:pPr>
            <w:r>
              <w:rPr>
                <w:rFonts w:ascii="Arial" w:cs="Arial" w:eastAsia="Arial" w:hAnsi="Arial"/>
                <w:sz w:val="18"/>
                <w:szCs w:val="18"/>
                <w:color w:val="auto"/>
                <w:w w:val="99"/>
              </w:rPr>
              <w:t>Interest rate swap agreements: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Hedged items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12</w:t>
            </w:r>
          </w:p>
        </w:tc>
      </w:tr>
      <w:tr>
        <w:trPr>
          <w:trHeight w:val="277"/>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675"/>
        </w:trPr>
        <w:tc>
          <w:tcPr>
            <w:tcW w:w="5960" w:type="dxa"/>
            <w:vAlign w:val="bottom"/>
            <w:gridSpan w:val="2"/>
          </w:tcPr>
          <w:p>
            <w:pPr>
              <w:ind w:left="5620"/>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26035</wp:posOffset>
            </wp:positionV>
            <wp:extent cx="3559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rPr>
              <w:t>Other</w:t>
            </w:r>
          </w:p>
        </w:tc>
      </w:tr>
      <w:tr>
        <w:trPr>
          <w:trHeight w:val="162"/>
        </w:trPr>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Revenue</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Products Sold</w:t>
            </w:r>
          </w:p>
        </w:tc>
        <w:tc>
          <w:tcPr>
            <w:tcW w:w="12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SG&amp;A</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9"/>
              </w:rPr>
              <w:t>Charges</w:t>
            </w:r>
          </w:p>
        </w:tc>
      </w:tr>
      <w:tr>
        <w:trPr>
          <w:trHeight w:val="256"/>
        </w:trPr>
        <w:tc>
          <w:tcPr>
            <w:tcW w:w="51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center"/>
              <w:ind w:left="559"/>
              <w:spacing w:after="0"/>
              <w:rPr>
                <w:sz w:val="20"/>
                <w:szCs w:val="20"/>
                <w:color w:val="auto"/>
              </w:rPr>
            </w:pPr>
            <w:r>
              <w:rPr>
                <w:rFonts w:ascii="Arial" w:cs="Arial" w:eastAsia="Arial" w:hAnsi="Arial"/>
                <w:sz w:val="18"/>
                <w:szCs w:val="18"/>
                <w:color w:val="auto"/>
                <w:w w:val="99"/>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27,213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29"/>
        </w:trPr>
        <w:tc>
          <w:tcPr>
            <w:tcW w:w="5980" w:type="dxa"/>
            <w:vAlign w:val="bottom"/>
            <w:gridSpan w:val="4"/>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4"/>
        </w:trPr>
        <w:tc>
          <w:tcPr>
            <w:tcW w:w="5160" w:type="dxa"/>
            <w:vAlign w:val="bottom"/>
          </w:tcPr>
          <w:p>
            <w:pPr>
              <w:ind w:left="500"/>
              <w:spacing w:after="0"/>
              <w:rPr>
                <w:sz w:val="20"/>
                <w:szCs w:val="20"/>
                <w:color w:val="auto"/>
              </w:rPr>
            </w:pPr>
            <w:r>
              <w:rPr>
                <w:rFonts w:ascii="Arial" w:cs="Arial" w:eastAsia="Arial" w:hAnsi="Arial"/>
                <w:sz w:val="18"/>
                <w:szCs w:val="18"/>
                <w:color w:val="auto"/>
              </w:rPr>
              <w:t>income into income</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35"/>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swap agreements:</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3"/>
        </w:trPr>
        <w:tc>
          <w:tcPr>
            <w:tcW w:w="5160" w:type="dxa"/>
            <w:vAlign w:val="bottom"/>
          </w:tcPr>
          <w:p>
            <w:pPr>
              <w:ind w:left="500"/>
              <w:spacing w:after="0"/>
              <w:rPr>
                <w:sz w:val="20"/>
                <w:szCs w:val="20"/>
                <w:color w:val="auto"/>
              </w:rPr>
            </w:pPr>
            <w:r>
              <w:rPr>
                <w:rFonts w:ascii="Arial" w:cs="Arial" w:eastAsia="Arial" w:hAnsi="Arial"/>
                <w:sz w:val="18"/>
                <w:szCs w:val="18"/>
                <w:color w:val="auto"/>
              </w:rPr>
              <w:t>Hedged items</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w:t>
            </w:r>
          </w:p>
        </w:tc>
      </w:tr>
      <w:tr>
        <w:trPr>
          <w:trHeight w:val="831"/>
        </w:trPr>
        <w:tc>
          <w:tcPr>
            <w:tcW w:w="5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8"/>
          </w:tcPr>
          <w:p>
            <w:pPr>
              <w:jc w:val="center"/>
              <w:ind w:right="34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5"/>
        </w:trPr>
        <w:tc>
          <w:tcPr>
            <w:tcW w:w="5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rPr>
              <w:t>Other</w:t>
            </w:r>
          </w:p>
        </w:tc>
      </w:tr>
      <w:tr>
        <w:trPr>
          <w:trHeight w:val="162"/>
        </w:trPr>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Products Sold</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56"/>
              <w:spacing w:after="0"/>
              <w:rPr>
                <w:sz w:val="20"/>
                <w:szCs w:val="20"/>
                <w:color w:val="auto"/>
              </w:rPr>
            </w:pPr>
            <w:r>
              <w:rPr>
                <w:rFonts w:ascii="Arial" w:cs="Arial" w:eastAsia="Arial" w:hAnsi="Arial"/>
                <w:sz w:val="14"/>
                <w:szCs w:val="14"/>
                <w:b w:val="1"/>
                <w:bCs w:val="1"/>
                <w:color w:val="auto"/>
              </w:rPr>
              <w:t>SG&amp;A</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9"/>
              </w:rPr>
              <w:t>Charges</w:t>
            </w:r>
          </w:p>
        </w:tc>
      </w:tr>
      <w:tr>
        <w:trPr>
          <w:trHeight w:val="256"/>
        </w:trPr>
        <w:tc>
          <w:tcPr>
            <w:tcW w:w="51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32,073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18,234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4,527</w:t>
            </w:r>
          </w:p>
        </w:tc>
        <w:tc>
          <w:tcPr>
            <w:tcW w:w="4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29"/>
        </w:trPr>
        <w:tc>
          <w:tcPr>
            <w:tcW w:w="5980" w:type="dxa"/>
            <w:vAlign w:val="bottom"/>
            <w:gridSpan w:val="4"/>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4"/>
        </w:trPr>
        <w:tc>
          <w:tcPr>
            <w:tcW w:w="5160" w:type="dxa"/>
            <w:vAlign w:val="bottom"/>
          </w:tcPr>
          <w:p>
            <w:pPr>
              <w:ind w:left="500"/>
              <w:spacing w:after="0"/>
              <w:rPr>
                <w:sz w:val="20"/>
                <w:szCs w:val="20"/>
                <w:color w:val="auto"/>
              </w:rPr>
            </w:pPr>
            <w:r>
              <w:rPr>
                <w:rFonts w:ascii="Arial" w:cs="Arial" w:eastAsia="Arial" w:hAnsi="Arial"/>
                <w:sz w:val="18"/>
                <w:szCs w:val="18"/>
                <w:color w:val="auto"/>
              </w:rPr>
              <w:t>income into income</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35"/>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swap agreements:</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3"/>
        </w:trPr>
        <w:tc>
          <w:tcPr>
            <w:tcW w:w="5160" w:type="dxa"/>
            <w:vAlign w:val="bottom"/>
          </w:tcPr>
          <w:p>
            <w:pPr>
              <w:ind w:left="500"/>
              <w:spacing w:after="0"/>
              <w:rPr>
                <w:sz w:val="20"/>
                <w:szCs w:val="20"/>
                <w:color w:val="auto"/>
              </w:rPr>
            </w:pPr>
            <w:r>
              <w:rPr>
                <w:rFonts w:ascii="Arial" w:cs="Arial" w:eastAsia="Arial" w:hAnsi="Arial"/>
                <w:sz w:val="18"/>
                <w:szCs w:val="18"/>
                <w:color w:val="auto"/>
              </w:rPr>
              <w:t>Hedged items</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75</w:t>
            </w:r>
          </w:p>
        </w:tc>
      </w:tr>
      <w:tr>
        <w:trPr>
          <w:trHeight w:val="27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647"/>
        </w:trPr>
        <w:tc>
          <w:tcPr>
            <w:tcW w:w="11420" w:type="dxa"/>
            <w:vAlign w:val="bottom"/>
            <w:gridSpan w:val="34"/>
          </w:tcPr>
          <w:p>
            <w:pPr>
              <w:ind w:left="660"/>
              <w:spacing w:after="0"/>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w:t>
            </w: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99"/>
        </w:trPr>
        <w:tc>
          <w:tcPr>
            <w:tcW w:w="5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Borders>
              <w:bottom w:val="single" w:sz="8" w:color="auto"/>
            </w:tcBorders>
            <w:gridSpan w:val="17"/>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tcBorders>
              <w:bottom w:val="single" w:sz="8" w:color="auto"/>
            </w:tcBorders>
            <w:gridSpan w:val="12"/>
          </w:tcPr>
          <w:p>
            <w:pPr>
              <w:jc w:val="right"/>
              <w:ind w:right="35"/>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Euro-denominated long-term debt</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4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3"/>
              </w:rPr>
              <w:t>131</w:t>
            </w:r>
          </w:p>
        </w:tc>
        <w:tc>
          <w:tcPr>
            <w:tcW w:w="780" w:type="dxa"/>
            <w:vAlign w:val="bottom"/>
          </w:tcPr>
          <w:p>
            <w:pPr>
              <w:jc w:val="center"/>
              <w:ind w:right="15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157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139</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Euro-denominated commercial paper</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136</w:t>
            </w: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Cross currency swap agreements</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gridSpan w:val="3"/>
          </w:tcPr>
          <w:p>
            <w:pPr>
              <w:jc w:val="right"/>
              <w:ind w:right="416"/>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648"/>
        </w:trPr>
        <w:tc>
          <w:tcPr>
            <w:tcW w:w="5160" w:type="dxa"/>
            <w:vAlign w:val="bottom"/>
          </w:tcPr>
          <w:p>
            <w:pPr>
              <w:spacing w:after="0"/>
              <w:rPr>
                <w:sz w:val="20"/>
                <w:szCs w:val="20"/>
                <w:color w:val="auto"/>
              </w:rPr>
            </w:pPr>
            <w:r>
              <w:rPr>
                <w:rFonts w:ascii="Arial" w:cs="Arial" w:eastAsia="Arial" w:hAnsi="Arial"/>
                <w:sz w:val="18"/>
                <w:szCs w:val="18"/>
                <w:b w:val="1"/>
                <w:bCs w:val="1"/>
                <w:color w:val="auto"/>
              </w:rPr>
              <w:t>Note 13. Accumulated Other Comprehensive Income (Loss)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6760" w:type="dxa"/>
            <w:vAlign w:val="bottom"/>
            <w:gridSpan w:val="8"/>
          </w:tcPr>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1"/>
        </w:trPr>
        <w:tc>
          <w:tcPr>
            <w:tcW w:w="5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2"/>
        </w:trPr>
        <w:tc>
          <w:tcPr>
            <w:tcW w:w="5160" w:type="dxa"/>
            <w:vAlign w:val="bottom"/>
          </w:tcPr>
          <w:p>
            <w:pPr>
              <w:spacing w:after="0"/>
              <w:rPr>
                <w:sz w:val="14"/>
                <w:szCs w:val="14"/>
                <w:color w:val="auto"/>
              </w:rPr>
            </w:pPr>
          </w:p>
        </w:tc>
        <w:tc>
          <w:tcPr>
            <w:tcW w:w="16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Foreign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and Other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6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Exchange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6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Translation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rPr>
              <w:t>of Cash Flow</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Hedges</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5"/>
              </w:rPr>
              <w:t>Total</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6"/>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298</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4"/>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6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6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142</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8" w:right="239" w:bottom="211" w:gutter="0" w:footer="0" w:header="0"/>
        </w:sectPr>
      </w:pPr>
    </w:p>
    <w:bookmarkStart w:id="23" w:name="page24"/>
    <w:bookmarkEnd w:id="23"/>
    <w:p>
      <w:pPr>
        <w:jc w:val="center"/>
        <w:ind w:right="-2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9019"/>
          </w:cols>
          <w:pgMar w:left="1440" w:top="14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Pension</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Exchange</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Cash Flow</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Hedges</w:t>
            </w:r>
          </w:p>
        </w:tc>
        <w:tc>
          <w:tcPr>
            <w:tcW w:w="34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123</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4"/>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1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3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8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02"/>
        </w:trPr>
        <w:tc>
          <w:tcPr>
            <w:tcW w:w="60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90"/>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8,275</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3,790</w:t>
            </w:r>
          </w:p>
        </w:tc>
      </w:tr>
      <w:tr>
        <w:trPr>
          <w:trHeight w:val="257"/>
        </w:trPr>
        <w:tc>
          <w:tcPr>
            <w:tcW w:w="40" w:type="dxa"/>
            <w:vAlign w:val="bottom"/>
            <w:shd w:val="clear" w:color="auto" w:fill="CCEEFF"/>
          </w:tcPr>
          <w:p>
            <w:pPr>
              <w:spacing w:after="0"/>
              <w:rPr>
                <w:sz w:val="22"/>
                <w:szCs w:val="22"/>
                <w:color w:val="auto"/>
              </w:rPr>
            </w:pPr>
          </w:p>
        </w:tc>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12,065</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Honeywell Building Technologies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6,423</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1,073</w:t>
            </w:r>
          </w:p>
        </w:tc>
      </w:tr>
      <w:tr>
        <w:trPr>
          <w:trHeight w:val="257"/>
        </w:trPr>
        <w:tc>
          <w:tcPr>
            <w:tcW w:w="40" w:type="dxa"/>
            <w:vAlign w:val="bottom"/>
            <w:shd w:val="clear" w:color="auto" w:fill="CCEEFF"/>
          </w:tcPr>
          <w:p>
            <w:pPr>
              <w:spacing w:after="0"/>
              <w:rPr>
                <w:sz w:val="22"/>
                <w:szCs w:val="22"/>
                <w:color w:val="auto"/>
              </w:rPr>
            </w:pPr>
          </w:p>
        </w:tc>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7,496</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Performance Materials and Technologies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6,346</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1,526</w:t>
            </w:r>
          </w:p>
        </w:tc>
      </w:tr>
      <w:tr>
        <w:trPr>
          <w:trHeight w:val="257"/>
        </w:trPr>
        <w:tc>
          <w:tcPr>
            <w:tcW w:w="40" w:type="dxa"/>
            <w:vAlign w:val="bottom"/>
            <w:shd w:val="clear" w:color="auto" w:fill="CCEEFF"/>
          </w:tcPr>
          <w:p>
            <w:pPr>
              <w:spacing w:after="0"/>
              <w:rPr>
                <w:sz w:val="22"/>
                <w:szCs w:val="22"/>
                <w:color w:val="auto"/>
              </w:rPr>
            </w:pPr>
          </w:p>
        </w:tc>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7,977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7,872</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Safety and Productivity Solutions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4,370</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w:t>
            </w:r>
          </w:p>
        </w:tc>
      </w:tr>
      <w:tr>
        <w:trPr>
          <w:trHeight w:val="250"/>
        </w:trPr>
        <w:tc>
          <w:tcPr>
            <w:tcW w:w="40" w:type="dxa"/>
            <w:vAlign w:val="bottom"/>
            <w:shd w:val="clear" w:color="auto" w:fill="CCEEFF"/>
          </w:tcPr>
          <w:p>
            <w:pPr>
              <w:spacing w:after="0"/>
              <w:rPr>
                <w:sz w:val="21"/>
                <w:szCs w:val="21"/>
                <w:color w:val="auto"/>
              </w:rPr>
            </w:pPr>
          </w:p>
        </w:tc>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4,640</w:t>
            </w:r>
          </w:p>
        </w:tc>
      </w:tr>
      <w:tr>
        <w:trPr>
          <w:trHeight w:val="304"/>
        </w:trPr>
        <w:tc>
          <w:tcPr>
            <w:tcW w:w="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9,086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10,762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27,213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32,073</w:t>
            </w:r>
          </w:p>
        </w:tc>
      </w:tr>
      <w:tr>
        <w:trPr>
          <w:trHeight w:val="203"/>
        </w:trPr>
        <w:tc>
          <w:tcPr>
            <w:tcW w:w="6020" w:type="dxa"/>
            <w:vAlign w:val="bottom"/>
            <w:gridSpan w:val="4"/>
            <w:shd w:val="clear" w:color="auto" w:fill="CCEEFF"/>
          </w:tcPr>
          <w:p>
            <w:pPr>
              <w:ind w:left="40"/>
              <w:spacing w:after="0" w:line="203" w:lineRule="exact"/>
              <w:rPr>
                <w:sz w:val="20"/>
                <w:szCs w:val="20"/>
                <w:color w:val="auto"/>
              </w:rPr>
            </w:pPr>
            <w:r>
              <w:rPr>
                <w:rFonts w:ascii="Arial" w:cs="Arial" w:eastAsia="Arial" w:hAnsi="Arial"/>
                <w:sz w:val="18"/>
                <w:szCs w:val="18"/>
                <w:color w:val="auto"/>
              </w:rPr>
              <w:t>Segment profit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2,702</w:t>
            </w:r>
          </w:p>
        </w:tc>
      </w:tr>
      <w:tr>
        <w:trPr>
          <w:trHeight w:val="277"/>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Honeywell Building Technologies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Performance Materials and Technologies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1,676</w:t>
            </w:r>
          </w:p>
        </w:tc>
      </w:tr>
      <w:tr>
        <w:trPr>
          <w:trHeight w:val="277"/>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Safety and Productivity Solutions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r>
      <w:tr>
        <w:trPr>
          <w:trHeight w:val="264"/>
        </w:trPr>
        <w:tc>
          <w:tcPr>
            <w:tcW w:w="60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50"/>
        </w:trPr>
        <w:tc>
          <w:tcPr>
            <w:tcW w:w="40" w:type="dxa"/>
            <w:vAlign w:val="bottom"/>
            <w:shd w:val="clear" w:color="auto" w:fill="CCEEFF"/>
          </w:tcPr>
          <w:p>
            <w:pPr>
              <w:spacing w:after="0"/>
              <w:rPr>
                <w:sz w:val="21"/>
                <w:szCs w:val="21"/>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segment profit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5,707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6,230</w:t>
            </w:r>
          </w:p>
        </w:tc>
      </w:tr>
      <w:tr>
        <w:trPr>
          <w:trHeight w:val="250"/>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Interest and other financial charges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7"/>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14"/>
                <w:szCs w:val="14"/>
                <w:color w:val="auto"/>
              </w:rPr>
              <w:t>(a)</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Pension ongoing income</w:t>
            </w:r>
            <w:r>
              <w:rPr>
                <w:rFonts w:ascii="Arial" w:cs="Arial" w:eastAsia="Arial" w:hAnsi="Arial"/>
                <w:sz w:val="14"/>
                <w:szCs w:val="14"/>
                <w:color w:val="auto"/>
              </w:rPr>
              <w:t>(b)</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745</w:t>
            </w:r>
          </w:p>
        </w:tc>
      </w:tr>
      <w:tr>
        <w:trPr>
          <w:trHeight w:val="277"/>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postretirement income</w:t>
            </w:r>
            <w:r>
              <w:rPr>
                <w:rFonts w:ascii="Arial" w:cs="Arial" w:eastAsia="Arial" w:hAnsi="Arial"/>
                <w:sz w:val="14"/>
                <w:szCs w:val="14"/>
                <w:color w:val="auto"/>
              </w:rPr>
              <w:t>(b)</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Repositioning and other charges</w:t>
            </w:r>
            <w:r>
              <w:rPr>
                <w:rFonts w:ascii="Arial" w:cs="Arial" w:eastAsia="Arial" w:hAnsi="Arial"/>
                <w:sz w:val="14"/>
                <w:szCs w:val="14"/>
                <w:color w:val="auto"/>
              </w:rPr>
              <w:t>(c)</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0"/>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4"/>
                <w:szCs w:val="14"/>
                <w:color w:val="auto"/>
              </w:rPr>
              <w:t>(d)</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5,767</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left="260" w:right="680" w:hanging="252"/>
        <w:spacing w:after="0" w:line="262" w:lineRule="auto"/>
        <w:tabs>
          <w:tab w:leader="none" w:pos="287"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costs) and Other income/expense (non-service cost components).</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18"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income/expense.</w:t>
      </w:r>
    </w:p>
    <w:p>
      <w:pPr>
        <w:spacing w:after="0" w:line="9" w:lineRule="exact"/>
        <w:rPr>
          <w:rFonts w:ascii="Arial" w:cs="Arial" w:eastAsia="Arial" w:hAnsi="Arial"/>
          <w:sz w:val="18"/>
          <w:szCs w:val="18"/>
          <w:color w:val="auto"/>
        </w:rPr>
      </w:pPr>
    </w:p>
    <w:p>
      <w:pPr>
        <w:ind w:left="260" w:right="860" w:hanging="252"/>
        <w:spacing w:after="0" w:line="262" w:lineRule="auto"/>
        <w:tabs>
          <w:tab w:leader="none" w:pos="287"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income/expense not included within other categories in this reconciliation. Equity income/loss of affiliated companies is included in segment profit.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Benefits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U.S. Plans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6020" w:type="dxa"/>
            <w:vAlign w:val="bottom"/>
          </w:tcPr>
          <w:p>
            <w:pPr>
              <w:spacing w:after="0"/>
              <w:rPr>
                <w:sz w:val="22"/>
                <w:szCs w:val="22"/>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2"/>
                <w:szCs w:val="22"/>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430</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6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0"/>
        </w:trPr>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32"/>
        </w:trPr>
        <w:tc>
          <w:tcPr>
            <w:tcW w:w="60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20" w:type="dxa"/>
            <w:vAlign w:val="bottom"/>
          </w:tcPr>
          <w:p>
            <w:pPr>
              <w:spacing w:after="0"/>
              <w:rPr>
                <w:sz w:val="22"/>
                <w:szCs w:val="22"/>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2"/>
                <w:szCs w:val="22"/>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108</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64"/>
        </w:trPr>
        <w:tc>
          <w:tcPr>
            <w:tcW w:w="602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0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For the three and nine months ended September 30, 2019, the Company repurchased $100 million and $300 million of outstanding Honeywell shares from the Honeywell U.S. Pension Plan Master Trust.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Our environmental matters are described in Note 20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in our 2018 Annual Report on Form 10-K.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20" w:type="dxa"/>
            <w:vAlign w:val="bottom"/>
          </w:tcPr>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85"/>
        </w:trPr>
        <w:tc>
          <w:tcPr>
            <w:tcW w:w="1002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755</w:t>
            </w:r>
          </w:p>
        </w:tc>
      </w:tr>
      <w:tr>
        <w:trPr>
          <w:trHeight w:val="263"/>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environmental matters deemed probable and reasonably estimable</w:t>
            </w:r>
          </w:p>
        </w:tc>
        <w:tc>
          <w:tcPr>
            <w:tcW w:w="5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50"/>
        </w:trPr>
        <w:tc>
          <w:tcPr>
            <w:tcW w:w="10020" w:type="dxa"/>
            <w:vAlign w:val="bottom"/>
          </w:tcPr>
          <w:p>
            <w:pPr>
              <w:ind w:left="180"/>
              <w:spacing w:after="0"/>
              <w:rPr>
                <w:sz w:val="20"/>
                <w:szCs w:val="20"/>
                <w:color w:val="auto"/>
              </w:rPr>
            </w:pPr>
            <w:r>
              <w:rPr>
                <w:rFonts w:ascii="Arial" w:cs="Arial" w:eastAsia="Arial" w:hAnsi="Arial"/>
                <w:sz w:val="18"/>
                <w:szCs w:val="18"/>
                <w:color w:val="auto"/>
              </w:rPr>
              <w:t>Environmental liability payments</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57"/>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10020" w:type="dxa"/>
            <w:vAlign w:val="bottom"/>
          </w:tcPr>
          <w:p>
            <w:pPr>
              <w:ind w:left="40"/>
              <w:spacing w:after="0"/>
              <w:rPr>
                <w:sz w:val="20"/>
                <w:szCs w:val="20"/>
                <w:color w:val="auto"/>
              </w:rPr>
            </w:pPr>
            <w:r>
              <w:rPr>
                <w:rFonts w:ascii="Arial" w:cs="Arial" w:eastAsia="Arial" w:hAnsi="Arial"/>
                <w:sz w:val="18"/>
                <w:szCs w:val="18"/>
                <w:color w:val="auto"/>
              </w:rPr>
              <w:t>September 30, 2019</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w:t>
            </w:r>
          </w:p>
        </w:tc>
      </w:tr>
      <w:tr>
        <w:trPr>
          <w:trHeight w:val="20"/>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nine months ended September 30, 2019 we recorded a gain of $43 million related to the sale of a legacy remediated property.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r>
      <w:tr>
        <w:trPr>
          <w:trHeight w:val="26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w:t>
            </w:r>
          </w:p>
        </w:tc>
      </w:tr>
      <w:tr>
        <w:trPr>
          <w:trHeight w:val="250"/>
        </w:trPr>
        <w:tc>
          <w:tcPr>
            <w:tcW w:w="8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r>
      <w:tr>
        <w:trPr>
          <w:trHeight w:val="20"/>
        </w:trPr>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existing reserves, and the indemnification and reimbursement agreement with a Resideo subsidiary (as explained below), we do not expect that environmental matters will have a material adverse effect on our consolidated financial position.</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Reimbursements associated with the indemnification and reimbursement agreement with a Resideo subsidiary were $105 million in the nine months ended September 30, 2019 and offset operating cash outflows incurred by the Company. As the Company records the accruals for environmental matters deemed probable and reasonably estimable related to the sites covered by the indemnification and reimbursement agreement, a corresponding receivable from Resideo for 90 percent of such accrual is also recorded. This receivable amount recorded in the nine months ended September 30, 2019 was $67 million. As of September 30, 2019, Other Current Assets and Other Assets includes $140 million and $438 million representing the short-term and long-term portion of the receivable amount due from Resideo under the indemnification and reimbursement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Honeywell is a defendant in asbestos related personal injury actions related to North American Refractories Company (“NARCO”), which was sold in 1986, and Bendix Friction Materials (“Bendix”) business, which was sold in 2014.</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asbestos-related balances: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Asbestos-Related Liabilities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Borders>
              <w:bottom w:val="single" w:sz="8" w:color="CCEEFF"/>
            </w:tcBorders>
          </w:tcPr>
          <w:p>
            <w:pPr>
              <w:spacing w:after="0"/>
              <w:rPr>
                <w:sz w:val="17"/>
                <w:szCs w:val="17"/>
                <w:color w:val="auto"/>
              </w:rPr>
            </w:pPr>
          </w:p>
        </w:tc>
        <w:tc>
          <w:tcPr>
            <w:tcW w:w="46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Bendix</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NARCO</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Accrual for update to estimated liability</w:t>
            </w: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Asbestos related liability payments</w:t>
            </w:r>
          </w:p>
        </w:tc>
        <w:tc>
          <w:tcPr>
            <w:tcW w:w="19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September 30, 2019</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Insurance Recoveries for Asbestos-Related Liabilities</w:t>
            </w:r>
          </w:p>
        </w:tc>
        <w:tc>
          <w:tcPr>
            <w:tcW w:w="1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10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Borders>
              <w:bottom w:val="single" w:sz="8" w:color="CCEEFF"/>
            </w:tcBorders>
          </w:tcPr>
          <w:p>
            <w:pPr>
              <w:spacing w:after="0"/>
              <w:rPr>
                <w:sz w:val="24"/>
                <w:szCs w:val="24"/>
                <w:color w:val="auto"/>
              </w:rPr>
            </w:pPr>
          </w:p>
        </w:tc>
        <w:tc>
          <w:tcPr>
            <w:tcW w:w="4620" w:type="dxa"/>
            <w:vAlign w:val="bottom"/>
            <w:tcBorders>
              <w:top w:val="single" w:sz="8" w:color="auto"/>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Bendix</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NARCO</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Insurance receipts for asbestos related liabilities</w:t>
            </w: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Insurance receivables settlements</w:t>
            </w:r>
          </w:p>
        </w:tc>
        <w:tc>
          <w:tcPr>
            <w:tcW w:w="19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September 30, 2019</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vMerge w:val="restart"/>
          </w:tcPr>
          <w:p>
            <w:pPr>
              <w:jc w:val="right"/>
              <w:ind w:right="1130"/>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8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49"/>
        </w:trPr>
        <w:tc>
          <w:tcPr>
            <w:tcW w:w="85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recoveries for asbestos-related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90"/>
        </w:trPr>
        <w:tc>
          <w:tcPr>
            <w:tcW w:w="85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r>
      <w:tr>
        <w:trPr>
          <w:trHeight w:val="244"/>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Asbestos-related liabilities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2,269</w:t>
            </w: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2,514</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Honeywell’s predecessor, Allied Corporation owned NARCO from 1979 to 1986. When the NARCO business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Honeywell’s predecessor entered into a cross-indemnity agreement 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 (b) 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 (ii) percentage of those claims likely to receive payment, and (iii) payment values. The Company utilized outside asbestos liability valuation specialists to support its preparation of the NARCO Trust Liability estimate, which was based on a commonly accepted methodology used by numerous bankruptcy courts addressing 524(g) trusts.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2002, when we first established our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We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we believed that a 15-year time period was the appropriate horizon for establishing a probable and reasonably estimable liability for then unasserted NARCO claims as it represented our best estimate of the time period it would take for the NARCO Trust to be approved by the Bankruptcy Court, become fully operational and generate sufficiently reliable claims data (i.e., a data set which is statistically representative) to enable us to update our NARCO Trust Liability.</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$743 million to $961 million, and we believed that no amount within this range was a better estimate than any other amount. In accordance with ASC 450 – Contingencies (“ASC 450”), we recorded the low end of the range of $743 million which resulted in a reduction of $207 million in our NARCO Trust Liability.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 annual cap of $ 145 million. However, the initial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2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Once operational, the NARCO Trust began to receive, process and pay claims that had been previously stayed pending the Trust becoming operational. As the NARCO Trust began to pay claims in 2014, we began to assert our on-going audit rights to review and monitor the claims processor’s adherence to the established requirements of the NARCO Trust Distribution Procedures. While doing so, we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its right to seek judicial intervention should negotiations fail.</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NARCO Trust became effective in 2013, the $743 million NARCO Trust Liability was then comprised of:</w:t>
      </w:r>
    </w:p>
    <w:p>
      <w:pPr>
        <w:spacing w:after="0" w:line="225" w:lineRule="exact"/>
        <w:rPr>
          <w:sz w:val="20"/>
          <w:szCs w:val="20"/>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liability for unasserted claims;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liability for claims asserted after the NARCO Trust became operational but not yet paid.</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know the number of claims filed with the NARCO Trust each year, we are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Honeywell maintained the $743 million accrual for NARCO Trust Liability, as there has not been sufficiently reliable claims data history to enable us to update that liability.</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September 30, 2019, our total NARCO asbestos liability of $895 million reflects Pre-bankruptcy NARCO liability of $152 million and NARCO Trust Liability of $743 million. Through September 30, 2019,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bankruptcy-related obligations were paid in 2013 and no further liability is recorded.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of September 30, 2019, Honeywell has not made any payments to the NARCO Trust for Annual Contribution Claims as any Annual Contribution Claims which have been paid since the Trust became operational have been funded by cash dividends from HWI.</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Honeywell continues to evaluate the appropriateness of the $743 million NARCO Trust Liability.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became operational. As a result, we have not been able to further update the NARCO Trust Liability. The $743 million NARCO Trust Liability continues to be appropriate because of the unresolved pending claims in the Trust, some portion of which will result in payouts in the future, and because new claims continue to be filed with the NARCO Trust. When sufficiently reliable claims data exists, we will update our estimate of the NARCO Trust Liability and it is possible that a material change may need to be recognized.</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of $298 million as of September 30, 2019,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—Bendix manufactured automotive brake linings that contained chrysotile asbestos in an encapsulated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Claimants consist largely of 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 Ended</w:t>
            </w:r>
          </w:p>
        </w:tc>
        <w:tc>
          <w:tcPr>
            <w:tcW w:w="208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Years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208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4"/>
          </w:tcPr>
          <w:p>
            <w:pPr>
              <w:ind w:left="40"/>
              <w:spacing w:after="0" w:line="196" w:lineRule="exact"/>
              <w:rPr>
                <w:sz w:val="20"/>
                <w:szCs w:val="20"/>
                <w:color w:val="auto"/>
              </w:rPr>
            </w:pPr>
            <w:r>
              <w:rPr>
                <w:rFonts w:ascii="Arial" w:cs="Arial" w:eastAsia="Arial" w:hAnsi="Arial"/>
                <w:sz w:val="18"/>
                <w:szCs w:val="18"/>
                <w:b w:val="1"/>
                <w:bCs w:val="1"/>
                <w:color w:val="auto"/>
              </w:rPr>
              <w:t>Claims Activity</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Claims unresolved at the beginning of period</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6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Claims filed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2"/>
                <w:szCs w:val="22"/>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70"/>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Claims resolved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Claims unresolved at the end of period</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Disease Distribution of Unresolved Claims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6740" w:type="dxa"/>
            <w:vAlign w:val="bottom"/>
            <w:gridSpan w:val="4"/>
            <w:vMerge w:val="continue"/>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208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Mesothelioma and other cancer claims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Nonmalignant claims</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claims</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6,209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5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r>
      <w:tr>
        <w:trPr>
          <w:trHeight w:val="210"/>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6"/>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Malignant claims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55,300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56,000</w:t>
            </w:r>
          </w:p>
        </w:tc>
        <w:tc>
          <w:tcPr>
            <w:tcW w:w="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44,000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44,000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53,500</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Nonmalignant claims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4,700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2,800</w:t>
            </w:r>
          </w:p>
        </w:tc>
        <w:tc>
          <w:tcPr>
            <w:tcW w:w="3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4,485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120</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18"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consolidated financial statements reflect an estimated liability for resolution of asserted (claims filed as of the financial statement date) and unasserted Bendix-related asbestos claims and excludes the Company’s legal fees to defend such asbestos claims which will continue to be expensed by the Company as they are incurred. We have valued Bendix asserted and unasserted claims using average resolution values for the previous five years. We update the resolution values used to estimate the cost of Bendix asserted and unasserted claims during the fourth quarter each year.</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Reimbursements associated with the indemnification and reimbursement agreement with a Garrett subsidiary (the "Agreement") were $114 million for the nine months ended September 30, 2019 and offset operating cash outflows incurred by the Company. As the Company records the accruals for matters covered by the indemnification and reimbursement agreement, a corresponding receivable from Garrett for 90 percent of such accrual is also recorded. This receivable amount was $25 million in the nine months ended September 30, 2019. As of September 30, 2019, Other Current Assets and Other Assets includes $164 million and $932 million representing the short-term and long-term portion of the receivable amount due from Garrett under the indemnification and reimbursement agreement.</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our ongoing communications with Garrett with respect to the Agreement and Garrett’s associated material weakness disclosure in its Form 10-K for the year ended December 31, 2018, Garrett has taken the position that (i) Honeywell has not satisfied all of its obligations under the Agreement, and (ii) the Agreement is unenforceable either in whole or in part. We strongly believe that Garrett’s allegations have no merit, nor are they material to Honeywell. We believe we have fully complied with our obligations under the Agreement and that the Agreement is enforceable in its entirety. We intend to continue to have ongoing discussions with Garrett to try to resolve this matter.</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September 13, 2018, following completion of the Securities and Exchange Commission (SEC) Division of Corporation Finance’s review of our prior accounting for liabilities for unasserted Bendix-related asbestos claims, the SEC Division of Enforcement advised that it had opened an investigation related to this matter. On August 28, 2019, the SEC informed the Company that it had concluded its investigation and that it does not intend to recommend any enforcement action against Honeywell. On October 31, 2018, David Kanefsky, a Honeywell shareholder, filed a putative class action complaint alleging violations of the Securities Exchange Act of 1934 and Rule 10b-5 related to the prior accounting for Bendix asbestos claims. On May 15, 2019, Wayne County Employees’ Retirement System, another Honeywell shareholder, filed a putative class action asserting the same claims relating to substantially the same alleged conduct in the same jurisdiction. On August 26, 2019, Wayne County Employees' Retirement System voluntarily dismissed its complaint without prejudice, in light of its motion to be appointed as substitute lead plaintiff in the Kanefsky action. We believe neither complaint has any merit.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 suit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has since been dismissed without prejudice.</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has appealed this decision to the Sixth Circuit Court of Appeals. Honeywell believes the District Court’s ruling will be upheld.</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2016 MCBA expired, and Honeywell would have no ongoing obligation to continue funding healthcare coverage for subsequent periods. Honeywell has appealed the District Court’s ruling on this “full premium” damages issue, and believes that the Sixth Circuit Court of Appeals will reverse the District Court on that issue. In the event the Sixth Circuit were to sustain the District Court’s ruling on this issue, Honeywell would be liable for damages of at least $12 million.</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Petrobras and Unaoil</w:t>
      </w:r>
      <w:r>
        <w:rPr>
          <w:rFonts w:ascii="Arial" w:cs="Arial" w:eastAsia="Arial" w:hAnsi="Arial"/>
          <w:sz w:val="18"/>
          <w:szCs w:val="18"/>
          <w:color w:val="auto"/>
        </w:rPr>
        <w:t>—We are cooperating with certain investigations by the U.S. Department of Justice (DOJ), the SEC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Brazilian authorities relating to our use of 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are cooperating with the authorities in each of the above matters. While we cannot predict the outcome of these matters, based on the facts currently known to us, we do not anticipate that these matters will have a material adverse effect on our financial condition, results of operations, or cash flows.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jc w:val="center"/>
        <w:ind w:right="-1220"/>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that could have a material adverse effect on our results of operations or operating cash flows in the periods recognized or paid.</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118" w:right="1440" w:bottom="1440" w:gutter="0" w:footer="0" w:header="0"/>
        </w:sectPr>
      </w:pPr>
    </w:p>
    <w:bookmarkStart w:id="34" w:name="page35"/>
    <w:bookmarkEnd w:id="34"/>
    <w:tbl>
      <w:tblPr>
        <w:tblLayout w:type="fixed"/>
        <w:tblInd w:w="40" w:type="dxa"/>
        <w:tblCellMar>
          <w:top w:w="0" w:type="dxa"/>
          <w:left w:w="0" w:type="dxa"/>
          <w:bottom w:w="0" w:type="dxa"/>
          <w:right w:w="0" w:type="dxa"/>
        </w:tblCellMar>
      </w:tblPr>
      <w:tr>
        <w:trPr>
          <w:trHeight w:val="239"/>
        </w:trPr>
        <w:tc>
          <w:tcPr>
            <w:tcW w:w="38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216"/>
        </w:trPr>
        <w:tc>
          <w:tcPr>
            <w:tcW w:w="3860" w:type="dxa"/>
            <w:vAlign w:val="bottom"/>
          </w:tcPr>
          <w:p>
            <w:pPr>
              <w:spacing w:after="0"/>
              <w:rPr>
                <w:sz w:val="18"/>
                <w:szCs w:val="18"/>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FINANCIAL CONDITION AND RESULTS OF OPERATIONS</w:t>
            </w:r>
          </w:p>
        </w:tc>
      </w:tr>
      <w:tr>
        <w:trPr>
          <w:trHeight w:val="277"/>
        </w:trPr>
        <w:tc>
          <w:tcPr>
            <w:tcW w:w="386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is intended to help the reader understand the results of operations and financial condition of Honeywell International Inc. and its consolidated subsidiaries (“Honeywell” or “the Company”) for the three months (quarter) and nine months ended September 30, 2019. The financial information as of September 30, 2019 should be read in conjunction with the consolidated financial statements for the year ended December 31, 2018 contained in our 2018 Annual Report on Form 10-K.</w:t>
      </w:r>
    </w:p>
    <w:p>
      <w:pPr>
        <w:spacing w:after="0" w:line="20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On October 1, 2018, the Company completed the tax-free spin-off to Honeywell shareowners of its Transportation Systems business, previously part of Aerospace, into a standalone publicly-traded company, Garrett Motion Inc. (“Garrett”).</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October 29, 2018, the Company completed the tax-free spin-off to Honeywell shareowners of its Homes and Global Distribution business, previously part of Home and Building Technologies (renamed Honeywell Building Technologies following the spin-off), into a standalone publicly-traded company, Resideo Technologies, Inc. (“Resideo”).</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assets and liabilities associated with Garrett and Resideo have been removed from the Company’s Consolidated Balance Sheet as of the effective dates of the respective spin-offs. The results of operations for Garrett and Resideo are included in the Consolidated Statement of Operations through the effective dates of the respective spin-offs.</w:t>
      </w:r>
    </w:p>
    <w:p>
      <w:pPr>
        <w:spacing w:after="0" w:line="342" w:lineRule="exact"/>
        <w:rPr>
          <w:sz w:val="20"/>
          <w:szCs w:val="20"/>
          <w:color w:val="auto"/>
        </w:rPr>
      </w:pPr>
    </w:p>
    <w:p>
      <w:pPr>
        <w:ind w:left="380" w:right="520" w:hanging="345"/>
        <w:spacing w:after="0" w:line="271" w:lineRule="auto"/>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and nine months ended September 30, 2019 compared with the three and nine months ended September 30, 2018</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right"/>
              <w:ind w:right="9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7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6"/>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9,086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32,073</w:t>
            </w:r>
          </w:p>
        </w:tc>
      </w:tr>
      <w:tr>
        <w:trPr>
          <w:trHeight w:val="257"/>
        </w:trPr>
        <w:tc>
          <w:tcPr>
            <w:tcW w:w="578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46"/>
        </w:trPr>
        <w:tc>
          <w:tcPr>
            <w:tcW w:w="7280" w:type="dxa"/>
            <w:vAlign w:val="bottom"/>
            <w:gridSpan w:val="4"/>
          </w:tcPr>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9"/>
        </w:trPr>
        <w:tc>
          <w:tcPr>
            <w:tcW w:w="57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w:t>
            </w:r>
          </w:p>
        </w:tc>
        <w:tc>
          <w:tcPr>
            <w:tcW w:w="126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b w:val="1"/>
                <w:bCs w:val="1"/>
                <w:color w:val="auto"/>
              </w:rPr>
              <w:t>Year to Date</w:t>
            </w: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63"/>
        </w:trPr>
        <w:tc>
          <w:tcPr>
            <w:tcW w:w="5780" w:type="dxa"/>
            <w:vAlign w:val="bottom"/>
          </w:tcPr>
          <w:p>
            <w:pPr>
              <w:ind w:left="40"/>
              <w:spacing w:after="0"/>
              <w:rPr>
                <w:sz w:val="20"/>
                <w:szCs w:val="20"/>
                <w:color w:val="auto"/>
              </w:rPr>
            </w:pPr>
            <w:r>
              <w:rPr>
                <w:rFonts w:ascii="Arial" w:cs="Arial" w:eastAsia="Arial" w:hAnsi="Arial"/>
                <w:sz w:val="18"/>
                <w:szCs w:val="18"/>
                <w:color w:val="auto"/>
              </w:rPr>
              <w:t>Price</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7"/>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Acquisitions/Divestitures</w:t>
            </w:r>
          </w:p>
        </w:tc>
        <w:tc>
          <w:tcPr>
            <w:tcW w:w="1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5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Management Discussion and Analysis.</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unfavorable impact of foreign currency translation in the quarter and nine months is driven by the strengthening of the U.S. Dollar against the currencies of the majority of our international markets, primarily the Euro, British Pound and Chinese Renminbi.</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acquisitions/divestitures impact is primarily driven by the spin-offs of the Transportation Systems business and Homes and Global Distribution business.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54" w:right="239"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b w:val="1"/>
          <w:bCs w:val="1"/>
          <w:color w:val="auto"/>
        </w:rPr>
        <w:t>Cost of Products and Services Sold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6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56"/>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and services sold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6,038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7,556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18,011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22,361</w:t>
            </w:r>
          </w:p>
        </w:tc>
      </w:tr>
      <w:tr>
        <w:trPr>
          <w:trHeight w:val="263"/>
        </w:trPr>
        <w:tc>
          <w:tcPr>
            <w:tcW w:w="568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percentage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bl>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products and services sold decreased in the quarter primarily due to lower direct material costs of approximately $1,060 million and lower labor costs of approximately $150 million (both driven by the spin-off of the Transportation Systems and Homes and Global Distribution businesses and productivity, partially offset by higher organic sales and inflation), and lower repositioning and other charges of approximately $190 million.</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products and services sold decreased in the nine months primarily due to lower direct and indirect material costs of approximately $3,400 million and lower labor costs of approximately $400 million (both driven by the spin-off of the Transportation Systems and Homes and Global Distribution businesses and productivity, partially offset by higher organic sales and inflation), and lower repositioning and other charges of approximately $400 million.</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Gross margin percentage increased in the quarter primarily due to higher gross margin in the segments (approximately 1.5 percentage points), with higher Aerospace and Honeywell Building Technologies gross margins partially offset by lower Safety and Productivity Solutions and Performance Materials and Technologies segment gross margin, and due to the lower costs within cost of products and services sold for repositioning and other charges (approximately 2.0 percentage point impact) and pension service costs (approximately 0.2 percentage point impact).</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Gross margin percentage increased in the nine months primarily due to higher gross margin in the segments (approximately 1.8 percentage points), with higher Aerospace, Honeywell Building Technologies and Performance Materials and Technologies gross margins partially offset by lower Safety and Productivity Solutions segment gross margin, and due to the lower costs within cost of products and services sold for repositioning and other charges (approximately 1.5 percentage point impact) and pension service costs (approximately 0.2 percentage point impact).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8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56"/>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4,046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4,527</w:t>
            </w:r>
          </w:p>
        </w:tc>
      </w:tr>
      <w:tr>
        <w:trPr>
          <w:trHeight w:val="257"/>
        </w:trPr>
        <w:tc>
          <w:tcPr>
            <w:tcW w:w="580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Selling, general and administrative expenses decreased $228 million and $481 million in the quarter and nine months primarily due to the absence of costs of the Transportation Systems and Homes and Global Distribution businesses following their spin-offs, and the favorable impact of foreign currency translation, partially offset by inflation.</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(Income) Expense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r>
    </w:tbl>
    <w:p>
      <w:pPr>
        <w:spacing w:after="0" w:line="215" w:lineRule="exact"/>
        <w:rPr>
          <w:sz w:val="20"/>
          <w:szCs w:val="20"/>
          <w:color w:val="auto"/>
        </w:rPr>
      </w:pPr>
    </w:p>
    <w:p>
      <w:pPr>
        <w:jc w:val="both"/>
        <w:ind w:firstLine="715"/>
        <w:spacing w:after="0" w:line="262" w:lineRule="auto"/>
        <w:rPr>
          <w:sz w:val="20"/>
          <w:szCs w:val="20"/>
          <w:color w:val="auto"/>
        </w:rPr>
      </w:pPr>
      <w:r>
        <w:rPr>
          <w:rFonts w:ascii="Arial" w:cs="Arial" w:eastAsia="Arial" w:hAnsi="Arial"/>
          <w:sz w:val="18"/>
          <w:szCs w:val="18"/>
          <w:color w:val="auto"/>
        </w:rPr>
        <w:t>Other income increased for the quarter and nine months primarily due to the absence of separation costs, higher foreign exchange income, and higher interest income, partially offset by lower pension non-service income.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6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Tax Expense (Benefit)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60"/>
        </w:trPr>
        <w:tc>
          <w:tcPr>
            <w:tcW w:w="5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 increased for the quarter and nine months ended September 30, 2019 compared to the quarter and nine months ended September 30, 2018 primarily due to lower tax benefits (reduction of accrued withholding taxes of approximately $114 million in 2019 and approximately $1.1 billion in 2018 related to unremitted foreign earnings), partially offset by $432 million of tax costs incurred in 2018 related to the spin-offs. Other changes to the tax rate include increased tax benefits for employee share-based compensation, and lower forecasted Global Intangible Low Taxed Income tax expense in the current year.</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effective tax rate for the quarter and nine months ended September 30, 2019 was lower than the U.S. federal statutory rate of 21% primarily due to the reduction of withholding taxes related to unremitted foreign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6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60"/>
        </w:trPr>
        <w:tc>
          <w:tcPr>
            <w:tcW w:w="6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Earnings per share of common stock – assuming dilution</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Earnings per share of common stock – assuming dilution decreased in the quarter and nine months primarily driven by higher tax expense due to the lower tax benefits compared to the prior year as indicated in the Tax Expense (Benefit) section of this Management Discussion and Analysis, lower segment profit associated with the spin-offs and lower pension ongoing income, partially offset by increased operational segment profit, lower repositioning and other charges and the favorable impact of lower share count.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80" w:type="dxa"/>
            <w:vAlign w:val="bottom"/>
            <w:gridSpan w:val="7"/>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3200" w:type="dxa"/>
            <w:vAlign w:val="bottom"/>
            <w:gridSpan w:val="6"/>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75"/>
        </w:trPr>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96"/>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7"/>
                <w:szCs w:val="17"/>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Change</w:t>
            </w:r>
          </w:p>
        </w:tc>
      </w:tr>
      <w:tr>
        <w:trPr>
          <w:trHeight w:val="216"/>
        </w:trPr>
        <w:tc>
          <w:tcPr>
            <w:tcW w:w="4460" w:type="dxa"/>
            <w:vAlign w:val="bottom"/>
            <w:tcBorders>
              <w:top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Aerospace sales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63"/>
        </w:trPr>
        <w:tc>
          <w:tcPr>
            <w:tcW w:w="40" w:type="dxa"/>
            <w:vAlign w:val="bottom"/>
          </w:tcPr>
          <w:p>
            <w:pPr>
              <w:spacing w:after="0"/>
              <w:rPr>
                <w:sz w:val="22"/>
                <w:szCs w:val="22"/>
                <w:color w:val="auto"/>
              </w:rPr>
            </w:pPr>
          </w:p>
        </w:tc>
        <w:tc>
          <w:tcPr>
            <w:tcW w:w="4420" w:type="dxa"/>
            <w:vAlign w:val="bottom"/>
            <w:gridSpan w:val="5"/>
          </w:tcPr>
          <w:p>
            <w:pPr>
              <w:ind w:left="140"/>
              <w:spacing w:after="0"/>
              <w:rPr>
                <w:sz w:val="20"/>
                <w:szCs w:val="20"/>
                <w:color w:val="auto"/>
              </w:rPr>
            </w:pPr>
            <w:r>
              <w:rPr>
                <w:rFonts w:ascii="Arial" w:cs="Arial" w:eastAsia="Arial" w:hAnsi="Arial"/>
                <w:sz w:val="18"/>
                <w:szCs w:val="18"/>
                <w:color w:val="auto"/>
              </w:rPr>
              <w:t>Commercial Aviation Original Equipment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7"/>
        </w:trPr>
        <w:tc>
          <w:tcPr>
            <w:tcW w:w="40" w:type="dxa"/>
            <w:vAlign w:val="bottom"/>
            <w:shd w:val="clear" w:color="auto" w:fill="CCEEFF"/>
          </w:tcPr>
          <w:p>
            <w:pPr>
              <w:spacing w:after="0"/>
              <w:rPr>
                <w:sz w:val="24"/>
                <w:szCs w:val="24"/>
                <w:color w:val="auto"/>
              </w:rPr>
            </w:pPr>
          </w:p>
        </w:tc>
        <w:tc>
          <w:tcPr>
            <w:tcW w:w="44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Commercial Aviation Aftermarket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63"/>
        </w:trPr>
        <w:tc>
          <w:tcPr>
            <w:tcW w:w="40" w:type="dxa"/>
            <w:vAlign w:val="bottom"/>
          </w:tcPr>
          <w:p>
            <w:pPr>
              <w:spacing w:after="0"/>
              <w:rPr>
                <w:sz w:val="22"/>
                <w:szCs w:val="22"/>
                <w:color w:val="auto"/>
              </w:rPr>
            </w:pPr>
          </w:p>
        </w:tc>
        <w:tc>
          <w:tcPr>
            <w:tcW w:w="4420" w:type="dxa"/>
            <w:vAlign w:val="bottom"/>
            <w:gridSpan w:val="5"/>
          </w:tcPr>
          <w:p>
            <w:pPr>
              <w:ind w:left="140"/>
              <w:spacing w:after="0"/>
              <w:rPr>
                <w:sz w:val="20"/>
                <w:szCs w:val="20"/>
                <w:color w:val="auto"/>
              </w:rPr>
            </w:pPr>
            <w:r>
              <w:rPr>
                <w:rFonts w:ascii="Arial" w:cs="Arial" w:eastAsia="Arial" w:hAnsi="Arial"/>
                <w:sz w:val="18"/>
                <w:szCs w:val="18"/>
                <w:color w:val="auto"/>
              </w:rPr>
              <w:t>Defense and Space</w:t>
            </w: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70"/>
        </w:trPr>
        <w:tc>
          <w:tcPr>
            <w:tcW w:w="40" w:type="dxa"/>
            <w:vAlign w:val="bottom"/>
            <w:shd w:val="clear" w:color="auto" w:fill="CCEEFF"/>
          </w:tcPr>
          <w:p>
            <w:pPr>
              <w:spacing w:after="0"/>
              <w:rPr>
                <w:sz w:val="23"/>
                <w:szCs w:val="23"/>
                <w:color w:val="auto"/>
              </w:rPr>
            </w:pPr>
          </w:p>
        </w:tc>
        <w:tc>
          <w:tcPr>
            <w:tcW w:w="44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Transportation Systems</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40" w:type="dxa"/>
            <w:vAlign w:val="bottom"/>
          </w:tcPr>
          <w:p>
            <w:pPr>
              <w:spacing w:after="0"/>
              <w:rPr>
                <w:sz w:val="21"/>
                <w:szCs w:val="21"/>
                <w:color w:val="auto"/>
              </w:rPr>
            </w:pPr>
          </w:p>
        </w:tc>
        <w:tc>
          <w:tcPr>
            <w:tcW w:w="4420" w:type="dxa"/>
            <w:vAlign w:val="bottom"/>
            <w:gridSpan w:val="5"/>
          </w:tcPr>
          <w:p>
            <w:pPr>
              <w:ind w:left="240"/>
              <w:spacing w:after="0"/>
              <w:rPr>
                <w:sz w:val="20"/>
                <w:szCs w:val="20"/>
                <w:color w:val="auto"/>
              </w:rPr>
            </w:pPr>
            <w:r>
              <w:rPr>
                <w:rFonts w:ascii="Arial" w:cs="Arial" w:eastAsia="Arial" w:hAnsi="Arial"/>
                <w:sz w:val="18"/>
                <w:szCs w:val="18"/>
                <w:color w:val="auto"/>
              </w:rPr>
              <w:t>Total Aerospace sales</w:t>
            </w: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12,065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4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Honeywell Building Technologies sales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30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Homes</w:t>
            </w:r>
          </w:p>
        </w:tc>
        <w:tc>
          <w:tcPr>
            <w:tcW w:w="1340" w:type="dxa"/>
            <w:vAlign w:val="bottom"/>
            <w:tcBorders>
              <w:top w:val="single" w:sz="8" w:color="CCEEFF"/>
            </w:tcBorders>
            <w:gridSpan w:val="3"/>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1,192</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3,539</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40" w:type="dxa"/>
            <w:vAlign w:val="bottom"/>
            <w:shd w:val="clear" w:color="auto" w:fill="CCEEFF"/>
          </w:tcPr>
          <w:p>
            <w:pPr>
              <w:spacing w:after="0"/>
              <w:rPr>
                <w:sz w:val="23"/>
                <w:szCs w:val="23"/>
                <w:color w:val="auto"/>
              </w:rPr>
            </w:pPr>
          </w:p>
        </w:tc>
        <w:tc>
          <w:tcPr>
            <w:tcW w:w="44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Buildings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40" w:type="dxa"/>
            <w:vAlign w:val="bottom"/>
          </w:tcPr>
          <w:p>
            <w:pPr>
              <w:spacing w:after="0"/>
              <w:rPr>
                <w:sz w:val="21"/>
                <w:szCs w:val="21"/>
                <w:color w:val="auto"/>
              </w:rPr>
            </w:pPr>
          </w:p>
        </w:tc>
        <w:tc>
          <w:tcPr>
            <w:tcW w:w="4420" w:type="dxa"/>
            <w:vAlign w:val="bottom"/>
            <w:gridSpan w:val="5"/>
          </w:tcPr>
          <w:p>
            <w:pPr>
              <w:ind w:left="240"/>
              <w:spacing w:after="0"/>
              <w:rPr>
                <w:sz w:val="20"/>
                <w:szCs w:val="20"/>
                <w:color w:val="auto"/>
              </w:rPr>
            </w:pPr>
            <w:r>
              <w:rPr>
                <w:rFonts w:ascii="Arial" w:cs="Arial" w:eastAsia="Arial" w:hAnsi="Arial"/>
                <w:sz w:val="18"/>
                <w:szCs w:val="18"/>
                <w:color w:val="auto"/>
              </w:rPr>
              <w:t>Total Honeywell Building Technologies sales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7,496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4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 sales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372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color w:val="auto"/>
              </w:rPr>
              <w:t>UOP</w:t>
            </w:r>
          </w:p>
        </w:tc>
        <w:tc>
          <w:tcPr>
            <w:tcW w:w="7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717</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722</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2,030</w:t>
            </w: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2,012</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277"/>
        </w:trPr>
        <w:tc>
          <w:tcPr>
            <w:tcW w:w="40" w:type="dxa"/>
            <w:vAlign w:val="bottom"/>
            <w:shd w:val="clear" w:color="auto" w:fill="CCEEFF"/>
          </w:tcPr>
          <w:p>
            <w:pPr>
              <w:spacing w:after="0"/>
              <w:rPr>
                <w:sz w:val="24"/>
                <w:szCs w:val="24"/>
                <w:color w:val="auto"/>
              </w:rPr>
            </w:pPr>
          </w:p>
        </w:tc>
        <w:tc>
          <w:tcPr>
            <w:tcW w:w="44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Process Solutions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64"/>
        </w:trPr>
        <w:tc>
          <w:tcPr>
            <w:tcW w:w="40" w:type="dxa"/>
            <w:vAlign w:val="bottom"/>
            <w:tcBorders>
              <w:bottom w:val="single" w:sz="8" w:color="CCEEFF"/>
            </w:tcBorders>
          </w:tcPr>
          <w:p>
            <w:pPr>
              <w:spacing w:after="0"/>
              <w:rPr>
                <w:sz w:val="22"/>
                <w:szCs w:val="22"/>
                <w:color w:val="auto"/>
              </w:rPr>
            </w:pPr>
          </w:p>
        </w:tc>
        <w:tc>
          <w:tcPr>
            <w:tcW w:w="4420" w:type="dxa"/>
            <w:vAlign w:val="bottom"/>
            <w:tcBorders>
              <w:bottom w:val="single" w:sz="8" w:color="CCEEFF"/>
            </w:tcBorders>
            <w:gridSpan w:val="5"/>
          </w:tcPr>
          <w:p>
            <w:pPr>
              <w:ind w:left="140"/>
              <w:spacing w:after="0"/>
              <w:rPr>
                <w:sz w:val="20"/>
                <w:szCs w:val="20"/>
                <w:color w:val="auto"/>
              </w:rPr>
            </w:pPr>
            <w:r>
              <w:rPr>
                <w:rFonts w:ascii="Arial" w:cs="Arial" w:eastAsia="Arial" w:hAnsi="Arial"/>
                <w:sz w:val="18"/>
                <w:szCs w:val="18"/>
                <w:color w:val="auto"/>
              </w:rPr>
              <w:t>Advanced Materials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693</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2,148</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40" w:type="dxa"/>
            <w:vAlign w:val="bottom"/>
            <w:shd w:val="clear" w:color="auto" w:fill="CCEEFF"/>
          </w:tcPr>
          <w:p>
            <w:pPr>
              <w:spacing w:after="0"/>
              <w:rPr>
                <w:sz w:val="18"/>
                <w:szCs w:val="18"/>
                <w:color w:val="auto"/>
              </w:rPr>
            </w:pPr>
          </w:p>
        </w:tc>
        <w:tc>
          <w:tcPr>
            <w:tcW w:w="442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Total Performance Materials and Technologies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442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7,872</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Safety and Productivity Solutions sales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4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Safety</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40" w:type="dxa"/>
            <w:vAlign w:val="bottom"/>
            <w:tcBorders>
              <w:bottom w:val="single" w:sz="8" w:color="CCEEFF"/>
            </w:tcBorders>
          </w:tcPr>
          <w:p>
            <w:pPr>
              <w:spacing w:after="0"/>
              <w:rPr>
                <w:sz w:val="22"/>
                <w:szCs w:val="22"/>
                <w:color w:val="auto"/>
              </w:rPr>
            </w:pPr>
          </w:p>
        </w:tc>
        <w:tc>
          <w:tcPr>
            <w:tcW w:w="4420" w:type="dxa"/>
            <w:vAlign w:val="bottom"/>
            <w:tcBorders>
              <w:bottom w:val="single" w:sz="8" w:color="CCEEFF"/>
            </w:tcBorders>
            <w:gridSpan w:val="5"/>
          </w:tcPr>
          <w:p>
            <w:pPr>
              <w:ind w:left="140"/>
              <w:spacing w:after="0"/>
              <w:rPr>
                <w:sz w:val="20"/>
                <w:szCs w:val="20"/>
                <w:color w:val="auto"/>
              </w:rPr>
            </w:pPr>
            <w:r>
              <w:rPr>
                <w:rFonts w:ascii="Arial" w:cs="Arial" w:eastAsia="Arial" w:hAnsi="Arial"/>
                <w:sz w:val="18"/>
                <w:szCs w:val="18"/>
                <w:color w:val="auto"/>
              </w:rPr>
              <w:t>Productivity Solutions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2,960</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0" w:type="dxa"/>
            <w:vAlign w:val="bottom"/>
            <w:shd w:val="clear" w:color="auto" w:fill="CCEEFF"/>
          </w:tcPr>
          <w:p>
            <w:pPr>
              <w:spacing w:after="0"/>
              <w:rPr>
                <w:sz w:val="21"/>
                <w:szCs w:val="21"/>
                <w:color w:val="auto"/>
              </w:rPr>
            </w:pPr>
          </w:p>
        </w:tc>
        <w:tc>
          <w:tcPr>
            <w:tcW w:w="442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Total Safety and Productivity Solutions sales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7"/>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10,762</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27,213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32,073</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Aerospace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6"/>
        </w:trPr>
        <w:tc>
          <w:tcPr>
            <w:tcW w:w="5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75"/>
        </w:trPr>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r>
      <w:tr>
        <w:trPr>
          <w:trHeight w:val="196"/>
        </w:trPr>
        <w:tc>
          <w:tcPr>
            <w:tcW w:w="5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12,065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6,944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908</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2,653</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2019 vs. 2018</w:t>
            </w:r>
          </w:p>
        </w:tc>
        <w:tc>
          <w:tcPr>
            <w:tcW w:w="1040" w:type="dxa"/>
            <w:vAlign w:val="bottom"/>
            <w:tcBorders>
              <w:bottom w:val="single" w:sz="8" w:color="auto"/>
            </w:tcBorders>
          </w:tcPr>
          <w:p>
            <w:pPr>
              <w:spacing w:after="0"/>
              <w:rPr>
                <w:sz w:val="17"/>
                <w:szCs w:val="17"/>
                <w:color w:val="auto"/>
              </w:rPr>
            </w:pPr>
          </w:p>
        </w:tc>
      </w:tr>
      <w:tr>
        <w:trPr>
          <w:trHeight w:val="175"/>
        </w:trPr>
        <w:tc>
          <w:tcPr>
            <w:tcW w:w="6960" w:type="dxa"/>
            <w:vAlign w:val="bottom"/>
          </w:tcPr>
          <w:p>
            <w:pPr>
              <w:spacing w:after="0"/>
              <w:rPr>
                <w:sz w:val="15"/>
                <w:szCs w:val="15"/>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60" w:type="dxa"/>
            <w:vAlign w:val="bottom"/>
          </w:tcPr>
          <w:p>
            <w:pPr>
              <w:spacing w:after="0"/>
              <w:rPr>
                <w:sz w:val="17"/>
                <w:szCs w:val="17"/>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6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Segment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6960" w:type="dxa"/>
            <w:vAlign w:val="bottom"/>
          </w:tcPr>
          <w:p>
            <w:pPr>
              <w:ind w:left="18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Sales</w:t>
            </w:r>
          </w:p>
        </w:tc>
        <w:tc>
          <w:tcPr>
            <w:tcW w:w="104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r>
      <w:tr>
        <w:trPr>
          <w:trHeight w:val="256"/>
        </w:trPr>
        <w:tc>
          <w:tcPr>
            <w:tcW w:w="6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 growth/ Operational segment profit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696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Aerospace sales decreased in the quarter and nine months ended September 30, 2019 due to the divestiture impacts following the spin-off of the Transportation Systems business, partially offset by organic growth.</w:t>
      </w:r>
    </w:p>
    <w:p>
      <w:pPr>
        <w:spacing w:after="0" w:line="196" w:lineRule="exact"/>
        <w:rPr>
          <w:sz w:val="20"/>
          <w:szCs w:val="20"/>
          <w:color w:val="auto"/>
        </w:rPr>
      </w:pPr>
    </w:p>
    <w:p>
      <w:pPr>
        <w:jc w:val="both"/>
        <w:ind w:left="840" w:hanging="332"/>
        <w:spacing w:after="0" w:line="256"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Aviation Original Equipment sales increased 7% (increased 7% organic) in the quarter primarily due to increased demand from air transport, regional, and business aviation original equipment manufacturers (OEMs) and increased 6% (increased 7% organic) in the nine months primarily due to increased demand from business aviation OEMs.</w:t>
      </w:r>
    </w:p>
    <w:p>
      <w:pPr>
        <w:spacing w:after="0" w:line="201" w:lineRule="exact"/>
        <w:rPr>
          <w:rFonts w:ascii="Arial" w:cs="Arial" w:eastAsia="Arial" w:hAnsi="Arial"/>
          <w:sz w:val="18"/>
          <w:szCs w:val="18"/>
          <w:color w:val="auto"/>
        </w:rPr>
      </w:pPr>
    </w:p>
    <w:p>
      <w:pPr>
        <w:ind w:left="840" w:right="20" w:hanging="332"/>
        <w:spacing w:after="0" w:line="262"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Aviation Aftermarket sales increased 6% (increased 6% organic) in the quarter and increased 7% (increased 7% organic) in the nine months with growth in both air transport and regional, and business aviation.</w:t>
      </w:r>
    </w:p>
    <w:p>
      <w:pPr>
        <w:spacing w:after="0" w:line="196" w:lineRule="exact"/>
        <w:rPr>
          <w:rFonts w:ascii="Arial" w:cs="Arial" w:eastAsia="Arial" w:hAnsi="Arial"/>
          <w:sz w:val="18"/>
          <w:szCs w:val="18"/>
          <w:color w:val="auto"/>
        </w:rPr>
      </w:pPr>
    </w:p>
    <w:p>
      <w:pPr>
        <w:ind w:left="840" w:hanging="332"/>
        <w:spacing w:after="0" w:line="262"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Defense and Space sales increased 16% (increased 17% organic) in the quarter and nine months primarily driven by growth in U.S. and international defense.</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Aerospace segment profit increased in the quarter due to an increase in operational segment profit, primarily driven by productivity, net of inflation, and price, partially offset by the divestiture impacts following the spin-off of the Transportation Systems business. Aerospace segment profit decreased for the nine months due to the divestiture impacts following the spin-off of the Transportation Systems business, partially offset by an increase in operational segment profit, primarily driven by price, higher sales volumes, and productivity, net of inflation. Cost of products and services sold decreased in the quarter and nine months due to the spin-off of the Transportation Systems business, partially offset by higher organic sales volumes.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Honeywell Building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gridSpan w:val="7"/>
          </w:tcPr>
          <w:p>
            <w:pPr>
              <w:jc w:val="right"/>
              <w:ind w:right="776"/>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7,496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297</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868</w:t>
            </w: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2019 vs. 2018</w:t>
            </w:r>
          </w:p>
        </w:tc>
        <w:tc>
          <w:tcPr>
            <w:tcW w:w="1040" w:type="dxa"/>
            <w:vAlign w:val="bottom"/>
            <w:tcBorders>
              <w:bottom w:val="single" w:sz="8" w:color="auto"/>
            </w:tcBorders>
          </w:tcPr>
          <w:p>
            <w:pPr>
              <w:spacing w:after="0"/>
              <w:rPr>
                <w:sz w:val="17"/>
                <w:szCs w:val="17"/>
                <w:color w:val="auto"/>
              </w:rPr>
            </w:pPr>
          </w:p>
        </w:tc>
      </w:tr>
      <w:tr>
        <w:trPr>
          <w:trHeight w:val="175"/>
        </w:trPr>
        <w:tc>
          <w:tcPr>
            <w:tcW w:w="6960" w:type="dxa"/>
            <w:vAlign w:val="bottom"/>
          </w:tcPr>
          <w:p>
            <w:pPr>
              <w:spacing w:after="0"/>
              <w:rPr>
                <w:sz w:val="15"/>
                <w:szCs w:val="15"/>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60" w:type="dxa"/>
            <w:vAlign w:val="bottom"/>
          </w:tcPr>
          <w:p>
            <w:pPr>
              <w:spacing w:after="0"/>
              <w:rPr>
                <w:sz w:val="17"/>
                <w:szCs w:val="17"/>
                <w:color w:val="auto"/>
              </w:rPr>
            </w:pPr>
          </w:p>
        </w:tc>
        <w:tc>
          <w:tcPr>
            <w:tcW w:w="218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21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6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Segment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6960" w:type="dxa"/>
            <w:vAlign w:val="bottom"/>
          </w:tcPr>
          <w:p>
            <w:pPr>
              <w:ind w:left="18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Sales</w:t>
            </w:r>
          </w:p>
        </w:tc>
        <w:tc>
          <w:tcPr>
            <w:tcW w:w="104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r>
      <w:tr>
        <w:trPr>
          <w:trHeight w:val="249"/>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Organic growth/ Operational segment profit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Building Technologies sales decreased in the quarter and nine months ended September 30, 2019 due to the divestiture impacts following the spin-off of the Homes business and the unfavorable impact of foreign currency translation, partially offset by organic growth.</w:t>
      </w:r>
    </w:p>
    <w:p>
      <w:pPr>
        <w:spacing w:after="0" w:line="202" w:lineRule="exact"/>
        <w:rPr>
          <w:sz w:val="20"/>
          <w:szCs w:val="20"/>
          <w:color w:val="auto"/>
        </w:rPr>
      </w:pPr>
    </w:p>
    <w:p>
      <w:pPr>
        <w:jc w:val="both"/>
        <w:ind w:left="840" w:hanging="332"/>
        <w:spacing w:after="0" w:line="25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Building Technologies, excluding the Homes divestiture and related impacts, increased 7% (increased 3% organic) in the quarter primarily due to higher organic sales growth in Products, partially offset by the unfavorable impact of foreign currency translation. Sales increased 8% (increased 6% organic) in the nine months primarily due to higher organic growth in both Products and Building Solutions, partially offset by the unfavorable impact of foreign currency translation.</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Honeywell Building Technologies segment profit decreased in the quarter and nine months due to the divestiture impacts following the spin-off of the Homes business and the unfavorable impact of foreign currency translation, partially offset by an increase in operational segment profit. The increase in operational segment profit in the quarter was primarily driven by price, organic sales volumes, and productivity, partially offset by inflation. The increase in operational segment profit for the nine months was primarily due to higher organic sales volumes and price, partially offset by inflation. Cost of products and services sold decreased in the quarter and nine months due to the Homes divestiture and the favorable impact of foreign currency translation, partially offset by higher organic sales volumes.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9"/>
          </w:tcPr>
          <w:p>
            <w:pPr>
              <w:ind w:left="2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6"/>
        </w:trPr>
        <w:tc>
          <w:tcPr>
            <w:tcW w:w="5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75"/>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rPr>
              <w:t>%</w:t>
            </w:r>
          </w:p>
        </w:tc>
      </w:tr>
      <w:tr>
        <w:trPr>
          <w:trHeight w:val="196"/>
        </w:trPr>
        <w:tc>
          <w:tcPr>
            <w:tcW w:w="5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Change</w:t>
            </w:r>
          </w:p>
        </w:tc>
      </w:tr>
      <w:tr>
        <w:trPr>
          <w:trHeight w:val="25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7,977</w:t>
            </w:r>
          </w:p>
        </w:tc>
        <w:tc>
          <w:tcPr>
            <w:tcW w:w="3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5,121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1,066</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1,790</w:t>
            </w:r>
          </w:p>
        </w:tc>
        <w:tc>
          <w:tcPr>
            <w:tcW w:w="80" w:type="dxa"/>
            <w:vAlign w:val="bottom"/>
            <w:tcBorders>
              <w:bottom w:val="single" w:sz="8" w:color="auto"/>
            </w:tcBorders>
            <w:gridSpan w:val="2"/>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42"/>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2019 vs. 2018</w:t>
            </w:r>
          </w:p>
        </w:tc>
        <w:tc>
          <w:tcPr>
            <w:tcW w:w="820" w:type="dxa"/>
            <w:vAlign w:val="bottom"/>
            <w:tcBorders>
              <w:bottom w:val="single" w:sz="8" w:color="auto"/>
            </w:tcBorders>
          </w:tcPr>
          <w:p>
            <w:pPr>
              <w:spacing w:after="0"/>
              <w:rPr>
                <w:sz w:val="24"/>
                <w:szCs w:val="24"/>
                <w:color w:val="auto"/>
              </w:rPr>
            </w:pPr>
          </w:p>
        </w:tc>
      </w:tr>
      <w:tr>
        <w:trPr>
          <w:trHeight w:val="175"/>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2180" w:type="dxa"/>
            <w:vAlign w:val="bottom"/>
            <w:gridSpan w:val="9"/>
          </w:tcPr>
          <w:p>
            <w:pPr>
              <w:jc w:val="center"/>
              <w:spacing w:after="0"/>
              <w:rPr>
                <w:sz w:val="20"/>
                <w:szCs w:val="20"/>
                <w:color w:val="auto"/>
              </w:rPr>
            </w:pPr>
            <w:r>
              <w:rPr>
                <w:rFonts w:ascii="Arial" w:cs="Arial" w:eastAsia="Arial" w:hAnsi="Arial"/>
                <w:sz w:val="14"/>
                <w:szCs w:val="14"/>
                <w:b w:val="1"/>
                <w:bCs w:val="1"/>
                <w:color w:val="auto"/>
              </w:rPr>
              <w:t>Nine Months Ended September</w:t>
            </w:r>
          </w:p>
        </w:tc>
      </w:tr>
      <w:tr>
        <w:trPr>
          <w:trHeight w:val="196"/>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ind w:left="15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7"/>
                <w:szCs w:val="17"/>
                <w:color w:val="auto"/>
              </w:rPr>
            </w:pPr>
          </w:p>
        </w:tc>
      </w:tr>
      <w:tr>
        <w:trPr>
          <w:trHeight w:val="175"/>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37"/>
              <w:spacing w:after="0"/>
              <w:rPr>
                <w:sz w:val="20"/>
                <w:szCs w:val="20"/>
                <w:color w:val="auto"/>
              </w:rPr>
            </w:pPr>
            <w:r>
              <w:rPr>
                <w:rFonts w:ascii="Arial" w:cs="Arial" w:eastAsia="Arial" w:hAnsi="Arial"/>
                <w:sz w:val="14"/>
                <w:szCs w:val="14"/>
                <w:b w:val="1"/>
                <w:bCs w:val="1"/>
                <w:color w:val="auto"/>
              </w:rPr>
              <w:t>Segment</w:t>
            </w:r>
          </w:p>
        </w:tc>
      </w:tr>
      <w:tr>
        <w:trPr>
          <w:trHeight w:val="196"/>
        </w:trPr>
        <w:tc>
          <w:tcPr>
            <w:tcW w:w="5240" w:type="dxa"/>
            <w:vAlign w:val="bottom"/>
          </w:tcPr>
          <w:p>
            <w:pPr>
              <w:ind w:left="1880"/>
              <w:spacing w:after="0"/>
              <w:rPr>
                <w:sz w:val="20"/>
                <w:szCs w:val="20"/>
                <w:color w:val="auto"/>
              </w:rPr>
            </w:pPr>
            <w:r>
              <w:rPr>
                <w:rFonts w:ascii="Arial" w:cs="Arial" w:eastAsia="Arial" w:hAnsi="Arial"/>
                <w:sz w:val="14"/>
                <w:szCs w:val="14"/>
                <w:b w:val="1"/>
                <w:bCs w:val="1"/>
                <w:color w:val="auto"/>
              </w:rPr>
              <w:t>Factors Contributing to Year-Over-Year Change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Profit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Sales</w:t>
            </w:r>
          </w:p>
        </w:tc>
        <w:tc>
          <w:tcPr>
            <w:tcW w:w="820" w:type="dxa"/>
            <w:vAlign w:val="bottom"/>
          </w:tcPr>
          <w:p>
            <w:pPr>
              <w:jc w:val="center"/>
              <w:ind w:right="137"/>
              <w:spacing w:after="0"/>
              <w:rPr>
                <w:sz w:val="20"/>
                <w:szCs w:val="20"/>
                <w:color w:val="auto"/>
              </w:rPr>
            </w:pPr>
            <w:r>
              <w:rPr>
                <w:rFonts w:ascii="Arial" w:cs="Arial" w:eastAsia="Arial" w:hAnsi="Arial"/>
                <w:sz w:val="14"/>
                <w:szCs w:val="14"/>
                <w:b w:val="1"/>
                <w:bCs w:val="1"/>
                <w:color w:val="auto"/>
                <w:w w:val="98"/>
              </w:rPr>
              <w:t>Profit</w:t>
            </w:r>
          </w:p>
        </w:tc>
      </w:tr>
      <w:tr>
        <w:trPr>
          <w:trHeight w:val="256"/>
        </w:trPr>
        <w:tc>
          <w:tcPr>
            <w:tcW w:w="5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 growth/ Operational segment profit</w:t>
            </w:r>
          </w:p>
        </w:tc>
        <w:tc>
          <w:tcPr>
            <w:tcW w:w="20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Performance Materials and Technologies sales increased in the quarter and nine months ended September 30, 2019 primarily due to organic growth, partially offset by the unfavorable impact of foreign currency translation.</w:t>
      </w:r>
    </w:p>
    <w:p>
      <w:pPr>
        <w:spacing w:after="0" w:line="196" w:lineRule="exact"/>
        <w:rPr>
          <w:sz w:val="20"/>
          <w:szCs w:val="20"/>
          <w:color w:val="auto"/>
        </w:rPr>
      </w:pPr>
    </w:p>
    <w:p>
      <w:pPr>
        <w:jc w:val="both"/>
        <w:ind w:left="500" w:hanging="316"/>
        <w:spacing w:after="0" w:line="256"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UOP sales decreased 1% (flat organic) in the quarter driven primarily by the unfavorable impact of foreign currency translation, with growth in catalyst and licensing sales offset by lower gas processing volumes. UOP sales increased 1% (increased 2% organic) in the nine months driven primarily by growth in catalyst and licensing sales, partially offset by lower gas processing equipment volumes.</w:t>
      </w:r>
    </w:p>
    <w:p>
      <w:pPr>
        <w:spacing w:after="0" w:line="201" w:lineRule="exact"/>
        <w:rPr>
          <w:rFonts w:ascii="Arial" w:cs="Arial" w:eastAsia="Arial" w:hAnsi="Arial"/>
          <w:sz w:val="18"/>
          <w:szCs w:val="18"/>
          <w:color w:val="auto"/>
        </w:rPr>
      </w:pPr>
    </w:p>
    <w:p>
      <w:pPr>
        <w:jc w:val="both"/>
        <w:ind w:left="500" w:hanging="316"/>
        <w:spacing w:after="0" w:line="25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Process Solutions sales increased 5% (increased 7% organic) in the quarter primarily driven by increases in maintenance and migration services and projects, partially offset by the unfavorable impact of foreign currency translation. Process Solutions sales increased 3% (increased 6% organic) in the nine months driven primarily by increases in maintenance and migration services, partially offset by the unfavorable impact of foreign currency translation.</w:t>
      </w:r>
    </w:p>
    <w:p>
      <w:pPr>
        <w:spacing w:after="0" w:line="204" w:lineRule="exact"/>
        <w:rPr>
          <w:rFonts w:ascii="Arial" w:cs="Arial" w:eastAsia="Arial" w:hAnsi="Arial"/>
          <w:sz w:val="18"/>
          <w:szCs w:val="18"/>
          <w:color w:val="auto"/>
        </w:rPr>
      </w:pPr>
    </w:p>
    <w:p>
      <w:pPr>
        <w:jc w:val="both"/>
        <w:ind w:left="500" w:hanging="316"/>
        <w:spacing w:after="0" w:line="256"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Materials sales decreased 3% (decreased 2% organic) in the quarter driven primarily by decreases in specialty products volumes. Advanced Materials sales decreased 1% (increased 1% organic) in the nine months driven primarily by decreases in specialty products and the unfavorable impact of foreign currency translation, partially offset by growth in fluorine products.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Performance Materials and Technologies segment profit increased in the quarter and nine months due to an increase in operational segment profit, partially offset by the unfavorable impact of foreign currency translation. The increase in operational segment profit in the quarter is primarily due to productivity, net of inflation, price, and higher sales volumes, partially offset by higher sales of lower margin products. The increase in operational segment profit in the nine months is primarily due to price and productivity, net of inflation. Cost of products and services sold increased in the quarter primarily due to higher sales volumes partially offset by the favorable impact of foreign currency translation. Cost of products and services sold decreased in the nine months primarily due to the favorable impact of foreign currency translation and productivity, net of inflation, partially offset by higher sales volumes.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6"/>
        </w:trPr>
        <w:tc>
          <w:tcPr>
            <w:tcW w:w="5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75"/>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r>
      <w:tr>
        <w:trPr>
          <w:trHeight w:val="196"/>
        </w:trPr>
        <w:tc>
          <w:tcPr>
            <w:tcW w:w="5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598</w:t>
            </w: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2019 vs. 2018</w:t>
            </w:r>
          </w:p>
        </w:tc>
        <w:tc>
          <w:tcPr>
            <w:tcW w:w="1040" w:type="dxa"/>
            <w:vAlign w:val="bottom"/>
            <w:tcBorders>
              <w:bottom w:val="single" w:sz="8" w:color="auto"/>
            </w:tcBorders>
          </w:tcPr>
          <w:p>
            <w:pPr>
              <w:spacing w:after="0"/>
              <w:rPr>
                <w:sz w:val="17"/>
                <w:szCs w:val="17"/>
                <w:color w:val="auto"/>
              </w:rPr>
            </w:pPr>
          </w:p>
        </w:tc>
      </w:tr>
      <w:tr>
        <w:trPr>
          <w:trHeight w:val="175"/>
        </w:trPr>
        <w:tc>
          <w:tcPr>
            <w:tcW w:w="7000" w:type="dxa"/>
            <w:vAlign w:val="bottom"/>
          </w:tcPr>
          <w:p>
            <w:pPr>
              <w:spacing w:after="0"/>
              <w:rPr>
                <w:sz w:val="15"/>
                <w:szCs w:val="15"/>
                <w:color w:val="auto"/>
              </w:rPr>
            </w:pPr>
          </w:p>
        </w:tc>
        <w:tc>
          <w:tcPr>
            <w:tcW w:w="226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00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7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Segment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7000" w:type="dxa"/>
            <w:vAlign w:val="bottom"/>
          </w:tcPr>
          <w:p>
            <w:pPr>
              <w:ind w:left="18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04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r>
      <w:tr>
        <w:trPr>
          <w:trHeight w:val="256"/>
        </w:trPr>
        <w:tc>
          <w:tcPr>
            <w:tcW w:w="7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 growth/ Operational segment profit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70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Safety and Productivity Solutions sales decreased for the quarter and nine months ended September 30, 2019 primarily due to lower organic sales and the unfavorable impact of foreign currency translation, partially offset by acquisitions.</w:t>
      </w:r>
    </w:p>
    <w:p>
      <w:pPr>
        <w:spacing w:after="0" w:line="115"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in Safety decreased 1% (flat organic) for the quarter and decreased 2% (increased 1% organic) for the nine months. The decrease in sales for the quarter was driven by the unfavorable impact of foreign currency translation. For the nine months, the decrease in sales was primarily driven by the unfavorable impact of foreign currency translation, partially offset by favorable pricing.</w:t>
      </w:r>
    </w:p>
    <w:p>
      <w:pPr>
        <w:spacing w:after="0" w:line="20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in Productivity Solutions decreased 11% (decreased 13% organic) for the quarter and decreased 1% (decreased 3% organic) for the nine months. The decrease in sales for the quarter is primarily attributable to lower sales volumes in Intelligrated due to the timing of large projects, lower sales volumes in Productivity Products, and the unfavorable impact of foreign currency translation, partially offset by acquisitions. The decrease in sales for the nine months is primarily attributable to lower sales volumes in Productivity Products and the unfavorable impact of foreign currency translation, partially offset by acquisitions.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Safety and Productivity Solutions segment profit decreased for the quarter and the nine months as a result of lower operational segment profit and the unfavorable impact of foreign currency translation, partially offset by acquisitions. The decreases in operational segment profit were primarily due to lower sales volumes in Productivity Products, partially offset by higher productivity and favorable pricing. Cost of products and services sold decreased for the quarter, primarily due to higher productivity and lower sales volumes, partially offset by acquisitions and inflation. Cost of products and services sold increased for the nine months, primarily due to inflation, acquisitions and higher sales of lower margin products primarily in the first half of the year, partially offset by higher productivity and the favorable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spending related to our repositioning actions was $149 million in the nine months ended September 30, 2019 and was funded through operating cash flows. We expect cash spending for repositioning actions to be approximately $225 million in 2019 and to be funded through operating cash flows.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B.</w:t>
            </w: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Liquidity and Capital Resources</w:t>
            </w:r>
          </w:p>
        </w:tc>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66"/>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Cash Flow Summary</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61"/>
        </w:trPr>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4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50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(used for):</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4,875</w:t>
            </w:r>
          </w:p>
        </w:tc>
      </w:tr>
      <w:tr>
        <w:trPr>
          <w:trHeight w:val="277"/>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1,433</w:t>
            </w:r>
          </w:p>
        </w:tc>
      </w:tr>
      <w:tr>
        <w:trPr>
          <w:trHeight w:val="26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(3,402)</w:t>
            </w:r>
          </w:p>
        </w:tc>
      </w:t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2,744</w:t>
            </w:r>
          </w:p>
        </w:tc>
      </w:tr>
      <w:tr>
        <w:trPr>
          <w:trHeight w:val="20"/>
        </w:trPr>
        <w:tc>
          <w:tcPr>
            <w:tcW w:w="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provided by operating activities decreased by $592 million primarily due to a $581 million unfavorable impact from working capital (primarily accounts payable and accounts receivable) and increased cash tax payments of $205 million, partially offset by reimbursements associated with the indemnification and reimbursement agreements with subsidiaries of Garrett and Resideo of $219 million.</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Cash used for investing activities increased by $1,555 million primarily due to a net $1,652 million increase in investments, primarily short term marketable securities, partially offset by lower cash paid for acquisitions of $47 million.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used for financing activities decreased by $911 million primarily due to an increase in net debt issuances of $3,734 million and an increase in proceeds from the issuance of common stock of $183 million partially offset by prior year Garrett pre-separation funding of $1,604 million and an increase in repurchases of common stock of $1,342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repayments, acquisition activity, share repurchases and dividends.</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nine months ended September 30, 2019, the Company repurchased $3,650 million of outstanding shares. In April 2019, the Board of Directors authorized the repurchase of up to a total of $10 billion of Honeywell common stock, which included amounts remaining under, and replaced, the previously approved share repurchase program. As of September 30, 2019, $7.7 billion remained available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Additionally, we will seek to reduce share count via share repurchases as 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2" w:right="239" w:bottom="1440" w:gutter="0" w:footer="0" w:header="0"/>
        </w:sectPr>
      </w:pPr>
    </w:p>
    <w:bookmarkStart w:id="43" w:name="page44"/>
    <w:bookmarkEnd w:id="43"/>
    <w:p>
      <w:pPr>
        <w:jc w:val="both"/>
        <w:ind w:right="20"/>
        <w:spacing w:after="0" w:line="262" w:lineRule="auto"/>
        <w:rPr>
          <w:sz w:val="20"/>
          <w:szCs w:val="20"/>
          <w:color w:val="auto"/>
        </w:rPr>
      </w:pPr>
      <w:r>
        <w:rPr>
          <w:rFonts w:ascii="Arial" w:cs="Arial" w:eastAsia="Arial" w:hAnsi="Arial"/>
          <w:sz w:val="18"/>
          <w:szCs w:val="18"/>
          <w:color w:val="auto"/>
        </w:rPr>
        <w:t>when attractive opportunities arise. The amount and timing of future repurchases may vary depending on market conditions and the level of operating, financing and other investing activities.</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Company increased the quarterly dividend rate by 10% to $.90 per share of common stock effective with the fourth quarter 2019 dividend.</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for additional discussion of items impacting our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further discussion of environmental, asbestos and other litigation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financial information as of September 30, 2019 should be read in conjunction with the consolidated financial statements for the year ended December 31, 2018 contained in our 2018 Annual Report on Form 10-K.</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2018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Notes to Consolidated Financial Statements for a discussion of recent accounting pronouncements.</w:t>
      </w: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Quantitative and Qualitative Disclosures About Market Risks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2018 Annual Report on Form 10-K. As of September 30, 2019, there has been no material change in this information</w:t>
      </w:r>
      <w:r>
        <w:rPr>
          <w:rFonts w:ascii="Arial" w:cs="Arial" w:eastAsia="Arial" w:hAnsi="Arial"/>
          <w:sz w:val="18"/>
          <w:szCs w:val="18"/>
          <w:b w:val="1"/>
          <w:bCs w:val="1"/>
          <w:color w:val="auto"/>
        </w:rPr>
        <w:t>.</w:t>
      </w:r>
    </w:p>
    <w:p>
      <w:pPr>
        <w:spacing w:after="0" w:line="364"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u w:val="single" w:color="auto"/>
          <w:color w:val="auto"/>
        </w:rPr>
        <w:t>Controls and Procedures</w:t>
      </w:r>
    </w:p>
    <w:p>
      <w:pPr>
        <w:spacing w:after="0" w:line="26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14" w:right="2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18"/>
          <w:szCs w:val="18"/>
          <w:color w:val="auto"/>
        </w:rPr>
        <w:t>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1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u w:val="single" w:color="auto"/>
          <w:color w:val="auto"/>
        </w:rPr>
        <w:t>Legal Proceedings</w:t>
      </w:r>
    </w:p>
    <w:p>
      <w:pPr>
        <w:spacing w:after="0" w:line="306"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General Legal Matters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a discussion of environmental, asbestos and other litigation matters.</w:t>
      </w:r>
    </w:p>
    <w:p>
      <w:pPr>
        <w:spacing w:after="0" w:line="36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Risk Factors</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have been no material changes to the disclosure presented in our 2018 Annual Report on Form 10-K under Item 1A. Risk Factors.</w:t>
      </w:r>
    </w:p>
    <w:p>
      <w:pPr>
        <w:spacing w:after="0" w:line="358"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u w:val="single" w:color="auto"/>
          <w:color w:val="auto"/>
        </w:rPr>
        <w:t>Unregistered Sales of Equity Securities and Use of Proceeds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Honeywell purchased 5,938,355 shares of its common stock, par value $ 1 per share, in the quarter ended September 30, 2019. On April 29, 2019, the Board of Directors authorized the repurchase of up to a total of $10 billion of Honeywell common stock, which included amounts remaining under, and replaced, the previously approved share repurchase program. As of September 30, 2019, $7.7 billion remained available for additional share repurchases. The following table summarizes Honeywell’s purchase of its common stock for the quarter ended September 30, 2019: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360" w:type="dxa"/>
            <w:vAlign w:val="bottom"/>
            <w:gridSpan w:val="2"/>
          </w:tcPr>
          <w:p>
            <w:pPr>
              <w:ind w:left="680"/>
              <w:spacing w:after="0"/>
              <w:rPr>
                <w:sz w:val="20"/>
                <w:szCs w:val="20"/>
                <w:color w:val="auto"/>
              </w:rPr>
            </w:pPr>
            <w:r>
              <w:rPr>
                <w:rFonts w:ascii="Arial" w:cs="Arial" w:eastAsia="Arial" w:hAnsi="Arial"/>
                <w:sz w:val="14"/>
                <w:szCs w:val="14"/>
                <w:b w:val="1"/>
                <w:bCs w:val="1"/>
                <w:color w:val="auto"/>
              </w:rPr>
              <w:t>Issuer Purchases of Equity Securities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0"/>
        </w:trPr>
        <w:tc>
          <w:tcPr>
            <w:tcW w:w="3740" w:type="dxa"/>
            <w:vAlign w:val="bottom"/>
          </w:tcPr>
          <w:p>
            <w:pPr>
              <w:spacing w:after="0"/>
              <w:rPr>
                <w:sz w:val="23"/>
                <w:szCs w:val="23"/>
                <w:color w:val="auto"/>
              </w:rPr>
            </w:pPr>
          </w:p>
        </w:tc>
        <w:tc>
          <w:tcPr>
            <w:tcW w:w="3360" w:type="dxa"/>
            <w:vAlign w:val="bottom"/>
            <w:gridSpan w:val="2"/>
          </w:tcPr>
          <w:p>
            <w:pPr>
              <w:jc w:val="center"/>
              <w:ind w:left="1679"/>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140" w:type="dxa"/>
            <w:vAlign w:val="bottom"/>
          </w:tcPr>
          <w:p>
            <w:pPr>
              <w:spacing w:after="0"/>
              <w:rPr>
                <w:sz w:val="23"/>
                <w:szCs w:val="23"/>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(d)</w:t>
            </w:r>
          </w:p>
        </w:tc>
      </w:tr>
      <w:tr>
        <w:trPr>
          <w:trHeight w:val="188"/>
        </w:trPr>
        <w:tc>
          <w:tcPr>
            <w:tcW w:w="3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3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3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3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Yet be Purchased</w:t>
            </w:r>
          </w:p>
        </w:tc>
      </w:tr>
      <w:tr>
        <w:trPr>
          <w:trHeight w:val="162"/>
        </w:trPr>
        <w:tc>
          <w:tcPr>
            <w:tcW w:w="3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Part of Publicly</w:t>
            </w:r>
          </w:p>
        </w:tc>
        <w:tc>
          <w:tcPr>
            <w:tcW w:w="14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3740" w:type="dxa"/>
            <w:vAlign w:val="bottom"/>
          </w:tcPr>
          <w:p>
            <w:pPr>
              <w:spacing w:after="0"/>
              <w:rPr>
                <w:sz w:val="14"/>
                <w:szCs w:val="14"/>
                <w:color w:val="auto"/>
              </w:rPr>
            </w:pPr>
          </w:p>
        </w:tc>
        <w:tc>
          <w:tcPr>
            <w:tcW w:w="3360" w:type="dxa"/>
            <w:vAlign w:val="bottom"/>
            <w:gridSpan w:val="2"/>
          </w:tcPr>
          <w:p>
            <w:pPr>
              <w:jc w:val="center"/>
              <w:ind w:left="1679"/>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Announced Plans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Programs (Dollars</w:t>
            </w:r>
          </w:p>
        </w:tc>
      </w:tr>
      <w:tr>
        <w:trPr>
          <w:trHeight w:val="196"/>
        </w:trPr>
        <w:tc>
          <w:tcPr>
            <w:tcW w:w="3740" w:type="dxa"/>
            <w:vAlign w:val="bottom"/>
          </w:tcPr>
          <w:p>
            <w:pPr>
              <w:ind w:left="2580"/>
              <w:spacing w:after="0"/>
              <w:rPr>
                <w:sz w:val="20"/>
                <w:szCs w:val="20"/>
                <w:color w:val="auto"/>
              </w:rPr>
            </w:pPr>
            <w:r>
              <w:rPr>
                <w:rFonts w:ascii="Arial" w:cs="Arial" w:eastAsia="Arial" w:hAnsi="Arial"/>
                <w:sz w:val="14"/>
                <w:szCs w:val="14"/>
                <w:b w:val="1"/>
                <w:bCs w:val="1"/>
                <w:color w:val="auto"/>
              </w:rPr>
              <w:t>Period</w:t>
            </w:r>
          </w:p>
        </w:tc>
        <w:tc>
          <w:tcPr>
            <w:tcW w:w="3360" w:type="dxa"/>
            <w:vAlign w:val="bottom"/>
            <w:gridSpan w:val="2"/>
          </w:tcPr>
          <w:p>
            <w:pPr>
              <w:jc w:val="center"/>
              <w:ind w:left="1679"/>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 Programs</w:t>
            </w:r>
          </w:p>
        </w:tc>
        <w:tc>
          <w:tcPr>
            <w:tcW w:w="140" w:type="dxa"/>
            <w:vAlign w:val="bottom"/>
          </w:tcPr>
          <w:p>
            <w:pPr>
              <w:spacing w:after="0"/>
              <w:rPr>
                <w:sz w:val="17"/>
                <w:szCs w:val="17"/>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July 2019</w:t>
            </w:r>
          </w:p>
        </w:tc>
        <w:tc>
          <w:tcPr>
            <w:tcW w:w="3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1,291,430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174.50</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1,291,430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8,514</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August 2019</w:t>
            </w:r>
          </w:p>
        </w:tc>
        <w:tc>
          <w:tcPr>
            <w:tcW w:w="3260" w:type="dxa"/>
            <w:vAlign w:val="bottom"/>
          </w:tcPr>
          <w:p>
            <w:pPr>
              <w:jc w:val="right"/>
              <w:ind w:right="59"/>
              <w:spacing w:after="0"/>
              <w:rPr>
                <w:sz w:val="20"/>
                <w:szCs w:val="20"/>
                <w:color w:val="auto"/>
              </w:rPr>
            </w:pPr>
            <w:r>
              <w:rPr>
                <w:rFonts w:ascii="Arial" w:cs="Arial" w:eastAsia="Arial" w:hAnsi="Arial"/>
                <w:sz w:val="18"/>
                <w:szCs w:val="18"/>
                <w:color w:val="auto"/>
              </w:rPr>
              <w:t>3,628,346</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167.08</w:t>
            </w:r>
          </w:p>
        </w:tc>
        <w:tc>
          <w:tcPr>
            <w:tcW w:w="100" w:type="dxa"/>
            <w:vAlign w:val="bottom"/>
          </w:tcPr>
          <w:p>
            <w:pPr>
              <w:spacing w:after="0"/>
              <w:rPr>
                <w:sz w:val="22"/>
                <w:szCs w:val="22"/>
                <w:color w:val="auto"/>
              </w:rPr>
            </w:pP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3,628,346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2"/>
              <w:spacing w:after="0"/>
              <w:rPr>
                <w:sz w:val="20"/>
                <w:szCs w:val="20"/>
                <w:color w:val="auto"/>
              </w:rPr>
            </w:pPr>
            <w:r>
              <w:rPr>
                <w:rFonts w:ascii="Arial" w:cs="Arial" w:eastAsia="Arial" w:hAnsi="Arial"/>
                <w:sz w:val="18"/>
                <w:szCs w:val="18"/>
                <w:color w:val="auto"/>
              </w:rPr>
              <w:t>7,907</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2019</w:t>
            </w:r>
          </w:p>
        </w:tc>
        <w:tc>
          <w:tcPr>
            <w:tcW w:w="3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1,018,579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165.23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1,018,579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7,739</w:t>
            </w:r>
          </w:p>
        </w:tc>
      </w:tr>
      <w:tr>
        <w:trPr>
          <w:trHeight w:val="891"/>
        </w:trPr>
        <w:tc>
          <w:tcPr>
            <w:tcW w:w="3740" w:type="dxa"/>
            <w:vAlign w:val="bottom"/>
          </w:tcPr>
          <w:p>
            <w:pPr>
              <w:spacing w:after="0"/>
              <w:rPr>
                <w:sz w:val="24"/>
                <w:szCs w:val="24"/>
                <w:color w:val="auto"/>
              </w:rPr>
            </w:pPr>
          </w:p>
        </w:tc>
        <w:tc>
          <w:tcPr>
            <w:tcW w:w="3260" w:type="dxa"/>
            <w:vAlign w:val="bottom"/>
          </w:tcPr>
          <w:p>
            <w:pPr>
              <w:jc w:val="right"/>
              <w:ind w:right="1099"/>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616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426"/>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480" w:type="dxa"/>
            <w:vAlign w:val="bottom"/>
            <w:gridSpan w:val="3"/>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2"/>
        </w:trPr>
        <w:tc>
          <w:tcPr>
            <w:tcW w:w="5000" w:type="dxa"/>
            <w:vAlign w:val="bottom"/>
            <w:gridSpan w:val="4"/>
          </w:tcPr>
          <w:p>
            <w:pPr>
              <w:jc w:val="center"/>
              <w:ind w:right="3830"/>
              <w:spacing w:after="0"/>
              <w:rPr>
                <w:sz w:val="20"/>
                <w:szCs w:val="20"/>
                <w:color w:val="auto"/>
              </w:rPr>
            </w:pPr>
            <w:r>
              <w:rPr>
                <w:rFonts w:ascii="Arial" w:cs="Arial" w:eastAsia="Arial" w:hAnsi="Arial"/>
                <w:sz w:val="18"/>
                <w:szCs w:val="18"/>
                <w:b w:val="1"/>
                <w:bCs w:val="1"/>
                <w:color w:val="auto"/>
                <w:w w:val="99"/>
              </w:rPr>
              <w:t>Exhibit</w:t>
            </w:r>
          </w:p>
        </w:tc>
        <w:tc>
          <w:tcPr>
            <w:tcW w:w="13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239"/>
        </w:trPr>
        <w:tc>
          <w:tcPr>
            <w:tcW w:w="760" w:type="dxa"/>
            <w:vAlign w:val="bottom"/>
          </w:tcPr>
          <w:p>
            <w:pPr>
              <w:jc w:val="center"/>
              <w:ind w:left="230"/>
              <w:spacing w:after="0"/>
              <w:rPr>
                <w:sz w:val="20"/>
                <w:szCs w:val="20"/>
                <w:color w:val="auto"/>
              </w:rPr>
            </w:pPr>
            <w:r>
              <w:rPr>
                <w:rFonts w:ascii="Arial" w:cs="Arial" w:eastAsia="Arial" w:hAnsi="Arial"/>
                <w:sz w:val="18"/>
                <w:szCs w:val="18"/>
                <w:b w:val="1"/>
                <w:bCs w:val="1"/>
                <w:color w:val="auto"/>
                <w:w w:val="96"/>
              </w:rPr>
              <w:t>No.</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b w:val="1"/>
                <w:bCs w:val="1"/>
                <w:color w:val="auto"/>
                <w:w w:val="98"/>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1480" w:right="20" w:hanging="822"/>
        <w:spacing w:after="0" w:line="246"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7">
        <w:r>
          <w:rPr>
            <w:rFonts w:ascii="Arial" w:cs="Arial" w:eastAsia="Arial" w:hAnsi="Arial"/>
            <w:sz w:val="18"/>
            <w:szCs w:val="18"/>
            <w:u w:val="single" w:color="auto"/>
            <w:color w:val="0000FF"/>
          </w:rPr>
          <w:t>Amendment to the 2016 Stock Plan for Non-Employee Directors of Honeywell International Inc. (incorporated by reference</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to Exhibit 99.2 to Honeywell’s Form 8-K filed October 8, 2019)</w:t>
        </w:r>
      </w:hyperlink>
    </w:p>
    <w:p>
      <w:pPr>
        <w:spacing w:after="0" w:line="156"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Principal Executive Officer Pursuant to Section 302 of the Sarbanes-Oxley Act of 2002 (filed herewith)</w:t>
      </w:r>
    </w:p>
    <w:p>
      <w:pPr>
        <w:spacing w:after="0" w:line="306"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Principal Financial Officer Pursuant to Section 302 of the Sarbanes-Oxley Act of 2002 (filed herewith)</w:t>
      </w:r>
    </w:p>
    <w:p>
      <w:pPr>
        <w:spacing w:after="0" w:line="306" w:lineRule="exact"/>
        <w:rPr>
          <w:sz w:val="20"/>
          <w:szCs w:val="20"/>
          <w:color w:val="auto"/>
        </w:rPr>
      </w:pPr>
    </w:p>
    <w:p>
      <w:pPr>
        <w:ind w:left="1480" w:hanging="822"/>
        <w:spacing w:after="0" w:line="246" w:lineRule="auto"/>
        <w:tabs>
          <w:tab w:leader="none" w:pos="14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 (filed herewith)</w:t>
      </w: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9880" w:type="dxa"/>
            <w:vAlign w:val="bottom"/>
            <w:gridSpan w:val="3"/>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200" w:type="dxa"/>
            <w:vAlign w:val="bottom"/>
          </w:tcPr>
          <w:p>
            <w:pPr>
              <w:spacing w:after="0"/>
              <w:rPr>
                <w:sz w:val="15"/>
                <w:szCs w:val="15"/>
                <w:color w:val="auto"/>
              </w:rPr>
            </w:pPr>
          </w:p>
        </w:tc>
        <w:tc>
          <w:tcPr>
            <w:tcW w:w="986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2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r>
      <w:tr>
        <w:trPr>
          <w:trHeight w:val="519"/>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101.INS</w:t>
            </w:r>
          </w:p>
        </w:tc>
        <w:tc>
          <w:tcPr>
            <w:tcW w:w="9880" w:type="dxa"/>
            <w:vAlign w:val="bottom"/>
            <w:gridSpan w:val="3"/>
          </w:tcPr>
          <w:p>
            <w:pPr>
              <w:spacing w:after="0"/>
              <w:rPr>
                <w:sz w:val="20"/>
                <w:szCs w:val="20"/>
                <w:color w:val="auto"/>
              </w:rPr>
            </w:pPr>
            <w:r>
              <w:rPr>
                <w:rFonts w:ascii="Arial" w:cs="Arial" w:eastAsia="Arial" w:hAnsi="Arial"/>
                <w:sz w:val="18"/>
                <w:szCs w:val="18"/>
                <w:color w:val="auto"/>
                <w:w w:val="99"/>
              </w:rPr>
              <w:t>The following financial statements from the Company's Quarterly Report on Form 10-Q for the quarter ended September 30,</w:t>
            </w:r>
          </w:p>
        </w:tc>
      </w:tr>
      <w:tr>
        <w:trPr>
          <w:trHeight w:val="203"/>
        </w:trPr>
        <w:tc>
          <w:tcPr>
            <w:tcW w:w="1200" w:type="dxa"/>
            <w:vAlign w:val="bottom"/>
          </w:tcPr>
          <w:p>
            <w:pPr>
              <w:spacing w:after="0"/>
              <w:rPr>
                <w:sz w:val="17"/>
                <w:szCs w:val="17"/>
                <w:color w:val="auto"/>
              </w:rPr>
            </w:pPr>
          </w:p>
        </w:tc>
        <w:tc>
          <w:tcPr>
            <w:tcW w:w="9880" w:type="dxa"/>
            <w:vAlign w:val="bottom"/>
            <w:gridSpan w:val="3"/>
          </w:tcPr>
          <w:p>
            <w:pPr>
              <w:spacing w:after="0" w:line="202" w:lineRule="exact"/>
              <w:rPr>
                <w:sz w:val="20"/>
                <w:szCs w:val="20"/>
                <w:color w:val="auto"/>
              </w:rPr>
            </w:pPr>
            <w:r>
              <w:rPr>
                <w:rFonts w:ascii="Arial" w:cs="Arial" w:eastAsia="Arial" w:hAnsi="Arial"/>
                <w:sz w:val="18"/>
                <w:szCs w:val="18"/>
                <w:color w:val="auto"/>
              </w:rPr>
              <w:t>2019, formatted in Inline XBRL: (i) Consolidated Statements of Cash Flows, (ii) Consolidated Statements of Operations,</w:t>
            </w:r>
          </w:p>
        </w:tc>
      </w:tr>
      <w:tr>
        <w:trPr>
          <w:trHeight w:val="203"/>
        </w:trPr>
        <w:tc>
          <w:tcPr>
            <w:tcW w:w="1200" w:type="dxa"/>
            <w:vAlign w:val="bottom"/>
          </w:tcPr>
          <w:p>
            <w:pPr>
              <w:spacing w:after="0"/>
              <w:rPr>
                <w:sz w:val="17"/>
                <w:szCs w:val="17"/>
                <w:color w:val="auto"/>
              </w:rPr>
            </w:pPr>
          </w:p>
        </w:tc>
        <w:tc>
          <w:tcPr>
            <w:tcW w:w="9880" w:type="dxa"/>
            <w:vAlign w:val="bottom"/>
            <w:gridSpan w:val="3"/>
          </w:tcPr>
          <w:p>
            <w:pPr>
              <w:spacing w:after="0" w:line="202" w:lineRule="exact"/>
              <w:rPr>
                <w:sz w:val="20"/>
                <w:szCs w:val="20"/>
                <w:color w:val="auto"/>
              </w:rPr>
            </w:pPr>
            <w:r>
              <w:rPr>
                <w:rFonts w:ascii="Arial" w:cs="Arial" w:eastAsia="Arial" w:hAnsi="Arial"/>
                <w:sz w:val="18"/>
                <w:szCs w:val="18"/>
                <w:color w:val="auto"/>
              </w:rPr>
              <w:t>(iii) Consolidated Statements of Comprehensive Income, (iv) Consolidated Balance Sheets, and (v) Notes to Consolidated</w:t>
            </w:r>
          </w:p>
        </w:tc>
      </w:tr>
      <w:tr>
        <w:trPr>
          <w:trHeight w:val="217"/>
        </w:trPr>
        <w:tc>
          <w:tcPr>
            <w:tcW w:w="120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Financial Statements, tagged as blocks of text and including detailed tags.</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95"/>
              </w:rPr>
              <w:t>101.SCH</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(filed herewith)</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99"/>
              </w:rPr>
              <w:t>101.CAL</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98"/>
              </w:rPr>
              <w:t>101.DEF</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101.LAB</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97"/>
              </w:rPr>
              <w:t>101.PRE</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(filed herewith)</w:t>
            </w:r>
          </w:p>
        </w:tc>
      </w:tr>
    </w:tbl>
    <w:p>
      <w:pPr>
        <w:spacing w:after="0" w:line="161" w:lineRule="exact"/>
        <w:rPr>
          <w:sz w:val="20"/>
          <w:szCs w:val="20"/>
          <w:color w:val="auto"/>
        </w:rPr>
      </w:pPr>
    </w:p>
    <w:p>
      <w:pPr>
        <w:ind w:left="1480" w:hanging="772"/>
        <w:spacing w:after="0" w:line="246"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from the Company’s Quarterly Report on Form 10-Q for the quarter ended September 30, 2019,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80" w:top="945"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4980"/>
        <w:spacing w:after="0"/>
        <w:tabs>
          <w:tab w:leader="none" w:pos="7440" w:val="left"/>
        </w:tabs>
        <w:rPr>
          <w:sz w:val="20"/>
          <w:szCs w:val="20"/>
          <w:color w:val="auto"/>
        </w:rPr>
      </w:pPr>
      <w:r>
        <w:rPr>
          <w:rFonts w:ascii="Arial" w:cs="Arial" w:eastAsia="Arial" w:hAnsi="Arial"/>
          <w:sz w:val="18"/>
          <w:szCs w:val="18"/>
          <w:color w:val="auto"/>
        </w:rPr>
        <w:t>Date: October 17, 2019 By:</w:t>
      </w:r>
      <w:r>
        <w:rPr>
          <w:sz w:val="20"/>
          <w:szCs w:val="20"/>
          <w:color w:val="auto"/>
        </w:rPr>
        <w:tab/>
      </w:r>
      <w:r>
        <w:rPr>
          <w:rFonts w:ascii="Arial" w:cs="Arial" w:eastAsia="Arial" w:hAnsi="Arial"/>
          <w:sz w:val="17"/>
          <w:szCs w:val="17"/>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Robert D. Mailloux</w:t>
      </w:r>
    </w:p>
    <w:p>
      <w:pPr>
        <w:ind w:left="7460"/>
        <w:spacing w:after="0" w:line="234" w:lineRule="auto"/>
        <w:rPr>
          <w:sz w:val="20"/>
          <w:szCs w:val="20"/>
          <w:color w:val="auto"/>
        </w:rPr>
      </w:pPr>
      <w:r>
        <w:rPr>
          <w:rFonts w:ascii="Arial" w:cs="Arial" w:eastAsia="Arial" w:hAnsi="Arial"/>
          <w:sz w:val="18"/>
          <w:szCs w:val="18"/>
          <w:color w:val="auto"/>
        </w:rPr>
        <w:t>Vice President and Controller</w:t>
      </w:r>
    </w:p>
    <w:p>
      <w:pPr>
        <w:ind w:left="7460"/>
        <w:spacing w:after="0" w:line="235" w:lineRule="auto"/>
        <w:rPr>
          <w:sz w:val="20"/>
          <w:szCs w:val="20"/>
          <w:color w:val="auto"/>
        </w:rPr>
      </w:pPr>
      <w:r>
        <w:rPr>
          <w:rFonts w:ascii="Arial" w:cs="Arial" w:eastAsia="Arial" w:hAnsi="Arial"/>
          <w:sz w:val="18"/>
          <w:szCs w:val="18"/>
          <w:color w:val="auto"/>
        </w:rPr>
        <w:t>(on behalf of the Registrant</w:t>
      </w:r>
    </w:p>
    <w:p>
      <w:pPr>
        <w:ind w:left="7460"/>
        <w:spacing w:after="0" w:line="235" w:lineRule="auto"/>
        <w:rPr>
          <w:sz w:val="20"/>
          <w:szCs w:val="20"/>
          <w:color w:val="auto"/>
        </w:rPr>
      </w:pPr>
      <w:r>
        <w:rPr>
          <w:rFonts w:ascii="Arial" w:cs="Arial" w:eastAsia="Arial" w:hAnsi="Arial"/>
          <w:sz w:val="18"/>
          <w:szCs w:val="18"/>
          <w:color w:val="auto"/>
        </w:rPr>
        <w:t>and as the Registrant’s</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387" w:lineRule="exact"/>
        <w:rPr>
          <w:sz w:val="20"/>
          <w:szCs w:val="20"/>
          <w:color w:val="auto"/>
        </w:rPr>
      </w:pPr>
    </w:p>
    <w:p>
      <w:pPr>
        <w:ind w:left="380" w:hanging="34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306" w:lineRule="exact"/>
        <w:rPr>
          <w:rFonts w:ascii="Arial" w:cs="Arial" w:eastAsia="Arial" w:hAnsi="Arial"/>
          <w:sz w:val="18"/>
          <w:szCs w:val="18"/>
          <w:color w:val="auto"/>
        </w:rPr>
      </w:pPr>
    </w:p>
    <w:p>
      <w:pPr>
        <w:jc w:val="both"/>
        <w:ind w:left="380" w:right="20" w:hanging="34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ind w:left="380" w:right="20" w:hanging="345"/>
        <w:spacing w:after="0" w:line="246"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1" w:lineRule="exact"/>
        <w:rPr>
          <w:rFonts w:ascii="Arial" w:cs="Arial" w:eastAsia="Arial" w:hAnsi="Arial"/>
          <w:sz w:val="18"/>
          <w:szCs w:val="18"/>
          <w:color w:val="auto"/>
        </w:rPr>
      </w:pPr>
    </w:p>
    <w:p>
      <w:pPr>
        <w:jc w:val="both"/>
        <w:ind w:left="380" w:right="20" w:hanging="345"/>
        <w:spacing w:after="0" w:line="23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06"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420" w:right="40" w:hanging="623"/>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97" w:lineRule="exact"/>
        <w:rPr>
          <w:rFonts w:ascii="Arial" w:cs="Arial" w:eastAsia="Arial" w:hAnsi="Arial"/>
          <w:sz w:val="18"/>
          <w:szCs w:val="18"/>
          <w:color w:val="auto"/>
        </w:rPr>
      </w:pPr>
    </w:p>
    <w:p>
      <w:pPr>
        <w:jc w:val="both"/>
        <w:ind w:left="380" w:right="20" w:hanging="34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7" w:lineRule="exact"/>
        <w:rPr>
          <w:rFonts w:ascii="Arial" w:cs="Arial" w:eastAsia="Arial" w:hAnsi="Arial"/>
          <w:sz w:val="18"/>
          <w:szCs w:val="18"/>
          <w:color w:val="auto"/>
        </w:rPr>
      </w:pPr>
    </w:p>
    <w:p>
      <w:pPr>
        <w:ind w:left="1420" w:right="40" w:hanging="628"/>
        <w:spacing w:after="0" w:line="246"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720"/>
        <w:spacing w:after="0"/>
        <w:tabs>
          <w:tab w:leader="none" w:pos="6300" w:val="left"/>
        </w:tabs>
        <w:rPr>
          <w:sz w:val="20"/>
          <w:szCs w:val="20"/>
          <w:color w:val="auto"/>
        </w:rPr>
      </w:pPr>
      <w:r>
        <w:rPr>
          <w:rFonts w:ascii="Arial" w:cs="Arial" w:eastAsia="Arial" w:hAnsi="Arial"/>
          <w:sz w:val="18"/>
          <w:szCs w:val="18"/>
          <w:color w:val="auto"/>
        </w:rPr>
        <w:t>Date: October 17, 2019 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Darius Adamczyk</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387" w:lineRule="exact"/>
        <w:rPr>
          <w:sz w:val="20"/>
          <w:szCs w:val="20"/>
          <w:color w:val="auto"/>
        </w:rPr>
      </w:pPr>
    </w:p>
    <w:p>
      <w:pPr>
        <w:ind w:left="380" w:hanging="34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306" w:lineRule="exact"/>
        <w:rPr>
          <w:rFonts w:ascii="Arial" w:cs="Arial" w:eastAsia="Arial" w:hAnsi="Arial"/>
          <w:sz w:val="18"/>
          <w:szCs w:val="18"/>
          <w:color w:val="auto"/>
        </w:rPr>
      </w:pPr>
    </w:p>
    <w:p>
      <w:pPr>
        <w:jc w:val="both"/>
        <w:ind w:left="380" w:right="20" w:hanging="34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ind w:left="380" w:right="20" w:hanging="345"/>
        <w:spacing w:after="0" w:line="246"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1" w:lineRule="exact"/>
        <w:rPr>
          <w:rFonts w:ascii="Arial" w:cs="Arial" w:eastAsia="Arial" w:hAnsi="Arial"/>
          <w:sz w:val="18"/>
          <w:szCs w:val="18"/>
          <w:color w:val="auto"/>
        </w:rPr>
      </w:pPr>
    </w:p>
    <w:p>
      <w:pPr>
        <w:jc w:val="both"/>
        <w:ind w:left="380" w:right="20" w:hanging="345"/>
        <w:spacing w:after="0" w:line="23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06"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420" w:right="40" w:hanging="623"/>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97" w:lineRule="exact"/>
        <w:rPr>
          <w:rFonts w:ascii="Arial" w:cs="Arial" w:eastAsia="Arial" w:hAnsi="Arial"/>
          <w:sz w:val="18"/>
          <w:szCs w:val="18"/>
          <w:color w:val="auto"/>
        </w:rPr>
      </w:pPr>
    </w:p>
    <w:p>
      <w:pPr>
        <w:jc w:val="both"/>
        <w:ind w:left="380" w:right="20" w:hanging="34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7" w:lineRule="exact"/>
        <w:rPr>
          <w:rFonts w:ascii="Arial" w:cs="Arial" w:eastAsia="Arial" w:hAnsi="Arial"/>
          <w:sz w:val="18"/>
          <w:szCs w:val="18"/>
          <w:color w:val="auto"/>
        </w:rPr>
      </w:pPr>
    </w:p>
    <w:p>
      <w:pPr>
        <w:ind w:left="1420" w:right="40" w:hanging="628"/>
        <w:spacing w:after="0" w:line="246"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720"/>
        <w:spacing w:after="0"/>
        <w:tabs>
          <w:tab w:leader="none" w:pos="6300" w:val="left"/>
        </w:tabs>
        <w:rPr>
          <w:sz w:val="20"/>
          <w:szCs w:val="20"/>
          <w:color w:val="auto"/>
        </w:rPr>
      </w:pPr>
      <w:r>
        <w:rPr>
          <w:rFonts w:ascii="Arial" w:cs="Arial" w:eastAsia="Arial" w:hAnsi="Arial"/>
          <w:sz w:val="18"/>
          <w:szCs w:val="18"/>
          <w:color w:val="auto"/>
        </w:rPr>
        <w:t>Date: October 17, 2019 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Gregory P. Lewis</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2019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40" w:right="20" w:hanging="332"/>
        <w:spacing w:after="0" w:line="262"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3720"/>
        <w:spacing w:after="0"/>
        <w:tabs>
          <w:tab w:leader="none" w:pos="6300" w:val="left"/>
        </w:tabs>
        <w:rPr>
          <w:sz w:val="20"/>
          <w:szCs w:val="20"/>
          <w:color w:val="auto"/>
        </w:rPr>
      </w:pPr>
      <w:r>
        <w:rPr>
          <w:rFonts w:ascii="Arial" w:cs="Arial" w:eastAsia="Arial" w:hAnsi="Arial"/>
          <w:sz w:val="18"/>
          <w:szCs w:val="18"/>
          <w:color w:val="auto"/>
        </w:rPr>
        <w:t>Date: October 17, 2019 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Darius Adamczyk</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2019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840" w:hanging="332"/>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40" w:right="20" w:hanging="332"/>
        <w:spacing w:after="0" w:line="262"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3720"/>
        <w:spacing w:after="0"/>
        <w:tabs>
          <w:tab w:leader="none" w:pos="6300" w:val="left"/>
        </w:tabs>
        <w:rPr>
          <w:sz w:val="20"/>
          <w:szCs w:val="20"/>
          <w:color w:val="auto"/>
        </w:rPr>
      </w:pPr>
      <w:r>
        <w:rPr>
          <w:rFonts w:ascii="Arial" w:cs="Arial" w:eastAsia="Arial" w:hAnsi="Arial"/>
          <w:sz w:val="18"/>
          <w:szCs w:val="18"/>
          <w:color w:val="auto"/>
        </w:rPr>
        <w:t>Date: October 17, 2019 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Gregory P. Lewis</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3"/>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upp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7" Type="http://schemas.openxmlformats.org/officeDocument/2006/relationships/hyperlink" Target="http://www.sec.gov/Archives/edgar/data/773840/000093041319002643/c94369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2020-01-09T03:19:47Z</dcterms:created>
  <dcterms:modified xsi:type="dcterms:W3CDTF">2020-01-09T03:19:47Z</dcterms:modified>
</cp:coreProperties>
</file>