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S ANNUAL REPORT PURSUANT TO SECTION 13 OR 15(d)</w:t>
      </w:r>
    </w:p>
    <w:p>
      <w:pPr>
        <w:jc w:val="center"/>
        <w:spacing w:after="0" w:line="231" w:lineRule="auto"/>
        <w:rPr>
          <w:sz w:val="20"/>
          <w:szCs w:val="20"/>
          <w:color w:val="auto"/>
        </w:rPr>
      </w:pPr>
      <w:r>
        <w:rPr>
          <w:rFonts w:ascii="Arial" w:cs="Arial" w:eastAsia="Arial" w:hAnsi="Arial"/>
          <w:sz w:val="19"/>
          <w:szCs w:val="19"/>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For the fiscal year ended </w:t>
      </w:r>
      <w:r>
        <w:rPr>
          <w:rFonts w:ascii="Arial" w:cs="Arial" w:eastAsia="Arial" w:hAnsi="Arial"/>
          <w:sz w:val="21"/>
          <w:szCs w:val="21"/>
          <w:u w:val="single" w:color="auto"/>
          <w:color w:val="auto"/>
        </w:rPr>
        <w:t>December 31, 2014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OR</w:t>
      </w:r>
    </w:p>
    <w:p>
      <w:pPr>
        <w:spacing w:after="0" w:line="2" w:lineRule="exact"/>
        <w:rPr>
          <w:sz w:val="24"/>
          <w:szCs w:val="24"/>
          <w:color w:val="auto"/>
        </w:rPr>
      </w:pPr>
    </w:p>
    <w:p>
      <w:pPr>
        <w:ind w:left="2760" w:hanging="178"/>
        <w:spacing w:after="0"/>
        <w:tabs>
          <w:tab w:leader="none" w:pos="2760" w:val="left"/>
        </w:tabs>
        <w:numPr>
          <w:ilvl w:val="0"/>
          <w:numId w:val="1"/>
        </w:numPr>
        <w:rPr>
          <w:rFonts w:ascii="Arial" w:cs="Arial" w:eastAsia="Arial" w:hAnsi="Arial"/>
          <w:sz w:val="21"/>
          <w:szCs w:val="21"/>
          <w:color w:val="auto"/>
        </w:rPr>
      </w:pPr>
      <w:r>
        <w:rPr>
          <w:rFonts w:ascii="Arial" w:cs="Arial" w:eastAsia="Arial" w:hAnsi="Arial"/>
          <w:sz w:val="21"/>
          <w:szCs w:val="21"/>
          <w:color w:val="auto"/>
        </w:rPr>
        <w:t>TRANSITION REPORT PURSUANT TO SECTION 13 OR 15(d)</w:t>
      </w:r>
    </w:p>
    <w:p>
      <w:pPr>
        <w:spacing w:after="0" w:line="1" w:lineRule="exact"/>
        <w:rPr>
          <w:rFonts w:ascii="Arial" w:cs="Arial" w:eastAsia="Arial" w:hAnsi="Arial"/>
          <w:sz w:val="21"/>
          <w:szCs w:val="21"/>
          <w:color w:val="auto"/>
        </w:rPr>
      </w:pPr>
    </w:p>
    <w:p>
      <w:pPr>
        <w:ind w:left="3320"/>
        <w:spacing w:after="0"/>
        <w:rPr>
          <w:rFonts w:ascii="Arial" w:cs="Arial" w:eastAsia="Arial" w:hAnsi="Arial"/>
          <w:sz w:val="21"/>
          <w:szCs w:val="21"/>
          <w:color w:val="auto"/>
        </w:rPr>
      </w:pPr>
      <w:r>
        <w:rPr>
          <w:rFonts w:ascii="Arial" w:cs="Arial" w:eastAsia="Arial" w:hAnsi="Arial"/>
          <w:sz w:val="21"/>
          <w:szCs w:val="21"/>
          <w:color w:val="auto"/>
        </w:rPr>
        <w:t>OF THE SECURITIES EXCHANGE ACT OF 1934</w:t>
      </w:r>
    </w:p>
    <w:p>
      <w:pPr>
        <w:spacing w:after="0" w:line="2" w:lineRule="exact"/>
        <w:rPr>
          <w:sz w:val="24"/>
          <w:szCs w:val="24"/>
          <w:color w:val="auto"/>
        </w:rPr>
      </w:pPr>
    </w:p>
    <w:tbl>
      <w:tblPr>
        <w:tblLayout w:type="fixed"/>
        <w:tblInd w:w="3460" w:type="dxa"/>
        <w:tblCellMar>
          <w:top w:w="0" w:type="dxa"/>
          <w:left w:w="0" w:type="dxa"/>
          <w:bottom w:w="0" w:type="dxa"/>
          <w:right w:w="0" w:type="dxa"/>
        </w:tblCellMar>
      </w:tblPr>
      <w:tr>
        <w:trPr>
          <w:trHeight w:val="243"/>
        </w:trPr>
        <w:tc>
          <w:tcPr>
            <w:tcW w:w="3100" w:type="dxa"/>
            <w:vAlign w:val="bottom"/>
          </w:tcPr>
          <w:p>
            <w:pPr>
              <w:spacing w:after="0"/>
              <w:rPr>
                <w:sz w:val="20"/>
                <w:szCs w:val="20"/>
                <w:color w:val="auto"/>
              </w:rPr>
            </w:pPr>
            <w:r>
              <w:rPr>
                <w:rFonts w:ascii="Arial" w:cs="Arial" w:eastAsia="Arial" w:hAnsi="Arial"/>
                <w:sz w:val="21"/>
                <w:szCs w:val="21"/>
                <w:color w:val="auto"/>
              </w:rPr>
              <w:t>For the transition period from</w:t>
            </w:r>
          </w:p>
        </w:tc>
        <w:tc>
          <w:tcPr>
            <w:tcW w:w="660" w:type="dxa"/>
            <w:vAlign w:val="bottom"/>
          </w:tcPr>
          <w:p>
            <w:pPr>
              <w:ind w:left="460"/>
              <w:spacing w:after="0"/>
              <w:rPr>
                <w:sz w:val="20"/>
                <w:szCs w:val="20"/>
                <w:color w:val="auto"/>
              </w:rPr>
            </w:pPr>
            <w:r>
              <w:rPr>
                <w:rFonts w:ascii="Arial" w:cs="Arial" w:eastAsia="Arial" w:hAnsi="Arial"/>
                <w:sz w:val="21"/>
                <w:szCs w:val="21"/>
                <w:color w:val="auto"/>
              </w:rPr>
              <w:t>to</w:t>
            </w:r>
          </w:p>
        </w:tc>
      </w:tr>
      <w:tr>
        <w:trPr>
          <w:trHeight w:val="207"/>
        </w:trPr>
        <w:tc>
          <w:tcPr>
            <w:tcW w:w="3760" w:type="dxa"/>
            <w:vAlign w:val="bottom"/>
            <w:gridSpan w:val="2"/>
          </w:tcPr>
          <w:p>
            <w:pPr>
              <w:ind w:left="740"/>
              <w:spacing w:after="0" w:line="208" w:lineRule="exact"/>
              <w:rPr>
                <w:sz w:val="20"/>
                <w:szCs w:val="20"/>
                <w:color w:val="auto"/>
              </w:rPr>
            </w:pPr>
            <w:r>
              <w:rPr>
                <w:rFonts w:ascii="Arial" w:cs="Arial" w:eastAsia="Arial" w:hAnsi="Arial"/>
                <w:sz w:val="21"/>
                <w:szCs w:val="21"/>
                <w:color w:val="auto"/>
              </w:rPr>
              <w:t>Commission file number 1-8974</w:t>
            </w:r>
          </w:p>
        </w:tc>
      </w:tr>
      <w:tr>
        <w:trPr>
          <w:trHeight w:val="20"/>
        </w:trPr>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82" w:lineRule="exact"/>
        <w:rPr>
          <w:sz w:val="24"/>
          <w:szCs w:val="24"/>
          <w:color w:val="auto"/>
        </w:rPr>
      </w:pPr>
    </w:p>
    <w:p>
      <w:pPr>
        <w:jc w:val="center"/>
        <w:spacing w:after="0"/>
        <w:rPr>
          <w:sz w:val="20"/>
          <w:szCs w:val="20"/>
          <w:color w:val="auto"/>
        </w:rPr>
      </w:pPr>
      <w:r>
        <w:rPr>
          <w:rFonts w:ascii="Arial" w:cs="Arial" w:eastAsia="Arial" w:hAnsi="Arial"/>
          <w:sz w:val="55"/>
          <w:szCs w:val="55"/>
          <w:b w:val="1"/>
          <w:bCs w:val="1"/>
          <w:color w:val="auto"/>
        </w:rPr>
        <w:t>Honeywell International Inc.</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(Exact name of registrant as specified in its charter)</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Delaware</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right"/>
              <w:ind w:right="2163"/>
              <w:spacing w:after="0"/>
              <w:rPr>
                <w:sz w:val="20"/>
                <w:szCs w:val="20"/>
                <w:color w:val="auto"/>
              </w:rPr>
            </w:pPr>
            <w:r>
              <w:rPr>
                <w:rFonts w:ascii="Arial" w:cs="Arial" w:eastAsia="Arial" w:hAnsi="Arial"/>
                <w:sz w:val="19"/>
                <w:szCs w:val="19"/>
                <w:color w:val="auto"/>
              </w:rPr>
              <w:t>22-2640650</w:t>
            </w:r>
          </w:p>
        </w:tc>
      </w:tr>
      <w:tr>
        <w:trPr>
          <w:trHeight w:val="223"/>
        </w:trPr>
        <w:tc>
          <w:tcPr>
            <w:tcW w:w="5860" w:type="dxa"/>
            <w:vAlign w:val="bottom"/>
            <w:gridSpan w:val="2"/>
          </w:tcPr>
          <w:p>
            <w:pPr>
              <w:jc w:val="center"/>
              <w:ind w:right="320"/>
              <w:spacing w:after="0"/>
              <w:rPr>
                <w:sz w:val="20"/>
                <w:szCs w:val="20"/>
                <w:color w:val="auto"/>
              </w:rPr>
            </w:pPr>
            <w:r>
              <w:rPr>
                <w:rFonts w:ascii="Arial" w:cs="Arial" w:eastAsia="Arial" w:hAnsi="Arial"/>
                <w:sz w:val="19"/>
                <w:szCs w:val="19"/>
                <w:color w:val="auto"/>
              </w:rPr>
              <w:t>(State or other jurisdiction of</w:t>
            </w:r>
          </w:p>
        </w:tc>
        <w:tc>
          <w:tcPr>
            <w:tcW w:w="5560" w:type="dxa"/>
            <w:vAlign w:val="bottom"/>
          </w:tcPr>
          <w:p>
            <w:pPr>
              <w:jc w:val="center"/>
              <w:spacing w:after="0"/>
              <w:rPr>
                <w:sz w:val="20"/>
                <w:szCs w:val="20"/>
                <w:color w:val="auto"/>
              </w:rPr>
            </w:pPr>
            <w:r>
              <w:rPr>
                <w:rFonts w:ascii="Arial" w:cs="Arial" w:eastAsia="Arial" w:hAnsi="Arial"/>
                <w:sz w:val="19"/>
                <w:szCs w:val="19"/>
                <w:color w:val="auto"/>
              </w:rPr>
              <w:t>(I.R.S. Employer</w:t>
            </w:r>
          </w:p>
        </w:tc>
      </w:tr>
      <w:tr>
        <w:trPr>
          <w:trHeight w:val="216"/>
        </w:trPr>
        <w:tc>
          <w:tcPr>
            <w:tcW w:w="586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rPr>
              <w:t>incorporation or organization)</w:t>
            </w:r>
          </w:p>
        </w:tc>
        <w:tc>
          <w:tcPr>
            <w:tcW w:w="5560" w:type="dxa"/>
            <w:vAlign w:val="bottom"/>
          </w:tcPr>
          <w:p>
            <w:pPr>
              <w:jc w:val="center"/>
              <w:spacing w:after="0" w:line="216" w:lineRule="exact"/>
              <w:rPr>
                <w:sz w:val="20"/>
                <w:szCs w:val="20"/>
                <w:color w:val="auto"/>
              </w:rPr>
            </w:pPr>
            <w:r>
              <w:rPr>
                <w:rFonts w:ascii="Arial" w:cs="Arial" w:eastAsia="Arial" w:hAnsi="Arial"/>
                <w:sz w:val="19"/>
                <w:szCs w:val="19"/>
                <w:color w:val="auto"/>
              </w:rPr>
              <w:t>Identification No.)</w:t>
            </w:r>
          </w:p>
        </w:tc>
      </w:tr>
      <w:tr>
        <w:trPr>
          <w:trHeight w:val="216"/>
        </w:trPr>
        <w:tc>
          <w:tcPr>
            <w:tcW w:w="5860" w:type="dxa"/>
            <w:vAlign w:val="bottom"/>
            <w:gridSpan w:val="2"/>
          </w:tcPr>
          <w:p>
            <w:pPr>
              <w:jc w:val="center"/>
              <w:ind w:right="300"/>
              <w:spacing w:after="0" w:line="216" w:lineRule="exact"/>
              <w:rPr>
                <w:sz w:val="20"/>
                <w:szCs w:val="20"/>
                <w:color w:val="auto"/>
              </w:rPr>
            </w:pPr>
            <w:r>
              <w:rPr>
                <w:rFonts w:ascii="Arial" w:cs="Arial" w:eastAsia="Arial" w:hAnsi="Arial"/>
                <w:sz w:val="19"/>
                <w:szCs w:val="19"/>
                <w:color w:val="auto"/>
              </w:rPr>
              <w:t>101 Columbia Road</w:t>
            </w:r>
          </w:p>
        </w:tc>
        <w:tc>
          <w:tcPr>
            <w:tcW w:w="5560" w:type="dxa"/>
            <w:vAlign w:val="bottom"/>
          </w:tcPr>
          <w:p>
            <w:pPr>
              <w:spacing w:after="0"/>
              <w:rPr>
                <w:sz w:val="18"/>
                <w:szCs w:val="18"/>
                <w:color w:val="auto"/>
              </w:rPr>
            </w:pPr>
          </w:p>
        </w:tc>
      </w:tr>
      <w:tr>
        <w:trPr>
          <w:trHeight w:val="216"/>
        </w:trPr>
        <w:tc>
          <w:tcPr>
            <w:tcW w:w="55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9"/>
                <w:szCs w:val="19"/>
                <w:color w:val="auto"/>
              </w:rPr>
              <w:t>Morris Township, New Jersey</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right"/>
              <w:ind w:right="2403"/>
              <w:spacing w:after="0" w:line="216" w:lineRule="exact"/>
              <w:rPr>
                <w:sz w:val="20"/>
                <w:szCs w:val="20"/>
                <w:color w:val="auto"/>
              </w:rPr>
            </w:pPr>
            <w:r>
              <w:rPr>
                <w:rFonts w:ascii="Arial" w:cs="Arial" w:eastAsia="Arial" w:hAnsi="Arial"/>
                <w:sz w:val="19"/>
                <w:szCs w:val="19"/>
                <w:color w:val="auto"/>
              </w:rPr>
              <w:t>07962</w:t>
            </w:r>
          </w:p>
        </w:tc>
      </w:tr>
      <w:tr>
        <w:trPr>
          <w:trHeight w:val="268"/>
        </w:trPr>
        <w:tc>
          <w:tcPr>
            <w:tcW w:w="5860" w:type="dxa"/>
            <w:vAlign w:val="bottom"/>
            <w:gridSpan w:val="2"/>
          </w:tcPr>
          <w:p>
            <w:pPr>
              <w:jc w:val="center"/>
              <w:ind w:right="300"/>
              <w:spacing w:after="0"/>
              <w:rPr>
                <w:sz w:val="20"/>
                <w:szCs w:val="20"/>
                <w:color w:val="auto"/>
              </w:rPr>
            </w:pPr>
            <w:r>
              <w:rPr>
                <w:rFonts w:ascii="Arial" w:cs="Arial" w:eastAsia="Arial" w:hAnsi="Arial"/>
                <w:sz w:val="19"/>
                <w:szCs w:val="19"/>
                <w:color w:val="auto"/>
              </w:rPr>
              <w:t>(Address of principal executive offices)</w:t>
            </w:r>
          </w:p>
        </w:tc>
        <w:tc>
          <w:tcPr>
            <w:tcW w:w="5560" w:type="dxa"/>
            <w:vAlign w:val="bottom"/>
          </w:tcPr>
          <w:p>
            <w:pPr>
              <w:jc w:val="center"/>
              <w:spacing w:after="0"/>
              <w:rPr>
                <w:sz w:val="20"/>
                <w:szCs w:val="20"/>
                <w:color w:val="auto"/>
              </w:rPr>
            </w:pPr>
            <w:r>
              <w:rPr>
                <w:rFonts w:ascii="Arial" w:cs="Arial" w:eastAsia="Arial" w:hAnsi="Arial"/>
                <w:sz w:val="19"/>
                <w:szCs w:val="19"/>
                <w:color w:val="auto"/>
              </w:rPr>
              <w:t>(Zip Code)</w:t>
            </w:r>
          </w:p>
        </w:tc>
      </w:tr>
      <w:tr>
        <w:trPr>
          <w:trHeight w:val="324"/>
        </w:trPr>
        <w:tc>
          <w:tcPr>
            <w:tcW w:w="5860" w:type="dxa"/>
            <w:vAlign w:val="bottom"/>
            <w:gridSpan w:val="2"/>
          </w:tcPr>
          <w:p>
            <w:pPr>
              <w:spacing w:after="0"/>
              <w:rPr>
                <w:sz w:val="20"/>
                <w:szCs w:val="20"/>
                <w:color w:val="auto"/>
              </w:rPr>
            </w:pPr>
            <w:r>
              <w:rPr>
                <w:rFonts w:ascii="Arial" w:cs="Arial" w:eastAsia="Arial" w:hAnsi="Arial"/>
                <w:sz w:val="19"/>
                <w:szCs w:val="19"/>
                <w:color w:val="auto"/>
              </w:rPr>
              <w:t>Registrant’s telephone number, including area code (973) 455-2000</w:t>
            </w:r>
          </w:p>
        </w:tc>
        <w:tc>
          <w:tcPr>
            <w:tcW w:w="5560" w:type="dxa"/>
            <w:vAlign w:val="bottom"/>
          </w:tcPr>
          <w:p>
            <w:pPr>
              <w:spacing w:after="0"/>
              <w:rPr>
                <w:sz w:val="24"/>
                <w:szCs w:val="24"/>
                <w:color w:val="auto"/>
              </w:rPr>
            </w:pPr>
          </w:p>
        </w:tc>
      </w:tr>
      <w:tr>
        <w:trPr>
          <w:trHeight w:val="324"/>
        </w:trPr>
        <w:tc>
          <w:tcPr>
            <w:tcW w:w="5860" w:type="dxa"/>
            <w:vAlign w:val="bottom"/>
            <w:gridSpan w:val="2"/>
          </w:tcPr>
          <w:p>
            <w:pPr>
              <w:spacing w:after="0"/>
              <w:rPr>
                <w:sz w:val="20"/>
                <w:szCs w:val="20"/>
                <w:color w:val="auto"/>
              </w:rPr>
            </w:pPr>
            <w:r>
              <w:rPr>
                <w:rFonts w:ascii="Arial" w:cs="Arial" w:eastAsia="Arial" w:hAnsi="Arial"/>
                <w:sz w:val="19"/>
                <w:szCs w:val="19"/>
                <w:color w:val="auto"/>
              </w:rPr>
              <w:t>Securities registered pursuant to Section 12(b) of the Act:</w:t>
            </w:r>
          </w:p>
        </w:tc>
        <w:tc>
          <w:tcPr>
            <w:tcW w:w="5560" w:type="dxa"/>
            <w:vAlign w:val="bottom"/>
          </w:tcPr>
          <w:p>
            <w:pPr>
              <w:spacing w:after="0"/>
              <w:rPr>
                <w:sz w:val="24"/>
                <w:szCs w:val="24"/>
                <w:color w:val="auto"/>
              </w:rPr>
            </w:pPr>
          </w:p>
        </w:tc>
      </w:tr>
      <w:tr>
        <w:trPr>
          <w:trHeight w:val="226"/>
        </w:trPr>
        <w:tc>
          <w:tcPr>
            <w:tcW w:w="5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9"/>
                <w:szCs w:val="19"/>
                <w:color w:val="auto"/>
              </w:rPr>
              <w:t>Name of Each Exchange</w:t>
            </w:r>
          </w:p>
        </w:tc>
      </w:tr>
      <w:tr>
        <w:trPr>
          <w:trHeight w:val="216"/>
        </w:trPr>
        <w:tc>
          <w:tcPr>
            <w:tcW w:w="55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9"/>
                <w:szCs w:val="19"/>
                <w:color w:val="auto"/>
              </w:rPr>
              <w:t>Title of Each Class</w:t>
            </w:r>
          </w:p>
        </w:tc>
        <w:tc>
          <w:tcPr>
            <w:tcW w:w="320" w:type="dxa"/>
            <w:vAlign w:val="bottom"/>
          </w:tcPr>
          <w:p>
            <w:pPr>
              <w:spacing w:after="0"/>
              <w:rPr>
                <w:sz w:val="18"/>
                <w:szCs w:val="18"/>
                <w:color w:val="auto"/>
              </w:rPr>
            </w:pPr>
          </w:p>
        </w:tc>
        <w:tc>
          <w:tcPr>
            <w:tcW w:w="5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9"/>
                <w:szCs w:val="19"/>
                <w:color w:val="auto"/>
              </w:rPr>
              <w:t>on Which Registered</w:t>
            </w:r>
          </w:p>
        </w:tc>
      </w:tr>
      <w:tr>
        <w:trPr>
          <w:trHeight w:val="262"/>
        </w:trPr>
        <w:tc>
          <w:tcPr>
            <w:tcW w:w="5860" w:type="dxa"/>
            <w:vAlign w:val="bottom"/>
            <w:gridSpan w:val="2"/>
          </w:tcPr>
          <w:p>
            <w:pPr>
              <w:spacing w:after="0"/>
              <w:rPr>
                <w:sz w:val="20"/>
                <w:szCs w:val="20"/>
                <w:color w:val="auto"/>
              </w:rPr>
            </w:pPr>
            <w:r>
              <w:rPr>
                <w:rFonts w:ascii="Arial" w:cs="Arial" w:eastAsia="Arial" w:hAnsi="Arial"/>
                <w:sz w:val="19"/>
                <w:szCs w:val="19"/>
                <w:color w:val="auto"/>
              </w:rPr>
              <w:t>Common Stock, par value $1 per share*</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r>
        <w:trPr>
          <w:trHeight w:val="347"/>
        </w:trPr>
        <w:tc>
          <w:tcPr>
            <w:tcW w:w="5860" w:type="dxa"/>
            <w:vAlign w:val="bottom"/>
            <w:gridSpan w:val="2"/>
          </w:tcPr>
          <w:p>
            <w:pPr>
              <w:spacing w:after="0"/>
              <w:rPr>
                <w:sz w:val="20"/>
                <w:szCs w:val="20"/>
                <w:color w:val="auto"/>
              </w:rPr>
            </w:pPr>
            <w:r>
              <w:rPr>
                <w:rFonts w:ascii="Arial" w:cs="Arial" w:eastAsia="Arial" w:hAnsi="Arial"/>
                <w:sz w:val="19"/>
                <w:szCs w:val="19"/>
                <w:color w:val="auto"/>
              </w:rPr>
              <w:t>9</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2</w:t>
            </w:r>
            <w:r>
              <w:rPr>
                <w:rFonts w:ascii="Arial" w:cs="Arial" w:eastAsia="Arial" w:hAnsi="Arial"/>
                <w:sz w:val="19"/>
                <w:szCs w:val="19"/>
                <w:color w:val="auto"/>
              </w:rPr>
              <w:t>% Debentures due June 1, 2016</w:t>
            </w:r>
          </w:p>
        </w:tc>
        <w:tc>
          <w:tcPr>
            <w:tcW w:w="5560" w:type="dxa"/>
            <w:vAlign w:val="bottom"/>
          </w:tcPr>
          <w:p>
            <w:pPr>
              <w:jc w:val="center"/>
              <w:spacing w:after="0"/>
              <w:rPr>
                <w:sz w:val="20"/>
                <w:szCs w:val="20"/>
                <w:color w:val="auto"/>
              </w:rPr>
            </w:pPr>
            <w:r>
              <w:rPr>
                <w:rFonts w:ascii="Arial" w:cs="Arial" w:eastAsia="Arial" w:hAnsi="Arial"/>
                <w:sz w:val="19"/>
                <w:szCs w:val="19"/>
                <w:color w:val="auto"/>
              </w:rPr>
              <w:t>New York Stock Exchange</w:t>
            </w:r>
          </w:p>
        </w:tc>
      </w:tr>
    </w:tbl>
    <w:p>
      <w:pPr>
        <w:spacing w:after="0" w:line="208" w:lineRule="exact"/>
        <w:rPr>
          <w:sz w:val="24"/>
          <w:szCs w:val="24"/>
          <w:color w:val="auto"/>
        </w:rPr>
      </w:pPr>
    </w:p>
    <w:p>
      <w:pPr>
        <w:ind w:right="5680" w:firstLine="27"/>
        <w:spacing w:after="0" w:line="363" w:lineRule="auto"/>
        <w:tabs>
          <w:tab w:leader="none" w:pos="189"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common stock is also listed on the London Stock Exchange. Securities registered pursuant to Section 12(g) of the Act: None</w:t>
      </w:r>
    </w:p>
    <w:p>
      <w:pPr>
        <w:spacing w:after="0"/>
        <w:rPr>
          <w:rFonts w:ascii="Arial" w:cs="Arial" w:eastAsia="Arial" w:hAnsi="Arial"/>
          <w:sz w:val="19"/>
          <w:szCs w:val="19"/>
          <w:color w:val="auto"/>
        </w:rPr>
      </w:pPr>
      <w:r>
        <w:rPr>
          <w:rFonts w:ascii="Arial" w:cs="Arial" w:eastAsia="Arial" w:hAnsi="Arial"/>
          <w:sz w:val="19"/>
          <w:szCs w:val="19"/>
          <w:color w:val="auto"/>
        </w:rPr>
        <w:t>Indicate by check mark if the Registrant is a well-known seasoned issuer, as defined in Rule 405 of the Securities Act. Yes S No £</w:t>
      </w:r>
    </w:p>
    <w:p>
      <w:pPr>
        <w:spacing w:after="0" w:line="106" w:lineRule="exact"/>
        <w:rPr>
          <w:sz w:val="24"/>
          <w:szCs w:val="24"/>
          <w:color w:val="auto"/>
        </w:rPr>
      </w:pPr>
    </w:p>
    <w:p>
      <w:pPr>
        <w:ind w:right="280"/>
        <w:spacing w:after="0" w:line="253" w:lineRule="auto"/>
        <w:rPr>
          <w:sz w:val="20"/>
          <w:szCs w:val="20"/>
          <w:color w:val="auto"/>
        </w:rPr>
      </w:pPr>
      <w:r>
        <w:rPr>
          <w:rFonts w:ascii="Arial" w:cs="Arial" w:eastAsia="Arial" w:hAnsi="Arial"/>
          <w:sz w:val="19"/>
          <w:szCs w:val="19"/>
          <w:color w:val="auto"/>
        </w:rPr>
        <w:t>Indicate by check mark if the Registrant is not required to file reports pursuant to Section 13 or Section 15(d) of the Exchange Act. Yes £ No S</w:t>
      </w:r>
    </w:p>
    <w:p>
      <w:pPr>
        <w:spacing w:after="0" w:line="80" w:lineRule="exact"/>
        <w:rPr>
          <w:sz w:val="24"/>
          <w:szCs w:val="24"/>
          <w:color w:val="auto"/>
        </w:rPr>
      </w:pPr>
    </w:p>
    <w:p>
      <w:pPr>
        <w:ind w:right="380"/>
        <w:spacing w:after="0" w:line="245"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w:t>
      </w:r>
    </w:p>
    <w:p>
      <w:pPr>
        <w:spacing w:after="0" w:line="87" w:lineRule="exact"/>
        <w:rPr>
          <w:sz w:val="24"/>
          <w:szCs w:val="24"/>
          <w:color w:val="auto"/>
        </w:rPr>
      </w:pPr>
    </w:p>
    <w:p>
      <w:pPr>
        <w:ind w:right="200"/>
        <w:spacing w:after="0" w:line="245"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S No £</w:t>
      </w:r>
    </w:p>
    <w:p>
      <w:pPr>
        <w:spacing w:after="0" w:line="87" w:lineRule="exact"/>
        <w:rPr>
          <w:sz w:val="24"/>
          <w:szCs w:val="24"/>
          <w:color w:val="auto"/>
        </w:rPr>
      </w:pPr>
    </w:p>
    <w:p>
      <w:pPr>
        <w:ind w:right="80"/>
        <w:spacing w:after="0" w:line="245" w:lineRule="auto"/>
        <w:rPr>
          <w:sz w:val="20"/>
          <w:szCs w:val="20"/>
          <w:color w:val="auto"/>
        </w:rPr>
      </w:pPr>
      <w:r>
        <w:rPr>
          <w:rFonts w:ascii="Arial" w:cs="Arial" w:eastAsia="Arial" w:hAnsi="Arial"/>
          <w:sz w:val="19"/>
          <w:szCs w:val="19"/>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S</w:t>
      </w:r>
    </w:p>
    <w:p>
      <w:pPr>
        <w:spacing w:after="0" w:line="74" w:lineRule="exact"/>
        <w:rPr>
          <w:sz w:val="24"/>
          <w:szCs w:val="24"/>
          <w:color w:val="auto"/>
        </w:rPr>
      </w:pPr>
    </w:p>
    <w:p>
      <w:pPr>
        <w:ind w:right="60"/>
        <w:spacing w:after="0" w:line="245"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 (Check One):</w:t>
      </w:r>
    </w:p>
    <w:p>
      <w:pPr>
        <w:spacing w:after="0" w:line="87" w:lineRule="exact"/>
        <w:rPr>
          <w:sz w:val="24"/>
          <w:szCs w:val="24"/>
          <w:color w:val="auto"/>
        </w:rPr>
      </w:pPr>
    </w:p>
    <w:p>
      <w:pPr>
        <w:spacing w:after="0"/>
        <w:tabs>
          <w:tab w:leader="none" w:pos="2400" w:val="left"/>
          <w:tab w:leader="none" w:pos="4280" w:val="left"/>
          <w:tab w:leader="none" w:pos="6560" w:val="left"/>
        </w:tabs>
        <w:rPr>
          <w:sz w:val="20"/>
          <w:szCs w:val="20"/>
          <w:color w:val="auto"/>
        </w:rPr>
      </w:pPr>
      <w:r>
        <w:rPr>
          <w:rFonts w:ascii="Arial" w:cs="Arial" w:eastAsia="Arial" w:hAnsi="Arial"/>
          <w:sz w:val="19"/>
          <w:szCs w:val="19"/>
          <w:color w:val="auto"/>
        </w:rPr>
        <w:t>Large accelerated filer S</w:t>
        <w:tab/>
        <w:t>Accelerated filer £</w:t>
        <w:tab/>
        <w:t>Non-accelerated filer £</w:t>
      </w:r>
      <w:r>
        <w:rPr>
          <w:sz w:val="20"/>
          <w:szCs w:val="20"/>
          <w:color w:val="auto"/>
        </w:rPr>
        <w:tab/>
      </w:r>
      <w:r>
        <w:rPr>
          <w:rFonts w:ascii="Arial" w:cs="Arial" w:eastAsia="Arial" w:hAnsi="Arial"/>
          <w:sz w:val="19"/>
          <w:szCs w:val="19"/>
          <w:color w:val="auto"/>
        </w:rPr>
        <w:t>Smaller reporting company £</w:t>
      </w:r>
    </w:p>
    <w:p>
      <w:pPr>
        <w:spacing w:after="0" w:line="10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Act). Yes £ No S</w:t>
      </w:r>
    </w:p>
    <w:p>
      <w:pPr>
        <w:spacing w:after="0" w:line="106" w:lineRule="exact"/>
        <w:rPr>
          <w:sz w:val="24"/>
          <w:szCs w:val="24"/>
          <w:color w:val="auto"/>
        </w:rPr>
      </w:pPr>
    </w:p>
    <w:p>
      <w:pPr>
        <w:ind w:right="360"/>
        <w:spacing w:after="0" w:line="253" w:lineRule="auto"/>
        <w:rPr>
          <w:sz w:val="20"/>
          <w:szCs w:val="20"/>
          <w:color w:val="auto"/>
        </w:rPr>
      </w:pPr>
      <w:r>
        <w:rPr>
          <w:rFonts w:ascii="Arial" w:cs="Arial" w:eastAsia="Arial" w:hAnsi="Arial"/>
          <w:sz w:val="19"/>
          <w:szCs w:val="19"/>
          <w:color w:val="auto"/>
        </w:rPr>
        <w:t>The aggregate market value of the voting stock held by nonaffiliates of the Registrant was approximately $73.0 billion at June 30, 2014.</w:t>
      </w:r>
    </w:p>
    <w:p>
      <w:pPr>
        <w:spacing w:after="0" w:line="80" w:lineRule="exact"/>
        <w:rPr>
          <w:sz w:val="24"/>
          <w:szCs w:val="24"/>
          <w:color w:val="auto"/>
        </w:rPr>
      </w:pPr>
    </w:p>
    <w:p>
      <w:pPr>
        <w:jc w:val="right"/>
        <w:ind w:right="4180"/>
        <w:spacing w:after="0"/>
        <w:rPr>
          <w:sz w:val="20"/>
          <w:szCs w:val="20"/>
          <w:color w:val="auto"/>
        </w:rPr>
      </w:pPr>
      <w:r>
        <w:rPr>
          <w:rFonts w:ascii="Arial" w:cs="Arial" w:eastAsia="Arial" w:hAnsi="Arial"/>
          <w:sz w:val="19"/>
          <w:szCs w:val="19"/>
          <w:color w:val="auto"/>
        </w:rPr>
        <w:t>There were 782,663,047 shares of Common Stock outstanding at January 23, 2015.</w:t>
      </w:r>
    </w:p>
    <w:p>
      <w:pPr>
        <w:spacing w:after="0" w:line="106" w:lineRule="exact"/>
        <w:rPr>
          <w:sz w:val="24"/>
          <w:szCs w:val="24"/>
          <w:color w:val="auto"/>
        </w:rPr>
      </w:pPr>
    </w:p>
    <w:p>
      <w:pPr>
        <w:jc w:val="right"/>
        <w:ind w:right="4040"/>
        <w:spacing w:after="0"/>
        <w:rPr>
          <w:sz w:val="20"/>
          <w:szCs w:val="20"/>
          <w:color w:val="auto"/>
        </w:rPr>
      </w:pPr>
      <w:r>
        <w:rPr>
          <w:rFonts w:ascii="Arial" w:cs="Arial" w:eastAsia="Arial" w:hAnsi="Arial"/>
          <w:sz w:val="19"/>
          <w:szCs w:val="19"/>
          <w:u w:val="single" w:color="auto"/>
          <w:color w:val="auto"/>
        </w:rPr>
        <w:t>Documents Incorporated by Reference</w:t>
      </w:r>
    </w:p>
    <w:p>
      <w:pPr>
        <w:spacing w:after="0" w:line="106" w:lineRule="exact"/>
        <w:rPr>
          <w:sz w:val="24"/>
          <w:szCs w:val="24"/>
          <w:color w:val="auto"/>
        </w:rPr>
      </w:pPr>
    </w:p>
    <w:p>
      <w:pPr>
        <w:jc w:val="right"/>
        <w:ind w:right="4000"/>
        <w:spacing w:after="0"/>
        <w:rPr>
          <w:sz w:val="20"/>
          <w:szCs w:val="20"/>
          <w:color w:val="auto"/>
        </w:rPr>
      </w:pPr>
      <w:r>
        <w:rPr>
          <w:rFonts w:ascii="Arial" w:cs="Arial" w:eastAsia="Arial" w:hAnsi="Arial"/>
          <w:sz w:val="19"/>
          <w:szCs w:val="19"/>
          <w:color w:val="auto"/>
        </w:rPr>
        <w:t>Part III: Proxy Statement for Annual Meeting of Shareowners to be held April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313690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708"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TABLE OF CONTENTS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Item</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210"/>
        </w:trPr>
        <w:tc>
          <w:tcPr>
            <w:tcW w:w="1160" w:type="dxa"/>
            <w:vAlign w:val="bottom"/>
            <w:gridSpan w:val="3"/>
          </w:tcPr>
          <w:p>
            <w:pPr>
              <w:spacing w:after="0" w:line="210" w:lineRule="exact"/>
              <w:rPr>
                <w:sz w:val="20"/>
                <w:szCs w:val="20"/>
                <w:color w:val="auto"/>
              </w:rPr>
            </w:pPr>
            <w:r>
              <w:rPr>
                <w:rFonts w:ascii="Arial" w:cs="Arial" w:eastAsia="Arial" w:hAnsi="Arial"/>
                <w:sz w:val="19"/>
                <w:szCs w:val="19"/>
                <w:color w:val="auto"/>
              </w:rPr>
              <w:t>Part I</w:t>
            </w:r>
          </w:p>
        </w:tc>
        <w:tc>
          <w:tcPr>
            <w:tcW w:w="900" w:type="dxa"/>
            <w:vAlign w:val="bottom"/>
            <w:gridSpan w:val="2"/>
          </w:tcPr>
          <w:p>
            <w:pPr>
              <w:jc w:val="right"/>
              <w:ind w:right="300"/>
              <w:spacing w:after="0" w:line="210" w:lineRule="exact"/>
              <w:rPr>
                <w:sz w:val="20"/>
                <w:szCs w:val="20"/>
                <w:color w:val="auto"/>
              </w:rPr>
            </w:pPr>
            <w:r>
              <w:rPr>
                <w:rFonts w:ascii="Arial" w:cs="Arial" w:eastAsia="Arial" w:hAnsi="Arial"/>
                <w:sz w:val="19"/>
                <w:szCs w:val="19"/>
                <w:color w:val="auto"/>
              </w:rPr>
              <w:t>1.</w:t>
            </w:r>
          </w:p>
        </w:tc>
        <w:tc>
          <w:tcPr>
            <w:tcW w:w="8980" w:type="dxa"/>
            <w:vAlign w:val="bottom"/>
            <w:gridSpan w:val="22"/>
          </w:tcPr>
          <w:p>
            <w:pPr>
              <w:spacing w:after="0" w:line="210" w:lineRule="exact"/>
              <w:rPr>
                <w:rFonts w:ascii="Arial" w:cs="Arial" w:eastAsia="Arial" w:hAnsi="Arial"/>
                <w:sz w:val="19"/>
                <w:szCs w:val="19"/>
                <w:color w:val="0000EE"/>
              </w:rPr>
            </w:pPr>
            <w:hyperlink w:anchor="page3">
              <w:r>
                <w:rPr>
                  <w:rFonts w:ascii="Arial" w:cs="Arial" w:eastAsia="Arial" w:hAnsi="Arial"/>
                  <w:sz w:val="19"/>
                  <w:szCs w:val="19"/>
                  <w:color w:val="0000EE"/>
                </w:rPr>
                <w:t>Business</w:t>
              </w:r>
            </w:hyperlink>
          </w:p>
        </w:tc>
        <w:tc>
          <w:tcPr>
            <w:tcW w:w="380" w:type="dxa"/>
            <w:vAlign w:val="bottom"/>
          </w:tcPr>
          <w:p>
            <w:pPr>
              <w:jc w:val="right"/>
              <w:spacing w:after="0" w:line="210"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9"/>
                <w:szCs w:val="19"/>
                <w:color w:val="auto"/>
              </w:rPr>
              <w:t>1A.</w:t>
            </w:r>
          </w:p>
        </w:tc>
        <w:tc>
          <w:tcPr>
            <w:tcW w:w="3040" w:type="dxa"/>
            <w:vAlign w:val="bottom"/>
            <w:tcBorders>
              <w:bottom w:val="single" w:sz="8" w:color="0000EE"/>
            </w:tcBorders>
            <w:gridSpan w:val="11"/>
          </w:tcPr>
          <w:p>
            <w:pPr>
              <w:spacing w:after="0"/>
              <w:rPr>
                <w:rFonts w:ascii="Arial" w:cs="Arial" w:eastAsia="Arial" w:hAnsi="Arial"/>
                <w:sz w:val="19"/>
                <w:szCs w:val="19"/>
                <w:color w:val="0000EE"/>
              </w:rPr>
            </w:pPr>
            <w:hyperlink w:anchor="page7">
              <w:r>
                <w:rPr>
                  <w:rFonts w:ascii="Arial" w:cs="Arial" w:eastAsia="Arial" w:hAnsi="Arial"/>
                  <w:sz w:val="19"/>
                  <w:szCs w:val="19"/>
                  <w:color w:val="0000EE"/>
                </w:rPr>
                <w:t>Executive Officers of the Registrant</w:t>
              </w:r>
            </w:hyperlink>
          </w:p>
        </w:tc>
        <w:tc>
          <w:tcPr>
            <w:tcW w:w="5940" w:type="dxa"/>
            <w:vAlign w:val="bottom"/>
            <w:gridSpan w:val="11"/>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80" w:type="dxa"/>
            <w:vAlign w:val="bottom"/>
            <w:tcBorders>
              <w:bottom w:val="single" w:sz="8" w:color="0000EE"/>
            </w:tcBorders>
            <w:gridSpan w:val="4"/>
          </w:tcPr>
          <w:p>
            <w:pPr>
              <w:spacing w:after="0"/>
              <w:rPr>
                <w:rFonts w:ascii="Arial" w:cs="Arial" w:eastAsia="Arial" w:hAnsi="Arial"/>
                <w:sz w:val="19"/>
                <w:szCs w:val="19"/>
                <w:color w:val="0000EE"/>
              </w:rPr>
            </w:pPr>
            <w:hyperlink w:anchor="page8">
              <w:r>
                <w:rPr>
                  <w:rFonts w:ascii="Arial" w:cs="Arial" w:eastAsia="Arial" w:hAnsi="Arial"/>
                  <w:sz w:val="19"/>
                  <w:szCs w:val="19"/>
                  <w:color w:val="0000EE"/>
                </w:rPr>
                <w:t>Risk Factors</w:t>
              </w:r>
            </w:hyperlink>
          </w:p>
        </w:tc>
        <w:tc>
          <w:tcPr>
            <w:tcW w:w="7900" w:type="dxa"/>
            <w:vAlign w:val="bottom"/>
            <w:gridSpan w:val="18"/>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1B.</w:t>
            </w:r>
          </w:p>
        </w:tc>
        <w:tc>
          <w:tcPr>
            <w:tcW w:w="8980" w:type="dxa"/>
            <w:vAlign w:val="bottom"/>
            <w:gridSpan w:val="22"/>
          </w:tcPr>
          <w:p>
            <w:pPr>
              <w:spacing w:after="0"/>
              <w:rPr>
                <w:rFonts w:ascii="Arial" w:cs="Arial" w:eastAsia="Arial" w:hAnsi="Arial"/>
                <w:sz w:val="19"/>
                <w:szCs w:val="19"/>
                <w:color w:val="0000EE"/>
              </w:rPr>
            </w:pPr>
            <w:hyperlink w:anchor="page12">
              <w:r>
                <w:rPr>
                  <w:rFonts w:ascii="Arial" w:cs="Arial" w:eastAsia="Arial" w:hAnsi="Arial"/>
                  <w:sz w:val="19"/>
                  <w:szCs w:val="19"/>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2.</w:t>
            </w:r>
          </w:p>
        </w:tc>
        <w:tc>
          <w:tcPr>
            <w:tcW w:w="2420" w:type="dxa"/>
            <w:vAlign w:val="bottom"/>
            <w:tcBorders>
              <w:top w:val="single" w:sz="8" w:color="0000EE"/>
            </w:tcBorders>
            <w:gridSpan w:val="10"/>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Properties</w:t>
              </w:r>
            </w:hyperlink>
          </w:p>
        </w:tc>
        <w:tc>
          <w:tcPr>
            <w:tcW w:w="6560" w:type="dxa"/>
            <w:vAlign w:val="bottom"/>
            <w:gridSpan w:val="12"/>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9"/>
                <w:szCs w:val="19"/>
                <w:color w:val="auto"/>
              </w:rPr>
              <w:t>3.</w:t>
            </w: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980" w:type="dxa"/>
            <w:vAlign w:val="bottom"/>
            <w:gridSpan w:val="22"/>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9"/>
                <w:szCs w:val="19"/>
                <w:color w:val="auto"/>
              </w:rPr>
              <w:t>4.</w:t>
            </w:r>
          </w:p>
        </w:tc>
        <w:tc>
          <w:tcPr>
            <w:tcW w:w="3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980" w:type="dxa"/>
            <w:vAlign w:val="bottom"/>
            <w:gridSpan w:val="22"/>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9"/>
                <w:szCs w:val="19"/>
                <w:color w:val="auto"/>
              </w:rPr>
              <w:t>Part II.</w:t>
            </w:r>
          </w:p>
        </w:tc>
        <w:tc>
          <w:tcPr>
            <w:tcW w:w="900" w:type="dxa"/>
            <w:vAlign w:val="bottom"/>
            <w:gridSpan w:val="2"/>
          </w:tcPr>
          <w:p>
            <w:pPr>
              <w:jc w:val="right"/>
              <w:ind w:right="300"/>
              <w:spacing w:after="0" w:line="196" w:lineRule="exact"/>
              <w:rPr>
                <w:sz w:val="20"/>
                <w:szCs w:val="20"/>
                <w:color w:val="auto"/>
              </w:rPr>
            </w:pPr>
            <w:r>
              <w:rPr>
                <w:rFonts w:ascii="Arial" w:cs="Arial" w:eastAsia="Arial" w:hAnsi="Arial"/>
                <w:sz w:val="19"/>
                <w:szCs w:val="19"/>
                <w:color w:val="auto"/>
              </w:rPr>
              <w:t>5.</w:t>
            </w:r>
          </w:p>
        </w:tc>
        <w:tc>
          <w:tcPr>
            <w:tcW w:w="8660" w:type="dxa"/>
            <w:vAlign w:val="bottom"/>
            <w:tcBorders>
              <w:bottom w:val="single" w:sz="8" w:color="0000EE"/>
            </w:tcBorders>
            <w:gridSpan w:val="21"/>
          </w:tcPr>
          <w:p>
            <w:pPr>
              <w:spacing w:after="0" w:line="196" w:lineRule="exact"/>
              <w:rPr>
                <w:rFonts w:ascii="Arial" w:cs="Arial" w:eastAsia="Arial" w:hAnsi="Arial"/>
                <w:sz w:val="19"/>
                <w:szCs w:val="19"/>
                <w:color w:val="0000EE"/>
              </w:rPr>
            </w:pPr>
            <w:hyperlink w:anchor="page14">
              <w:r>
                <w:rPr>
                  <w:rFonts w:ascii="Arial" w:cs="Arial" w:eastAsia="Arial" w:hAnsi="Arial"/>
                  <w:sz w:val="19"/>
                  <w:szCs w:val="19"/>
                  <w:color w:val="0000EE"/>
                </w:rPr>
                <w:t>Market for Registrant’s Common Equity, Related Stockholder Matters and Issuer Purchases of Equity</w:t>
              </w:r>
            </w:hyperlink>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9"/>
                <w:szCs w:val="19"/>
                <w:color w:val="auto"/>
              </w:rPr>
              <w:t>6.</w:t>
            </w:r>
          </w:p>
        </w:tc>
        <w:tc>
          <w:tcPr>
            <w:tcW w:w="360" w:type="dxa"/>
            <w:vAlign w:val="bottom"/>
          </w:tcPr>
          <w:p>
            <w:pPr>
              <w:spacing w:after="0"/>
              <w:rPr>
                <w:sz w:val="17"/>
                <w:szCs w:val="17"/>
                <w:color w:val="auto"/>
              </w:rPr>
            </w:pPr>
          </w:p>
        </w:tc>
        <w:tc>
          <w:tcPr>
            <w:tcW w:w="8620" w:type="dxa"/>
            <w:vAlign w:val="bottom"/>
            <w:gridSpan w:val="21"/>
          </w:tcPr>
          <w:p>
            <w:pPr>
              <w:spacing w:after="0" w:line="196" w:lineRule="exact"/>
              <w:rPr>
                <w:rFonts w:ascii="Arial" w:cs="Arial" w:eastAsia="Arial" w:hAnsi="Arial"/>
                <w:sz w:val="19"/>
                <w:szCs w:val="19"/>
                <w:color w:val="0000EE"/>
              </w:rPr>
            </w:pPr>
            <w:hyperlink w:anchor="page14">
              <w:r>
                <w:rPr>
                  <w:rFonts w:ascii="Arial" w:cs="Arial" w:eastAsia="Arial" w:hAnsi="Arial"/>
                  <w:sz w:val="19"/>
                  <w:szCs w:val="19"/>
                  <w:color w:val="0000EE"/>
                </w:rPr>
                <w:t>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9"/>
                <w:szCs w:val="19"/>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980" w:type="dxa"/>
            <w:vAlign w:val="bottom"/>
            <w:gridSpan w:val="22"/>
          </w:tcPr>
          <w:p>
            <w:pPr>
              <w:spacing w:after="0"/>
              <w:rPr>
                <w:rFonts w:ascii="Arial" w:cs="Arial" w:eastAsia="Arial" w:hAnsi="Arial"/>
                <w:sz w:val="19"/>
                <w:szCs w:val="19"/>
                <w:color w:val="0000EE"/>
              </w:rPr>
            </w:pPr>
            <w:hyperlink w:anchor="page16">
              <w:r>
                <w:rPr>
                  <w:rFonts w:ascii="Arial" w:cs="Arial" w:eastAsia="Arial" w:hAnsi="Arial"/>
                  <w:sz w:val="19"/>
                  <w:szCs w:val="19"/>
                  <w:color w:val="0000EE"/>
                </w:rPr>
                <w:t>Selected Financial Data</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9"/>
                <w:szCs w:val="19"/>
                <w:color w:val="auto"/>
              </w:rPr>
              <w:t>7.</w:t>
            </w:r>
          </w:p>
        </w:tc>
        <w:tc>
          <w:tcPr>
            <w:tcW w:w="1500" w:type="dxa"/>
            <w:vAlign w:val="bottom"/>
            <w:gridSpan w:val="6"/>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980" w:type="dxa"/>
            <w:vAlign w:val="bottom"/>
            <w:gridSpan w:val="22"/>
          </w:tcPr>
          <w:p>
            <w:pPr>
              <w:spacing w:after="0"/>
              <w:rPr>
                <w:rFonts w:ascii="Arial" w:cs="Arial" w:eastAsia="Arial" w:hAnsi="Arial"/>
                <w:sz w:val="19"/>
                <w:szCs w:val="19"/>
                <w:color w:val="0000EE"/>
              </w:rPr>
            </w:pPr>
            <w:hyperlink w:anchor="page17">
              <w:r>
                <w:rPr>
                  <w:rFonts w:ascii="Arial" w:cs="Arial" w:eastAsia="Arial" w:hAnsi="Arial"/>
                  <w:sz w:val="19"/>
                  <w:szCs w:val="19"/>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7A.</w:t>
            </w:r>
          </w:p>
        </w:tc>
        <w:tc>
          <w:tcPr>
            <w:tcW w:w="5080" w:type="dxa"/>
            <w:vAlign w:val="bottom"/>
            <w:tcBorders>
              <w:top w:val="single" w:sz="8" w:color="0000EE"/>
              <w:bottom w:val="single" w:sz="8" w:color="0000EE"/>
            </w:tcBorders>
            <w:gridSpan w:val="17"/>
          </w:tcPr>
          <w:p>
            <w:pPr>
              <w:spacing w:after="0"/>
              <w:rPr>
                <w:rFonts w:ascii="Arial" w:cs="Arial" w:eastAsia="Arial" w:hAnsi="Arial"/>
                <w:sz w:val="19"/>
                <w:szCs w:val="19"/>
                <w:color w:val="0000EE"/>
              </w:rPr>
            </w:pPr>
            <w:hyperlink w:anchor="page34">
              <w:r>
                <w:rPr>
                  <w:rFonts w:ascii="Arial" w:cs="Arial" w:eastAsia="Arial" w:hAnsi="Arial"/>
                  <w:sz w:val="19"/>
                  <w:szCs w:val="19"/>
                  <w:color w:val="0000EE"/>
                </w:rPr>
                <w:t>Quantitative and Qualitative Disclosures About Market Risk</w:t>
              </w:r>
            </w:hyperlink>
          </w:p>
        </w:tc>
        <w:tc>
          <w:tcPr>
            <w:tcW w:w="2540" w:type="dxa"/>
            <w:vAlign w:val="bottom"/>
            <w:tcBorders>
              <w:top w:val="single" w:sz="8" w:color="0000EE"/>
            </w:tcBorders>
          </w:tcPr>
          <w:p>
            <w:pPr>
              <w:spacing w:after="0"/>
              <w:rPr>
                <w:sz w:val="19"/>
                <w:szCs w:val="19"/>
                <w:color w:val="auto"/>
              </w:rPr>
            </w:pPr>
          </w:p>
        </w:tc>
        <w:tc>
          <w:tcPr>
            <w:tcW w:w="1360" w:type="dxa"/>
            <w:vAlign w:val="bottom"/>
            <w:gridSpan w:val="4"/>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8.</w:t>
            </w:r>
          </w:p>
        </w:tc>
        <w:tc>
          <w:tcPr>
            <w:tcW w:w="4020" w:type="dxa"/>
            <w:vAlign w:val="bottom"/>
            <w:tcBorders>
              <w:bottom w:val="single" w:sz="8" w:color="0000EE"/>
            </w:tcBorders>
            <w:gridSpan w:val="14"/>
          </w:tcPr>
          <w:p>
            <w:pPr>
              <w:spacing w:after="0"/>
              <w:rPr>
                <w:rFonts w:ascii="Arial" w:cs="Arial" w:eastAsia="Arial" w:hAnsi="Arial"/>
                <w:sz w:val="19"/>
                <w:szCs w:val="19"/>
                <w:color w:val="0000EE"/>
              </w:rPr>
            </w:pPr>
            <w:hyperlink w:anchor="page35">
              <w:r>
                <w:rPr>
                  <w:rFonts w:ascii="Arial" w:cs="Arial" w:eastAsia="Arial" w:hAnsi="Arial"/>
                  <w:sz w:val="19"/>
                  <w:szCs w:val="19"/>
                  <w:color w:val="0000EE"/>
                </w:rPr>
                <w:t>Financial Statements and Supplementary Data</w:t>
              </w:r>
            </w:hyperlink>
          </w:p>
        </w:tc>
        <w:tc>
          <w:tcPr>
            <w:tcW w:w="4960" w:type="dxa"/>
            <w:vAlign w:val="bottom"/>
            <w:gridSpan w:val="8"/>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9.</w:t>
            </w:r>
          </w:p>
        </w:tc>
        <w:tc>
          <w:tcPr>
            <w:tcW w:w="8980" w:type="dxa"/>
            <w:vAlign w:val="bottom"/>
            <w:gridSpan w:val="22"/>
          </w:tcPr>
          <w:p>
            <w:pPr>
              <w:spacing w:after="0"/>
              <w:rPr>
                <w:rFonts w:ascii="Arial" w:cs="Arial" w:eastAsia="Arial" w:hAnsi="Arial"/>
                <w:sz w:val="19"/>
                <w:szCs w:val="19"/>
                <w:color w:val="0000EE"/>
              </w:rPr>
            </w:pPr>
            <w:hyperlink w:anchor="page83">
              <w:r>
                <w:rPr>
                  <w:rFonts w:ascii="Arial" w:cs="Arial" w:eastAsia="Arial" w:hAnsi="Arial"/>
                  <w:sz w:val="19"/>
                  <w:szCs w:val="19"/>
                  <w:color w:val="0000EE"/>
                </w:rPr>
                <w:t>Changes in and Disagreements with Accountants on Accounting and Financial Disclosure</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9A.</w:t>
            </w:r>
          </w:p>
        </w:tc>
        <w:tc>
          <w:tcPr>
            <w:tcW w:w="7680" w:type="dxa"/>
            <w:vAlign w:val="bottom"/>
            <w:tcBorders>
              <w:top w:val="single" w:sz="8" w:color="0000EE"/>
            </w:tcBorders>
            <w:gridSpan w:val="19"/>
          </w:tcPr>
          <w:p>
            <w:pPr>
              <w:spacing w:after="0"/>
              <w:rPr>
                <w:rFonts w:ascii="Arial" w:cs="Arial" w:eastAsia="Arial" w:hAnsi="Arial"/>
                <w:sz w:val="19"/>
                <w:szCs w:val="19"/>
                <w:color w:val="0000EE"/>
              </w:rPr>
            </w:pPr>
            <w:hyperlink w:anchor="page83">
              <w:r>
                <w:rPr>
                  <w:rFonts w:ascii="Arial" w:cs="Arial" w:eastAsia="Arial" w:hAnsi="Arial"/>
                  <w:sz w:val="19"/>
                  <w:szCs w:val="19"/>
                  <w:color w:val="0000EE"/>
                </w:rPr>
                <w:t>Controls and Procedures</w:t>
              </w:r>
            </w:hyperlink>
          </w:p>
        </w:tc>
        <w:tc>
          <w:tcPr>
            <w:tcW w:w="1300" w:type="dxa"/>
            <w:vAlign w:val="bottom"/>
            <w:gridSpan w:val="3"/>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9B.</w:t>
            </w:r>
          </w:p>
        </w:tc>
        <w:tc>
          <w:tcPr>
            <w:tcW w:w="2140" w:type="dxa"/>
            <w:vAlign w:val="bottom"/>
            <w:tcBorders>
              <w:top w:val="single" w:sz="8" w:color="0000EE"/>
            </w:tcBorders>
            <w:gridSpan w:val="9"/>
          </w:tcPr>
          <w:p>
            <w:pPr>
              <w:spacing w:after="0"/>
              <w:rPr>
                <w:rFonts w:ascii="Arial" w:cs="Arial" w:eastAsia="Arial" w:hAnsi="Arial"/>
                <w:sz w:val="19"/>
                <w:szCs w:val="19"/>
                <w:color w:val="0000EE"/>
              </w:rPr>
            </w:pPr>
            <w:hyperlink w:anchor="page83">
              <w:r>
                <w:rPr>
                  <w:rFonts w:ascii="Arial" w:cs="Arial" w:eastAsia="Arial" w:hAnsi="Arial"/>
                  <w:sz w:val="19"/>
                  <w:szCs w:val="19"/>
                  <w:color w:val="0000EE"/>
                </w:rPr>
                <w:t>Other Information</w:t>
              </w:r>
            </w:hyperlink>
          </w:p>
        </w:tc>
        <w:tc>
          <w:tcPr>
            <w:tcW w:w="6840" w:type="dxa"/>
            <w:vAlign w:val="bottom"/>
            <w:gridSpan w:val="13"/>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81</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spacing w:after="0"/>
              <w:rPr>
                <w:sz w:val="20"/>
                <w:szCs w:val="20"/>
                <w:color w:val="auto"/>
              </w:rPr>
            </w:pPr>
            <w:r>
              <w:rPr>
                <w:rFonts w:ascii="Arial" w:cs="Arial" w:eastAsia="Arial" w:hAnsi="Arial"/>
                <w:sz w:val="19"/>
                <w:szCs w:val="19"/>
                <w:color w:val="auto"/>
              </w:rPr>
              <w:t>Part III.</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9"/>
                <w:szCs w:val="19"/>
                <w:color w:val="auto"/>
              </w:rPr>
              <w:t>10.</w:t>
            </w:r>
          </w:p>
        </w:tc>
        <w:tc>
          <w:tcPr>
            <w:tcW w:w="1500" w:type="dxa"/>
            <w:vAlign w:val="bottom"/>
            <w:gridSpan w:val="6"/>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3"/>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980" w:type="dxa"/>
            <w:vAlign w:val="bottom"/>
            <w:gridSpan w:val="22"/>
          </w:tcPr>
          <w:p>
            <w:pPr>
              <w:spacing w:after="0"/>
              <w:rPr>
                <w:rFonts w:ascii="Arial" w:cs="Arial" w:eastAsia="Arial" w:hAnsi="Arial"/>
                <w:sz w:val="19"/>
                <w:szCs w:val="19"/>
                <w:color w:val="0000EE"/>
              </w:rPr>
            </w:pPr>
            <w:hyperlink w:anchor="page83">
              <w:r>
                <w:rPr>
                  <w:rFonts w:ascii="Arial" w:cs="Arial" w:eastAsia="Arial" w:hAnsi="Arial"/>
                  <w:sz w:val="19"/>
                  <w:szCs w:val="19"/>
                  <w:color w:val="0000EE"/>
                </w:rPr>
                <w:t>Directors and Executive Officers of the Registrant</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11.</w:t>
            </w:r>
          </w:p>
        </w:tc>
        <w:tc>
          <w:tcPr>
            <w:tcW w:w="4240" w:type="dxa"/>
            <w:vAlign w:val="bottom"/>
            <w:tcBorders>
              <w:top w:val="single" w:sz="8" w:color="0000EE"/>
            </w:tcBorders>
            <w:gridSpan w:val="16"/>
          </w:tcPr>
          <w:p>
            <w:pPr>
              <w:spacing w:after="0"/>
              <w:rPr>
                <w:rFonts w:ascii="Arial" w:cs="Arial" w:eastAsia="Arial" w:hAnsi="Arial"/>
                <w:sz w:val="19"/>
                <w:szCs w:val="19"/>
                <w:color w:val="0000EE"/>
              </w:rPr>
            </w:pPr>
            <w:hyperlink w:anchor="page84">
              <w:r>
                <w:rPr>
                  <w:rFonts w:ascii="Arial" w:cs="Arial" w:eastAsia="Arial" w:hAnsi="Arial"/>
                  <w:sz w:val="19"/>
                  <w:szCs w:val="19"/>
                  <w:color w:val="0000EE"/>
                </w:rPr>
                <w:t>Executive Compensation</w:t>
              </w:r>
            </w:hyperlink>
          </w:p>
        </w:tc>
        <w:tc>
          <w:tcPr>
            <w:tcW w:w="4740" w:type="dxa"/>
            <w:vAlign w:val="bottom"/>
            <w:gridSpan w:val="6"/>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9"/>
                <w:szCs w:val="19"/>
                <w:color w:val="auto"/>
              </w:rPr>
              <w:t>12.</w:t>
            </w:r>
          </w:p>
        </w:tc>
        <w:tc>
          <w:tcPr>
            <w:tcW w:w="2140" w:type="dxa"/>
            <w:vAlign w:val="bottom"/>
            <w:gridSpan w:val="9"/>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640" w:type="dxa"/>
            <w:vAlign w:val="bottom"/>
            <w:tcBorders>
              <w:bottom w:val="single" w:sz="8" w:color="0000EE"/>
            </w:tcBorders>
            <w:gridSpan w:val="20"/>
          </w:tcPr>
          <w:p>
            <w:pPr>
              <w:spacing w:after="0"/>
              <w:rPr>
                <w:rFonts w:ascii="Arial" w:cs="Arial" w:eastAsia="Arial" w:hAnsi="Arial"/>
                <w:sz w:val="19"/>
                <w:szCs w:val="19"/>
                <w:color w:val="0000EE"/>
              </w:rPr>
            </w:pPr>
            <w:hyperlink w:anchor="page84">
              <w:r>
                <w:rPr>
                  <w:rFonts w:ascii="Arial" w:cs="Arial" w:eastAsia="Arial" w:hAnsi="Arial"/>
                  <w:sz w:val="19"/>
                  <w:szCs w:val="19"/>
                  <w:color w:val="0000EE"/>
                </w:rPr>
                <w:t>Security Ownership of Certain Beneficial Owners and Management and Related Stockholder Matters</w:t>
              </w:r>
            </w:hyperlink>
          </w:p>
        </w:tc>
        <w:tc>
          <w:tcPr>
            <w:tcW w:w="340" w:type="dxa"/>
            <w:vAlign w:val="bottom"/>
            <w:gridSpan w:val="2"/>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13.</w:t>
            </w:r>
          </w:p>
        </w:tc>
        <w:tc>
          <w:tcPr>
            <w:tcW w:w="8980" w:type="dxa"/>
            <w:vAlign w:val="bottom"/>
            <w:gridSpan w:val="22"/>
          </w:tcPr>
          <w:p>
            <w:pPr>
              <w:spacing w:after="0"/>
              <w:rPr>
                <w:rFonts w:ascii="Arial" w:cs="Arial" w:eastAsia="Arial" w:hAnsi="Arial"/>
                <w:sz w:val="19"/>
                <w:szCs w:val="19"/>
                <w:color w:val="0000EE"/>
              </w:rPr>
            </w:pPr>
            <w:hyperlink w:anchor="page86">
              <w:r>
                <w:rPr>
                  <w:rFonts w:ascii="Arial" w:cs="Arial" w:eastAsia="Arial" w:hAnsi="Arial"/>
                  <w:sz w:val="19"/>
                  <w:szCs w:val="19"/>
                  <w:color w:val="0000EE"/>
                </w:rPr>
                <w:t>Certain Relationships and Related Transactions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14.</w:t>
            </w:r>
          </w:p>
        </w:tc>
        <w:tc>
          <w:tcPr>
            <w:tcW w:w="3420" w:type="dxa"/>
            <w:vAlign w:val="bottom"/>
            <w:tcBorders>
              <w:top w:val="single" w:sz="8" w:color="0000EE"/>
              <w:bottom w:val="single" w:sz="8" w:color="0000EE"/>
            </w:tcBorders>
            <w:gridSpan w:val="12"/>
          </w:tcPr>
          <w:p>
            <w:pPr>
              <w:spacing w:after="0"/>
              <w:rPr>
                <w:rFonts w:ascii="Arial" w:cs="Arial" w:eastAsia="Arial" w:hAnsi="Arial"/>
                <w:sz w:val="19"/>
                <w:szCs w:val="19"/>
                <w:color w:val="0000EE"/>
              </w:rPr>
            </w:pPr>
            <w:hyperlink w:anchor="page86">
              <w:r>
                <w:rPr>
                  <w:rFonts w:ascii="Arial" w:cs="Arial" w:eastAsia="Arial" w:hAnsi="Arial"/>
                  <w:sz w:val="19"/>
                  <w:szCs w:val="19"/>
                  <w:color w:val="0000EE"/>
                </w:rPr>
                <w:t>Principal Accounting Fees and Services</w:t>
              </w:r>
            </w:hyperlink>
          </w:p>
        </w:tc>
        <w:tc>
          <w:tcPr>
            <w:tcW w:w="680" w:type="dxa"/>
            <w:vAlign w:val="bottom"/>
            <w:tcBorders>
              <w:top w:val="single" w:sz="8" w:color="0000EE"/>
            </w:tcBorders>
            <w:gridSpan w:val="3"/>
          </w:tcPr>
          <w:p>
            <w:pPr>
              <w:spacing w:after="0"/>
              <w:rPr>
                <w:sz w:val="19"/>
                <w:szCs w:val="19"/>
                <w:color w:val="auto"/>
              </w:rPr>
            </w:pPr>
          </w:p>
        </w:tc>
        <w:tc>
          <w:tcPr>
            <w:tcW w:w="4880" w:type="dxa"/>
            <w:vAlign w:val="bottom"/>
            <w:gridSpan w:val="7"/>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84</w:t>
            </w:r>
          </w:p>
        </w:tc>
        <w:tc>
          <w:tcPr>
            <w:tcW w:w="0" w:type="dxa"/>
            <w:vAlign w:val="bottom"/>
          </w:tcPr>
          <w:p>
            <w:pPr>
              <w:spacing w:after="0"/>
              <w:rPr>
                <w:sz w:val="1"/>
                <w:szCs w:val="1"/>
                <w:color w:val="auto"/>
              </w:rPr>
            </w:pPr>
          </w:p>
        </w:tc>
      </w:tr>
      <w:tr>
        <w:trPr>
          <w:trHeight w:val="223"/>
        </w:trPr>
        <w:tc>
          <w:tcPr>
            <w:tcW w:w="1160" w:type="dxa"/>
            <w:vAlign w:val="bottom"/>
            <w:gridSpan w:val="3"/>
          </w:tcPr>
          <w:p>
            <w:pPr>
              <w:spacing w:after="0"/>
              <w:rPr>
                <w:sz w:val="20"/>
                <w:szCs w:val="20"/>
                <w:color w:val="auto"/>
              </w:rPr>
            </w:pPr>
            <w:r>
              <w:rPr>
                <w:rFonts w:ascii="Arial" w:cs="Arial" w:eastAsia="Arial" w:hAnsi="Arial"/>
                <w:sz w:val="19"/>
                <w:szCs w:val="19"/>
                <w:color w:val="auto"/>
              </w:rPr>
              <w:t>Part IV.</w:t>
            </w:r>
          </w:p>
        </w:tc>
        <w:tc>
          <w:tcPr>
            <w:tcW w:w="900" w:type="dxa"/>
            <w:vAlign w:val="bottom"/>
            <w:gridSpan w:val="2"/>
          </w:tcPr>
          <w:p>
            <w:pPr>
              <w:jc w:val="right"/>
              <w:ind w:right="300"/>
              <w:spacing w:after="0"/>
              <w:rPr>
                <w:sz w:val="20"/>
                <w:szCs w:val="20"/>
                <w:color w:val="auto"/>
              </w:rPr>
            </w:pPr>
            <w:r>
              <w:rPr>
                <w:rFonts w:ascii="Arial" w:cs="Arial" w:eastAsia="Arial" w:hAnsi="Arial"/>
                <w:sz w:val="19"/>
                <w:szCs w:val="19"/>
                <w:color w:val="auto"/>
              </w:rPr>
              <w:t>15.</w:t>
            </w:r>
          </w:p>
        </w:tc>
        <w:tc>
          <w:tcPr>
            <w:tcW w:w="8980" w:type="dxa"/>
            <w:vAlign w:val="bottom"/>
            <w:gridSpan w:val="22"/>
          </w:tcPr>
          <w:p>
            <w:pPr>
              <w:spacing w:after="0"/>
              <w:rPr>
                <w:rFonts w:ascii="Arial" w:cs="Arial" w:eastAsia="Arial" w:hAnsi="Arial"/>
                <w:sz w:val="19"/>
                <w:szCs w:val="19"/>
                <w:color w:val="0000EE"/>
              </w:rPr>
            </w:pPr>
            <w:hyperlink w:anchor="page86">
              <w:r>
                <w:rPr>
                  <w:rFonts w:ascii="Arial" w:cs="Arial" w:eastAsia="Arial" w:hAnsi="Arial"/>
                  <w:sz w:val="19"/>
                  <w:szCs w:val="19"/>
                  <w:color w:val="0000EE"/>
                </w:rPr>
                <w:t>Exhibits and Financial Statement Schedules</w:t>
              </w:r>
            </w:hyperlink>
          </w:p>
        </w:tc>
        <w:tc>
          <w:tcPr>
            <w:tcW w:w="380" w:type="dxa"/>
            <w:vAlign w:val="bottom"/>
          </w:tcPr>
          <w:p>
            <w:pPr>
              <w:jc w:val="right"/>
              <w:spacing w:after="0"/>
              <w:rPr>
                <w:sz w:val="20"/>
                <w:szCs w:val="20"/>
                <w:color w:val="auto"/>
              </w:rPr>
            </w:pPr>
            <w:r>
              <w:rPr>
                <w:rFonts w:ascii="Arial" w:cs="Arial" w:eastAsia="Arial" w:hAnsi="Arial"/>
                <w:sz w:val="19"/>
                <w:szCs w:val="19"/>
                <w:color w:val="auto"/>
              </w:rPr>
              <w:t>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bottom w:val="single" w:sz="8" w:color="0000EE"/>
            </w:tcBorders>
          </w:tcPr>
          <w:p>
            <w:pPr>
              <w:spacing w:after="0" w:line="176" w:lineRule="exact"/>
              <w:rPr>
                <w:rFonts w:ascii="Arial" w:cs="Arial" w:eastAsia="Arial" w:hAnsi="Arial"/>
                <w:sz w:val="19"/>
                <w:szCs w:val="19"/>
                <w:color w:val="0000EE"/>
                <w:w w:val="99"/>
              </w:rPr>
            </w:pPr>
            <w:hyperlink w:anchor="page87">
              <w:r>
                <w:rPr>
                  <w:rFonts w:ascii="Arial" w:cs="Arial" w:eastAsia="Arial" w:hAnsi="Arial"/>
                  <w:sz w:val="19"/>
                  <w:szCs w:val="19"/>
                  <w:color w:val="0000EE"/>
                  <w:w w:val="99"/>
                </w:rPr>
                <w:t>Signatures</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jc w:val="right"/>
              <w:spacing w:after="0" w:line="190" w:lineRule="exact"/>
              <w:rPr>
                <w:sz w:val="20"/>
                <w:szCs w:val="20"/>
                <w:color w:val="auto"/>
              </w:rPr>
            </w:pPr>
            <w:r>
              <w:rPr>
                <w:rFonts w:ascii="Arial" w:cs="Arial" w:eastAsia="Arial" w:hAnsi="Arial"/>
                <w:sz w:val="19"/>
                <w:szCs w:val="19"/>
                <w:color w:val="auto"/>
              </w:rPr>
              <w:t>85</w:t>
            </w:r>
          </w:p>
        </w:tc>
        <w:tc>
          <w:tcPr>
            <w:tcW w:w="0" w:type="dxa"/>
            <w:vAlign w:val="bottom"/>
          </w:tcPr>
          <w:p>
            <w:pPr>
              <w:spacing w:after="0"/>
              <w:rPr>
                <w:sz w:val="1"/>
                <w:szCs w:val="1"/>
                <w:color w:val="auto"/>
              </w:rPr>
            </w:pPr>
          </w:p>
        </w:tc>
      </w:tr>
      <w:tr>
        <w:trPr>
          <w:trHeight w:val="260"/>
        </w:trPr>
        <w:tc>
          <w:tcPr>
            <w:tcW w:w="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3"/>
          <w:szCs w:val="23"/>
          <w:b w:val="1"/>
          <w:bCs w:val="1"/>
          <w:color w:val="auto"/>
        </w:rPr>
        <w:t>PART I.</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Business</w:t>
      </w:r>
    </w:p>
    <w:p>
      <w:pPr>
        <w:spacing w:after="0" w:line="14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Honeywell International Inc. (Honeywell or the Company) is a diversified technology and manufacturing company, serving customers worldwide with aerospace products and services, turbochargers, control, sensing and security technologies for buildings, homes and industry, specialty chemicals, electronic and advanced materials, process technology for refining and petrochemicals, and energy efficient products and solutions for homes, business and transportation. Honeywell was incorporated in Delaware in 1985.</w:t>
      </w:r>
    </w:p>
    <w:p>
      <w:pPr>
        <w:spacing w:after="0" w:line="31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We maintain an internet website at http://www.honeywell.com. Our Annual Report on Form 10-K, Quarterly Reports on Form 10-Q, Current Reports on Form 8-K and any amendments to those reports, are available free of charge on our website under the heading “Investor Relations” (see “SEC Filings &amp; Reports”) immediately after they are filed with, or furnished to, the Securities and Exchange Commission (SEC). In addition, in this Form 10-K, the Company incorporates by reference certain information from parts of its proxy statement for the 2015 Annual Meeting of Stockholders, which we expect to file with the SEC on or about March 12, 2015, and which will also be available free of charge on our website.</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Major Businesses</w:t>
      </w:r>
    </w:p>
    <w:p>
      <w:pPr>
        <w:spacing w:after="0" w:line="130" w:lineRule="exact"/>
        <w:rPr>
          <w:sz w:val="20"/>
          <w:szCs w:val="20"/>
          <w:color w:val="auto"/>
        </w:rPr>
      </w:pPr>
    </w:p>
    <w:p>
      <w:pPr>
        <w:jc w:val="both"/>
        <w:ind w:right="20" w:firstLine="357"/>
        <w:spacing w:after="0" w:line="245" w:lineRule="auto"/>
        <w:rPr>
          <w:sz w:val="20"/>
          <w:szCs w:val="20"/>
          <w:color w:val="auto"/>
        </w:rPr>
      </w:pPr>
      <w:r>
        <w:rPr>
          <w:rFonts w:ascii="Arial" w:cs="Arial" w:eastAsia="Arial" w:hAnsi="Arial"/>
          <w:sz w:val="19"/>
          <w:szCs w:val="19"/>
          <w:color w:val="auto"/>
        </w:rPr>
        <w:t>We globally manage our business operations through three businesses that are reported as operating segments: Aerospace, Automation and Control Solutions (ACS), and Performance Materials and Technologies (PMT). Financial information related to our operating segments is included in Note 21 Segment Financial Data of Notes to Financial Statements.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major products/services, customers/uses and key competitors of each of our operating segments are as follows: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w:t>
      </w:r>
    </w:p>
    <w:p>
      <w:pPr>
        <w:spacing w:after="0" w:line="130"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Our Aerospace segment is a leading global supplier of aircraft engines, integrated avionics, systems and service solutions, and related products and services for aircraft manufacturers, airlines, aircraft operators, military services, and defense and space contractors. Aerospace is also a leading manufacturer of turbochargers to improve performance and efficiency of passenger cars and commercial vehicles. Our Aerospace products and services include auxiliary power units, propulsion engines, environmental control systems, electric power systems, engine controls, flight safety, communications, navigation, radar and surveillance systems, aircraft lighting, management and technical services, logistics services, advanced systems and instruments, aircraft wheels and brakes, repair and overhaul services and turbochargers and thermal systems. Aerospace sells its products to original equipment (OE) manufacturers in the air transport, regional, business and general aviation aircraft, and automotive and truck manufacturers segments, and provides spare parts and repair and maintenance services (principally to aircraft operators) for the aftermarket.</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Automation and Control Solutions</w:t>
      </w:r>
    </w:p>
    <w:p>
      <w:pPr>
        <w:spacing w:after="0" w:line="130"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Our ACS segment is a leading global provider of environmental and combustion controls, sensing controls, security and life safety products and services, scanning and mobility devices and building solutions and services for homes, commercial buildings and industrial facilities. Our ACS products and services include controls and displays for heating, cooling, indoor air quality, ventilation, humidification, combustion, lighting and home automation; advanced software applications for home/building control and optimization; sensors, switches, control systems and instruments for measuring pressure, air flow, temperature and electrical current; security, fire and gas detection; personal protection equipment; access control; video surveillance; remote patient monitoring systems; products for automatic identification and data collection; installation, maintenance and upgrades of systems that keep buildings safe, comfortable and productive; and automation and control solutions for industrial plants, including field instruments and advanced software and automation systems that integrate, control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 w:name="page4"/>
    <w:bookmarkEnd w:id="3"/>
    <w:p>
      <w:pPr>
        <w:jc w:val="both"/>
        <w:ind w:right="20"/>
        <w:spacing w:after="0" w:line="253" w:lineRule="auto"/>
        <w:rPr>
          <w:sz w:val="20"/>
          <w:szCs w:val="20"/>
          <w:color w:val="auto"/>
        </w:rPr>
      </w:pPr>
      <w:r>
        <w:rPr>
          <w:rFonts w:ascii="Arial" w:cs="Arial" w:eastAsia="Arial" w:hAnsi="Arial"/>
          <w:sz w:val="19"/>
          <w:szCs w:val="19"/>
          <w:color w:val="auto"/>
        </w:rPr>
        <w:t>monitor complex processes in many types of industrial settings as well as equipment that controls, measures and analyzes natural gas production and transportation.</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Materials and Technologies</w:t>
      </w:r>
    </w:p>
    <w:p>
      <w:pPr>
        <w:spacing w:after="0" w:line="13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Our PMT segment is a global leader in developing and manufacturing advanced materials, process technologies and automation solutions. PMT’s UOP business provides process technology, products, including catalysts and adsorbents, equipment and consulting services to efficiently produce gasoline, diesel, jet fuel, petrochemicals and renewable fuels for the petroleum refining, gas processing, petrochemical, and other industries. PMT’s Process Solutions business is a pioneer in automation control, instrumentation and services for the oil and gas, refining, pulp and paper, industrial power generation, chemicals and petrochemicals, biofuels, life sciences, and metals, minerals and mining industries. PMT’s Advanced Materials businesses manufacture a wide variety of high-performance products, including fluorocarbons, hydrofluoroolefins, caprolactam, resins, ammonium sulfate fertilizer, phenol, specialty films, waxes, additives, advanced fibers, customized research chemicals and intermediates, and electronic materials and chemicals.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Competition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are subject to active competition in substantially all product and service areas. Some of our key competitors are as follows:</w:t>
      </w:r>
    </w:p>
    <w:p>
      <w:pPr>
        <w:spacing w:after="0" w:line="92" w:lineRule="exact"/>
        <w:rPr>
          <w:sz w:val="20"/>
          <w:szCs w:val="20"/>
          <w:color w:val="auto"/>
        </w:rPr>
      </w:pPr>
    </w:p>
    <w:p>
      <w:pPr>
        <w:ind w:left="540" w:hanging="16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Aerospace: Borg-Warner (automotive), Garmin, General Electric, Rockwell Collins, Thales and United Technologies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ACS: 3M, Johnson Controls, Schneider, Siemens and Zebra-Motorola</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3"/>
        </w:numPr>
        <w:rPr>
          <w:rFonts w:ascii="Arial" w:cs="Arial" w:eastAsia="Arial" w:hAnsi="Arial"/>
          <w:sz w:val="19"/>
          <w:szCs w:val="19"/>
          <w:color w:val="auto"/>
        </w:rPr>
      </w:pPr>
      <w:r>
        <w:rPr>
          <w:rFonts w:ascii="Arial" w:cs="Arial" w:eastAsia="Arial" w:hAnsi="Arial"/>
          <w:sz w:val="19"/>
          <w:szCs w:val="19"/>
          <w:color w:val="auto"/>
        </w:rPr>
        <w:t>PMT: Albemarle, BASF, Dow, Dupont, Emerson and Sinopec</w:t>
      </w:r>
    </w:p>
    <w:p>
      <w:pPr>
        <w:spacing w:after="0" w:line="119"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Our businesses compete on a variety of factors, such as price, quality, reliability, delivery, customer service, performance, applied technology, product innovation and product recognition. Brand identity, service to customers and quality are important competitive factors for our products and services, and there is considerable price competition. Other competitive factors include breadth of product line, research and development efforts and technical and managerial capability. While our competitive position varies among our products and services, we believe we are a significant competitor in each of our major product and service classes. A number of our products and services are sold in competition with those of a large number of other companies, some of which have substantial financial resources and significant technological capabilities. In addition, some of our products compete with the captive component divisions of original equipment manufacturers.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Aerospace Sales</w:t>
      </w:r>
    </w:p>
    <w:p>
      <w:pPr>
        <w:spacing w:after="0" w:line="130"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Our sales to aerospace customers were 39%, 40%, and 41% of our total sales in 2014, 2013 and 2012, respectively. Our sales to commercial aerospace original equipment manufacturers were 6%, 7%, and 7% of our total sales in 2014, 2013 and 2012, respectively. In addition, our sales to commercial aftermarket customers of aerospace products and services were 11%, 11%, and 12% of our total sales in 2014, 2013 and 2012,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Government Sales</w:t>
      </w:r>
    </w:p>
    <w:p>
      <w:pPr>
        <w:spacing w:after="0" w:line="13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Sales to the U.S. Government (principally by our Aerospace segment), acting through its various departments and agencies and through prime contractors, amounted to $3,693 million, $3,856 million and $4,109 million in 2014, 2013 and 2012, respectively, which included sales to the U.S. Department of Defense, as a prime contractor and subcontractor, of $2,792 million, $ 3,066 million and $3,273 million in 2014, 2013 and 2012, respectively. U.S. defense spending decreased in 2014 compared to 2013. We do not expect our overall operating results to be significantly affected by any proposed changes in 2015 federal defense spending due principally to the varied mix of the government programs which impact us (Original Equipment Manufacturers’ production, engineering</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19"/>
          <w:szCs w:val="19"/>
          <w:color w:val="auto"/>
        </w:rPr>
        <w:t>development programs, aftermarket spares and repairs and overhaul programs), increases in direct foreign defense and space market sales, as well as our diversified commercial businesses.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Backlog</w:t>
      </w:r>
    </w:p>
    <w:p>
      <w:pPr>
        <w:spacing w:after="0" w:line="13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Our total backlog at December 31, 2014 and 2013 was $18,313 million and $17,512 million, respectively. We anticipate that approximately $12,605 million of the 2014 backlog will be filled in 2015. We believe that backlog is not necessarily a reliable indicator of our future sales because a substantial portion of the orders constituting this backlog may be canceled at the customer’s option.</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International Operations</w:t>
      </w:r>
    </w:p>
    <w:p>
      <w:pPr>
        <w:spacing w:after="0" w:line="130" w:lineRule="exact"/>
        <w:rPr>
          <w:sz w:val="20"/>
          <w:szCs w:val="20"/>
          <w:color w:val="auto"/>
        </w:rPr>
      </w:pPr>
    </w:p>
    <w:p>
      <w:pPr>
        <w:jc w:val="both"/>
        <w:ind w:firstLine="357"/>
        <w:spacing w:after="0" w:line="243" w:lineRule="auto"/>
        <w:rPr>
          <w:sz w:val="20"/>
          <w:szCs w:val="20"/>
          <w:color w:val="auto"/>
        </w:rPr>
      </w:pPr>
      <w:r>
        <w:rPr>
          <w:rFonts w:ascii="Arial" w:cs="Arial" w:eastAsia="Arial" w:hAnsi="Arial"/>
          <w:sz w:val="19"/>
          <w:szCs w:val="19"/>
          <w:color w:val="auto"/>
        </w:rPr>
        <w:t>We are engaged in manufacturing, sales, service and research and development globally. U.S. exports and foreign manufactured products are significant to our operations. U.S. exports comprised 14% of our total sales in each of 2014, 2013 and 2012. Foreign manufactured products and services, mainly in Europe and Asia, were 41% of our total sales in each of 2014, 2013 and 2012.</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6"/>
                <w:szCs w:val="16"/>
                <w:b w:val="1"/>
                <w:bCs w:val="1"/>
                <w:color w:val="auto"/>
              </w:rPr>
              <w:t>Year Ended December 31, 2014</w:t>
            </w:r>
          </w:p>
        </w:tc>
      </w:tr>
      <w:tr>
        <w:trPr>
          <w:trHeight w:val="155"/>
        </w:trPr>
        <w:tc>
          <w:tcPr>
            <w:tcW w:w="6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ind w:left="160"/>
              <w:spacing w:after="0" w:line="155" w:lineRule="exact"/>
              <w:rPr>
                <w:sz w:val="20"/>
                <w:szCs w:val="20"/>
                <w:color w:val="auto"/>
              </w:rPr>
            </w:pPr>
            <w:r>
              <w:rPr>
                <w:rFonts w:ascii="Arial" w:cs="Arial" w:eastAsia="Arial" w:hAnsi="Arial"/>
                <w:sz w:val="16"/>
                <w:szCs w:val="16"/>
                <w:b w:val="1"/>
                <w:bCs w:val="1"/>
                <w:color w:val="auto"/>
              </w:rPr>
              <w:t>Performance</w:t>
            </w:r>
          </w:p>
        </w:tc>
      </w:tr>
      <w:tr>
        <w:trPr>
          <w:trHeight w:val="176"/>
        </w:trPr>
        <w:tc>
          <w:tcPr>
            <w:tcW w:w="6560" w:type="dxa"/>
            <w:vAlign w:val="bottom"/>
          </w:tcPr>
          <w:p>
            <w:pPr>
              <w:ind w:left="1720"/>
              <w:spacing w:after="0" w:line="176" w:lineRule="exact"/>
              <w:rPr>
                <w:sz w:val="20"/>
                <w:szCs w:val="20"/>
                <w:color w:val="auto"/>
              </w:rPr>
            </w:pPr>
            <w:r>
              <w:rPr>
                <w:rFonts w:ascii="Arial" w:cs="Arial" w:eastAsia="Arial" w:hAnsi="Arial"/>
                <w:sz w:val="16"/>
                <w:szCs w:val="16"/>
                <w:b w:val="1"/>
                <w:bCs w:val="1"/>
                <w:color w:val="auto"/>
              </w:rPr>
              <w:t>Manufactured Products and Systems and</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161"/>
              <w:spacing w:after="0" w:line="176" w:lineRule="exact"/>
              <w:rPr>
                <w:sz w:val="20"/>
                <w:szCs w:val="20"/>
                <w:color w:val="auto"/>
              </w:rPr>
            </w:pPr>
            <w:r>
              <w:rPr>
                <w:rFonts w:ascii="Arial" w:cs="Arial" w:eastAsia="Arial" w:hAnsi="Arial"/>
                <w:sz w:val="16"/>
                <w:szCs w:val="16"/>
                <w:b w:val="1"/>
                <w:bCs w:val="1"/>
                <w:color w:val="auto"/>
              </w:rPr>
              <w:t>Automation and</w:t>
            </w:r>
          </w:p>
        </w:tc>
        <w:tc>
          <w:tcPr>
            <w:tcW w:w="300" w:type="dxa"/>
            <w:vAlign w:val="bottom"/>
          </w:tcPr>
          <w:p>
            <w:pPr>
              <w:spacing w:after="0"/>
              <w:rPr>
                <w:sz w:val="15"/>
                <w:szCs w:val="15"/>
                <w:color w:val="auto"/>
              </w:rPr>
            </w:pPr>
          </w:p>
        </w:tc>
        <w:tc>
          <w:tcPr>
            <w:tcW w:w="130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Materials and</w:t>
            </w:r>
          </w:p>
        </w:tc>
      </w:tr>
      <w:tr>
        <w:trPr>
          <w:trHeight w:val="190"/>
        </w:trPr>
        <w:tc>
          <w:tcPr>
            <w:tcW w:w="6560" w:type="dxa"/>
            <w:vAlign w:val="bottom"/>
            <w:tcBorders>
              <w:bottom w:val="single" w:sz="8" w:color="auto"/>
            </w:tcBorders>
          </w:tcPr>
          <w:p>
            <w:pPr>
              <w:ind w:left="2440"/>
              <w:spacing w:after="0"/>
              <w:rPr>
                <w:sz w:val="20"/>
                <w:szCs w:val="20"/>
                <w:color w:val="auto"/>
              </w:rPr>
            </w:pPr>
            <w:r>
              <w:rPr>
                <w:rFonts w:ascii="Arial" w:cs="Arial" w:eastAsia="Arial" w:hAnsi="Arial"/>
                <w:sz w:val="16"/>
                <w:szCs w:val="16"/>
                <w:b w:val="1"/>
                <w:bCs w:val="1"/>
                <w:color w:val="auto"/>
              </w:rPr>
              <w:t>Performance of Services</w:t>
            </w:r>
          </w:p>
        </w:tc>
        <w:tc>
          <w:tcPr>
            <w:tcW w:w="300" w:type="dxa"/>
            <w:vAlign w:val="bottom"/>
          </w:tcPr>
          <w:p>
            <w:pPr>
              <w:spacing w:after="0"/>
              <w:rPr>
                <w:sz w:val="16"/>
                <w:szCs w:val="16"/>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Aerospace</w:t>
            </w:r>
          </w:p>
        </w:tc>
        <w:tc>
          <w:tcPr>
            <w:tcW w:w="300" w:type="dxa"/>
            <w:vAlign w:val="bottom"/>
          </w:tcPr>
          <w:p>
            <w:pPr>
              <w:spacing w:after="0"/>
              <w:rPr>
                <w:sz w:val="16"/>
                <w:szCs w:val="16"/>
                <w:color w:val="auto"/>
              </w:rPr>
            </w:pPr>
          </w:p>
        </w:tc>
        <w:tc>
          <w:tcPr>
            <w:tcW w:w="16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Control Solutions</w:t>
            </w:r>
          </w:p>
        </w:tc>
        <w:tc>
          <w:tcPr>
            <w:tcW w:w="300" w:type="dxa"/>
            <w:vAlign w:val="bottom"/>
          </w:tcPr>
          <w:p>
            <w:pPr>
              <w:spacing w:after="0"/>
              <w:rPr>
                <w:sz w:val="16"/>
                <w:szCs w:val="16"/>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Technologies</w:t>
            </w:r>
          </w:p>
        </w:tc>
      </w:tr>
      <w:tr>
        <w:trPr>
          <w:trHeight w:val="237"/>
        </w:trPr>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 of Total Sales)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3"/>
        </w:trPr>
        <w:tc>
          <w:tcPr>
            <w:tcW w:w="6560" w:type="dxa"/>
            <w:vAlign w:val="bottom"/>
            <w:shd w:val="clear" w:color="auto" w:fill="E5FFFF"/>
          </w:tcPr>
          <w:p>
            <w:pPr>
              <w:spacing w:after="0"/>
              <w:rPr>
                <w:sz w:val="20"/>
                <w:szCs w:val="20"/>
                <w:color w:val="auto"/>
              </w:rPr>
            </w:pPr>
            <w:r>
              <w:rPr>
                <w:rFonts w:ascii="Arial" w:cs="Arial" w:eastAsia="Arial" w:hAnsi="Arial"/>
                <w:sz w:val="19"/>
                <w:szCs w:val="19"/>
                <w:color w:val="auto"/>
              </w:rPr>
              <w:t>U.S. Exports</w:t>
            </w:r>
          </w:p>
        </w:tc>
        <w:tc>
          <w:tcPr>
            <w:tcW w:w="128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20%</w:t>
            </w:r>
          </w:p>
        </w:tc>
        <w:tc>
          <w:tcPr>
            <w:tcW w:w="1980" w:type="dxa"/>
            <w:vAlign w:val="bottom"/>
            <w:gridSpan w:val="2"/>
            <w:shd w:val="clear" w:color="auto" w:fill="E5FFFF"/>
          </w:tcPr>
          <w:p>
            <w:pPr>
              <w:jc w:val="right"/>
              <w:ind w:right="421"/>
              <w:spacing w:after="0"/>
              <w:rPr>
                <w:sz w:val="20"/>
                <w:szCs w:val="20"/>
                <w:color w:val="auto"/>
              </w:rPr>
            </w:pPr>
            <w:r>
              <w:rPr>
                <w:rFonts w:ascii="Arial" w:cs="Arial" w:eastAsia="Arial" w:hAnsi="Arial"/>
                <w:sz w:val="19"/>
                <w:szCs w:val="19"/>
                <w:color w:val="auto"/>
              </w:rPr>
              <w:t>3%</w:t>
            </w:r>
          </w:p>
        </w:tc>
        <w:tc>
          <w:tcPr>
            <w:tcW w:w="1600" w:type="dxa"/>
            <w:vAlign w:val="bottom"/>
            <w:gridSpan w:val="2"/>
            <w:shd w:val="clear" w:color="auto" w:fill="E5FFFF"/>
          </w:tcPr>
          <w:p>
            <w:pPr>
              <w:jc w:val="right"/>
              <w:ind w:right="281"/>
              <w:spacing w:after="0"/>
              <w:rPr>
                <w:sz w:val="20"/>
                <w:szCs w:val="20"/>
                <w:color w:val="auto"/>
              </w:rPr>
            </w:pPr>
            <w:r>
              <w:rPr>
                <w:rFonts w:ascii="Arial" w:cs="Arial" w:eastAsia="Arial" w:hAnsi="Arial"/>
                <w:sz w:val="19"/>
                <w:szCs w:val="19"/>
                <w:color w:val="auto"/>
              </w:rPr>
              <w:t>21%</w:t>
            </w:r>
          </w:p>
        </w:tc>
      </w:tr>
      <w:tr>
        <w:trPr>
          <w:trHeight w:val="261"/>
        </w:trPr>
        <w:tc>
          <w:tcPr>
            <w:tcW w:w="6560" w:type="dxa"/>
            <w:vAlign w:val="bottom"/>
          </w:tcPr>
          <w:p>
            <w:pPr>
              <w:spacing w:after="0"/>
              <w:rPr>
                <w:sz w:val="20"/>
                <w:szCs w:val="20"/>
                <w:color w:val="auto"/>
              </w:rPr>
            </w:pPr>
            <w:r>
              <w:rPr>
                <w:rFonts w:ascii="Arial" w:cs="Arial" w:eastAsia="Arial" w:hAnsi="Arial"/>
                <w:sz w:val="19"/>
                <w:szCs w:val="19"/>
                <w:color w:val="auto"/>
              </w:rPr>
              <w:t>Non-U.S.</w:t>
            </w:r>
          </w:p>
        </w:tc>
        <w:tc>
          <w:tcPr>
            <w:tcW w:w="1280" w:type="dxa"/>
            <w:vAlign w:val="bottom"/>
            <w:gridSpan w:val="2"/>
          </w:tcPr>
          <w:p>
            <w:pPr>
              <w:jc w:val="right"/>
              <w:ind w:right="161"/>
              <w:spacing w:after="0"/>
              <w:rPr>
                <w:sz w:val="20"/>
                <w:szCs w:val="20"/>
                <w:color w:val="auto"/>
              </w:rPr>
            </w:pPr>
            <w:r>
              <w:rPr>
                <w:rFonts w:ascii="Arial" w:cs="Arial" w:eastAsia="Arial" w:hAnsi="Arial"/>
                <w:sz w:val="19"/>
                <w:szCs w:val="19"/>
                <w:color w:val="auto"/>
              </w:rPr>
              <w:t>32%</w:t>
            </w:r>
          </w:p>
        </w:tc>
        <w:tc>
          <w:tcPr>
            <w:tcW w:w="1980" w:type="dxa"/>
            <w:vAlign w:val="bottom"/>
            <w:gridSpan w:val="2"/>
          </w:tcPr>
          <w:p>
            <w:pPr>
              <w:jc w:val="right"/>
              <w:ind w:right="421"/>
              <w:spacing w:after="0"/>
              <w:rPr>
                <w:sz w:val="20"/>
                <w:szCs w:val="20"/>
                <w:color w:val="auto"/>
              </w:rPr>
            </w:pPr>
            <w:r>
              <w:rPr>
                <w:rFonts w:ascii="Arial" w:cs="Arial" w:eastAsia="Arial" w:hAnsi="Arial"/>
                <w:sz w:val="19"/>
                <w:szCs w:val="19"/>
                <w:color w:val="auto"/>
              </w:rPr>
              <w:t>67%</w:t>
            </w:r>
          </w:p>
        </w:tc>
        <w:tc>
          <w:tcPr>
            <w:tcW w:w="1600" w:type="dxa"/>
            <w:vAlign w:val="bottom"/>
            <w:gridSpan w:val="2"/>
          </w:tcPr>
          <w:p>
            <w:pPr>
              <w:jc w:val="right"/>
              <w:ind w:right="281"/>
              <w:spacing w:after="0"/>
              <w:rPr>
                <w:sz w:val="20"/>
                <w:szCs w:val="20"/>
                <w:color w:val="auto"/>
              </w:rPr>
            </w:pPr>
            <w:r>
              <w:rPr>
                <w:rFonts w:ascii="Arial" w:cs="Arial" w:eastAsia="Arial" w:hAnsi="Arial"/>
                <w:sz w:val="19"/>
                <w:szCs w:val="19"/>
                <w:color w:val="auto"/>
              </w:rPr>
              <w:t>16%</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Raw Materials</w:t>
      </w:r>
    </w:p>
    <w:p>
      <w:pPr>
        <w:spacing w:after="0" w:line="130"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The principal raw materials used in our operations are generally readily available. Although we occasionally experience disruption in raw materials supply, we experienced no significant problems in the purchase of key raw materials or commodities in 2014. We are not dependent on any one supplier for a material amount of our raw materials, except related to R240 (a key component in foam blowing agents), a raw material used in our PMT segment.</w:t>
      </w:r>
    </w:p>
    <w:p>
      <w:pPr>
        <w:spacing w:after="0" w:line="91"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The costs of certain key raw materials, including cumene, fluorspar, R240, natural gas, perchloroethylene, sulfur and ethylene in our PMT business and nickel, steel, titanium and other metals in our Aerospace business, are expected to continue to fluctuate. We will continue to attempt to offset raw material cost increases with formula or long-term supply agreements, price increases and hedging activities where feasible. We do not presently anticipate that a shortage of raw materials will cause any material adverse impacts during 2015.</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Patents, Trademarks, Licenses and Distribution Rights</w:t>
      </w:r>
    </w:p>
    <w:p>
      <w:pPr>
        <w:spacing w:after="0" w:line="130"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Our segments are not dependent upon any single patent or related group of patents, or any licenses or distribution rights. In our judgment, our intellectual property rights are adequate for the conduct of our business. We believe that, in the aggregate, the rights under our patents, trademarks and licenses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and Development</w:t>
      </w:r>
    </w:p>
    <w:p>
      <w:pPr>
        <w:spacing w:after="0" w:line="116"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The Company’s principal research and development activities are in the U.S., India, Europe and China. Research and development (R&amp;D) expense totaled $1,892 million, $1,804 million and $1,847 million in 2014, 2013 and 2012, respectively. The increase in R&amp;D expense of 5% in 2014 compared to 2013 was primarily due to increased expenditures for new product development in our ACS and PMT segments. Customer-sponsored (principally the U.S. Government) R&amp;D activities amounted to an additional $1,034 million, $969 million and $835 million in 2014, 2013 and 2012, respectively.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Environment</w:t>
      </w:r>
    </w:p>
    <w:p>
      <w:pPr>
        <w:spacing w:after="0" w:line="130"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We are subject to various federal, state, local and foreign government requirements regarding protection of human health and the environment. We believe that, as a general matter, our policies, practices and procedures are properly designed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9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We are and have been engaged in the handling, manufacture, use and disposal of many substances classified as hazardous by one or more regulatory agencies. We believe that, as a general matter, our policies, practices and procedures are properly designed to prevent unreasonable risk of environmental damage and personal injury, and that our handling, manufacture, use and disposal of these substances are in accord with environmental and safety laws and regulations. It is also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9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Although there is a possibility that a responsible party might have to bear more than its proportional share of the cleanup costs if it is unable to obtain appropriate contribution from other responsible parties, to date we have not had to bear significantly more than our proportional share in multi-party situations taken as a whole.</w:t>
      </w:r>
    </w:p>
    <w:p>
      <w:pPr>
        <w:spacing w:after="0" w:line="94"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We do not believe that existing or pending climate change legislation, regulation, or international treaties or accords are reasonably likely to have a material effect in the foreseeable future on the Company’s business or markets that it serves, nor on its results of operations, capital expenditures or financial position. We will continue to monitor emerging developments in this area.</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Employees</w:t>
      </w:r>
    </w:p>
    <w:p>
      <w:pPr>
        <w:spacing w:after="0" w:line="130"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We have approximately 127,000 employees at December 31, 2014, of whom approximately 50,000 are located in the United States.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6" w:name="page7"/>
    <w:bookmarkEnd w:id="6"/>
    <w:p>
      <w:pPr>
        <w:spacing w:after="0"/>
        <w:rPr>
          <w:sz w:val="20"/>
          <w:szCs w:val="20"/>
          <w:color w:val="auto"/>
        </w:rPr>
      </w:pPr>
      <w:r>
        <w:rPr>
          <w:rFonts w:ascii="Arial" w:cs="Arial" w:eastAsia="Arial" w:hAnsi="Arial"/>
          <w:sz w:val="23"/>
          <w:szCs w:val="23"/>
          <w:b w:val="1"/>
          <w:bCs w:val="1"/>
          <w:color w:val="auto"/>
        </w:rPr>
        <w:t>Executive Officers of the Registrant</w:t>
      </w:r>
    </w:p>
    <w:p>
      <w:pPr>
        <w:spacing w:after="0" w:line="147"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The executive officers of Honeywell, listed as follows, are elected annually by the Board of Directors. There are no family relationships among them.</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2580" w:type="dxa"/>
            <w:vAlign w:val="bottom"/>
          </w:tcPr>
          <w:p>
            <w:pPr>
              <w:jc w:val="center"/>
              <w:ind w:right="1157"/>
              <w:spacing w:after="0"/>
              <w:rPr>
                <w:sz w:val="20"/>
                <w:szCs w:val="20"/>
                <w:color w:val="auto"/>
              </w:rPr>
            </w:pPr>
            <w:r>
              <w:rPr>
                <w:rFonts w:ascii="Arial" w:cs="Arial" w:eastAsia="Arial" w:hAnsi="Arial"/>
                <w:sz w:val="16"/>
                <w:szCs w:val="16"/>
                <w:b w:val="1"/>
                <w:bCs w:val="1"/>
                <w:color w:val="auto"/>
                <w:w w:val="98"/>
              </w:rPr>
              <w:t>Name, Age,</w:t>
            </w:r>
          </w:p>
        </w:tc>
        <w:tc>
          <w:tcPr>
            <w:tcW w:w="300" w:type="dxa"/>
            <w:vAlign w:val="bottom"/>
          </w:tcPr>
          <w:p>
            <w:pPr>
              <w:spacing w:after="0"/>
              <w:rPr>
                <w:sz w:val="16"/>
                <w:szCs w:val="16"/>
                <w:color w:val="auto"/>
              </w:rPr>
            </w:pPr>
          </w:p>
        </w:tc>
        <w:tc>
          <w:tcPr>
            <w:tcW w:w="7280" w:type="dxa"/>
            <w:vAlign w:val="bottom"/>
          </w:tcPr>
          <w:p>
            <w:pPr>
              <w:spacing w:after="0"/>
              <w:rPr>
                <w:sz w:val="16"/>
                <w:szCs w:val="16"/>
                <w:color w:val="auto"/>
              </w:rPr>
            </w:pPr>
          </w:p>
        </w:tc>
      </w:tr>
      <w:tr>
        <w:trPr>
          <w:trHeight w:val="176"/>
        </w:trPr>
        <w:tc>
          <w:tcPr>
            <w:tcW w:w="1260" w:type="dxa"/>
            <w:vAlign w:val="bottom"/>
          </w:tcPr>
          <w:p>
            <w:pPr>
              <w:spacing w:after="0"/>
              <w:rPr>
                <w:sz w:val="15"/>
                <w:szCs w:val="15"/>
                <w:color w:val="auto"/>
              </w:rPr>
            </w:pPr>
          </w:p>
        </w:tc>
        <w:tc>
          <w:tcPr>
            <w:tcW w:w="2580" w:type="dxa"/>
            <w:vAlign w:val="bottom"/>
          </w:tcPr>
          <w:p>
            <w:pPr>
              <w:jc w:val="center"/>
              <w:ind w:right="1157"/>
              <w:spacing w:after="0" w:line="176" w:lineRule="exact"/>
              <w:rPr>
                <w:sz w:val="20"/>
                <w:szCs w:val="20"/>
                <w:color w:val="auto"/>
              </w:rPr>
            </w:pPr>
            <w:r>
              <w:rPr>
                <w:rFonts w:ascii="Arial" w:cs="Arial" w:eastAsia="Arial" w:hAnsi="Arial"/>
                <w:sz w:val="16"/>
                <w:szCs w:val="16"/>
                <w:b w:val="1"/>
                <w:bCs w:val="1"/>
                <w:color w:val="auto"/>
              </w:rPr>
              <w:t>Date First</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176"/>
        </w:trPr>
        <w:tc>
          <w:tcPr>
            <w:tcW w:w="1260" w:type="dxa"/>
            <w:vAlign w:val="bottom"/>
          </w:tcPr>
          <w:p>
            <w:pPr>
              <w:spacing w:after="0"/>
              <w:rPr>
                <w:sz w:val="15"/>
                <w:szCs w:val="15"/>
                <w:color w:val="auto"/>
              </w:rPr>
            </w:pPr>
          </w:p>
        </w:tc>
        <w:tc>
          <w:tcPr>
            <w:tcW w:w="2580" w:type="dxa"/>
            <w:vAlign w:val="bottom"/>
          </w:tcPr>
          <w:p>
            <w:pPr>
              <w:jc w:val="center"/>
              <w:ind w:right="1157"/>
              <w:spacing w:after="0" w:line="176" w:lineRule="exact"/>
              <w:rPr>
                <w:sz w:val="20"/>
                <w:szCs w:val="20"/>
                <w:color w:val="auto"/>
              </w:rPr>
            </w:pPr>
            <w:r>
              <w:rPr>
                <w:rFonts w:ascii="Arial" w:cs="Arial" w:eastAsia="Arial" w:hAnsi="Arial"/>
                <w:sz w:val="16"/>
                <w:szCs w:val="16"/>
                <w:b w:val="1"/>
                <w:bCs w:val="1"/>
                <w:color w:val="auto"/>
                <w:w w:val="97"/>
              </w:rPr>
              <w:t>Elected an</w:t>
            </w:r>
          </w:p>
        </w:tc>
        <w:tc>
          <w:tcPr>
            <w:tcW w:w="300" w:type="dxa"/>
            <w:vAlign w:val="bottom"/>
          </w:tcPr>
          <w:p>
            <w:pPr>
              <w:spacing w:after="0"/>
              <w:rPr>
                <w:sz w:val="15"/>
                <w:szCs w:val="15"/>
                <w:color w:val="auto"/>
              </w:rPr>
            </w:pPr>
          </w:p>
        </w:tc>
        <w:tc>
          <w:tcPr>
            <w:tcW w:w="7280" w:type="dxa"/>
            <w:vAlign w:val="bottom"/>
          </w:tcPr>
          <w:p>
            <w:pPr>
              <w:spacing w:after="0"/>
              <w:rPr>
                <w:sz w:val="15"/>
                <w:szCs w:val="15"/>
                <w:color w:val="auto"/>
              </w:rPr>
            </w:pPr>
          </w:p>
        </w:tc>
      </w:tr>
      <w:tr>
        <w:trPr>
          <w:trHeight w:val="190"/>
        </w:trPr>
        <w:tc>
          <w:tcPr>
            <w:tcW w:w="1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jc w:val="center"/>
              <w:ind w:right="1157"/>
              <w:spacing w:after="0"/>
              <w:rPr>
                <w:sz w:val="20"/>
                <w:szCs w:val="20"/>
                <w:color w:val="auto"/>
              </w:rPr>
            </w:pPr>
            <w:r>
              <w:rPr>
                <w:rFonts w:ascii="Arial" w:cs="Arial" w:eastAsia="Arial" w:hAnsi="Arial"/>
                <w:sz w:val="16"/>
                <w:szCs w:val="16"/>
                <w:b w:val="1"/>
                <w:bCs w:val="1"/>
                <w:color w:val="auto"/>
                <w:w w:val="99"/>
              </w:rPr>
              <w:t>Executive Officer</w:t>
            </w:r>
          </w:p>
        </w:tc>
        <w:tc>
          <w:tcPr>
            <w:tcW w:w="300" w:type="dxa"/>
            <w:vAlign w:val="bottom"/>
          </w:tcPr>
          <w:p>
            <w:pPr>
              <w:spacing w:after="0"/>
              <w:rPr>
                <w:sz w:val="16"/>
                <w:szCs w:val="16"/>
                <w:color w:val="auto"/>
              </w:rPr>
            </w:pPr>
          </w:p>
        </w:tc>
        <w:tc>
          <w:tcPr>
            <w:tcW w:w="7280" w:type="dxa"/>
            <w:vAlign w:val="bottom"/>
            <w:tcBorders>
              <w:bottom w:val="single" w:sz="8" w:color="auto"/>
            </w:tcBorders>
          </w:tcPr>
          <w:p>
            <w:pPr>
              <w:ind w:left="2840"/>
              <w:spacing w:after="0"/>
              <w:rPr>
                <w:sz w:val="20"/>
                <w:szCs w:val="20"/>
                <w:color w:val="auto"/>
              </w:rPr>
            </w:pPr>
            <w:r>
              <w:rPr>
                <w:rFonts w:ascii="Arial" w:cs="Arial" w:eastAsia="Arial" w:hAnsi="Arial"/>
                <w:sz w:val="16"/>
                <w:szCs w:val="16"/>
                <w:b w:val="1"/>
                <w:bCs w:val="1"/>
                <w:color w:val="auto"/>
              </w:rPr>
              <w:t>Business Experience</w:t>
            </w:r>
          </w:p>
        </w:tc>
      </w:tr>
      <w:tr>
        <w:trPr>
          <w:trHeight w:val="210"/>
        </w:trPr>
        <w:tc>
          <w:tcPr>
            <w:tcW w:w="3840" w:type="dxa"/>
            <w:vAlign w:val="bottom"/>
            <w:gridSpan w:val="2"/>
          </w:tcPr>
          <w:p>
            <w:pPr>
              <w:jc w:val="center"/>
              <w:spacing w:after="0" w:line="210" w:lineRule="exact"/>
              <w:rPr>
                <w:sz w:val="20"/>
                <w:szCs w:val="20"/>
                <w:color w:val="auto"/>
              </w:rPr>
            </w:pPr>
            <w:r>
              <w:rPr>
                <w:rFonts w:ascii="Arial" w:cs="Arial" w:eastAsia="Arial" w:hAnsi="Arial"/>
                <w:sz w:val="19"/>
                <w:szCs w:val="19"/>
                <w:color w:val="auto"/>
              </w:rPr>
              <w:t>David M. Cote, 62</w:t>
            </w:r>
          </w:p>
        </w:tc>
        <w:tc>
          <w:tcPr>
            <w:tcW w:w="7580" w:type="dxa"/>
            <w:vAlign w:val="bottom"/>
            <w:gridSpan w:val="2"/>
          </w:tcPr>
          <w:p>
            <w:pPr>
              <w:ind w:left="300"/>
              <w:spacing w:after="0" w:line="210" w:lineRule="exact"/>
              <w:rPr>
                <w:sz w:val="20"/>
                <w:szCs w:val="20"/>
                <w:color w:val="auto"/>
              </w:rPr>
            </w:pPr>
            <w:r>
              <w:rPr>
                <w:rFonts w:ascii="Arial" w:cs="Arial" w:eastAsia="Arial" w:hAnsi="Arial"/>
                <w:sz w:val="19"/>
                <w:szCs w:val="19"/>
                <w:color w:val="auto"/>
              </w:rPr>
              <w:t>Chairman of the Board and Chief Executive Officer since July 2002.</w:t>
            </w:r>
          </w:p>
        </w:tc>
      </w:tr>
      <w:tr>
        <w:trPr>
          <w:trHeight w:val="234"/>
        </w:trPr>
        <w:tc>
          <w:tcPr>
            <w:tcW w:w="1260" w:type="dxa"/>
            <w:vAlign w:val="bottom"/>
          </w:tcPr>
          <w:p>
            <w:pPr>
              <w:spacing w:after="0"/>
              <w:rPr>
                <w:sz w:val="20"/>
                <w:szCs w:val="20"/>
                <w:color w:val="auto"/>
              </w:rPr>
            </w:pPr>
          </w:p>
        </w:tc>
        <w:tc>
          <w:tcPr>
            <w:tcW w:w="2580" w:type="dxa"/>
            <w:vAlign w:val="bottom"/>
          </w:tcPr>
          <w:p>
            <w:pPr>
              <w:jc w:val="center"/>
              <w:ind w:right="1157"/>
              <w:spacing w:after="0"/>
              <w:rPr>
                <w:sz w:val="20"/>
                <w:szCs w:val="20"/>
                <w:color w:val="auto"/>
              </w:rPr>
            </w:pPr>
            <w:r>
              <w:rPr>
                <w:rFonts w:ascii="Arial" w:cs="Arial" w:eastAsia="Arial" w:hAnsi="Arial"/>
                <w:sz w:val="19"/>
                <w:szCs w:val="19"/>
                <w:color w:val="auto"/>
              </w:rPr>
              <w:t>2002(a)</w:t>
            </w:r>
          </w:p>
        </w:tc>
        <w:tc>
          <w:tcPr>
            <w:tcW w:w="30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442"/>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Darius Adamczyk, 49</w:t>
            </w:r>
          </w:p>
        </w:tc>
        <w:tc>
          <w:tcPr>
            <w:tcW w:w="7580" w:type="dxa"/>
            <w:vAlign w:val="bottom"/>
            <w:gridSpan w:val="2"/>
          </w:tcPr>
          <w:p>
            <w:pPr>
              <w:ind w:left="300"/>
              <w:spacing w:after="0"/>
              <w:rPr>
                <w:sz w:val="20"/>
                <w:szCs w:val="20"/>
                <w:color w:val="auto"/>
              </w:rPr>
            </w:pPr>
            <w:r>
              <w:rPr>
                <w:rFonts w:ascii="Arial" w:cs="Arial" w:eastAsia="Arial" w:hAnsi="Arial"/>
                <w:sz w:val="19"/>
                <w:szCs w:val="19"/>
                <w:color w:val="auto"/>
              </w:rPr>
              <w:t>President and Chief Executive Officer Performance Materials and Technologies</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2014</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since April 2014. President of Honeywell Process Solutions from April 2012 to</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April 2014. President of Honeywell Scanning &amp; Mobility from July 2008 to April</w:t>
            </w: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580" w:type="dxa"/>
            <w:vAlign w:val="bottom"/>
            <w:gridSpan w:val="2"/>
          </w:tcPr>
          <w:p>
            <w:pPr>
              <w:ind w:left="520"/>
              <w:spacing w:after="0"/>
              <w:rPr>
                <w:sz w:val="20"/>
                <w:szCs w:val="20"/>
                <w:color w:val="auto"/>
              </w:rPr>
            </w:pPr>
            <w:r>
              <w:rPr>
                <w:rFonts w:ascii="Arial" w:cs="Arial" w:eastAsia="Arial" w:hAnsi="Arial"/>
                <w:sz w:val="19"/>
                <w:szCs w:val="19"/>
                <w:color w:val="auto"/>
              </w:rPr>
              <w:t>2012.</w:t>
            </w:r>
          </w:p>
        </w:tc>
      </w:tr>
      <w:tr>
        <w:trPr>
          <w:trHeight w:val="442"/>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Katherine L. Adams, 50</w:t>
            </w:r>
          </w:p>
        </w:tc>
        <w:tc>
          <w:tcPr>
            <w:tcW w:w="7580" w:type="dxa"/>
            <w:vAlign w:val="bottom"/>
            <w:gridSpan w:val="2"/>
          </w:tcPr>
          <w:p>
            <w:pPr>
              <w:ind w:left="300"/>
              <w:spacing w:after="0"/>
              <w:rPr>
                <w:sz w:val="20"/>
                <w:szCs w:val="20"/>
                <w:color w:val="auto"/>
              </w:rPr>
            </w:pPr>
            <w:r>
              <w:rPr>
                <w:rFonts w:ascii="Arial" w:cs="Arial" w:eastAsia="Arial" w:hAnsi="Arial"/>
                <w:sz w:val="19"/>
                <w:szCs w:val="19"/>
                <w:color w:val="auto"/>
              </w:rPr>
              <w:t>Senior Vice President and General Counsel since April 2009. Vice President and</w:t>
            </w:r>
          </w:p>
        </w:tc>
      </w:tr>
      <w:tr>
        <w:trPr>
          <w:trHeight w:val="234"/>
        </w:trPr>
        <w:tc>
          <w:tcPr>
            <w:tcW w:w="3840" w:type="dxa"/>
            <w:vAlign w:val="bottom"/>
            <w:gridSpan w:val="2"/>
          </w:tcPr>
          <w:p>
            <w:pPr>
              <w:jc w:val="center"/>
              <w:spacing w:after="0"/>
              <w:rPr>
                <w:sz w:val="20"/>
                <w:szCs w:val="20"/>
                <w:color w:val="auto"/>
              </w:rPr>
            </w:pPr>
            <w:r>
              <w:rPr>
                <w:rFonts w:ascii="Arial" w:cs="Arial" w:eastAsia="Arial" w:hAnsi="Arial"/>
                <w:sz w:val="19"/>
                <w:szCs w:val="19"/>
                <w:color w:val="auto"/>
                <w:w w:val="99"/>
              </w:rPr>
              <w:t>2009</w:t>
            </w: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General Counsel from September 2008 to April 2009.</w:t>
            </w:r>
          </w:p>
        </w:tc>
      </w:tr>
      <w:tr>
        <w:trPr>
          <w:trHeight w:val="442"/>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Roger Fradin, 61</w:t>
            </w:r>
          </w:p>
        </w:tc>
        <w:tc>
          <w:tcPr>
            <w:tcW w:w="7580" w:type="dxa"/>
            <w:vAlign w:val="bottom"/>
            <w:gridSpan w:val="2"/>
          </w:tcPr>
          <w:p>
            <w:pPr>
              <w:ind w:left="300"/>
              <w:spacing w:after="0"/>
              <w:rPr>
                <w:sz w:val="20"/>
                <w:szCs w:val="20"/>
                <w:color w:val="auto"/>
              </w:rPr>
            </w:pPr>
            <w:r>
              <w:rPr>
                <w:rFonts w:ascii="Arial" w:cs="Arial" w:eastAsia="Arial" w:hAnsi="Arial"/>
                <w:sz w:val="19"/>
                <w:szCs w:val="19"/>
                <w:color w:val="auto"/>
              </w:rPr>
              <w:t>Vice Chairman since April 2014. President and Chief Executive Officer Automation</w:t>
            </w:r>
          </w:p>
        </w:tc>
      </w:tr>
      <w:tr>
        <w:trPr>
          <w:trHeight w:val="234"/>
        </w:trPr>
        <w:tc>
          <w:tcPr>
            <w:tcW w:w="3840" w:type="dxa"/>
            <w:vAlign w:val="bottom"/>
            <w:gridSpan w:val="2"/>
          </w:tcPr>
          <w:p>
            <w:pPr>
              <w:jc w:val="center"/>
              <w:spacing w:after="0"/>
              <w:rPr>
                <w:sz w:val="20"/>
                <w:szCs w:val="20"/>
                <w:color w:val="auto"/>
              </w:rPr>
            </w:pPr>
            <w:r>
              <w:rPr>
                <w:rFonts w:ascii="Arial" w:cs="Arial" w:eastAsia="Arial" w:hAnsi="Arial"/>
                <w:sz w:val="19"/>
                <w:szCs w:val="19"/>
                <w:color w:val="auto"/>
                <w:w w:val="99"/>
              </w:rPr>
              <w:t>2004</w:t>
            </w: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and Control Solutions from January 2004 to April 2014.</w:t>
            </w:r>
          </w:p>
        </w:tc>
      </w:tr>
      <w:tr>
        <w:trPr>
          <w:trHeight w:val="442"/>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Alexandre Ismail, 49</w:t>
            </w:r>
          </w:p>
        </w:tc>
        <w:tc>
          <w:tcPr>
            <w:tcW w:w="7580" w:type="dxa"/>
            <w:vAlign w:val="bottom"/>
            <w:gridSpan w:val="2"/>
          </w:tcPr>
          <w:p>
            <w:pPr>
              <w:ind w:left="300"/>
              <w:spacing w:after="0"/>
              <w:rPr>
                <w:sz w:val="20"/>
                <w:szCs w:val="20"/>
                <w:color w:val="auto"/>
              </w:rPr>
            </w:pPr>
            <w:r>
              <w:rPr>
                <w:rFonts w:ascii="Arial" w:cs="Arial" w:eastAsia="Arial" w:hAnsi="Arial"/>
                <w:sz w:val="19"/>
                <w:szCs w:val="19"/>
                <w:color w:val="auto"/>
              </w:rPr>
              <w:t>President and Chief Executive Officer Automation and Control Solutions since April</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2009</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2014. President Energy, Safety and Security from May 2013 to April 2014.</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President and Chief Executive Officer Transportation Systems from April 2009 to</w:t>
            </w: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May 2013.</w:t>
            </w:r>
          </w:p>
        </w:tc>
      </w:tr>
      <w:tr>
        <w:trPr>
          <w:trHeight w:val="442"/>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Mark R. James, 53</w:t>
            </w:r>
          </w:p>
        </w:tc>
        <w:tc>
          <w:tcPr>
            <w:tcW w:w="7580" w:type="dxa"/>
            <w:vAlign w:val="bottom"/>
            <w:gridSpan w:val="2"/>
          </w:tcPr>
          <w:p>
            <w:pPr>
              <w:ind w:left="300"/>
              <w:spacing w:after="0"/>
              <w:rPr>
                <w:sz w:val="20"/>
                <w:szCs w:val="20"/>
                <w:color w:val="auto"/>
              </w:rPr>
            </w:pPr>
            <w:r>
              <w:rPr>
                <w:rFonts w:ascii="Arial" w:cs="Arial" w:eastAsia="Arial" w:hAnsi="Arial"/>
                <w:sz w:val="19"/>
                <w:szCs w:val="19"/>
                <w:color w:val="auto"/>
              </w:rPr>
              <w:t>Senior Vice President Human Resources, Procurement and Communications since</w:t>
            </w:r>
          </w:p>
        </w:tc>
      </w:tr>
      <w:tr>
        <w:trPr>
          <w:trHeight w:val="234"/>
        </w:trPr>
        <w:tc>
          <w:tcPr>
            <w:tcW w:w="3840" w:type="dxa"/>
            <w:vAlign w:val="bottom"/>
            <w:gridSpan w:val="2"/>
          </w:tcPr>
          <w:p>
            <w:pPr>
              <w:jc w:val="center"/>
              <w:spacing w:after="0"/>
              <w:rPr>
                <w:sz w:val="20"/>
                <w:szCs w:val="20"/>
                <w:color w:val="auto"/>
              </w:rPr>
            </w:pPr>
            <w:r>
              <w:rPr>
                <w:rFonts w:ascii="Arial" w:cs="Arial" w:eastAsia="Arial" w:hAnsi="Arial"/>
                <w:sz w:val="19"/>
                <w:szCs w:val="19"/>
                <w:color w:val="auto"/>
                <w:w w:val="99"/>
              </w:rPr>
              <w:t>2007</w:t>
            </w: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November 2007.</w:t>
            </w:r>
          </w:p>
        </w:tc>
      </w:tr>
      <w:tr>
        <w:trPr>
          <w:trHeight w:val="442"/>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Andreas C. Kramvis, 62</w:t>
            </w:r>
          </w:p>
        </w:tc>
        <w:tc>
          <w:tcPr>
            <w:tcW w:w="7580" w:type="dxa"/>
            <w:vAlign w:val="bottom"/>
            <w:gridSpan w:val="2"/>
          </w:tcPr>
          <w:p>
            <w:pPr>
              <w:ind w:left="300"/>
              <w:spacing w:after="0"/>
              <w:rPr>
                <w:sz w:val="20"/>
                <w:szCs w:val="20"/>
                <w:color w:val="auto"/>
              </w:rPr>
            </w:pPr>
            <w:r>
              <w:rPr>
                <w:rFonts w:ascii="Arial" w:cs="Arial" w:eastAsia="Arial" w:hAnsi="Arial"/>
                <w:sz w:val="19"/>
                <w:szCs w:val="19"/>
                <w:color w:val="auto"/>
              </w:rPr>
              <w:t>Vice Chairman since April 2014. President and Chief Executive Officer Performance</w:t>
            </w:r>
          </w:p>
        </w:tc>
      </w:tr>
      <w:tr>
        <w:trPr>
          <w:trHeight w:val="234"/>
        </w:trPr>
        <w:tc>
          <w:tcPr>
            <w:tcW w:w="3840" w:type="dxa"/>
            <w:vAlign w:val="bottom"/>
            <w:gridSpan w:val="2"/>
          </w:tcPr>
          <w:p>
            <w:pPr>
              <w:jc w:val="center"/>
              <w:spacing w:after="0"/>
              <w:rPr>
                <w:sz w:val="20"/>
                <w:szCs w:val="20"/>
                <w:color w:val="auto"/>
              </w:rPr>
            </w:pPr>
            <w:r>
              <w:rPr>
                <w:rFonts w:ascii="Arial" w:cs="Arial" w:eastAsia="Arial" w:hAnsi="Arial"/>
                <w:sz w:val="19"/>
                <w:szCs w:val="19"/>
                <w:color w:val="auto"/>
                <w:w w:val="99"/>
              </w:rPr>
              <w:t>2008</w:t>
            </w: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Materials and Technologies from March 2008 to April 2014.</w:t>
            </w:r>
          </w:p>
        </w:tc>
      </w:tr>
      <w:tr>
        <w:trPr>
          <w:trHeight w:val="442"/>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Timothy O. Mahoney, 58</w:t>
            </w:r>
          </w:p>
        </w:tc>
        <w:tc>
          <w:tcPr>
            <w:tcW w:w="7580" w:type="dxa"/>
            <w:vAlign w:val="bottom"/>
            <w:gridSpan w:val="2"/>
          </w:tcPr>
          <w:p>
            <w:pPr>
              <w:ind w:left="300"/>
              <w:spacing w:after="0"/>
              <w:rPr>
                <w:sz w:val="20"/>
                <w:szCs w:val="20"/>
                <w:color w:val="auto"/>
              </w:rPr>
            </w:pPr>
            <w:r>
              <w:rPr>
                <w:rFonts w:ascii="Arial" w:cs="Arial" w:eastAsia="Arial" w:hAnsi="Arial"/>
                <w:sz w:val="19"/>
                <w:szCs w:val="19"/>
                <w:color w:val="auto"/>
              </w:rPr>
              <w:t>President and Chief Executive Officer Aerospace since September 2009. Vice</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2009</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President Aerospace Engineering and Technology and Chief Technology Officer</w:t>
            </w: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from March 2007 to August 2009.</w:t>
            </w:r>
          </w:p>
        </w:tc>
      </w:tr>
      <w:tr>
        <w:trPr>
          <w:trHeight w:val="442"/>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Krishna Mikkilineni, 55</w:t>
            </w:r>
          </w:p>
        </w:tc>
        <w:tc>
          <w:tcPr>
            <w:tcW w:w="7580" w:type="dxa"/>
            <w:vAlign w:val="bottom"/>
            <w:gridSpan w:val="2"/>
          </w:tcPr>
          <w:p>
            <w:pPr>
              <w:ind w:left="300"/>
              <w:spacing w:after="0"/>
              <w:rPr>
                <w:sz w:val="20"/>
                <w:szCs w:val="20"/>
                <w:color w:val="auto"/>
              </w:rPr>
            </w:pPr>
            <w:r>
              <w:rPr>
                <w:rFonts w:ascii="Arial" w:cs="Arial" w:eastAsia="Arial" w:hAnsi="Arial"/>
                <w:sz w:val="19"/>
                <w:szCs w:val="19"/>
                <w:color w:val="auto"/>
              </w:rPr>
              <w:t>Senior Vice President Engineering, Operations and Information Technology since</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2010</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April 2013. Senior Vice President Engineering and Operations from April 2010 to</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April 2013 and President Honeywell Technology Solutions from January 2009 to</w:t>
            </w:r>
          </w:p>
        </w:tc>
      </w:tr>
      <w:tr>
        <w:trPr>
          <w:trHeight w:val="216"/>
        </w:trPr>
        <w:tc>
          <w:tcPr>
            <w:tcW w:w="1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April 2013. Vice President Honeywell Technology Solutions from July 2002 to</w:t>
            </w: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January 2009.</w:t>
            </w:r>
          </w:p>
        </w:tc>
      </w:tr>
      <w:tr>
        <w:trPr>
          <w:trHeight w:val="442"/>
        </w:trPr>
        <w:tc>
          <w:tcPr>
            <w:tcW w:w="3840" w:type="dxa"/>
            <w:vAlign w:val="bottom"/>
            <w:gridSpan w:val="2"/>
          </w:tcPr>
          <w:p>
            <w:pPr>
              <w:jc w:val="center"/>
              <w:spacing w:after="0"/>
              <w:rPr>
                <w:sz w:val="20"/>
                <w:szCs w:val="20"/>
                <w:color w:val="auto"/>
              </w:rPr>
            </w:pPr>
            <w:r>
              <w:rPr>
                <w:rFonts w:ascii="Arial" w:cs="Arial" w:eastAsia="Arial" w:hAnsi="Arial"/>
                <w:sz w:val="19"/>
                <w:szCs w:val="19"/>
                <w:color w:val="auto"/>
              </w:rPr>
              <w:t>Thomas A. Szlosek, 51</w:t>
            </w:r>
          </w:p>
        </w:tc>
        <w:tc>
          <w:tcPr>
            <w:tcW w:w="7580" w:type="dxa"/>
            <w:vAlign w:val="bottom"/>
            <w:gridSpan w:val="2"/>
          </w:tcPr>
          <w:p>
            <w:pPr>
              <w:ind w:left="300"/>
              <w:spacing w:after="0"/>
              <w:rPr>
                <w:sz w:val="20"/>
                <w:szCs w:val="20"/>
                <w:color w:val="auto"/>
              </w:rPr>
            </w:pPr>
            <w:r>
              <w:rPr>
                <w:rFonts w:ascii="Arial" w:cs="Arial" w:eastAsia="Arial" w:hAnsi="Arial"/>
                <w:sz w:val="19"/>
                <w:szCs w:val="19"/>
                <w:color w:val="auto"/>
              </w:rPr>
              <w:t>Senior Vice President and Chief Financial Officer since April 2014. Vice President of</w:t>
            </w:r>
          </w:p>
        </w:tc>
      </w:tr>
      <w:tr>
        <w:trPr>
          <w:trHeight w:val="216"/>
        </w:trPr>
        <w:tc>
          <w:tcPr>
            <w:tcW w:w="3840" w:type="dxa"/>
            <w:vAlign w:val="bottom"/>
            <w:gridSpan w:val="2"/>
          </w:tcPr>
          <w:p>
            <w:pPr>
              <w:jc w:val="center"/>
              <w:spacing w:after="0" w:line="216" w:lineRule="exact"/>
              <w:rPr>
                <w:sz w:val="20"/>
                <w:szCs w:val="20"/>
                <w:color w:val="auto"/>
              </w:rPr>
            </w:pPr>
            <w:r>
              <w:rPr>
                <w:rFonts w:ascii="Arial" w:cs="Arial" w:eastAsia="Arial" w:hAnsi="Arial"/>
                <w:sz w:val="19"/>
                <w:szCs w:val="19"/>
                <w:color w:val="auto"/>
                <w:w w:val="99"/>
              </w:rPr>
              <w:t>2014</w:t>
            </w:r>
          </w:p>
        </w:tc>
        <w:tc>
          <w:tcPr>
            <w:tcW w:w="300" w:type="dxa"/>
            <w:vAlign w:val="bottom"/>
          </w:tcPr>
          <w:p>
            <w:pPr>
              <w:spacing w:after="0"/>
              <w:rPr>
                <w:sz w:val="18"/>
                <w:szCs w:val="18"/>
                <w:color w:val="auto"/>
              </w:rPr>
            </w:pPr>
          </w:p>
        </w:tc>
        <w:tc>
          <w:tcPr>
            <w:tcW w:w="7280" w:type="dxa"/>
            <w:vAlign w:val="bottom"/>
          </w:tcPr>
          <w:p>
            <w:pPr>
              <w:ind w:left="220"/>
              <w:spacing w:after="0" w:line="216" w:lineRule="exact"/>
              <w:rPr>
                <w:sz w:val="20"/>
                <w:szCs w:val="20"/>
                <w:color w:val="auto"/>
              </w:rPr>
            </w:pPr>
            <w:r>
              <w:rPr>
                <w:rFonts w:ascii="Arial" w:cs="Arial" w:eastAsia="Arial" w:hAnsi="Arial"/>
                <w:sz w:val="19"/>
                <w:szCs w:val="19"/>
                <w:color w:val="auto"/>
              </w:rPr>
              <w:t>Corporate Finance from April 2013 to April 2014. Chief Financial Officer of</w:t>
            </w:r>
          </w:p>
        </w:tc>
      </w:tr>
      <w:tr>
        <w:trPr>
          <w:trHeight w:val="234"/>
        </w:trPr>
        <w:tc>
          <w:tcPr>
            <w:tcW w:w="1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80" w:type="dxa"/>
            <w:vAlign w:val="bottom"/>
          </w:tcPr>
          <w:p>
            <w:pPr>
              <w:ind w:left="220"/>
              <w:spacing w:after="0"/>
              <w:rPr>
                <w:sz w:val="20"/>
                <w:szCs w:val="20"/>
                <w:color w:val="auto"/>
              </w:rPr>
            </w:pPr>
            <w:r>
              <w:rPr>
                <w:rFonts w:ascii="Arial" w:cs="Arial" w:eastAsia="Arial" w:hAnsi="Arial"/>
                <w:sz w:val="19"/>
                <w:szCs w:val="19"/>
                <w:color w:val="auto"/>
              </w:rPr>
              <w:t>Automation and Control Solutions from February 2007 to April 2013.</w:t>
            </w:r>
          </w:p>
        </w:tc>
      </w:tr>
      <w:tr>
        <w:trPr>
          <w:trHeight w:val="374"/>
        </w:trPr>
        <w:tc>
          <w:tcPr>
            <w:tcW w:w="1260" w:type="dxa"/>
            <w:vAlign w:val="bottom"/>
            <w:tcBorders>
              <w:bottom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389"/>
        </w:trPr>
        <w:tc>
          <w:tcPr>
            <w:tcW w:w="3840" w:type="dxa"/>
            <w:vAlign w:val="bottom"/>
            <w:gridSpan w:val="2"/>
          </w:tcPr>
          <w:p>
            <w:pPr>
              <w:ind w:left="80"/>
              <w:spacing w:after="0"/>
              <w:rPr>
                <w:sz w:val="20"/>
                <w:szCs w:val="20"/>
                <w:color w:val="auto"/>
              </w:rPr>
            </w:pPr>
            <w:r>
              <w:rPr>
                <w:rFonts w:ascii="Arial" w:cs="Arial" w:eastAsia="Arial" w:hAnsi="Arial"/>
                <w:sz w:val="19"/>
                <w:szCs w:val="19"/>
                <w:color w:val="auto"/>
              </w:rPr>
              <w:t>(a) Also a Director.</w:t>
            </w:r>
          </w:p>
        </w:tc>
        <w:tc>
          <w:tcPr>
            <w:tcW w:w="30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338"/>
        </w:trPr>
        <w:tc>
          <w:tcPr>
            <w:tcW w:w="12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580" w:type="dxa"/>
            <w:vAlign w:val="bottom"/>
            <w:gridSpan w:val="2"/>
          </w:tcPr>
          <w:p>
            <w:pPr>
              <w:jc w:val="right"/>
              <w:ind w:right="5564"/>
              <w:spacing w:after="0"/>
              <w:rPr>
                <w:sz w:val="20"/>
                <w:szCs w:val="20"/>
                <w:color w:val="auto"/>
              </w:rPr>
            </w:pPr>
            <w:r>
              <w:rPr>
                <w:rFonts w:ascii="Arial" w:cs="Arial" w:eastAsia="Arial" w:hAnsi="Arial"/>
                <w:sz w:val="19"/>
                <w:szCs w:val="19"/>
                <w:color w:val="auto"/>
              </w:rPr>
              <w:t>5</w:t>
            </w:r>
          </w:p>
        </w:tc>
      </w:tr>
      <w:tr>
        <w:trPr>
          <w:trHeight w:val="209"/>
        </w:trPr>
        <w:tc>
          <w:tcPr>
            <w:tcW w:w="1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Item 1A.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Statement about Forward-Looking Statements</w:t>
      </w:r>
    </w:p>
    <w:p>
      <w:pPr>
        <w:spacing w:after="0" w:line="13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We describe many of the trends and other factors that drive our business and future results in Item 7. Management’s Discussion and Analysis of Financial Condition, Results of Operations and in other parts of this report (including this Item 1A). Such discussions contain forward-looking statements within the meaning of Section 21E of the Securities Exchange Act of 1934.</w:t>
      </w:r>
    </w:p>
    <w:p>
      <w:pPr>
        <w:spacing w:after="0" w:line="87"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that can affect our performance in both the near-and long-term. These forward-looking statements should be considered in light of the information included in this Form 10-K, including, in particular, the factors discussed below. These factors may be revised or supplemented in subsequent reports on Forms 10-Q and 8-K.</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Factors</w:t>
      </w:r>
    </w:p>
    <w:p>
      <w:pPr>
        <w:spacing w:after="0" w:line="130"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Our business, operating results, cash flows and financial condition are subject to the risks and uncertainties set forth below, any one of which could cause our actual results to vary materially from recent results or from our anticipated future results.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Macroeconomic and Industry Risks</w:t>
      </w:r>
    </w:p>
    <w:p>
      <w:pPr>
        <w:spacing w:after="0" w:line="187" w:lineRule="exact"/>
        <w:rPr>
          <w:sz w:val="20"/>
          <w:szCs w:val="20"/>
          <w:color w:val="auto"/>
        </w:rPr>
      </w:pPr>
    </w:p>
    <w:p>
      <w:pPr>
        <w:ind w:right="260"/>
        <w:spacing w:after="0" w:line="280" w:lineRule="auto"/>
        <w:rPr>
          <w:sz w:val="20"/>
          <w:szCs w:val="20"/>
          <w:color w:val="auto"/>
        </w:rPr>
      </w:pPr>
      <w:r>
        <w:rPr>
          <w:rFonts w:ascii="Arial" w:cs="Arial" w:eastAsia="Arial" w:hAnsi="Arial"/>
          <w:sz w:val="19"/>
          <w:szCs w:val="19"/>
          <w:b w:val="1"/>
          <w:bCs w:val="1"/>
          <w:i w:val="1"/>
          <w:iCs w:val="1"/>
          <w:color w:val="auto"/>
        </w:rPr>
        <w:t>Industry and economic conditions may adversely affect the markets and operating conditions of our customers, which in turn can affect demand for our products and services and our results of operations.</w:t>
      </w:r>
    </w:p>
    <w:p>
      <w:pPr>
        <w:spacing w:after="0" w:line="3" w:lineRule="exact"/>
        <w:rPr>
          <w:sz w:val="20"/>
          <w:szCs w:val="20"/>
          <w:color w:val="auto"/>
        </w:rPr>
      </w:pPr>
    </w:p>
    <w:p>
      <w:pPr>
        <w:jc w:val="both"/>
        <w:ind w:left="540" w:hanging="168"/>
        <w:spacing w:after="0" w:line="241"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Aerospace</w:t>
      </w:r>
      <w:r>
        <w:rPr>
          <w:rFonts w:ascii="Arial" w:cs="Arial" w:eastAsia="Arial" w:hAnsi="Arial"/>
          <w:sz w:val="19"/>
          <w:szCs w:val="19"/>
          <w:color w:val="auto"/>
        </w:rPr>
        <w:t>—Operating results of our business units within Aerospace are directly tied to cyclical industry and economic</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conditions, as well as changes in customer buying patterns with respect to aftermarket parts, supplier stability, factory transitions and capacity constraints. The operating results of our Commercial Original Equipment and Commercial aftermarket business units may be adversely affected by downturns in the global demand for air travel which impacts new aircraft production or the delay or cancellation of new aircraft orders, delays in launch schedules for new aircraft, the retirement of aircraft and global flying hours, which impacts business and general aviation aircraft utilization rates. Operating results in our Defense and Space Systems business unit may be affected by the mix of U.S. and foreign government appropriations for defense and space programs. Operating results in our Transportation Systems business unit may be affected by the level of production and demand for automobiles and trucks equipped with turbochargers, regulatory changes regarding automobile and truck emissions and fuel economy, consumer demand and spending for automotive aftermarket products and delays in launch schedules for new automobile and truck platforms.</w:t>
      </w:r>
    </w:p>
    <w:p>
      <w:pPr>
        <w:spacing w:after="0" w:line="58" w:lineRule="exact"/>
        <w:rPr>
          <w:rFonts w:ascii="Arial" w:cs="Arial" w:eastAsia="Arial" w:hAnsi="Arial"/>
          <w:sz w:val="19"/>
          <w:szCs w:val="19"/>
          <w:color w:val="auto"/>
        </w:rPr>
      </w:pPr>
    </w:p>
    <w:p>
      <w:pPr>
        <w:jc w:val="both"/>
        <w:ind w:left="540" w:hanging="168"/>
        <w:spacing w:after="0" w:line="253"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Automation and Control Solutions</w:t>
      </w:r>
      <w:r>
        <w:rPr>
          <w:rFonts w:ascii="Arial" w:cs="Arial" w:eastAsia="Arial" w:hAnsi="Arial"/>
          <w:sz w:val="19"/>
          <w:szCs w:val="19"/>
          <w:color w:val="auto"/>
        </w:rPr>
        <w:t>—Operating results may be adversely impacted by downturns in the level of global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residential and commercial construction (including retrofits and upgrades), capital spending and operating expenditures on building and process automation, industrial plant capacity utilization and expansion, and inventory levels in distribution channels.</w:t>
      </w:r>
    </w:p>
    <w:p>
      <w:pPr>
        <w:spacing w:after="0" w:line="267" w:lineRule="exact"/>
        <w:rPr>
          <w:rFonts w:ascii="Arial" w:cs="Arial" w:eastAsia="Arial" w:hAnsi="Arial"/>
          <w:sz w:val="19"/>
          <w:szCs w:val="19"/>
          <w:color w:val="auto"/>
        </w:rPr>
      </w:pPr>
    </w:p>
    <w:p>
      <w:pPr>
        <w:jc w:val="both"/>
        <w:ind w:left="540" w:hanging="168"/>
        <w:spacing w:after="0" w:line="251" w:lineRule="auto"/>
        <w:tabs>
          <w:tab w:leader="none" w:pos="540" w:val="left"/>
        </w:tabs>
        <w:numPr>
          <w:ilvl w:val="0"/>
          <w:numId w:val="4"/>
        </w:numPr>
        <w:rPr>
          <w:rFonts w:ascii="Arial" w:cs="Arial" w:eastAsia="Arial" w:hAnsi="Arial"/>
          <w:sz w:val="19"/>
          <w:szCs w:val="19"/>
          <w:color w:val="auto"/>
        </w:rPr>
      </w:pPr>
      <w:r>
        <w:rPr>
          <w:rFonts w:ascii="Arial" w:cs="Arial" w:eastAsia="Arial" w:hAnsi="Arial"/>
          <w:sz w:val="19"/>
          <w:szCs w:val="19"/>
          <w:b w:val="1"/>
          <w:bCs w:val="1"/>
          <w:i w:val="1"/>
          <w:iCs w:val="1"/>
          <w:color w:val="auto"/>
        </w:rPr>
        <w:t>Performance Materials and Technologies</w:t>
      </w:r>
      <w:r>
        <w:rPr>
          <w:rFonts w:ascii="Arial" w:cs="Arial" w:eastAsia="Arial" w:hAnsi="Arial"/>
          <w:sz w:val="19"/>
          <w:szCs w:val="19"/>
          <w:color w:val="auto"/>
        </w:rPr>
        <w:t>—Operating results may be adversely impacted by downturns in the capacity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utilization for chemical, industrial, refining, petrochemical and semiconductor plants, our customers’ availability of capital for refinery construction and expansion, raw material demand and supply volatility, and our ability to maximize our facilities’ production capacity and minimize downtime. Pricing of certain chemical products are driven by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8" w:name="page9"/>
    <w:bookmarkEnd w:id="8"/>
    <w:p>
      <w:pPr>
        <w:ind w:left="520"/>
        <w:spacing w:after="0"/>
        <w:rPr>
          <w:sz w:val="20"/>
          <w:szCs w:val="20"/>
          <w:color w:val="auto"/>
        </w:rPr>
      </w:pPr>
      <w:r>
        <w:rPr>
          <w:rFonts w:ascii="Arial" w:cs="Arial" w:eastAsia="Arial" w:hAnsi="Arial"/>
          <w:sz w:val="19"/>
          <w:szCs w:val="19"/>
          <w:color w:val="auto"/>
        </w:rPr>
        <w:t>raw materials that are correlated to the price of oil, hence revenue could be significantly impacted by volatility in the price of oil.</w:t>
      </w:r>
    </w:p>
    <w:p>
      <w:pPr>
        <w:spacing w:after="0" w:line="325" w:lineRule="exact"/>
        <w:rPr>
          <w:sz w:val="20"/>
          <w:szCs w:val="20"/>
          <w:color w:val="auto"/>
        </w:rPr>
      </w:pPr>
    </w:p>
    <w:p>
      <w:pPr>
        <w:ind w:right="180"/>
        <w:spacing w:after="0" w:line="280" w:lineRule="auto"/>
        <w:rPr>
          <w:sz w:val="20"/>
          <w:szCs w:val="20"/>
          <w:color w:val="auto"/>
        </w:rPr>
      </w:pPr>
      <w:r>
        <w:rPr>
          <w:rFonts w:ascii="Arial" w:cs="Arial" w:eastAsia="Arial" w:hAnsi="Arial"/>
          <w:sz w:val="19"/>
          <w:szCs w:val="19"/>
          <w:b w:val="1"/>
          <w:bCs w:val="1"/>
          <w:i w:val="1"/>
          <w:iCs w:val="1"/>
          <w:color w:val="auto"/>
        </w:rPr>
        <w:t>An increasing percentage of our sales and operations is in non-U.S. jurisdictions and is subject to the economic, political, regulatory, foreign exchange and other risks of international operations.</w:t>
      </w:r>
    </w:p>
    <w:p>
      <w:pPr>
        <w:spacing w:after="0" w:line="54"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Our international operations, including U.S. exports, represent more than half of the Company’s sales. Risks related to international operations include exchange control regulations, wage and price controls, employment regulations, foreign investment laws, import, export and other trade restrictions (such as embargoes), violations by our employees of anti-corruption laws (despite our efforts to mitigate these risks), changes in regulations regarding transactions with state-owned enterprises, nationalization of private enterprises, acts of terrorism, and our ability to hire and maintain qualified staff and maintain the safety of our employees in these regions. Instability and uncertainties arising from the global geopolitical environment and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96"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Operating outside of the United States also exposes us to foreign exchange risk, which we monitor and seek to reduce through hedging activities. However, foreign exchange hedging activities bear a financial cost and may not always be available to us or successful in eliminating such volatility. Finally, we generate significant amounts of cash outside of the United States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272" w:lineRule="exact"/>
        <w:rPr>
          <w:sz w:val="20"/>
          <w:szCs w:val="20"/>
          <w:color w:val="auto"/>
        </w:rPr>
      </w:pPr>
    </w:p>
    <w:p>
      <w:pPr>
        <w:ind w:right="580"/>
        <w:spacing w:after="0" w:line="280" w:lineRule="auto"/>
        <w:rPr>
          <w:sz w:val="20"/>
          <w:szCs w:val="20"/>
          <w:color w:val="auto"/>
        </w:rPr>
      </w:pPr>
      <w:r>
        <w:rPr>
          <w:rFonts w:ascii="Arial" w:cs="Arial" w:eastAsia="Arial" w:hAnsi="Arial"/>
          <w:sz w:val="19"/>
          <w:szCs w:val="19"/>
          <w:b w:val="1"/>
          <w:bCs w:val="1"/>
          <w:i w:val="1"/>
          <w:iCs w:val="1"/>
          <w:color w:val="auto"/>
        </w:rPr>
        <w:t>A change in the level of U.S. Government defense and space funding or the mix of programs to which such funding is allocated could adversely impact Aerospace’s defense and space sales and results of operations.</w:t>
      </w:r>
    </w:p>
    <w:p>
      <w:pPr>
        <w:spacing w:after="0" w:line="54"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A shift in defense or space spending to programs in which we do not participate and/or reductions in funding for or termination of existing programs could adversely impact our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related to our defined benefit pension plans may adversely impact our results of operations and cash flow.</w:t>
      </w:r>
    </w:p>
    <w:p>
      <w:pPr>
        <w:spacing w:after="0" w:line="13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Operational Risks</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i w:val="1"/>
          <w:iCs w:val="1"/>
          <w:color w:val="auto"/>
        </w:rPr>
        <w:t>Raw material price fluctuations,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76"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The cost of raw materials is a key element in the cost of our products, particularly in PMT (cumene, fluorspar, R240, natural gas, perchloroethylene, sulfur and ethylene) and Aerospace (nickel, steel, titanium and other metals). Our inability to offset material price inflation through increased prices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9"/>
          <w:szCs w:val="19"/>
          <w:color w:val="auto"/>
        </w:rPr>
        <w:t>to customers, formula or long-term fixed price contracts with suppliers, productivity actions or through commodity hedges could adversely affect our results of operations.</w:t>
      </w:r>
    </w:p>
    <w:p>
      <w:pPr>
        <w:spacing w:after="0" w:line="8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Many major components, product equipment items and raw materials, particularly in Aerospace,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ability to manage inventory and meet delivery requirements may be constrained by our suppliers’ inability to scale production and adjust delivery of long-lead time products during times of volatile demand. Our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283" w:lineRule="exact"/>
        <w:rPr>
          <w:sz w:val="20"/>
          <w:szCs w:val="20"/>
          <w:color w:val="auto"/>
        </w:rPr>
      </w:pPr>
    </w:p>
    <w:p>
      <w:pPr>
        <w:ind w:right="620"/>
        <w:spacing w:after="0" w:line="280" w:lineRule="auto"/>
        <w:rPr>
          <w:sz w:val="20"/>
          <w:szCs w:val="20"/>
          <w:color w:val="auto"/>
        </w:rPr>
      </w:pPr>
      <w:r>
        <w:rPr>
          <w:rFonts w:ascii="Arial" w:cs="Arial" w:eastAsia="Arial" w:hAnsi="Arial"/>
          <w:sz w:val="19"/>
          <w:szCs w:val="19"/>
          <w:b w:val="1"/>
          <w:bCs w:val="1"/>
          <w:i w:val="1"/>
          <w:iCs w:val="1"/>
          <w:color w:val="auto"/>
        </w:rPr>
        <w:t>Failure to increase productivity through sustainable operational improvements, as well as an inability to successfully execute repositioning projects, may reduce our profitability or adversely impact our businesses.</w:t>
      </w:r>
    </w:p>
    <w:p>
      <w:pPr>
        <w:spacing w:after="0" w:line="54"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Our profitability and margin growth are dependent upon our ability to drive sustainable improvements. In addition, we seek productivity and cost savings benefits through repositioning actions and projects, such as consolidation of manufacturing facilities, transitions to cost-competitive regions and product line rationalizations. Risks associated with these actions include delays in execution of the planned initiatives, additional unexpected costs, adverse effects on employee morale and the failure to meet operational targets due to employee attrition. We may not realize the full operational or financial benefits we expect, the recognition of these benefits may be delayed and these actions may potentially disrupt our operations.</w:t>
      </w:r>
    </w:p>
    <w:p>
      <w:pPr>
        <w:spacing w:after="0" w:line="272" w:lineRule="exact"/>
        <w:rPr>
          <w:sz w:val="20"/>
          <w:szCs w:val="20"/>
          <w:color w:val="auto"/>
        </w:rPr>
      </w:pPr>
    </w:p>
    <w:p>
      <w:pPr>
        <w:ind w:right="560"/>
        <w:spacing w:after="0" w:line="280" w:lineRule="auto"/>
        <w:rPr>
          <w:sz w:val="20"/>
          <w:szCs w:val="20"/>
          <w:color w:val="auto"/>
        </w:rPr>
      </w:pPr>
      <w:r>
        <w:rPr>
          <w:rFonts w:ascii="Arial" w:cs="Arial" w:eastAsia="Arial" w:hAnsi="Arial"/>
          <w:sz w:val="19"/>
          <w:szCs w:val="19"/>
          <w:b w:val="1"/>
          <w:bCs w:val="1"/>
          <w:i w:val="1"/>
          <w:iCs w:val="1"/>
          <w:color w:val="auto"/>
        </w:rPr>
        <w:t>Our future growth is largely dependent upon our ability to develop new technologies and introduce new products that achieve market acceptance in highly competitive markets with acceptable margins.</w:t>
      </w:r>
    </w:p>
    <w:p>
      <w:pPr>
        <w:spacing w:after="0" w:line="54"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Our future growth rate depends upon a number of factors, including our ability to (i) identify emerging technological trends in our target end-markets, (ii) develop and maintain competitive products, (iii) enhance our products by adding innovative features that differentiate our products from those of our competitors and prevent commoditization of our products, (iv) develop, manufacture and bring new products to market quickly and cost-effectively, and (v) develop and retain individuals with the requisite technical expertise and understanding of customers’ needs to develop new technologies and introduce new products.</w:t>
      </w:r>
    </w:p>
    <w:p>
      <w:pPr>
        <w:spacing w:after="0" w:line="91"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The failure of our technologies or products to gain market acceptance due to more attractive offerings by our competitors could significantly reduce our revenues and adversely affect our competitive standing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 unable to successfully execute or effectively integrate acquisitions, and divestitures may not occur as planned.</w:t>
      </w:r>
    </w:p>
    <w:p>
      <w:pPr>
        <w:spacing w:after="0" w:line="13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(ii) the failure to integrate acquired businesses into Honeywell on schedule and/or to achieve expected synergies, (iii) the inability to dispose of non-core assets and businesses on satisfactory terms and conditions, and (iv) the discovery of unanticipated liabilities or other problems in acquired businesses for which we lack contractual protections, insurance or indemnities or, with regard to divested businesses, claims by purchasers to whom we have provided contractual indemnification.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10" w:name="page11"/>
    <w:bookmarkEnd w:id="10"/>
    <w:p>
      <w:pPr>
        <w:ind w:right="160"/>
        <w:spacing w:after="0" w:line="258" w:lineRule="auto"/>
        <w:rPr>
          <w:sz w:val="20"/>
          <w:szCs w:val="20"/>
          <w:color w:val="auto"/>
        </w:rPr>
      </w:pPr>
      <w:r>
        <w:rPr>
          <w:rFonts w:ascii="Arial" w:cs="Arial" w:eastAsia="Arial" w:hAnsi="Arial"/>
          <w:sz w:val="19"/>
          <w:szCs w:val="19"/>
          <w:b w:val="1"/>
          <w:bCs w:val="1"/>
          <w:i w:val="1"/>
          <w:iCs w:val="1"/>
          <w:color w:val="auto"/>
        </w:rPr>
        <w:t>As a supplier of military and other equipment to the U.S. Government, we are subject to unusual risks, such as the right of the U.S. Government to terminate contracts for convenience and to conduct audits and investigations of our operations and performance.</w:t>
      </w:r>
    </w:p>
    <w:p>
      <w:pPr>
        <w:spacing w:after="0" w:line="76"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have made adjustments and paid voluntary refunds in the past and may do so in the future.</w:t>
      </w:r>
    </w:p>
    <w:p>
      <w:pPr>
        <w:spacing w:after="0" w:line="91"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We are also subject to government investigations of business practices and compliance with government procurement regulations. If, as a result of any such investigation or other government investigations (including violations of certain environmental, employment or export laws), Honeywell or one of its businesses were found to have violated applicable law, it could be suspended from bidding on or receiving awards of new government contracts, suspended from contract performance pending the completion of legal proceedings and/or have its export privileges suspended.</w:t>
      </w:r>
    </w:p>
    <w:p>
      <w:pPr>
        <w:spacing w:after="0" w:line="284" w:lineRule="exact"/>
        <w:rPr>
          <w:sz w:val="20"/>
          <w:szCs w:val="20"/>
          <w:color w:val="auto"/>
        </w:rPr>
      </w:pPr>
    </w:p>
    <w:p>
      <w:pPr>
        <w:ind w:right="820"/>
        <w:spacing w:after="0" w:line="280" w:lineRule="auto"/>
        <w:rPr>
          <w:sz w:val="20"/>
          <w:szCs w:val="20"/>
          <w:color w:val="auto"/>
        </w:rPr>
      </w:pPr>
      <w:r>
        <w:rPr>
          <w:rFonts w:ascii="Arial" w:cs="Arial" w:eastAsia="Arial" w:hAnsi="Arial"/>
          <w:sz w:val="19"/>
          <w:szCs w:val="19"/>
          <w:b w:val="1"/>
          <w:bCs w:val="1"/>
          <w:i w:val="1"/>
          <w:iCs w:val="1"/>
          <w:color w:val="auto"/>
        </w:rPr>
        <w:t>Our operations and the prior operations of predecessor companies expose us to the risk of material environmental liabilities.</w:t>
      </w:r>
    </w:p>
    <w:p>
      <w:pPr>
        <w:spacing w:after="0" w:line="41" w:lineRule="exact"/>
        <w:rPr>
          <w:sz w:val="20"/>
          <w:szCs w:val="20"/>
          <w:color w:val="auto"/>
        </w:rPr>
      </w:pPr>
    </w:p>
    <w:p>
      <w:pPr>
        <w:jc w:val="both"/>
        <w:ind w:firstLine="357"/>
        <w:spacing w:after="0" w:line="238" w:lineRule="auto"/>
        <w:rPr>
          <w:sz w:val="20"/>
          <w:szCs w:val="20"/>
          <w:color w:val="auto"/>
        </w:rPr>
      </w:pPr>
      <w:r>
        <w:rPr>
          <w:rFonts w:ascii="Arial" w:cs="Arial" w:eastAsia="Arial" w:hAnsi="Arial"/>
          <w:sz w:val="19"/>
          <w:szCs w:val="19"/>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discharge of materials into the environment and can impose substantial fines and criminal sanctions for violations, and require installation of costly equipment or operational changes to limit emissions and/or decrease the likelihood of accidental hazardous substance releases. In addition, changes in laws, regulations and enforcement of policies, the discovery of previously unknown contamination or new technology or information related to individual sites, the establishment of stricter state or federal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293" w:lineRule="exact"/>
        <w:rPr>
          <w:sz w:val="20"/>
          <w:szCs w:val="20"/>
          <w:color w:val="auto"/>
        </w:rPr>
      </w:pPr>
    </w:p>
    <w:p>
      <w:pPr>
        <w:ind w:right="320"/>
        <w:spacing w:after="0" w:line="280" w:lineRule="auto"/>
        <w:rPr>
          <w:sz w:val="20"/>
          <w:szCs w:val="20"/>
          <w:color w:val="auto"/>
        </w:rPr>
      </w:pPr>
      <w:r>
        <w:rPr>
          <w:rFonts w:ascii="Arial" w:cs="Arial" w:eastAsia="Arial" w:hAnsi="Arial"/>
          <w:sz w:val="19"/>
          <w:szCs w:val="19"/>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54"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Global cybersecurity threats and incidents can range from uncoordinated individual attempts to gain unauthorized access to information technology (IT) systems to sophisticated and targeted measures known as advanced persistent threats, directed at the Company, its products, its customers and/or its third party service providers. While we have experienced, and expect to continue to experience, these types of threats and incidents, none of them to date have been material to the Company. We seek to deploy comprehensive measures to prevent, detect, address and mitigate these threats (including access controls, data encryption, vulnerability assessments, product software designs which we believe are less susceptible to cyber attacks, continuous monitoring of our IT networks and systems and maintenance of backup and protective systems. Despite these efforts,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Cybersecurity incidents aimed at the software imbedded in our products could lead to third party claims that our product failures have caused a similar range of damages to our customers. The potential consequences of a material cybersecurity incident include reputational damage, litigation with third parties, diminution in the value of our investment in research, development and engineering, and increased cybersecurity protection and remediation costs, which in turn could adversely affect our competitiveness and results of operations.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u w:val="single" w:color="auto"/>
          <w:color w:val="auto"/>
        </w:rPr>
        <w:t>Legal and Regulatory Risks</w:t>
      </w:r>
    </w:p>
    <w:p>
      <w:pPr>
        <w:spacing w:after="0" w:line="173" w:lineRule="exact"/>
        <w:rPr>
          <w:sz w:val="20"/>
          <w:szCs w:val="20"/>
          <w:color w:val="auto"/>
        </w:rPr>
      </w:pPr>
    </w:p>
    <w:p>
      <w:pPr>
        <w:ind w:right="200"/>
        <w:spacing w:after="0" w:line="280" w:lineRule="auto"/>
        <w:rPr>
          <w:sz w:val="20"/>
          <w:szCs w:val="20"/>
          <w:color w:val="auto"/>
        </w:rPr>
      </w:pPr>
      <w:r>
        <w:rPr>
          <w:rFonts w:ascii="Arial" w:cs="Arial" w:eastAsia="Arial" w:hAnsi="Arial"/>
          <w:sz w:val="19"/>
          <w:szCs w:val="19"/>
          <w:b w:val="1"/>
          <w:bCs w:val="1"/>
          <w:i w:val="1"/>
          <w:iCs w:val="1"/>
          <w:color w:val="auto"/>
        </w:rPr>
        <w:t>Our U.S. and non-U.S. tax liabilities are dependent, in part, upon the distribution of income among various jurisdictions in which we operate.</w:t>
      </w:r>
    </w:p>
    <w:p>
      <w:pPr>
        <w:spacing w:after="0" w:line="54"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Our tax expense includes estimates of tax reserves and reflects other estimates and assumptions, including assessments of future earnings of the Company which could impact the valuation of our deferred tax assets. Our future results of operations could be adversely affected by changes in the effective tax rate as a result of a change in the mix of earnings in countries with differing statutory tax rates, changes in tax laws, regulations and judicial rulings,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legislation or government regulations or policies can have a significant impact on our results of operations.</w:t>
      </w:r>
    </w:p>
    <w:p>
      <w:pPr>
        <w:spacing w:after="0" w:line="130"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The sales and margins of each of our segments are directly impacted by government regulations including safety, performance and product certification regulations. Within Aerospace, the operating results of our Commercial Original Equipment and Commercial Aftermarket business units may be impacted by, among other things, mandates of the Federal Aviation Administration and other similar international regulatory bodies requiring the installation of equipment on aircraft. Our Defense and Space business unit may be effected by changes in government procurement regulations, while emissions, fuel economy and energy efficiency standards for motor vehicles can impact the Transportation Systems business unit. Within ACS, the demand for and cost of providing products, services and solutions can be impacted by fire, security, safety, health care, environmental and energy efficiency standards and regulations. PMT’s results of operations can be affected by environmental, safety and energy efficiency standards and regulations.</w:t>
      </w:r>
    </w:p>
    <w:p>
      <w:pPr>
        <w:spacing w:after="0" w:line="275" w:lineRule="exact"/>
        <w:rPr>
          <w:sz w:val="20"/>
          <w:szCs w:val="20"/>
          <w:color w:val="auto"/>
        </w:rPr>
      </w:pPr>
    </w:p>
    <w:p>
      <w:pPr>
        <w:ind w:right="260"/>
        <w:spacing w:after="0" w:line="280" w:lineRule="auto"/>
        <w:rPr>
          <w:sz w:val="20"/>
          <w:szCs w:val="20"/>
          <w:color w:val="auto"/>
        </w:rPr>
      </w:pPr>
      <w:r>
        <w:rPr>
          <w:rFonts w:ascii="Arial" w:cs="Arial" w:eastAsia="Arial" w:hAnsi="Arial"/>
          <w:sz w:val="19"/>
          <w:szCs w:val="19"/>
          <w:b w:val="1"/>
          <w:bCs w:val="1"/>
          <w:i w:val="1"/>
          <w:iCs w:val="1"/>
          <w:color w:val="auto"/>
        </w:rPr>
        <w:t>We cannot predict with certainty the outcome of litigation matters, government proceedings and other contingencies and uncertainties.</w:t>
      </w:r>
    </w:p>
    <w:p>
      <w:pPr>
        <w:spacing w:after="0" w:line="54"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We are subject to a number of lawsuits, investigations and disputes (some of which involve substantial amounts claimed) arising out of the conduct of our business, including matters relating to commercial transactions, government contracts, product liability (including asbestos), prior acquisitions and divestitures, employment, employee benefits plans, intellectual property, antitrust, import and export matters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1B. Unresolved Staff Comments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3" w:right="239" w:bottom="1440" w:gutter="0" w:footer="0" w:header="0"/>
        </w:sectPr>
      </w:pPr>
    </w:p>
    <w:bookmarkStart w:id="12" w:name="page13"/>
    <w:bookmarkEnd w:id="12"/>
    <w:p>
      <w:pPr>
        <w:spacing w:after="0"/>
        <w:rPr>
          <w:sz w:val="20"/>
          <w:szCs w:val="20"/>
          <w:color w:val="auto"/>
        </w:rPr>
      </w:pPr>
      <w:r>
        <w:rPr>
          <w:rFonts w:ascii="Arial" w:cs="Arial" w:eastAsia="Arial" w:hAnsi="Arial"/>
          <w:sz w:val="23"/>
          <w:szCs w:val="23"/>
          <w:b w:val="1"/>
          <w:bCs w:val="1"/>
          <w:color w:val="auto"/>
        </w:rPr>
        <w:t>Item 2. Properties</w:t>
      </w:r>
    </w:p>
    <w:p>
      <w:pPr>
        <w:spacing w:after="0" w:line="147"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We have approximately 1,250 locations, of which 264 are plants. Our properties and equipment are in good operating condition and are adequate for our present needs. We do not anticipate difficulty in renewing existing leases as they expire or in finding alternative facilities.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Legal Proceedings</w:t>
      </w:r>
    </w:p>
    <w:p>
      <w:pPr>
        <w:spacing w:after="0" w:line="147"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We are subject to a number of lawsuits, investigations and claims (some of which involve substantial amounts) arising out of the conduct of our business. See a discussion of environmental, asbestos and other litigation matters in Note 19 Commitments and Contingencies of Notes to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Environmental Matters Involving Potential Monetary Sanctions in Excess of $100,000</w:t>
      </w:r>
    </w:p>
    <w:p>
      <w:pPr>
        <w:spacing w:after="0" w:line="130"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The Virginia Department of Environmental Quality (“DEQ”) has alleged that Honeywell’s facility in Hopewell, Virginia failed to comply with certain conditions of its wastewater discharge permit at various times between August 2013 and February 2014. Honeywell has met with the DEQ about this matter and negotiations to resolve it are ongoing. We do not believe that it will have a material adverse effect on our consolidated financial position,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3"/>
          <w:szCs w:val="23"/>
          <w:b w:val="1"/>
          <w:bCs w:val="1"/>
          <w:color w:val="auto"/>
        </w:rPr>
        <w:t>Part II.</w:t>
      </w:r>
    </w:p>
    <w:p>
      <w:pPr>
        <w:spacing w:after="0" w:line="181" w:lineRule="exact"/>
        <w:rPr>
          <w:sz w:val="20"/>
          <w:szCs w:val="20"/>
          <w:color w:val="auto"/>
        </w:rPr>
      </w:pPr>
    </w:p>
    <w:p>
      <w:pPr>
        <w:ind w:left="800" w:right="380" w:hanging="790"/>
        <w:spacing w:after="0" w:line="280" w:lineRule="auto"/>
        <w:rPr>
          <w:sz w:val="20"/>
          <w:szCs w:val="20"/>
          <w:color w:val="auto"/>
        </w:rPr>
      </w:pPr>
      <w:r>
        <w:rPr>
          <w:rFonts w:ascii="Arial" w:cs="Arial" w:eastAsia="Arial" w:hAnsi="Arial"/>
          <w:sz w:val="23"/>
          <w:szCs w:val="23"/>
          <w:b w:val="1"/>
          <w:bCs w:val="1"/>
          <w:color w:val="auto"/>
        </w:rPr>
        <w:t>Item 5. Market for Registrant’s Common Equity, Related Stockholder Matters and Issuer Purchases of Equity Securities</w:t>
      </w:r>
    </w:p>
    <w:p>
      <w:pPr>
        <w:spacing w:after="0" w:line="64"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Honeywell’s common stock is listed on the New York Stock Exchange. Market and dividend information for Honeywell’s common stock is included in Note 24 Unaudited Quarterly Financial Information of Notes to Financial Statements.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number of record holders of our common stock at December 31, 2014 was 52,591.</w:t>
      </w:r>
    </w:p>
    <w:p>
      <w:pPr>
        <w:spacing w:after="0" w:line="106"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Honeywell purchased 2,500,000 shares of its common stock, par value $1 per share, in the quarter ending December 31, 2014. Under the Company’s previously reported $5 billion share repurchase program, $4.1 billion remained available as of December 31, 2014 for additional share repurchases. Honeywell presently expects to repurchase outstanding shares from time to time to offset the dilutive impact of employee stock based compensation plans, including option exercises, restricted unit vesting and matching contributions under our savings plans. The amount and timing of future repurchases may vary depending on market conditions and the level of our operating, financing and other investing activities.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Honeywell’s purchase of its common stock for the three months ended December 31, 2014: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40" w:type="dxa"/>
            <w:vAlign w:val="bottom"/>
            <w:gridSpan w:val="5"/>
          </w:tcPr>
          <w:p>
            <w:pPr>
              <w:jc w:val="center"/>
              <w:ind w:right="1121"/>
              <w:spacing w:after="0"/>
              <w:rPr>
                <w:sz w:val="20"/>
                <w:szCs w:val="20"/>
                <w:color w:val="auto"/>
              </w:rPr>
            </w:pPr>
            <w:r>
              <w:rPr>
                <w:rFonts w:ascii="Arial" w:cs="Arial" w:eastAsia="Arial" w:hAnsi="Arial"/>
                <w:sz w:val="16"/>
                <w:szCs w:val="16"/>
                <w:b w:val="1"/>
                <w:bCs w:val="1"/>
                <w:color w:val="auto"/>
                <w:w w:val="98"/>
              </w:rPr>
              <w:t>Issuer Purchases of Equity Securities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76"/>
        </w:trPr>
        <w:tc>
          <w:tcPr>
            <w:tcW w:w="5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(a)</w:t>
            </w:r>
          </w:p>
        </w:tc>
        <w:tc>
          <w:tcPr>
            <w:tcW w:w="30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(b)</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(c)</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Pr>
          <w:p>
            <w:pPr>
              <w:jc w:val="center"/>
              <w:ind w:right="99"/>
              <w:spacing w:after="0" w:line="176" w:lineRule="exact"/>
              <w:rPr>
                <w:sz w:val="20"/>
                <w:szCs w:val="20"/>
                <w:color w:val="auto"/>
              </w:rPr>
            </w:pPr>
            <w:r>
              <w:rPr>
                <w:rFonts w:ascii="Arial" w:cs="Arial" w:eastAsia="Arial" w:hAnsi="Arial"/>
                <w:sz w:val="16"/>
                <w:szCs w:val="16"/>
                <w:b w:val="1"/>
                <w:bCs w:val="1"/>
                <w:color w:val="auto"/>
                <w:w w:val="97"/>
              </w:rPr>
              <w:t>(d)</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6"/>
              </w:rPr>
              <w:t>Total Number</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of Shares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Pr>
          <w:p>
            <w:pPr>
              <w:jc w:val="center"/>
              <w:ind w:right="119"/>
              <w:spacing w:after="0" w:line="176" w:lineRule="exact"/>
              <w:rPr>
                <w:sz w:val="20"/>
                <w:szCs w:val="20"/>
                <w:color w:val="auto"/>
              </w:rPr>
            </w:pPr>
            <w:r>
              <w:rPr>
                <w:rFonts w:ascii="Arial" w:cs="Arial" w:eastAsia="Arial" w:hAnsi="Arial"/>
                <w:sz w:val="16"/>
                <w:szCs w:val="16"/>
                <w:b w:val="1"/>
                <w:bCs w:val="1"/>
                <w:color w:val="auto"/>
                <w:w w:val="98"/>
              </w:rPr>
              <w:t>Approximate Dollar</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Purchased as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Pr>
          <w:p>
            <w:pPr>
              <w:jc w:val="center"/>
              <w:ind w:right="119"/>
              <w:spacing w:after="0" w:line="176" w:lineRule="exact"/>
              <w:rPr>
                <w:sz w:val="20"/>
                <w:szCs w:val="20"/>
                <w:color w:val="auto"/>
              </w:rPr>
            </w:pPr>
            <w:r>
              <w:rPr>
                <w:rFonts w:ascii="Arial" w:cs="Arial" w:eastAsia="Arial" w:hAnsi="Arial"/>
                <w:sz w:val="16"/>
                <w:szCs w:val="16"/>
                <w:b w:val="1"/>
                <w:bCs w:val="1"/>
                <w:color w:val="auto"/>
                <w:w w:val="97"/>
              </w:rPr>
              <w:t>Value of Shares that</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Total</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Part of Publicly</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Pr>
          <w:p>
            <w:pPr>
              <w:jc w:val="center"/>
              <w:ind w:right="119"/>
              <w:spacing w:after="0" w:line="176" w:lineRule="exact"/>
              <w:rPr>
                <w:sz w:val="20"/>
                <w:szCs w:val="20"/>
                <w:color w:val="auto"/>
              </w:rPr>
            </w:pPr>
            <w:r>
              <w:rPr>
                <w:rFonts w:ascii="Arial" w:cs="Arial" w:eastAsia="Arial" w:hAnsi="Arial"/>
                <w:sz w:val="16"/>
                <w:szCs w:val="16"/>
                <w:b w:val="1"/>
                <w:bCs w:val="1"/>
                <w:color w:val="auto"/>
                <w:w w:val="97"/>
              </w:rPr>
              <w:t>May Yet be Purchased</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Average</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Announced</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Pr>
          <w:p>
            <w:pPr>
              <w:jc w:val="center"/>
              <w:ind w:right="99"/>
              <w:spacing w:after="0" w:line="176" w:lineRule="exact"/>
              <w:rPr>
                <w:sz w:val="20"/>
                <w:szCs w:val="20"/>
                <w:color w:val="auto"/>
              </w:rPr>
            </w:pPr>
            <w:r>
              <w:rPr>
                <w:rFonts w:ascii="Arial" w:cs="Arial" w:eastAsia="Arial" w:hAnsi="Arial"/>
                <w:sz w:val="16"/>
                <w:szCs w:val="16"/>
                <w:b w:val="1"/>
                <w:bCs w:val="1"/>
                <w:color w:val="auto"/>
                <w:w w:val="98"/>
              </w:rPr>
              <w:t>Under Plans or</w:t>
            </w:r>
          </w:p>
        </w:tc>
        <w:tc>
          <w:tcPr>
            <w:tcW w:w="520" w:type="dxa"/>
            <w:vAlign w:val="bottom"/>
          </w:tcPr>
          <w:p>
            <w:pPr>
              <w:spacing w:after="0"/>
              <w:rPr>
                <w:sz w:val="15"/>
                <w:szCs w:val="15"/>
                <w:color w:val="auto"/>
              </w:rPr>
            </w:pPr>
          </w:p>
        </w:tc>
      </w:tr>
      <w:tr>
        <w:trPr>
          <w:trHeight w:val="176"/>
        </w:trPr>
        <w:tc>
          <w:tcPr>
            <w:tcW w:w="5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Shares</w:t>
            </w:r>
          </w:p>
        </w:tc>
        <w:tc>
          <w:tcPr>
            <w:tcW w:w="30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Price Paid</w:t>
            </w:r>
          </w:p>
        </w:tc>
        <w:tc>
          <w:tcPr>
            <w:tcW w:w="30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rPr>
              <w:t>Plans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Pr>
          <w:p>
            <w:pPr>
              <w:jc w:val="center"/>
              <w:ind w:right="119"/>
              <w:spacing w:after="0" w:line="176" w:lineRule="exact"/>
              <w:rPr>
                <w:sz w:val="20"/>
                <w:szCs w:val="20"/>
                <w:color w:val="auto"/>
              </w:rPr>
            </w:pPr>
            <w:r>
              <w:rPr>
                <w:rFonts w:ascii="Arial" w:cs="Arial" w:eastAsia="Arial" w:hAnsi="Arial"/>
                <w:sz w:val="16"/>
                <w:szCs w:val="16"/>
                <w:b w:val="1"/>
                <w:bCs w:val="1"/>
                <w:color w:val="auto"/>
                <w:w w:val="99"/>
              </w:rPr>
              <w:t>Programs</w:t>
            </w:r>
          </w:p>
        </w:tc>
        <w:tc>
          <w:tcPr>
            <w:tcW w:w="520" w:type="dxa"/>
            <w:vAlign w:val="bottom"/>
          </w:tcPr>
          <w:p>
            <w:pPr>
              <w:spacing w:after="0"/>
              <w:rPr>
                <w:sz w:val="15"/>
                <w:szCs w:val="15"/>
                <w:color w:val="auto"/>
              </w:rPr>
            </w:pPr>
          </w:p>
        </w:tc>
      </w:tr>
      <w:tr>
        <w:trPr>
          <w:trHeight w:val="190"/>
        </w:trPr>
        <w:tc>
          <w:tcPr>
            <w:tcW w:w="500" w:type="dxa"/>
            <w:vAlign w:val="bottom"/>
          </w:tcPr>
          <w:p>
            <w:pPr>
              <w:spacing w:after="0"/>
              <w:rPr>
                <w:sz w:val="16"/>
                <w:szCs w:val="16"/>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Period</w:t>
            </w:r>
          </w:p>
        </w:tc>
        <w:tc>
          <w:tcPr>
            <w:tcW w:w="2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Purchased</w:t>
            </w:r>
          </w:p>
        </w:tc>
        <w:tc>
          <w:tcPr>
            <w:tcW w:w="3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per Share</w:t>
            </w:r>
          </w:p>
        </w:tc>
        <w:tc>
          <w:tcPr>
            <w:tcW w:w="3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or Programs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8"/>
              </w:rPr>
              <w:t>(Dollars in millions)</w:t>
            </w:r>
          </w:p>
        </w:tc>
        <w:tc>
          <w:tcPr>
            <w:tcW w:w="520" w:type="dxa"/>
            <w:vAlign w:val="bottom"/>
          </w:tcPr>
          <w:p>
            <w:pPr>
              <w:spacing w:after="0"/>
              <w:rPr>
                <w:sz w:val="16"/>
                <w:szCs w:val="16"/>
                <w:color w:val="auto"/>
              </w:rPr>
            </w:pPr>
          </w:p>
        </w:tc>
      </w:tr>
      <w:tr>
        <w:trPr>
          <w:trHeight w:val="237"/>
        </w:trPr>
        <w:tc>
          <w:tcPr>
            <w:tcW w:w="500" w:type="dxa"/>
            <w:vAlign w:val="bottom"/>
          </w:tcPr>
          <w:p>
            <w:pPr>
              <w:spacing w:after="0"/>
              <w:rPr>
                <w:sz w:val="20"/>
                <w:szCs w:val="20"/>
                <w:color w:val="auto"/>
              </w:rPr>
            </w:pPr>
          </w:p>
        </w:tc>
        <w:tc>
          <w:tcPr>
            <w:tcW w:w="346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November 2014</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2,500,000</w:t>
            </w:r>
          </w:p>
        </w:tc>
        <w:tc>
          <w:tcPr>
            <w:tcW w:w="1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94.00</w:t>
            </w:r>
          </w:p>
        </w:tc>
        <w:tc>
          <w:tcPr>
            <w:tcW w:w="1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2,500,000</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2020" w:type="dxa"/>
            <w:vAlign w:val="bottom"/>
            <w:shd w:val="clear" w:color="auto" w:fill="E5FFFF"/>
          </w:tcPr>
          <w:p>
            <w:pPr>
              <w:jc w:val="right"/>
              <w:ind w:right="99"/>
              <w:spacing w:after="0"/>
              <w:rPr>
                <w:sz w:val="20"/>
                <w:szCs w:val="20"/>
                <w:color w:val="auto"/>
              </w:rPr>
            </w:pPr>
            <w:r>
              <w:rPr>
                <w:rFonts w:ascii="Arial" w:cs="Arial" w:eastAsia="Arial" w:hAnsi="Arial"/>
                <w:sz w:val="19"/>
                <w:szCs w:val="19"/>
                <w:color w:val="auto"/>
              </w:rPr>
              <w:t>4,076</w:t>
            </w:r>
          </w:p>
        </w:tc>
        <w:tc>
          <w:tcPr>
            <w:tcW w:w="520" w:type="dxa"/>
            <w:vAlign w:val="bottom"/>
          </w:tcPr>
          <w:p>
            <w:pPr>
              <w:spacing w:after="0"/>
              <w:rPr>
                <w:sz w:val="20"/>
                <w:szCs w:val="20"/>
                <w:color w:val="auto"/>
              </w:rPr>
            </w:pPr>
          </w:p>
        </w:tc>
      </w:tr>
      <w:tr>
        <w:trPr>
          <w:trHeight w:val="342"/>
        </w:trPr>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gridSpan w:val="2"/>
          </w:tcPr>
          <w:p>
            <w:pPr>
              <w:jc w:val="right"/>
              <w:ind w:right="701"/>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9"/>
          <w:szCs w:val="19"/>
          <w:b w:val="1"/>
          <w:bCs w:val="1"/>
          <w:color w:val="auto"/>
        </w:rPr>
        <w:t>Performance Graph</w:t>
      </w:r>
    </w:p>
    <w:p>
      <w:pPr>
        <w:spacing w:after="0" w:line="13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The following graph compares the five-year cumulative total return on our common stock to the total returns on the Standard &amp; Poor’s (S&amp;P) 500 Stock Index and a composite of S&amp;P’s Industrial Conglomerates and Aerospace and Defense indices, on a 65%/35% weighted basis, respectively (the Composite Index). The weighting of the components of the Composite Index are based on our segments’ relative contribution to total segment profit. The selection of the Industrial Conglomerates component of the Composite Index reflects the diverse and distinct range of non-aerospace businesses conducted by Honeywell. The annual changes for the five-year period shown in the graph are based on the assumption that $100 had been invested in Honeywell stock and each index on December 31, 2009 and that all dividends were reinvested.</w:t>
      </w:r>
    </w:p>
    <w:p>
      <w:pPr>
        <w:spacing w:after="0" w:line="283" w:lineRule="exact"/>
        <w:rPr>
          <w:sz w:val="20"/>
          <w:szCs w:val="20"/>
          <w:color w:val="auto"/>
        </w:rPr>
      </w:pPr>
    </w:p>
    <w:p>
      <w:pPr>
        <w:ind w:left="3360"/>
        <w:spacing w:after="0"/>
        <w:rPr>
          <w:sz w:val="20"/>
          <w:szCs w:val="20"/>
          <w:color w:val="auto"/>
        </w:rPr>
      </w:pPr>
      <w:r>
        <w:rPr>
          <w:rFonts w:ascii="Arial" w:cs="Arial" w:eastAsia="Arial" w:hAnsi="Arial"/>
          <w:sz w:val="19"/>
          <w:szCs w:val="19"/>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151130</wp:posOffset>
            </wp:positionV>
            <wp:extent cx="5411470" cy="32588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11470"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147"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This selected financial data should be read in conjunction with Honeywell’s Consolidated Financial Statements and related Notes included elsewhere in this Annual Report as well as the section of this Annual Report titled Item 7. Management’s Discussion and Analysis of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6. Selected Financial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6"/>
                <w:szCs w:val="16"/>
                <w:b w:val="1"/>
                <w:bCs w:val="1"/>
                <w:color w:val="auto"/>
                <w:w w:val="98"/>
              </w:rPr>
              <w:t>Years Ended December 31,</w:t>
            </w:r>
          </w:p>
        </w:tc>
        <w:tc>
          <w:tcPr>
            <w:tcW w:w="900" w:type="dxa"/>
            <w:vAlign w:val="bottom"/>
            <w:tcBorders>
              <w:bottom w:val="single" w:sz="8" w:color="auto"/>
            </w:tcBorders>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88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170"/>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ind w:right="188"/>
              <w:spacing w:after="0" w:line="169" w:lineRule="exact"/>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167"/>
              <w:spacing w:after="0" w:line="169" w:lineRule="exact"/>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6"/>
                <w:szCs w:val="16"/>
                <w:b w:val="1"/>
                <w:bCs w:val="1"/>
                <w:color w:val="auto"/>
              </w:rPr>
              <w:t>2010</w:t>
            </w:r>
          </w:p>
        </w:tc>
      </w:tr>
      <w:tr>
        <w:trPr>
          <w:trHeight w:val="237"/>
        </w:trPr>
        <w:tc>
          <w:tcPr>
            <w:tcW w:w="5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60" w:type="dxa"/>
            <w:vAlign w:val="bottom"/>
            <w:gridSpan w:val="7"/>
          </w:tcPr>
          <w:p>
            <w:pPr>
              <w:jc w:val="center"/>
              <w:spacing w:after="0"/>
              <w:rPr>
                <w:sz w:val="20"/>
                <w:szCs w:val="20"/>
                <w:color w:val="auto"/>
              </w:rPr>
            </w:pPr>
            <w:r>
              <w:rPr>
                <w:rFonts w:ascii="Arial" w:cs="Arial" w:eastAsia="Arial" w:hAnsi="Arial"/>
                <w:sz w:val="16"/>
                <w:szCs w:val="16"/>
                <w:b w:val="1"/>
                <w:bCs w:val="1"/>
                <w:color w:val="auto"/>
                <w:w w:val="98"/>
              </w:rPr>
              <w:t>(Dollars in millions, except per share amounts)</w:t>
            </w:r>
          </w:p>
        </w:tc>
        <w:tc>
          <w:tcPr>
            <w:tcW w:w="900" w:type="dxa"/>
            <w:vAlign w:val="bottom"/>
          </w:tcPr>
          <w:p>
            <w:pPr>
              <w:spacing w:after="0"/>
              <w:rPr>
                <w:sz w:val="20"/>
                <w:szCs w:val="20"/>
                <w:color w:val="auto"/>
              </w:rPr>
            </w:pP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Results of Operations</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Net sales</w:t>
            </w:r>
          </w:p>
        </w:tc>
        <w:tc>
          <w:tcPr>
            <w:tcW w:w="880" w:type="dxa"/>
            <w:vAlign w:val="bottom"/>
          </w:tcPr>
          <w:p>
            <w:pPr>
              <w:jc w:val="right"/>
              <w:spacing w:after="0"/>
              <w:rPr>
                <w:sz w:val="20"/>
                <w:szCs w:val="20"/>
                <w:color w:val="auto"/>
              </w:rPr>
            </w:pPr>
            <w:r>
              <w:rPr>
                <w:rFonts w:ascii="Arial" w:cs="Arial" w:eastAsia="Arial" w:hAnsi="Arial"/>
                <w:sz w:val="19"/>
                <w:szCs w:val="19"/>
                <w:color w:val="auto"/>
              </w:rPr>
              <w:t>$ 40,306</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$ 39,055</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$ 37,665</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$ 36,529</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  32,350</w:t>
            </w: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Amounts attributable to Honeywell:</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16"/>
        </w:trPr>
        <w:tc>
          <w:tcPr>
            <w:tcW w:w="5780" w:type="dxa"/>
            <w:vAlign w:val="bottom"/>
          </w:tcPr>
          <w:p>
            <w:pPr>
              <w:ind w:left="360"/>
              <w:spacing w:after="0" w:line="216" w:lineRule="exact"/>
              <w:rPr>
                <w:sz w:val="20"/>
                <w:szCs w:val="20"/>
                <w:color w:val="auto"/>
              </w:rPr>
            </w:pPr>
            <w:r>
              <w:rPr>
                <w:rFonts w:ascii="Arial" w:cs="Arial" w:eastAsia="Arial" w:hAnsi="Arial"/>
                <w:sz w:val="19"/>
                <w:szCs w:val="19"/>
                <w:color w:val="auto"/>
              </w:rPr>
              <w:t>Income from continuing operations less net income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780" w:type="dxa"/>
            <w:vAlign w:val="bottom"/>
          </w:tcPr>
          <w:p>
            <w:pPr>
              <w:ind w:left="540"/>
              <w:spacing w:after="0" w:line="216" w:lineRule="exact"/>
              <w:rPr>
                <w:sz w:val="20"/>
                <w:szCs w:val="20"/>
                <w:color w:val="auto"/>
              </w:rPr>
            </w:pPr>
            <w:r>
              <w:rPr>
                <w:rFonts w:ascii="Arial" w:cs="Arial" w:eastAsia="Arial" w:hAnsi="Arial"/>
                <w:sz w:val="19"/>
                <w:szCs w:val="19"/>
                <w:color w:val="auto"/>
              </w:rPr>
              <w:t>attributable to the noncontrolling interest</w:t>
            </w:r>
          </w:p>
        </w:tc>
        <w:tc>
          <w:tcPr>
            <w:tcW w:w="880" w:type="dxa"/>
            <w:vAlign w:val="bottom"/>
          </w:tcPr>
          <w:p>
            <w:pPr>
              <w:jc w:val="right"/>
              <w:spacing w:after="0" w:line="216" w:lineRule="exact"/>
              <w:rPr>
                <w:sz w:val="20"/>
                <w:szCs w:val="20"/>
                <w:color w:val="auto"/>
              </w:rPr>
            </w:pPr>
            <w:r>
              <w:rPr>
                <w:rFonts w:ascii="Arial" w:cs="Arial" w:eastAsia="Arial" w:hAnsi="Arial"/>
                <w:sz w:val="19"/>
                <w:szCs w:val="19"/>
                <w:color w:val="auto"/>
              </w:rPr>
              <w:t>4,239</w:t>
            </w:r>
          </w:p>
        </w:tc>
        <w:tc>
          <w:tcPr>
            <w:tcW w:w="116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3,924</w:t>
            </w:r>
          </w:p>
        </w:tc>
        <w:tc>
          <w:tcPr>
            <w:tcW w:w="120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2,926</w:t>
            </w:r>
          </w:p>
        </w:tc>
        <w:tc>
          <w:tcPr>
            <w:tcW w:w="118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1,858</w:t>
            </w:r>
          </w:p>
        </w:tc>
        <w:tc>
          <w:tcPr>
            <w:tcW w:w="320" w:type="dxa"/>
            <w:vAlign w:val="bottom"/>
          </w:tcPr>
          <w:p>
            <w:pPr>
              <w:spacing w:after="0"/>
              <w:rPr>
                <w:sz w:val="18"/>
                <w:szCs w:val="18"/>
                <w:color w:val="auto"/>
              </w:rPr>
            </w:pPr>
          </w:p>
        </w:tc>
        <w:tc>
          <w:tcPr>
            <w:tcW w:w="900" w:type="dxa"/>
            <w:vAlign w:val="bottom"/>
          </w:tcPr>
          <w:p>
            <w:pPr>
              <w:jc w:val="right"/>
              <w:spacing w:after="0" w:line="216" w:lineRule="exact"/>
              <w:rPr>
                <w:sz w:val="20"/>
                <w:szCs w:val="20"/>
                <w:color w:val="auto"/>
              </w:rPr>
            </w:pPr>
            <w:r>
              <w:rPr>
                <w:rFonts w:ascii="Arial" w:cs="Arial" w:eastAsia="Arial" w:hAnsi="Arial"/>
                <w:sz w:val="19"/>
                <w:szCs w:val="19"/>
                <w:color w:val="auto"/>
              </w:rPr>
              <w:t>1,944</w:t>
            </w:r>
          </w:p>
        </w:tc>
      </w:tr>
      <w:tr>
        <w:trPr>
          <w:trHeight w:val="243"/>
        </w:trPr>
        <w:tc>
          <w:tcPr>
            <w:tcW w:w="5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Income from discontinued operations(1)</w:t>
            </w: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209</w:t>
            </w:r>
          </w:p>
        </w:tc>
        <w:tc>
          <w:tcPr>
            <w:tcW w:w="320" w:type="dxa"/>
            <w:vAlign w:val="bottom"/>
            <w:shd w:val="clear" w:color="auto" w:fill="E5FFFF"/>
          </w:tcPr>
          <w:p>
            <w:pPr>
              <w:spacing w:after="0"/>
              <w:rPr>
                <w:sz w:val="21"/>
                <w:szCs w:val="21"/>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78</w:t>
            </w:r>
          </w:p>
        </w:tc>
      </w:tr>
      <w:tr>
        <w:trPr>
          <w:trHeight w:val="250"/>
        </w:trPr>
        <w:tc>
          <w:tcPr>
            <w:tcW w:w="5780" w:type="dxa"/>
            <w:vAlign w:val="bottom"/>
          </w:tcPr>
          <w:p>
            <w:pPr>
              <w:ind w:left="360"/>
              <w:spacing w:after="0"/>
              <w:rPr>
                <w:sz w:val="20"/>
                <w:szCs w:val="20"/>
                <w:color w:val="auto"/>
              </w:rPr>
            </w:pPr>
            <w:r>
              <w:rPr>
                <w:rFonts w:ascii="Arial" w:cs="Arial" w:eastAsia="Arial" w:hAnsi="Arial"/>
                <w:sz w:val="19"/>
                <w:szCs w:val="19"/>
                <w:color w:val="auto"/>
              </w:rPr>
              <w:t>Net income attributable to Honeywell</w:t>
            </w:r>
          </w:p>
        </w:tc>
        <w:tc>
          <w:tcPr>
            <w:tcW w:w="880" w:type="dxa"/>
            <w:vAlign w:val="bottom"/>
          </w:tcPr>
          <w:p>
            <w:pPr>
              <w:jc w:val="right"/>
              <w:spacing w:after="0"/>
              <w:rPr>
                <w:sz w:val="20"/>
                <w:szCs w:val="20"/>
                <w:color w:val="auto"/>
              </w:rPr>
            </w:pPr>
            <w:r>
              <w:rPr>
                <w:rFonts w:ascii="Arial" w:cs="Arial" w:eastAsia="Arial" w:hAnsi="Arial"/>
                <w:sz w:val="19"/>
                <w:szCs w:val="19"/>
                <w:color w:val="auto"/>
              </w:rPr>
              <w:t>4,239</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3,924</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2,926</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2,067</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2,022</w:t>
            </w: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Earnings Per Common Share</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9"/>
                <w:szCs w:val="19"/>
                <w:color w:val="auto"/>
              </w:rPr>
              <w:t>Basic:</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5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Income from continuing operations</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5.40</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4.99</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3.74</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2.38</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2.51</w:t>
            </w:r>
          </w:p>
        </w:tc>
      </w:tr>
      <w:tr>
        <w:trPr>
          <w:trHeight w:val="250"/>
        </w:trPr>
        <w:tc>
          <w:tcPr>
            <w:tcW w:w="5780" w:type="dxa"/>
            <w:vAlign w:val="bottom"/>
          </w:tcPr>
          <w:p>
            <w:pPr>
              <w:ind w:left="360"/>
              <w:spacing w:after="0"/>
              <w:rPr>
                <w:sz w:val="20"/>
                <w:szCs w:val="20"/>
                <w:color w:val="auto"/>
              </w:rPr>
            </w:pPr>
            <w:r>
              <w:rPr>
                <w:rFonts w:ascii="Arial" w:cs="Arial" w:eastAsia="Arial" w:hAnsi="Arial"/>
                <w:sz w:val="19"/>
                <w:szCs w:val="19"/>
                <w:color w:val="auto"/>
              </w:rPr>
              <w:t>Income from discontinued operations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0.27</w:t>
            </w:r>
          </w:p>
        </w:tc>
        <w:tc>
          <w:tcPr>
            <w:tcW w:w="3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0.10</w:t>
            </w:r>
          </w:p>
        </w:tc>
      </w:tr>
      <w:tr>
        <w:trPr>
          <w:trHeight w:val="243"/>
        </w:trPr>
        <w:tc>
          <w:tcPr>
            <w:tcW w:w="5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Net income attributable to Honeywell</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5.40</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4.99</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3.74</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2.65</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2.61</w:t>
            </w: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9"/>
                <w:szCs w:val="19"/>
                <w:color w:val="auto"/>
              </w:rPr>
              <w:t>Assuming dilution:</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5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Income from continuing operations</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5.33</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4.92</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3.69</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2.35</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2.49</w:t>
            </w:r>
          </w:p>
        </w:tc>
      </w:tr>
      <w:tr>
        <w:trPr>
          <w:trHeight w:val="250"/>
        </w:trPr>
        <w:tc>
          <w:tcPr>
            <w:tcW w:w="5780" w:type="dxa"/>
            <w:vAlign w:val="bottom"/>
          </w:tcPr>
          <w:p>
            <w:pPr>
              <w:ind w:left="360"/>
              <w:spacing w:after="0"/>
              <w:rPr>
                <w:sz w:val="20"/>
                <w:szCs w:val="20"/>
                <w:color w:val="auto"/>
              </w:rPr>
            </w:pPr>
            <w:r>
              <w:rPr>
                <w:rFonts w:ascii="Arial" w:cs="Arial" w:eastAsia="Arial" w:hAnsi="Arial"/>
                <w:sz w:val="19"/>
                <w:szCs w:val="19"/>
                <w:color w:val="auto"/>
              </w:rPr>
              <w:t>Income from discontinued operations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0.26</w:t>
            </w:r>
          </w:p>
        </w:tc>
        <w:tc>
          <w:tcPr>
            <w:tcW w:w="3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0.10</w:t>
            </w:r>
          </w:p>
        </w:tc>
      </w:tr>
      <w:tr>
        <w:trPr>
          <w:trHeight w:val="243"/>
        </w:trPr>
        <w:tc>
          <w:tcPr>
            <w:tcW w:w="5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Net income attributable to Honeywell</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5.33</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4.92</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3.69</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2.61</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2.59</w:t>
            </w: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Dividends per share</w:t>
            </w:r>
          </w:p>
        </w:tc>
        <w:tc>
          <w:tcPr>
            <w:tcW w:w="880" w:type="dxa"/>
            <w:vAlign w:val="bottom"/>
          </w:tcPr>
          <w:p>
            <w:pPr>
              <w:jc w:val="right"/>
              <w:spacing w:after="0"/>
              <w:rPr>
                <w:sz w:val="20"/>
                <w:szCs w:val="20"/>
                <w:color w:val="auto"/>
              </w:rPr>
            </w:pPr>
            <w:r>
              <w:rPr>
                <w:rFonts w:ascii="Arial" w:cs="Arial" w:eastAsia="Arial" w:hAnsi="Arial"/>
                <w:sz w:val="19"/>
                <w:szCs w:val="19"/>
                <w:color w:val="auto"/>
              </w:rPr>
              <w:t>1.87</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1.68</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1.53</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1.37</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1.21</w:t>
            </w:r>
          </w:p>
        </w:tc>
      </w:tr>
      <w:tr>
        <w:trPr>
          <w:trHeight w:val="216"/>
        </w:trPr>
        <w:tc>
          <w:tcPr>
            <w:tcW w:w="578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Financial Position at Year-End</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Property, plant and equipment—net</w:t>
            </w:r>
          </w:p>
        </w:tc>
        <w:tc>
          <w:tcPr>
            <w:tcW w:w="880" w:type="dxa"/>
            <w:vAlign w:val="bottom"/>
          </w:tcPr>
          <w:p>
            <w:pPr>
              <w:jc w:val="right"/>
              <w:spacing w:after="0"/>
              <w:rPr>
                <w:sz w:val="20"/>
                <w:szCs w:val="20"/>
                <w:color w:val="auto"/>
              </w:rPr>
            </w:pPr>
            <w:r>
              <w:rPr>
                <w:rFonts w:ascii="Arial" w:cs="Arial" w:eastAsia="Arial" w:hAnsi="Arial"/>
                <w:sz w:val="19"/>
                <w:szCs w:val="19"/>
                <w:color w:val="auto"/>
              </w:rPr>
              <w:t>5,383</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5,278</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5,001</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4,804</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4,724</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Total assets</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45,451</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45,435</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41,853</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39,808</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37,834</w:t>
            </w: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Short-term debt</w:t>
            </w:r>
          </w:p>
        </w:tc>
        <w:tc>
          <w:tcPr>
            <w:tcW w:w="880" w:type="dxa"/>
            <w:vAlign w:val="bottom"/>
          </w:tcPr>
          <w:p>
            <w:pPr>
              <w:jc w:val="right"/>
              <w:spacing w:after="0"/>
              <w:rPr>
                <w:sz w:val="20"/>
                <w:szCs w:val="20"/>
                <w:color w:val="auto"/>
              </w:rPr>
            </w:pPr>
            <w:r>
              <w:rPr>
                <w:rFonts w:ascii="Arial" w:cs="Arial" w:eastAsia="Arial" w:hAnsi="Arial"/>
                <w:sz w:val="19"/>
                <w:szCs w:val="19"/>
                <w:color w:val="auto"/>
              </w:rPr>
              <w:t>2,637</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2,028</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1,101</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674</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889</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Long-term debt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6,046</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6,801</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6,395</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6,881</w:t>
            </w:r>
          </w:p>
        </w:tc>
        <w:tc>
          <w:tcPr>
            <w:tcW w:w="320" w:type="dxa"/>
            <w:vAlign w:val="bottom"/>
            <w:shd w:val="clear" w:color="auto" w:fill="E5FFFF"/>
          </w:tcPr>
          <w:p>
            <w:pPr>
              <w:spacing w:after="0"/>
              <w:rPr>
                <w:sz w:val="21"/>
                <w:szCs w:val="21"/>
                <w:color w:val="auto"/>
              </w:rPr>
            </w:pP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5,755</w:t>
            </w:r>
          </w:p>
        </w:tc>
      </w:tr>
      <w:tr>
        <w:trPr>
          <w:trHeight w:val="243"/>
        </w:trPr>
        <w:tc>
          <w:tcPr>
            <w:tcW w:w="5780" w:type="dxa"/>
            <w:vAlign w:val="bottom"/>
          </w:tcPr>
          <w:p>
            <w:pPr>
              <w:spacing w:after="0"/>
              <w:rPr>
                <w:sz w:val="20"/>
                <w:szCs w:val="20"/>
                <w:color w:val="auto"/>
              </w:rPr>
            </w:pPr>
            <w:r>
              <w:rPr>
                <w:rFonts w:ascii="Arial" w:cs="Arial" w:eastAsia="Arial" w:hAnsi="Arial"/>
                <w:sz w:val="19"/>
                <w:szCs w:val="19"/>
                <w:color w:val="auto"/>
              </w:rPr>
              <w:t>Total debt</w:t>
            </w:r>
          </w:p>
        </w:tc>
        <w:tc>
          <w:tcPr>
            <w:tcW w:w="880" w:type="dxa"/>
            <w:vAlign w:val="bottom"/>
          </w:tcPr>
          <w:p>
            <w:pPr>
              <w:jc w:val="right"/>
              <w:spacing w:after="0"/>
              <w:rPr>
                <w:sz w:val="20"/>
                <w:szCs w:val="20"/>
                <w:color w:val="auto"/>
              </w:rPr>
            </w:pPr>
            <w:r>
              <w:rPr>
                <w:rFonts w:ascii="Arial" w:cs="Arial" w:eastAsia="Arial" w:hAnsi="Arial"/>
                <w:sz w:val="19"/>
                <w:szCs w:val="19"/>
                <w:color w:val="auto"/>
              </w:rPr>
              <w:t>8,683</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8,829</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7,496</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7,555</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6,644</w:t>
            </w:r>
          </w:p>
        </w:tc>
      </w:tr>
      <w:tr>
        <w:trPr>
          <w:trHeight w:val="243"/>
        </w:trPr>
        <w:tc>
          <w:tcPr>
            <w:tcW w:w="5780" w:type="dxa"/>
            <w:vAlign w:val="bottom"/>
            <w:shd w:val="clear" w:color="auto" w:fill="E5FFFF"/>
          </w:tcPr>
          <w:p>
            <w:pPr>
              <w:spacing w:after="0"/>
              <w:rPr>
                <w:sz w:val="20"/>
                <w:szCs w:val="20"/>
                <w:color w:val="auto"/>
              </w:rPr>
            </w:pPr>
            <w:r>
              <w:rPr>
                <w:rFonts w:ascii="Arial" w:cs="Arial" w:eastAsia="Arial" w:hAnsi="Arial"/>
                <w:sz w:val="19"/>
                <w:szCs w:val="19"/>
                <w:color w:val="auto"/>
              </w:rPr>
              <w:t>Redeemable noncontrolling interest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219</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167</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150</w:t>
            </w:r>
          </w:p>
        </w:tc>
        <w:tc>
          <w:tcPr>
            <w:tcW w:w="300" w:type="dxa"/>
            <w:vAlign w:val="bottom"/>
            <w:shd w:val="clear" w:color="auto" w:fill="E5FFFF"/>
          </w:tcPr>
          <w:p>
            <w:pPr>
              <w:spacing w:after="0"/>
              <w:rPr>
                <w:sz w:val="21"/>
                <w:szCs w:val="21"/>
                <w:color w:val="auto"/>
              </w:rPr>
            </w:pPr>
          </w:p>
        </w:tc>
        <w:tc>
          <w:tcPr>
            <w:tcW w:w="1200" w:type="dxa"/>
            <w:vAlign w:val="bottom"/>
            <w:gridSpan w:val="2"/>
            <w:shd w:val="clear" w:color="auto" w:fill="E5FFFF"/>
          </w:tcPr>
          <w:p>
            <w:pPr>
              <w:jc w:val="right"/>
              <w:ind w:right="360"/>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61"/>
        </w:trPr>
        <w:tc>
          <w:tcPr>
            <w:tcW w:w="5780" w:type="dxa"/>
            <w:vAlign w:val="bottom"/>
          </w:tcPr>
          <w:p>
            <w:pPr>
              <w:spacing w:after="0"/>
              <w:rPr>
                <w:sz w:val="20"/>
                <w:szCs w:val="20"/>
                <w:color w:val="auto"/>
              </w:rPr>
            </w:pPr>
            <w:r>
              <w:rPr>
                <w:rFonts w:ascii="Arial" w:cs="Arial" w:eastAsia="Arial" w:hAnsi="Arial"/>
                <w:sz w:val="19"/>
                <w:szCs w:val="19"/>
                <w:color w:val="auto"/>
              </w:rPr>
              <w:t>Shareowners’ equity</w:t>
            </w:r>
          </w:p>
        </w:tc>
        <w:tc>
          <w:tcPr>
            <w:tcW w:w="880" w:type="dxa"/>
            <w:vAlign w:val="bottom"/>
          </w:tcPr>
          <w:p>
            <w:pPr>
              <w:jc w:val="right"/>
              <w:spacing w:after="0"/>
              <w:rPr>
                <w:sz w:val="20"/>
                <w:szCs w:val="20"/>
                <w:color w:val="auto"/>
              </w:rPr>
            </w:pPr>
            <w:r>
              <w:rPr>
                <w:rFonts w:ascii="Arial" w:cs="Arial" w:eastAsia="Arial" w:hAnsi="Arial"/>
                <w:sz w:val="19"/>
                <w:szCs w:val="19"/>
                <w:color w:val="auto"/>
              </w:rPr>
              <w:t>17,784</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17,579</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13,065</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10,902</w:t>
            </w: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10,787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420" w:hanging="338"/>
        <w:spacing w:after="0" w:line="253" w:lineRule="auto"/>
        <w:tabs>
          <w:tab w:leader="none" w:pos="420" w:val="left"/>
        </w:tabs>
        <w:numPr>
          <w:ilvl w:val="0"/>
          <w:numId w:val="5"/>
        </w:numPr>
        <w:rPr>
          <w:rFonts w:ascii="Arial" w:cs="Arial" w:eastAsia="Arial" w:hAnsi="Arial"/>
          <w:sz w:val="19"/>
          <w:szCs w:val="19"/>
          <w:color w:val="auto"/>
        </w:rPr>
      </w:pPr>
      <w:r>
        <w:rPr>
          <w:rFonts w:ascii="Arial" w:cs="Arial" w:eastAsia="Arial" w:hAnsi="Arial"/>
          <w:sz w:val="19"/>
          <w:szCs w:val="19"/>
          <w:color w:val="auto"/>
        </w:rPr>
        <w:t>For the year ended December 31, 2011, income from discontinued operations includes a $178 million, net of tax gain, resulting from the sale of the Consumer Products Group business.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6" w:name="page17"/>
    <w:bookmarkEnd w:id="16"/>
    <w:p>
      <w:pPr>
        <w:spacing w:after="0"/>
        <w:rPr>
          <w:sz w:val="20"/>
          <w:szCs w:val="20"/>
          <w:color w:val="auto"/>
        </w:rPr>
      </w:pPr>
      <w:r>
        <w:rPr>
          <w:rFonts w:ascii="Arial" w:cs="Arial" w:eastAsia="Arial" w:hAnsi="Arial"/>
          <w:sz w:val="23"/>
          <w:szCs w:val="23"/>
          <w:b w:val="1"/>
          <w:bCs w:val="1"/>
          <w:color w:val="auto"/>
        </w:rPr>
        <w:t>Item 7. Management’s Discussion and Analysis of Financial Condition and Results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(Dollars in millions, except per share amounts)</w:t>
      </w:r>
    </w:p>
    <w:p>
      <w:pPr>
        <w:spacing w:after="0" w:line="130"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(MD&amp;A) is intended to help the reader understand the results of operations and financial condition of Honeywell International Inc. and its consolidated subsidiaries (Honeywell or the Company) for the three years ended December 31, 2014. All references to Notes relate to Notes to Financial Statements in Item 8. Financial Statements and Supplementary Data.</w:t>
      </w:r>
    </w:p>
    <w:p>
      <w:pPr>
        <w:spacing w:after="0" w:line="9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In April 2014, the Company announced the realignment of our Honeywell Process Solutions business from Automation and Control Solutions (ACS) into Performance Materials and Technologies (PMT). The Company has reported its financial performance based on the inclusion of Honeywell Process Solutions in Performance Materials and Technologies for all periods presented.</w:t>
      </w:r>
    </w:p>
    <w:p>
      <w:pPr>
        <w:spacing w:after="0" w:line="8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In July 2014, following the closing of the sale of its Friction Materials business, the Company announced the realignment of its Transportation Systems business segment with its Aerospace business segment. Under the realigned segment reporting structure, the Company has three business segments: Aerospace, Automation and Control Solutions and Performance Materials and Technologies. The Company has reported its financial performance based on the inclusion of Transportation Systems in Aerospace for all periods presented.</w:t>
      </w:r>
    </w:p>
    <w:p>
      <w:pPr>
        <w:spacing w:after="0" w:line="91" w:lineRule="exact"/>
        <w:rPr>
          <w:sz w:val="20"/>
          <w:szCs w:val="20"/>
          <w:color w:val="auto"/>
        </w:rPr>
      </w:pPr>
    </w:p>
    <w:p>
      <w:pPr>
        <w:jc w:val="both"/>
        <w:ind w:right="20" w:firstLine="357"/>
        <w:spacing w:after="0" w:line="253" w:lineRule="auto"/>
        <w:rPr>
          <w:sz w:val="20"/>
          <w:szCs w:val="20"/>
          <w:color w:val="auto"/>
        </w:rPr>
      </w:pPr>
      <w:r>
        <w:rPr>
          <w:rFonts w:ascii="Arial" w:cs="Arial" w:eastAsia="Arial" w:hAnsi="Arial"/>
          <w:sz w:val="19"/>
          <w:szCs w:val="19"/>
          <w:color w:val="auto"/>
        </w:rPr>
        <w:t>These realignments have no impact on the Company’s historical consolidated financial position, results of operations or cash flows. Prior period amounts have been reclassified to conform to current period presentation.</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SUMMARY</w:t>
      </w:r>
    </w:p>
    <w:p>
      <w:pPr>
        <w:spacing w:after="0" w:line="116"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For Honeywell, 2014 represented a year of strong performance despite a continued slow growth global environment. Honeywell’s 2014 revenues were $40.3 billion representing a 3% improvement compared to 2013 revenues of $39.1 billion. Our segment profit improved by 5%, more than one and one-half times revenue growth, evidencing the Company’s continued focus on operational excellence. We achieved strong segment profit expansion while reinvesting in our businesses through seed planting and continued focus on effective repositioning. The Company’s operational excellence and ability to expand profit faster than sales growth is due in part to a consistent, methodical application of several key internal business processes, the Honeywell Enablers, which drive improvements in organizational efficiency and service quality, bringing world-class products and services to markets faster and more cost effectively for our customers. We continued to execute on our key strategies for growth including penetration of high growth regions and investments in high return capital expenditures and new products and technologies, while maintaining our cost disciplines and leveraging the Honeywell Enablers.</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Company continues to invest for future growth as measured by a number of important metrics:</w:t>
      </w:r>
    </w:p>
    <w:p>
      <w:pPr>
        <w:spacing w:after="0" w:line="92" w:lineRule="exact"/>
        <w:rPr>
          <w:sz w:val="20"/>
          <w:szCs w:val="20"/>
          <w:color w:val="auto"/>
        </w:rPr>
      </w:pPr>
    </w:p>
    <w:p>
      <w:pPr>
        <w:jc w:val="both"/>
        <w:ind w:left="540" w:hanging="168"/>
        <w:spacing w:after="0" w:line="245"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R&amp;D spending at 4.7% of revenues was targeted at such high growth areas as natural gas processing, low global warming refrigerants and blowing agents, avionics equipment and technology, connected voice and wireless control devices and technologies, software and mobile app development and data science to deliver value.</w:t>
      </w:r>
    </w:p>
    <w:p>
      <w:pPr>
        <w:spacing w:after="0" w:line="73"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Capital expenditures of $1,094 million (in addition to $947 million in 2013) principally related to the construction and expansion of Aerospace and PMT manufacturing facilities, as well as continued investment in our ACS facilities.</w:t>
      </w:r>
    </w:p>
    <w:p>
      <w:pPr>
        <w:spacing w:after="0" w:line="66"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Company recognized $184 million of charges relating to repositioning actions to support sustainable productivity in years to come.</w:t>
      </w:r>
    </w:p>
    <w:p>
      <w:pPr>
        <w:spacing w:after="0" w:line="66"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Company continued to monitor its portfolio of businesses to ensure they fit our long-term strategic plan. In 2014, the Company sold its Friction Materials business for approximately $155 million. In addition, the Company signed a definitive agreement to acquire Datamax-O’Neil,</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17" w:name="page18"/>
    <w:bookmarkEnd w:id="17"/>
    <w:p>
      <w:pPr>
        <w:ind w:left="540"/>
        <w:spacing w:after="0"/>
        <w:rPr>
          <w:sz w:val="20"/>
          <w:szCs w:val="20"/>
          <w:color w:val="auto"/>
        </w:rPr>
      </w:pPr>
      <w:r>
        <w:rPr>
          <w:rFonts w:ascii="Arial" w:cs="Arial" w:eastAsia="Arial" w:hAnsi="Arial"/>
          <w:sz w:val="19"/>
          <w:szCs w:val="19"/>
          <w:color w:val="auto"/>
        </w:rPr>
        <w:t>a global manufacturer of fixed and mobile printers, for $185 million (the transaction is expected to close in early 2015).</w:t>
      </w:r>
    </w:p>
    <w:p>
      <w:pPr>
        <w:spacing w:after="0" w:line="92" w:lineRule="exact"/>
        <w:rPr>
          <w:sz w:val="20"/>
          <w:szCs w:val="20"/>
          <w:color w:val="auto"/>
        </w:rPr>
      </w:pPr>
    </w:p>
    <w:p>
      <w:pPr>
        <w:jc w:val="both"/>
        <w:ind w:left="540" w:hanging="168"/>
        <w:spacing w:after="0" w:line="245"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Expansion of Honeywell’s presence and sales in high growth regions and countries such as China, India, Latin America, the Middle East and Eastern Europe. Sales to customers outside the United States increased by 5% in 2014 and now account for approximately 55% of total revenues.</w:t>
      </w:r>
    </w:p>
    <w:p>
      <w:pPr>
        <w:spacing w:after="0" w:line="73"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7"/>
        </w:numPr>
        <w:rPr>
          <w:rFonts w:ascii="Arial" w:cs="Arial" w:eastAsia="Arial" w:hAnsi="Arial"/>
          <w:sz w:val="19"/>
          <w:szCs w:val="19"/>
          <w:color w:val="auto"/>
        </w:rPr>
      </w:pPr>
      <w:r>
        <w:rPr>
          <w:rFonts w:ascii="Arial" w:cs="Arial" w:eastAsia="Arial" w:hAnsi="Arial"/>
          <w:sz w:val="19"/>
          <w:szCs w:val="19"/>
          <w:color w:val="auto"/>
        </w:rPr>
        <w:t>Operating cash flow grew by 16% in 2014 to $5,024 million. This operating cash flow performance enabled us to invest $1,094 million in capital expenditures, repay $600 million in long-term debt, provide a 15% increase in the Company’s cash dividend rate (vs. 2013) and repurchase 10.0 million shares of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CONSOLIDATED RESULTS OF OPERATIONS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Net Sales</w:t>
      </w: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920" w:type="dxa"/>
            <w:vAlign w:val="bottom"/>
            <w:tcBorders>
              <w:bottom w:val="single" w:sz="8" w:color="auto"/>
            </w:tcBorders>
          </w:tcPr>
          <w:p>
            <w:pPr>
              <w:jc w:val="right"/>
              <w:ind w:right="189"/>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6"/>
                <w:szCs w:val="16"/>
                <w:color w:val="auto"/>
              </w:rPr>
            </w:pPr>
          </w:p>
        </w:tc>
        <w:tc>
          <w:tcPr>
            <w:tcW w:w="92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40,306</w:t>
            </w:r>
          </w:p>
        </w:tc>
        <w:tc>
          <w:tcPr>
            <w:tcW w:w="122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39,055</w:t>
            </w:r>
          </w:p>
        </w:tc>
        <w:tc>
          <w:tcPr>
            <w:tcW w:w="28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80" w:type="dxa"/>
            <w:vAlign w:val="bottom"/>
            <w:shd w:val="clear" w:color="auto" w:fill="E5FFFF"/>
          </w:tcPr>
          <w:p>
            <w:pPr>
              <w:jc w:val="right"/>
              <w:ind w:right="63"/>
              <w:spacing w:after="0"/>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37,665</w:t>
            </w:r>
          </w:p>
        </w:tc>
        <w:tc>
          <w:tcPr>
            <w:tcW w:w="0" w:type="dxa"/>
            <w:vAlign w:val="bottom"/>
          </w:tcPr>
          <w:p>
            <w:pPr>
              <w:spacing w:after="0"/>
              <w:rPr>
                <w:sz w:val="1"/>
                <w:szCs w:val="1"/>
                <w:color w:val="auto"/>
              </w:rPr>
            </w:pPr>
          </w:p>
        </w:tc>
      </w:tr>
      <w:tr>
        <w:trPr>
          <w:trHeight w:val="261"/>
        </w:trPr>
        <w:tc>
          <w:tcPr>
            <w:tcW w:w="140" w:type="dxa"/>
            <w:vAlign w:val="bottom"/>
          </w:tcPr>
          <w:p>
            <w:pPr>
              <w:spacing w:after="0"/>
              <w:rPr>
                <w:sz w:val="22"/>
                <w:szCs w:val="22"/>
                <w:color w:val="auto"/>
              </w:rPr>
            </w:pPr>
          </w:p>
        </w:tc>
        <w:tc>
          <w:tcPr>
            <w:tcW w:w="6980" w:type="dxa"/>
            <w:vAlign w:val="bottom"/>
          </w:tcPr>
          <w:p>
            <w:pPr>
              <w:spacing w:after="0"/>
              <w:rPr>
                <w:sz w:val="20"/>
                <w:szCs w:val="20"/>
                <w:color w:val="auto"/>
              </w:rPr>
            </w:pPr>
            <w:r>
              <w:rPr>
                <w:rFonts w:ascii="Arial" w:cs="Arial" w:eastAsia="Arial" w:hAnsi="Arial"/>
                <w:sz w:val="19"/>
                <w:szCs w:val="19"/>
                <w:color w:val="auto"/>
              </w:rPr>
              <w:t>% change compared with prior period</w:t>
            </w:r>
          </w:p>
        </w:tc>
        <w:tc>
          <w:tcPr>
            <w:tcW w:w="920" w:type="dxa"/>
            <w:vAlign w:val="bottom"/>
          </w:tcPr>
          <w:p>
            <w:pPr>
              <w:jc w:val="right"/>
              <w:ind w:right="229"/>
              <w:spacing w:after="0"/>
              <w:rPr>
                <w:sz w:val="20"/>
                <w:szCs w:val="20"/>
                <w:color w:val="auto"/>
              </w:rPr>
            </w:pPr>
            <w:r>
              <w:rPr>
                <w:rFonts w:ascii="Arial" w:cs="Arial" w:eastAsia="Arial" w:hAnsi="Arial"/>
                <w:sz w:val="19"/>
                <w:szCs w:val="19"/>
                <w:color w:val="auto"/>
              </w:rPr>
              <w:t>3%</w:t>
            </w:r>
          </w:p>
        </w:tc>
        <w:tc>
          <w:tcPr>
            <w:tcW w:w="1220" w:type="dxa"/>
            <w:vAlign w:val="bottom"/>
            <w:gridSpan w:val="3"/>
          </w:tcPr>
          <w:p>
            <w:pPr>
              <w:jc w:val="right"/>
              <w:ind w:right="235"/>
              <w:spacing w:after="0"/>
              <w:rPr>
                <w:sz w:val="20"/>
                <w:szCs w:val="20"/>
                <w:color w:val="auto"/>
              </w:rPr>
            </w:pPr>
            <w:r>
              <w:rPr>
                <w:rFonts w:ascii="Arial" w:cs="Arial" w:eastAsia="Arial" w:hAnsi="Arial"/>
                <w:sz w:val="19"/>
                <w:szCs w:val="19"/>
                <w:color w:val="auto"/>
              </w:rPr>
              <w:t>4%</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7120" w:type="dxa"/>
            <w:vAlign w:val="bottom"/>
            <w:gridSpan w:val="2"/>
          </w:tcPr>
          <w:p>
            <w:pPr>
              <w:spacing w:after="0"/>
              <w:rPr>
                <w:sz w:val="20"/>
                <w:szCs w:val="20"/>
                <w:color w:val="auto"/>
              </w:rPr>
            </w:pPr>
            <w:r>
              <w:rPr>
                <w:rFonts w:ascii="Arial" w:cs="Arial" w:eastAsia="Arial" w:hAnsi="Arial"/>
                <w:sz w:val="19"/>
                <w:szCs w:val="19"/>
                <w:color w:val="auto"/>
              </w:rPr>
              <w:t>The change in net sales is attributable to the following:</w:t>
            </w:r>
          </w:p>
        </w:tc>
        <w:tc>
          <w:tcPr>
            <w:tcW w:w="920" w:type="dxa"/>
            <w:vAlign w:val="bottom"/>
          </w:tcPr>
          <w:p>
            <w:pPr>
              <w:spacing w:after="0"/>
              <w:rPr>
                <w:sz w:val="24"/>
                <w:szCs w:val="24"/>
                <w:color w:val="auto"/>
              </w:rPr>
            </w:pPr>
          </w:p>
        </w:tc>
        <w:tc>
          <w:tcPr>
            <w:tcW w:w="1500" w:type="dxa"/>
            <w:vAlign w:val="bottom"/>
            <w:gridSpan w:val="4"/>
            <w:vMerge w:val="restart"/>
          </w:tcPr>
          <w:p>
            <w:pPr>
              <w:jc w:val="right"/>
              <w:ind w:right="43"/>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vMerge w:val="restart"/>
          </w:tcPr>
          <w:p>
            <w:pPr>
              <w:jc w:val="right"/>
              <w:ind w:right="70"/>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Versus</w:t>
            </w:r>
          </w:p>
        </w:tc>
        <w:tc>
          <w:tcPr>
            <w:tcW w:w="28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b w:val="1"/>
                <w:bCs w:val="1"/>
                <w:color w:val="auto"/>
              </w:rPr>
              <w:t>Versus</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gridSpan w:val="2"/>
          </w:tcPr>
          <w:p>
            <w:pPr>
              <w:spacing w:after="0"/>
              <w:rPr>
                <w:sz w:val="16"/>
                <w:szCs w:val="16"/>
                <w:color w:val="auto"/>
              </w:rPr>
            </w:pPr>
          </w:p>
        </w:tc>
        <w:tc>
          <w:tcPr>
            <w:tcW w:w="6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6"/>
                <w:szCs w:val="16"/>
                <w:b w:val="1"/>
                <w:bCs w:val="1"/>
                <w:color w:val="auto"/>
              </w:rPr>
              <w:t>2013</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9"/>
                <w:szCs w:val="19"/>
                <w:color w:val="auto"/>
              </w:rPr>
              <w:t>Volume</w:t>
            </w:r>
          </w:p>
        </w:tc>
        <w:tc>
          <w:tcPr>
            <w:tcW w:w="920" w:type="dxa"/>
            <w:vAlign w:val="bottom"/>
            <w:shd w:val="clear" w:color="auto" w:fill="E5FFFF"/>
          </w:tcPr>
          <w:p>
            <w:pPr>
              <w:spacing w:after="0"/>
              <w:rPr>
                <w:sz w:val="20"/>
                <w:szCs w:val="20"/>
                <w:color w:val="auto"/>
              </w:rPr>
            </w:pPr>
          </w:p>
        </w:tc>
        <w:tc>
          <w:tcPr>
            <w:tcW w:w="15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68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980" w:type="dxa"/>
            <w:vAlign w:val="bottom"/>
          </w:tcPr>
          <w:p>
            <w:pPr>
              <w:spacing w:after="0"/>
              <w:rPr>
                <w:sz w:val="20"/>
                <w:szCs w:val="20"/>
                <w:color w:val="auto"/>
              </w:rPr>
            </w:pPr>
            <w:r>
              <w:rPr>
                <w:rFonts w:ascii="Arial" w:cs="Arial" w:eastAsia="Arial" w:hAnsi="Arial"/>
                <w:sz w:val="19"/>
                <w:szCs w:val="19"/>
                <w:color w:val="auto"/>
              </w:rPr>
              <w:t>Price</w:t>
            </w: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980" w:type="dxa"/>
            <w:vAlign w:val="bottom"/>
            <w:shd w:val="clear" w:color="auto" w:fill="E5FFFF"/>
          </w:tcPr>
          <w:p>
            <w:pPr>
              <w:spacing w:after="0"/>
              <w:rPr>
                <w:sz w:val="20"/>
                <w:szCs w:val="20"/>
                <w:color w:val="auto"/>
              </w:rPr>
            </w:pPr>
            <w:r>
              <w:rPr>
                <w:rFonts w:ascii="Arial" w:cs="Arial" w:eastAsia="Arial" w:hAnsi="Arial"/>
                <w:sz w:val="19"/>
                <w:szCs w:val="19"/>
                <w:color w:val="auto"/>
              </w:rPr>
              <w:t>Acquisitions/Divestitures</w:t>
            </w:r>
          </w:p>
        </w:tc>
        <w:tc>
          <w:tcPr>
            <w:tcW w:w="920" w:type="dxa"/>
            <w:vAlign w:val="bottom"/>
            <w:shd w:val="clear" w:color="auto" w:fill="E5FFFF"/>
          </w:tcPr>
          <w:p>
            <w:pPr>
              <w:spacing w:after="0"/>
              <w:rPr>
                <w:sz w:val="21"/>
                <w:szCs w:val="21"/>
                <w:color w:val="auto"/>
              </w:rPr>
            </w:pPr>
          </w:p>
        </w:tc>
        <w:tc>
          <w:tcPr>
            <w:tcW w:w="15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6980" w:type="dxa"/>
            <w:vAlign w:val="bottom"/>
          </w:tcPr>
          <w:p>
            <w:pPr>
              <w:spacing w:after="0"/>
              <w:rPr>
                <w:sz w:val="20"/>
                <w:szCs w:val="20"/>
                <w:color w:val="auto"/>
              </w:rPr>
            </w:pPr>
            <w:r>
              <w:rPr>
                <w:rFonts w:ascii="Arial" w:cs="Arial" w:eastAsia="Arial" w:hAnsi="Arial"/>
                <w:sz w:val="19"/>
                <w:szCs w:val="19"/>
                <w:color w:val="auto"/>
              </w:rPr>
              <w:t>Other</w:t>
            </w:r>
          </w:p>
        </w:tc>
        <w:tc>
          <w:tcPr>
            <w:tcW w:w="920" w:type="dxa"/>
            <w:vAlign w:val="bottom"/>
          </w:tcPr>
          <w:p>
            <w:pPr>
              <w:spacing w:after="0"/>
              <w:rPr>
                <w:sz w:val="21"/>
                <w:szCs w:val="21"/>
                <w:color w:val="auto"/>
              </w:rPr>
            </w:pPr>
          </w:p>
        </w:tc>
        <w:tc>
          <w:tcPr>
            <w:tcW w:w="860" w:type="dxa"/>
            <w:vAlign w:val="bottom"/>
            <w:gridSpan w:val="2"/>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(1)%</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698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c>
          <w:tcPr>
            <w:tcW w:w="15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10"/>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discussion of net sales by segment can be found in the Review of Business Segments section of this MD&amp;A.</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Cost of Products and Services Sold</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6"/>
                <w:szCs w:val="16"/>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16"/>
                <w:szCs w:val="16"/>
                <w:color w:val="auto"/>
              </w:rPr>
            </w:pPr>
          </w:p>
        </w:tc>
        <w:tc>
          <w:tcPr>
            <w:tcW w:w="10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2012</w:t>
            </w:r>
          </w:p>
        </w:tc>
      </w:tr>
      <w:tr>
        <w:trPr>
          <w:trHeight w:val="237"/>
        </w:trPr>
        <w:tc>
          <w:tcPr>
            <w:tcW w:w="6760" w:type="dxa"/>
            <w:vAlign w:val="bottom"/>
            <w:shd w:val="clear" w:color="auto" w:fill="E5FFFF"/>
          </w:tcPr>
          <w:p>
            <w:pPr>
              <w:spacing w:after="0"/>
              <w:rPr>
                <w:sz w:val="20"/>
                <w:szCs w:val="20"/>
                <w:color w:val="auto"/>
              </w:rPr>
            </w:pPr>
            <w:r>
              <w:rPr>
                <w:rFonts w:ascii="Arial" w:cs="Arial" w:eastAsia="Arial" w:hAnsi="Arial"/>
                <w:sz w:val="19"/>
                <w:szCs w:val="19"/>
                <w:color w:val="auto"/>
              </w:rPr>
              <w:t>Cost of products and services sold</w:t>
            </w:r>
          </w:p>
        </w:tc>
        <w:tc>
          <w:tcPr>
            <w:tcW w:w="9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$ 28,957</w:t>
            </w:r>
          </w:p>
        </w:tc>
        <w:tc>
          <w:tcPr>
            <w:tcW w:w="1300" w:type="dxa"/>
            <w:vAlign w:val="bottom"/>
            <w:gridSpan w:val="2"/>
            <w:shd w:val="clear" w:color="auto" w:fill="E5FFFF"/>
          </w:tcPr>
          <w:p>
            <w:pPr>
              <w:jc w:val="right"/>
              <w:ind w:right="112"/>
              <w:spacing w:after="0"/>
              <w:rPr>
                <w:sz w:val="20"/>
                <w:szCs w:val="20"/>
                <w:color w:val="auto"/>
              </w:rPr>
            </w:pPr>
            <w:r>
              <w:rPr>
                <w:rFonts w:ascii="Arial" w:cs="Arial" w:eastAsia="Arial" w:hAnsi="Arial"/>
                <w:sz w:val="19"/>
                <w:szCs w:val="19"/>
                <w:color w:val="auto"/>
              </w:rPr>
              <w:t>$ 28,364</w:t>
            </w:r>
          </w:p>
        </w:tc>
        <w:tc>
          <w:tcPr>
            <w:tcW w:w="136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$ 28,291</w:t>
            </w:r>
          </w:p>
        </w:tc>
      </w:tr>
      <w:tr>
        <w:trPr>
          <w:trHeight w:val="243"/>
        </w:trPr>
        <w:tc>
          <w:tcPr>
            <w:tcW w:w="6760" w:type="dxa"/>
            <w:vAlign w:val="bottom"/>
          </w:tcPr>
          <w:p>
            <w:pPr>
              <w:spacing w:after="0"/>
              <w:rPr>
                <w:sz w:val="20"/>
                <w:szCs w:val="20"/>
                <w:color w:val="auto"/>
              </w:rPr>
            </w:pPr>
            <w:r>
              <w:rPr>
                <w:rFonts w:ascii="Arial" w:cs="Arial" w:eastAsia="Arial" w:hAnsi="Arial"/>
                <w:sz w:val="19"/>
                <w:szCs w:val="19"/>
                <w:color w:val="auto"/>
              </w:rPr>
              <w:t>% change compared with prior period</w:t>
            </w:r>
          </w:p>
        </w:tc>
        <w:tc>
          <w:tcPr>
            <w:tcW w:w="980" w:type="dxa"/>
            <w:vAlign w:val="bottom"/>
          </w:tcPr>
          <w:p>
            <w:pPr>
              <w:jc w:val="right"/>
              <w:ind w:right="248"/>
              <w:spacing w:after="0"/>
              <w:rPr>
                <w:sz w:val="20"/>
                <w:szCs w:val="20"/>
                <w:color w:val="auto"/>
              </w:rPr>
            </w:pPr>
            <w:r>
              <w:rPr>
                <w:rFonts w:ascii="Arial" w:cs="Arial" w:eastAsia="Arial" w:hAnsi="Arial"/>
                <w:sz w:val="19"/>
                <w:szCs w:val="19"/>
                <w:color w:val="auto"/>
              </w:rPr>
              <w:t>2%</w:t>
            </w: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6760" w:type="dxa"/>
            <w:vAlign w:val="bottom"/>
            <w:shd w:val="clear" w:color="auto" w:fill="E5FFFF"/>
          </w:tcPr>
          <w:p>
            <w:pPr>
              <w:spacing w:after="0"/>
              <w:rPr>
                <w:sz w:val="20"/>
                <w:szCs w:val="20"/>
                <w:color w:val="auto"/>
              </w:rPr>
            </w:pPr>
            <w:r>
              <w:rPr>
                <w:rFonts w:ascii="Arial" w:cs="Arial" w:eastAsia="Arial" w:hAnsi="Arial"/>
                <w:sz w:val="19"/>
                <w:szCs w:val="19"/>
                <w:color w:val="auto"/>
              </w:rPr>
              <w:t>Gross Margin percentage</w:t>
            </w: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28.2%</w:t>
            </w: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24.9%</w:t>
            </w:r>
          </w:p>
        </w:tc>
      </w:tr>
    </w:tbl>
    <w:p>
      <w:pPr>
        <w:spacing w:after="0" w:line="108"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Cost of products and services sold increased in 2014 compared with 2013 principally due to an increase in direct material and labor costs of approximately $645 million (driven by higher sales volume and acquisitions, net of divestitures) and an increase in pension and other postretirement benefit expense of approximately $35 million, partially offset by a decrease in repositioning and other charges of approximately $40 million.</w:t>
      </w:r>
    </w:p>
    <w:p>
      <w:pPr>
        <w:spacing w:after="0" w:line="9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Gross margin percentage increased in 2014 compared with 2013 principally due to higher gross margin in all of our business segments (approximately 0.7 percentage point impact collectively) and lower repositioning and other charges (approximately 0.1 percentage point impact), partially offset by higher pension and other postretirement benefit expense (approximately 0.1 percentage point impact).</w:t>
      </w:r>
    </w:p>
    <w:p>
      <w:pPr>
        <w:spacing w:after="0" w:line="78"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Cost of products and services sold increased in 2013 compared with 2012 principally due to an increase in direct material costs of approximately $585 million and indirect material costs of approximately $115 million (driven by higher sales volume and acquisitions) and increased repositioning and other charges of approximately $140 million partially offset by a decrease in pension expense of approximately $760 million, primarily driven by the $650 million decrease in the pension mark-to-market adjustment allocated to cost of products and services sold (approximately $30 million in 2013 versus approximately $680 million in 2012).</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8" w:name="page19"/>
    <w:bookmarkEnd w:id="18"/>
    <w:p>
      <w:pPr>
        <w:jc w:val="both"/>
        <w:ind w:firstLine="357"/>
        <w:spacing w:after="0" w:line="241" w:lineRule="auto"/>
        <w:rPr>
          <w:sz w:val="20"/>
          <w:szCs w:val="20"/>
          <w:color w:val="auto"/>
        </w:rPr>
      </w:pPr>
      <w:r>
        <w:rPr>
          <w:rFonts w:ascii="Arial" w:cs="Arial" w:eastAsia="Arial" w:hAnsi="Arial"/>
          <w:sz w:val="19"/>
          <w:szCs w:val="19"/>
          <w:color w:val="auto"/>
        </w:rPr>
        <w:t>Gross margin percentage increased in 2013 compared with 2012 principally due to lower pension expense (approximately 2.0 percentage point impact primarily driven by the decrease in the pension mark-to-market adjustment allocated to cost of products and services sold), higher segment gross margin in all of our business segments (approximately 0.5 percentage point impact collectively) and lower other postretirement expense (0.1 percentage point impact) partially offset by higher repositioning and other charges (approximately 0.4 percentage point impact).</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Selling, General and Administrative Expenses</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6"/>
                <w:szCs w:val="16"/>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6"/>
                <w:szCs w:val="16"/>
                <w:color w:val="auto"/>
              </w:rPr>
            </w:pPr>
          </w:p>
        </w:tc>
        <w:tc>
          <w:tcPr>
            <w:tcW w:w="8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2012</w:t>
            </w:r>
          </w:p>
        </w:tc>
      </w:tr>
      <w:tr>
        <w:trPr>
          <w:trHeight w:val="237"/>
        </w:trPr>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expense</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$ 5,518</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$ 5,190</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5,218</w:t>
            </w:r>
          </w:p>
        </w:tc>
      </w:tr>
      <w:tr>
        <w:trPr>
          <w:trHeight w:val="261"/>
        </w:trPr>
        <w:tc>
          <w:tcPr>
            <w:tcW w:w="7440" w:type="dxa"/>
            <w:vAlign w:val="bottom"/>
          </w:tcPr>
          <w:p>
            <w:pPr>
              <w:spacing w:after="0"/>
              <w:rPr>
                <w:sz w:val="20"/>
                <w:szCs w:val="20"/>
                <w:color w:val="auto"/>
              </w:rPr>
            </w:pPr>
            <w:r>
              <w:rPr>
                <w:rFonts w:ascii="Arial" w:cs="Arial" w:eastAsia="Arial" w:hAnsi="Arial"/>
                <w:sz w:val="19"/>
                <w:szCs w:val="19"/>
                <w:color w:val="auto"/>
              </w:rPr>
              <w:t>% of sales</w:t>
            </w:r>
          </w:p>
        </w:tc>
        <w:tc>
          <w:tcPr>
            <w:tcW w:w="760" w:type="dxa"/>
            <w:vAlign w:val="bottom"/>
          </w:tcPr>
          <w:p>
            <w:pPr>
              <w:jc w:val="right"/>
              <w:ind w:right="9"/>
              <w:spacing w:after="0"/>
              <w:rPr>
                <w:sz w:val="20"/>
                <w:szCs w:val="20"/>
                <w:color w:val="auto"/>
              </w:rPr>
            </w:pPr>
            <w:r>
              <w:rPr>
                <w:rFonts w:ascii="Arial" w:cs="Arial" w:eastAsia="Arial" w:hAnsi="Arial"/>
                <w:sz w:val="19"/>
                <w:szCs w:val="19"/>
                <w:color w:val="auto"/>
              </w:rPr>
              <w:t>13.7%</w:t>
            </w:r>
          </w:p>
        </w:tc>
        <w:tc>
          <w:tcPr>
            <w:tcW w:w="1080" w:type="dxa"/>
            <w:vAlign w:val="bottom"/>
            <w:gridSpan w:val="2"/>
          </w:tcPr>
          <w:p>
            <w:pPr>
              <w:jc w:val="right"/>
              <w:ind w:right="41"/>
              <w:spacing w:after="0"/>
              <w:rPr>
                <w:sz w:val="20"/>
                <w:szCs w:val="20"/>
                <w:color w:val="auto"/>
              </w:rPr>
            </w:pPr>
            <w:r>
              <w:rPr>
                <w:rFonts w:ascii="Arial" w:cs="Arial" w:eastAsia="Arial" w:hAnsi="Arial"/>
                <w:sz w:val="19"/>
                <w:szCs w:val="19"/>
                <w:color w:val="auto"/>
              </w:rPr>
              <w:t>13.3%</w:t>
            </w:r>
          </w:p>
        </w:tc>
        <w:tc>
          <w:tcPr>
            <w:tcW w:w="1120" w:type="dxa"/>
            <w:vAlign w:val="bottom"/>
            <w:gridSpan w:val="2"/>
          </w:tcPr>
          <w:p>
            <w:pPr>
              <w:jc w:val="right"/>
              <w:ind w:right="41"/>
              <w:spacing w:after="0"/>
              <w:rPr>
                <w:sz w:val="20"/>
                <w:szCs w:val="20"/>
                <w:color w:val="auto"/>
              </w:rPr>
            </w:pPr>
            <w:r>
              <w:rPr>
                <w:rFonts w:ascii="Arial" w:cs="Arial" w:eastAsia="Arial" w:hAnsi="Arial"/>
                <w:sz w:val="19"/>
                <w:szCs w:val="19"/>
                <w:color w:val="auto"/>
              </w:rPr>
              <w:t>13.9%</w:t>
            </w:r>
          </w:p>
        </w:tc>
      </w:tr>
    </w:tbl>
    <w:p>
      <w:pPr>
        <w:spacing w:after="0" w:line="9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Selling, general and administrative expenses (SG&amp;A) increased in 2014 compared with 2013 as a percentage of sales primarily driven by an estimated $435 million increase in labor costs (primarily acquisitions, incentive compensation, merit increases and investment for growth) and an estimated $30 million increase in pension and other postretirement benefit expense, partially offset by a $25 million decrease in repositioning charges.</w:t>
      </w:r>
    </w:p>
    <w:p>
      <w:pPr>
        <w:spacing w:after="0" w:line="9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Selling, general and administrative expenses decreased in 2013 compared with 2012 as a percentage of sales primarily driven by (i) higher sales as a result of the factors discussed in the Review of Business Segments section of this MD&amp;A, (ii) an estimated $270 million decrease in pension expense primarily driven by an approximately $250 million decrease in the pension mark-to-market charge allocated to SG&amp;A (approximately $20 million in 2013 versus approximately $270 million in 2012) partially offset by an estimated $215 million increase in labor costs (primarily acquisitions, merit increases and investment for growth) and an $80 million increase in repositioning charges.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Tax Expense</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6"/>
                <w:szCs w:val="16"/>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6"/>
                <w:szCs w:val="16"/>
                <w:color w:val="auto"/>
              </w:rPr>
            </w:pP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2012</w:t>
            </w:r>
          </w:p>
        </w:tc>
      </w:tr>
      <w:tr>
        <w:trPr>
          <w:trHeight w:val="237"/>
        </w:trPr>
        <w:tc>
          <w:tcPr>
            <w:tcW w:w="7280" w:type="dxa"/>
            <w:vAlign w:val="bottom"/>
            <w:shd w:val="clear" w:color="auto" w:fill="E5FFFF"/>
          </w:tcPr>
          <w:p>
            <w:pPr>
              <w:spacing w:after="0"/>
              <w:rPr>
                <w:sz w:val="20"/>
                <w:szCs w:val="20"/>
                <w:color w:val="auto"/>
              </w:rPr>
            </w:pPr>
            <w:r>
              <w:rPr>
                <w:rFonts w:ascii="Arial" w:cs="Arial" w:eastAsia="Arial" w:hAnsi="Arial"/>
                <w:sz w:val="19"/>
                <w:szCs w:val="19"/>
                <w:color w:val="auto"/>
              </w:rPr>
              <w:t>Tax expense</w:t>
            </w:r>
          </w:p>
        </w:tc>
        <w:tc>
          <w:tcPr>
            <w:tcW w:w="860" w:type="dxa"/>
            <w:vAlign w:val="bottom"/>
            <w:shd w:val="clear" w:color="auto" w:fill="E5FFFF"/>
          </w:tcPr>
          <w:p>
            <w:pPr>
              <w:jc w:val="right"/>
              <w:ind w:right="109"/>
              <w:spacing w:after="0"/>
              <w:rPr>
                <w:sz w:val="20"/>
                <w:szCs w:val="20"/>
                <w:color w:val="auto"/>
              </w:rPr>
            </w:pPr>
            <w:r>
              <w:rPr>
                <w:rFonts w:ascii="Arial" w:cs="Arial" w:eastAsia="Arial" w:hAnsi="Arial"/>
                <w:sz w:val="19"/>
                <w:szCs w:val="19"/>
                <w:color w:val="auto"/>
              </w:rPr>
              <w:t>$ 1,489</w:t>
            </w:r>
          </w:p>
        </w:tc>
        <w:tc>
          <w:tcPr>
            <w:tcW w:w="11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$ 1,450</w:t>
            </w:r>
          </w:p>
        </w:tc>
        <w:tc>
          <w:tcPr>
            <w:tcW w:w="10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$ 944</w:t>
            </w:r>
          </w:p>
        </w:tc>
      </w:tr>
      <w:tr>
        <w:trPr>
          <w:trHeight w:val="261"/>
        </w:trPr>
        <w:tc>
          <w:tcPr>
            <w:tcW w:w="7280" w:type="dxa"/>
            <w:vAlign w:val="bottom"/>
          </w:tcPr>
          <w:p>
            <w:pPr>
              <w:spacing w:after="0"/>
              <w:rPr>
                <w:sz w:val="20"/>
                <w:szCs w:val="20"/>
                <w:color w:val="auto"/>
              </w:rPr>
            </w:pPr>
            <w:r>
              <w:rPr>
                <w:rFonts w:ascii="Arial" w:cs="Arial" w:eastAsia="Arial" w:hAnsi="Arial"/>
                <w:sz w:val="19"/>
                <w:szCs w:val="19"/>
                <w:color w:val="auto"/>
              </w:rPr>
              <w:t>Effective tax rate</w:t>
            </w:r>
          </w:p>
        </w:tc>
        <w:tc>
          <w:tcPr>
            <w:tcW w:w="860" w:type="dxa"/>
            <w:vAlign w:val="bottom"/>
          </w:tcPr>
          <w:p>
            <w:pPr>
              <w:jc w:val="right"/>
              <w:spacing w:after="0"/>
              <w:rPr>
                <w:sz w:val="20"/>
                <w:szCs w:val="20"/>
                <w:color w:val="auto"/>
              </w:rPr>
            </w:pPr>
            <w:r>
              <w:rPr>
                <w:rFonts w:ascii="Arial" w:cs="Arial" w:eastAsia="Arial" w:hAnsi="Arial"/>
                <w:sz w:val="19"/>
                <w:szCs w:val="19"/>
                <w:color w:val="auto"/>
              </w:rPr>
              <w:t>25.6%</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26.8%</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24.4%</w:t>
            </w:r>
          </w:p>
        </w:tc>
      </w:tr>
    </w:tbl>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discussion of income taxes and the effective income tax rate, see Note 5 Income Taxes in the Notes to Financial Statements.</w:t>
      </w:r>
    </w:p>
    <w:p>
      <w:pPr>
        <w:spacing w:after="0" w:line="106"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The effective income tax rates for 2014, 2013 and 2012 reflect pension mark-to-market adjustments and tax benefits associated with lower tax rates on non-U.S. earnings, the vast majority of which we intend to permanently reinvest outside the United States.</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Net Income Attributable to Honeywell</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9"/>
              <w:spacing w:after="0"/>
              <w:rPr>
                <w:sz w:val="20"/>
                <w:szCs w:val="20"/>
                <w:color w:val="auto"/>
              </w:rPr>
            </w:pPr>
            <w:r>
              <w:rPr>
                <w:rFonts w:ascii="Arial" w:cs="Arial" w:eastAsia="Arial" w:hAnsi="Arial"/>
                <w:sz w:val="16"/>
                <w:szCs w:val="16"/>
                <w:b w:val="1"/>
                <w:bCs w:val="1"/>
                <w:color w:val="auto"/>
              </w:rPr>
              <w:t>2012</w:t>
            </w:r>
          </w:p>
        </w:tc>
      </w:tr>
      <w:tr>
        <w:trPr>
          <w:trHeight w:val="237"/>
        </w:trPr>
        <w:tc>
          <w:tcPr>
            <w:tcW w:w="7440" w:type="dxa"/>
            <w:vAlign w:val="bottom"/>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4,239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3,924</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2,926</w:t>
            </w:r>
          </w:p>
        </w:tc>
      </w:tr>
      <w:tr>
        <w:trPr>
          <w:trHeight w:val="261"/>
        </w:trPr>
        <w:tc>
          <w:tcPr>
            <w:tcW w:w="7440" w:type="dxa"/>
            <w:vAlign w:val="bottom"/>
          </w:tcPr>
          <w:p>
            <w:pPr>
              <w:spacing w:after="0"/>
              <w:rPr>
                <w:sz w:val="20"/>
                <w:szCs w:val="20"/>
                <w:color w:val="auto"/>
              </w:rPr>
            </w:pPr>
            <w:r>
              <w:rPr>
                <w:rFonts w:ascii="Arial" w:cs="Arial" w:eastAsia="Arial" w:hAnsi="Arial"/>
                <w:sz w:val="19"/>
                <w:szCs w:val="19"/>
                <w:color w:val="auto"/>
              </w:rPr>
              <w:t>Earnings per share of common stock—assuming dilution</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5.33</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4.92</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3.69</w:t>
            </w:r>
          </w:p>
        </w:tc>
      </w:tr>
    </w:tbl>
    <w:p>
      <w:pPr>
        <w:spacing w:after="0" w:line="9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Earnings per share of common stock—assuming dilution increased in 2014 compared with 2013 primarily due to increased segment profit in each of our business segments and lower repositioning and other charges, partially offset by higher pension and other postretirement expense and increased tax expense.</w:t>
      </w:r>
    </w:p>
    <w:p>
      <w:pPr>
        <w:spacing w:after="0" w:line="87"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Earnings per share of common stock—assuming dilution increased in 2013 compared with 2012 primarily due to lower pension expense, increased segment profit in each of our business segments and higher other income, partially offset by increased tax expense and higher repositioning and other charges.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19" w:name="page20"/>
    <w:bookmarkEnd w:id="19"/>
    <w:p>
      <w:pPr>
        <w:spacing w:after="0"/>
        <w:rPr>
          <w:sz w:val="20"/>
          <w:szCs w:val="20"/>
          <w:color w:val="auto"/>
        </w:rPr>
      </w:pPr>
      <w:r>
        <w:rPr>
          <w:rFonts w:ascii="Arial" w:cs="Arial" w:eastAsia="Arial" w:hAnsi="Arial"/>
          <w:sz w:val="19"/>
          <w:szCs w:val="19"/>
          <w:b w:val="1"/>
          <w:bCs w:val="1"/>
          <w:color w:val="auto"/>
        </w:rPr>
        <w:t>BUSINESS OVERVIEW</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consolidated operating results are principally impacted by:</w:t>
      </w:r>
    </w:p>
    <w:p>
      <w:pPr>
        <w:spacing w:after="0" w:line="92" w:lineRule="exact"/>
        <w:rPr>
          <w:sz w:val="20"/>
          <w:szCs w:val="20"/>
          <w:color w:val="auto"/>
        </w:rPr>
      </w:pPr>
    </w:p>
    <w:p>
      <w:pPr>
        <w:ind w:left="540" w:hanging="16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Change in global economic growth rates and industry conditions and demand in our key end markets;</w:t>
      </w:r>
    </w:p>
    <w:p>
      <w:pPr>
        <w:spacing w:after="0" w:line="92"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Overall sales mix, in particular the mix of Aerospace original equipment and aftermarket sales and the mix of ACS products, distribution and services sales;</w:t>
      </w:r>
    </w:p>
    <w:p>
      <w:pPr>
        <w:spacing w:after="0" w:line="66" w:lineRule="exact"/>
        <w:rPr>
          <w:rFonts w:ascii="Arial" w:cs="Arial" w:eastAsia="Arial" w:hAnsi="Arial"/>
          <w:sz w:val="19"/>
          <w:szCs w:val="19"/>
          <w:color w:val="auto"/>
        </w:rPr>
      </w:pPr>
    </w:p>
    <w:p>
      <w:pPr>
        <w:ind w:left="540" w:hanging="168"/>
        <w:spacing w:after="0"/>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impact of fluctuations in foreign currency exchange rates (in particular the Euro), relative to the U.S. dollar;</w:t>
      </w:r>
    </w:p>
    <w:p>
      <w:pPr>
        <w:spacing w:after="0" w:line="105" w:lineRule="exact"/>
        <w:rPr>
          <w:rFonts w:ascii="Arial" w:cs="Arial" w:eastAsia="Arial" w:hAnsi="Arial"/>
          <w:sz w:val="19"/>
          <w:szCs w:val="19"/>
          <w:color w:val="auto"/>
        </w:rPr>
      </w:pPr>
    </w:p>
    <w:p>
      <w:pPr>
        <w:ind w:left="540" w:right="20" w:hanging="168"/>
        <w:spacing w:after="0" w:line="253"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extent to which cost savings from productivity actions are able to offset or exceed the impact of material and non-material inflation; and</w:t>
      </w:r>
    </w:p>
    <w:p>
      <w:pPr>
        <w:spacing w:after="0" w:line="66" w:lineRule="exact"/>
        <w:rPr>
          <w:rFonts w:ascii="Arial" w:cs="Arial" w:eastAsia="Arial" w:hAnsi="Arial"/>
          <w:sz w:val="19"/>
          <w:szCs w:val="19"/>
          <w:color w:val="auto"/>
        </w:rPr>
      </w:pPr>
    </w:p>
    <w:p>
      <w:pPr>
        <w:ind w:left="540" w:right="20" w:hanging="168"/>
        <w:spacing w:after="0" w:line="253" w:lineRule="auto"/>
        <w:tabs>
          <w:tab w:leader="none" w:pos="54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impact of the pension discount rate and asset returns on pension expense, including mark-to-market adjustments, and funding requirements.</w:t>
      </w:r>
    </w:p>
    <w:p>
      <w:pPr>
        <w:spacing w:after="0" w:line="93"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Our 2015 areas of focus are supported by the Honeywell Enablers, including the Honeywell Operating System (HOS Gold), Velocity Product Development, Functional Transformation and the Honeywell User Experience. These areas of focus are generally applicable to each of our operating segments and include:</w:t>
      </w:r>
    </w:p>
    <w:p>
      <w:pPr>
        <w:spacing w:after="0" w:line="60" w:lineRule="exact"/>
        <w:rPr>
          <w:sz w:val="20"/>
          <w:szCs w:val="20"/>
          <w:color w:val="auto"/>
        </w:rPr>
      </w:pPr>
    </w:p>
    <w:p>
      <w:pPr>
        <w:ind w:left="54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Driving profitable growth through R&amp;D, technological excellence and optimized manufacturing capability to deliver innovative products that customers value;</w:t>
      </w:r>
    </w:p>
    <w:p>
      <w:pPr>
        <w:spacing w:after="0" w:line="66"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Expanding margins by maintaining and improving the Company’s cost structure through manufacturing and administrative process improvements, repositioning, and other actions, which will drive productivity and enhance the flexibility of the business as it works to proactively respond to changes in end market demand;</w:t>
      </w:r>
    </w:p>
    <w:p>
      <w:pPr>
        <w:spacing w:after="0" w:line="73"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Proactively managing raw material costs through formula and long-term supply agreements and hedging activities, where feasible and prudent;</w:t>
      </w:r>
    </w:p>
    <w:p>
      <w:pPr>
        <w:spacing w:after="0" w:line="66" w:lineRule="exact"/>
        <w:rPr>
          <w:rFonts w:ascii="Arial" w:cs="Arial" w:eastAsia="Arial" w:hAnsi="Arial"/>
          <w:sz w:val="19"/>
          <w:szCs w:val="19"/>
          <w:color w:val="auto"/>
        </w:rPr>
      </w:pPr>
    </w:p>
    <w:p>
      <w:pPr>
        <w:jc w:val="both"/>
        <w:ind w:left="540" w:hanging="168"/>
        <w:spacing w:after="0" w:line="247"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Driving strong cash flow conversion through effective working capital management which will enable the Company to undertake strategic actions to benefit the business including capital expenditures, strategic acquisitions, and returning cash to shareholders;</w:t>
      </w:r>
    </w:p>
    <w:p>
      <w:pPr>
        <w:spacing w:after="0" w:line="293"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Driving organic growth through expansion of our localized footprint in high growth regions, including China, India, Eastern Europe, the Middle East and Latin America;</w:t>
      </w:r>
    </w:p>
    <w:p>
      <w:pPr>
        <w:spacing w:after="0" w:line="66"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Driving inorganic growth through the identification of appropriate acquisition targets and deployment of our disciplined, rigorous M&amp;A and integration processes;</w:t>
      </w:r>
    </w:p>
    <w:p>
      <w:pPr>
        <w:spacing w:after="0" w:line="66" w:lineRule="exact"/>
        <w:rPr>
          <w:rFonts w:ascii="Arial" w:cs="Arial" w:eastAsia="Arial" w:hAnsi="Arial"/>
          <w:sz w:val="19"/>
          <w:szCs w:val="19"/>
          <w:color w:val="auto"/>
        </w:rPr>
      </w:pPr>
    </w:p>
    <w:p>
      <w:pPr>
        <w:ind w:left="540" w:hanging="168"/>
        <w:spacing w:after="0"/>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Aligning and prioritizing capital expenditures for long-term growth, while considering short-term demand volatility;</w:t>
      </w:r>
    </w:p>
    <w:p>
      <w:pPr>
        <w:spacing w:after="0" w:line="105"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Monitoring both suppliers and customers for signs of liquidity constraints, limiting exposure to any resulting inability to meet delivery commitments or pay amounts due, and identifying alternate sources of supply as necessary; and</w:t>
      </w:r>
    </w:p>
    <w:p>
      <w:pPr>
        <w:spacing w:after="0" w:line="66"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Controlling Corporate and other non-operating costs, including costs incurred for asbestos and environmental matters, pension and other post-retirement expenses and tax expense.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0" w:name="page21"/>
    <w:bookmarkEnd w:id="20"/>
    <w:p>
      <w:pPr>
        <w:spacing w:after="0"/>
        <w:rPr>
          <w:sz w:val="20"/>
          <w:szCs w:val="20"/>
          <w:color w:val="auto"/>
        </w:rPr>
      </w:pPr>
      <w:r>
        <w:rPr>
          <w:rFonts w:ascii="Arial" w:cs="Arial" w:eastAsia="Arial" w:hAnsi="Arial"/>
          <w:sz w:val="19"/>
          <w:szCs w:val="19"/>
          <w:b w:val="1"/>
          <w:bCs w:val="1"/>
          <w:color w:val="auto"/>
        </w:rPr>
        <w:t>Review of Business Segments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7"/>
          </w:tcPr>
          <w:p>
            <w:pPr>
              <w:ind w:left="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13"/>
            <w:vMerge w:val="restart"/>
          </w:tcPr>
          <w:p>
            <w:pPr>
              <w:ind w:left="120"/>
              <w:spacing w:after="0"/>
              <w:rPr>
                <w:sz w:val="20"/>
                <w:szCs w:val="20"/>
                <w:color w:val="auto"/>
              </w:rPr>
            </w:pPr>
            <w:r>
              <w:rPr>
                <w:rFonts w:ascii="Arial" w:cs="Arial" w:eastAsia="Arial" w:hAnsi="Arial"/>
                <w:sz w:val="16"/>
                <w:szCs w:val="16"/>
                <w:b w:val="1"/>
                <w:bCs w:val="1"/>
                <w:color w:val="auto"/>
              </w:rPr>
              <w:t>Years Ended December 31,</w:t>
            </w:r>
          </w:p>
        </w:tc>
        <w:tc>
          <w:tcPr>
            <w:tcW w:w="640" w:type="dxa"/>
            <w:vAlign w:val="bottom"/>
            <w:tcBorders>
              <w:top w:val="single" w:sz="8" w:color="auto"/>
            </w:tcBorders>
            <w:gridSpan w:val="3"/>
          </w:tcPr>
          <w:p>
            <w:pPr>
              <w:jc w:val="right"/>
              <w:ind w:right="48"/>
              <w:spacing w:after="0" w:line="155" w:lineRule="exact"/>
              <w:rPr>
                <w:sz w:val="20"/>
                <w:szCs w:val="20"/>
                <w:color w:val="auto"/>
              </w:rPr>
            </w:pPr>
            <w:r>
              <w:rPr>
                <w:rFonts w:ascii="Arial" w:cs="Arial" w:eastAsia="Arial" w:hAnsi="Arial"/>
                <w:sz w:val="16"/>
                <w:szCs w:val="16"/>
                <w:b w:val="1"/>
                <w:bCs w:val="1"/>
                <w:color w:val="auto"/>
              </w:rPr>
              <w:t>2014</w:t>
            </w: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3"/>
          </w:tcPr>
          <w:p>
            <w:pPr>
              <w:jc w:val="right"/>
              <w:ind w:right="81"/>
              <w:spacing w:after="0" w:line="155" w:lineRule="exact"/>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gridSpan w:val="13"/>
            <w:vMerge w:val="continue"/>
          </w:tcPr>
          <w:p>
            <w:pPr>
              <w:spacing w:after="0"/>
              <w:rPr>
                <w:sz w:val="15"/>
                <w:szCs w:val="15"/>
                <w:color w:val="auto"/>
              </w:rPr>
            </w:pPr>
          </w:p>
        </w:tc>
        <w:tc>
          <w:tcPr>
            <w:tcW w:w="1040" w:type="dxa"/>
            <w:vAlign w:val="bottom"/>
            <w:gridSpan w:val="5"/>
          </w:tcPr>
          <w:p>
            <w:pPr>
              <w:jc w:val="right"/>
              <w:ind w:right="460"/>
              <w:spacing w:after="0" w:line="177" w:lineRule="exact"/>
              <w:rPr>
                <w:sz w:val="20"/>
                <w:szCs w:val="20"/>
                <w:color w:val="auto"/>
              </w:rPr>
            </w:pPr>
            <w:r>
              <w:rPr>
                <w:rFonts w:ascii="Arial" w:cs="Arial" w:eastAsia="Arial" w:hAnsi="Arial"/>
                <w:sz w:val="16"/>
                <w:szCs w:val="16"/>
                <w:b w:val="1"/>
                <w:bCs w:val="1"/>
                <w:color w:val="auto"/>
              </w:rPr>
              <w:t>Versus</w:t>
            </w:r>
          </w:p>
        </w:tc>
        <w:tc>
          <w:tcPr>
            <w:tcW w:w="1100" w:type="dxa"/>
            <w:vAlign w:val="bottom"/>
            <w:gridSpan w:val="4"/>
          </w:tcPr>
          <w:p>
            <w:pPr>
              <w:spacing w:after="0" w:line="177" w:lineRule="exact"/>
              <w:rPr>
                <w:sz w:val="20"/>
                <w:szCs w:val="20"/>
                <w:color w:val="auto"/>
              </w:rPr>
            </w:pPr>
            <w:r>
              <w:rPr>
                <w:rFonts w:ascii="Arial" w:cs="Arial" w:eastAsia="Arial" w:hAnsi="Arial"/>
                <w:sz w:val="16"/>
                <w:szCs w:val="16"/>
                <w:b w:val="1"/>
                <w:bCs w:val="1"/>
                <w:color w:val="auto"/>
              </w:rPr>
              <w:t>Versus</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80" w:type="dxa"/>
            <w:vAlign w:val="bottom"/>
            <w:tcBorders>
              <w:top w:val="single" w:sz="8" w:color="auto"/>
              <w:bottom w:val="single" w:sz="8" w:color="auto"/>
            </w:tcBorders>
            <w:gridSpan w:val="3"/>
          </w:tcPr>
          <w:p>
            <w:pPr>
              <w:jc w:val="right"/>
              <w:ind w:right="168"/>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4"/>
          </w:tcPr>
          <w:p>
            <w:pPr>
              <w:jc w:val="right"/>
              <w:ind w:right="166"/>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rPr>
              <w:t>2012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48"/>
              <w:spacing w:after="0" w:line="169" w:lineRule="exact"/>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81"/>
              <w:spacing w:after="0" w:line="169" w:lineRule="exact"/>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24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Aerospace Sales</w:t>
            </w: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40" w:type="dxa"/>
            <w:vAlign w:val="bottom"/>
          </w:tcPr>
          <w:p>
            <w:pPr>
              <w:ind w:left="360"/>
              <w:spacing w:after="0"/>
              <w:rPr>
                <w:sz w:val="20"/>
                <w:szCs w:val="20"/>
                <w:color w:val="auto"/>
              </w:rPr>
            </w:pPr>
            <w:r>
              <w:rPr>
                <w:rFonts w:ascii="Arial" w:cs="Arial" w:eastAsia="Arial" w:hAnsi="Arial"/>
                <w:sz w:val="19"/>
                <w:szCs w:val="19"/>
                <w:color w:val="auto"/>
              </w:rPr>
              <w:t>Commercial Original Equipment</w:t>
            </w:r>
          </w:p>
        </w:tc>
        <w:tc>
          <w:tcPr>
            <w:tcW w:w="880" w:type="dxa"/>
            <w:vAlign w:val="bottom"/>
            <w:gridSpan w:val="3"/>
          </w:tcPr>
          <w:p>
            <w:pPr>
              <w:jc w:val="right"/>
              <w:spacing w:after="0"/>
              <w:rPr>
                <w:sz w:val="20"/>
                <w:szCs w:val="20"/>
                <w:color w:val="auto"/>
              </w:rPr>
            </w:pPr>
            <w:r>
              <w:rPr>
                <w:rFonts w:ascii="Arial" w:cs="Arial" w:eastAsia="Arial" w:hAnsi="Arial"/>
                <w:sz w:val="19"/>
                <w:szCs w:val="19"/>
                <w:color w:val="auto"/>
              </w:rPr>
              <w:t>$  2,607</w:t>
            </w: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9"/>
                <w:szCs w:val="19"/>
                <w:color w:val="auto"/>
              </w:rPr>
              <w:t>$  2,651</w:t>
            </w:r>
          </w:p>
        </w:tc>
        <w:tc>
          <w:tcPr>
            <w:tcW w:w="3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9"/>
                <w:szCs w:val="19"/>
                <w:color w:val="auto"/>
                <w:w w:val="94"/>
              </w:rPr>
              <w:t>$</w:t>
            </w: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2,568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9"/>
                <w:szCs w:val="19"/>
                <w:color w:val="auto"/>
              </w:rPr>
              <w:t>(2)%</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81"/>
              <w:spacing w:after="0"/>
              <w:rPr>
                <w:sz w:val="20"/>
                <w:szCs w:val="20"/>
                <w:color w:val="auto"/>
              </w:rPr>
            </w:pPr>
            <w:r>
              <w:rPr>
                <w:rFonts w:ascii="Arial" w:cs="Arial" w:eastAsia="Arial" w:hAnsi="Arial"/>
                <w:sz w:val="19"/>
                <w:szCs w:val="19"/>
                <w:color w:val="auto"/>
              </w:rPr>
              <w:t>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Commercial Aftermarket</w:t>
            </w:r>
          </w:p>
        </w:tc>
        <w:tc>
          <w:tcPr>
            <w:tcW w:w="8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4,578</w:t>
            </w:r>
          </w:p>
        </w:tc>
        <w:tc>
          <w:tcPr>
            <w:tcW w:w="280" w:type="dxa"/>
            <w:vAlign w:val="bottom"/>
            <w:shd w:val="clear" w:color="auto" w:fill="E5FFFF"/>
          </w:tcPr>
          <w:p>
            <w:pPr>
              <w:spacing w:after="0"/>
              <w:rPr>
                <w:sz w:val="21"/>
                <w:szCs w:val="21"/>
                <w:color w:val="auto"/>
              </w:rPr>
            </w:pPr>
          </w:p>
        </w:tc>
        <w:tc>
          <w:tcPr>
            <w:tcW w:w="8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4,459</w:t>
            </w:r>
          </w:p>
        </w:tc>
        <w:tc>
          <w:tcPr>
            <w:tcW w:w="3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4,364</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ind w:right="48"/>
              <w:spacing w:after="0"/>
              <w:rPr>
                <w:sz w:val="20"/>
                <w:szCs w:val="20"/>
                <w:color w:val="auto"/>
              </w:rPr>
            </w:pPr>
            <w:r>
              <w:rPr>
                <w:rFonts w:ascii="Arial" w:cs="Arial" w:eastAsia="Arial" w:hAnsi="Arial"/>
                <w:sz w:val="19"/>
                <w:szCs w:val="19"/>
                <w:color w:val="auto"/>
              </w:rPr>
              <w:t>3%</w:t>
            </w:r>
          </w:p>
        </w:tc>
        <w:tc>
          <w:tcPr>
            <w:tcW w:w="3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ind w:right="81"/>
              <w:spacing w:after="0"/>
              <w:rPr>
                <w:sz w:val="20"/>
                <w:szCs w:val="20"/>
                <w:color w:val="auto"/>
              </w:rPr>
            </w:pPr>
            <w:r>
              <w:rPr>
                <w:rFonts w:ascii="Arial" w:cs="Arial" w:eastAsia="Arial" w:hAnsi="Arial"/>
                <w:sz w:val="19"/>
                <w:szCs w:val="19"/>
                <w:color w:val="auto"/>
              </w:rPr>
              <w:t>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40" w:type="dxa"/>
            <w:vAlign w:val="bottom"/>
          </w:tcPr>
          <w:p>
            <w:pPr>
              <w:ind w:left="360"/>
              <w:spacing w:after="0"/>
              <w:rPr>
                <w:sz w:val="20"/>
                <w:szCs w:val="20"/>
                <w:color w:val="auto"/>
              </w:rPr>
            </w:pPr>
            <w:r>
              <w:rPr>
                <w:rFonts w:ascii="Arial" w:cs="Arial" w:eastAsia="Arial" w:hAnsi="Arial"/>
                <w:sz w:val="19"/>
                <w:szCs w:val="19"/>
                <w:color w:val="auto"/>
              </w:rPr>
              <w:t>Defense and Space</w:t>
            </w:r>
          </w:p>
        </w:tc>
        <w:tc>
          <w:tcPr>
            <w:tcW w:w="880" w:type="dxa"/>
            <w:vAlign w:val="bottom"/>
            <w:gridSpan w:val="3"/>
          </w:tcPr>
          <w:p>
            <w:pPr>
              <w:jc w:val="right"/>
              <w:spacing w:after="0"/>
              <w:rPr>
                <w:sz w:val="20"/>
                <w:szCs w:val="20"/>
                <w:color w:val="auto"/>
              </w:rPr>
            </w:pPr>
            <w:r>
              <w:rPr>
                <w:rFonts w:ascii="Arial" w:cs="Arial" w:eastAsia="Arial" w:hAnsi="Arial"/>
                <w:sz w:val="19"/>
                <w:szCs w:val="19"/>
                <w:color w:val="auto"/>
              </w:rPr>
              <w:t>4,754</w:t>
            </w: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9"/>
                <w:szCs w:val="19"/>
                <w:color w:val="auto"/>
              </w:rPr>
              <w:t>4,870</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5,108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9"/>
                <w:szCs w:val="19"/>
                <w:color w:val="auto"/>
              </w:rPr>
              <w:t>(2)%</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1"/>
              <w:spacing w:after="0"/>
              <w:rPr>
                <w:sz w:val="20"/>
                <w:szCs w:val="20"/>
                <w:color w:val="auto"/>
              </w:rPr>
            </w:pPr>
            <w:r>
              <w:rPr>
                <w:rFonts w:ascii="Arial" w:cs="Arial" w:eastAsia="Arial" w:hAnsi="Arial"/>
                <w:sz w:val="19"/>
                <w:szCs w:val="19"/>
                <w:color w:val="auto"/>
              </w:rPr>
              <w:t>(5)%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Transportation Systems</w:t>
            </w:r>
          </w:p>
        </w:tc>
        <w:tc>
          <w:tcPr>
            <w:tcW w:w="8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3,659</w:t>
            </w:r>
          </w:p>
        </w:tc>
        <w:tc>
          <w:tcPr>
            <w:tcW w:w="280" w:type="dxa"/>
            <w:vAlign w:val="bottom"/>
            <w:shd w:val="clear" w:color="auto" w:fill="E5FFFF"/>
          </w:tcPr>
          <w:p>
            <w:pPr>
              <w:spacing w:after="0"/>
              <w:rPr>
                <w:sz w:val="21"/>
                <w:szCs w:val="21"/>
                <w:color w:val="auto"/>
              </w:rPr>
            </w:pPr>
          </w:p>
        </w:tc>
        <w:tc>
          <w:tcPr>
            <w:tcW w:w="88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9"/>
                <w:szCs w:val="19"/>
                <w:color w:val="auto"/>
              </w:rPr>
              <w:t>3,755</w:t>
            </w:r>
          </w:p>
        </w:tc>
        <w:tc>
          <w:tcPr>
            <w:tcW w:w="30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3,561</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3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ind w:right="81"/>
              <w:spacing w:after="0"/>
              <w:rPr>
                <w:sz w:val="20"/>
                <w:szCs w:val="20"/>
                <w:color w:val="auto"/>
              </w:rPr>
            </w:pPr>
            <w:r>
              <w:rPr>
                <w:rFonts w:ascii="Arial" w:cs="Arial" w:eastAsia="Arial" w:hAnsi="Arial"/>
                <w:sz w:val="19"/>
                <w:szCs w:val="19"/>
                <w:color w:val="auto"/>
              </w:rPr>
              <w:t>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40" w:type="dxa"/>
            <w:vAlign w:val="bottom"/>
          </w:tcPr>
          <w:p>
            <w:pPr>
              <w:ind w:left="720"/>
              <w:spacing w:after="0"/>
              <w:rPr>
                <w:sz w:val="20"/>
                <w:szCs w:val="20"/>
                <w:color w:val="auto"/>
              </w:rPr>
            </w:pPr>
            <w:r>
              <w:rPr>
                <w:rFonts w:ascii="Arial" w:cs="Arial" w:eastAsia="Arial" w:hAnsi="Arial"/>
                <w:sz w:val="19"/>
                <w:szCs w:val="19"/>
                <w:color w:val="auto"/>
              </w:rPr>
              <w:t>Total Aerospace Sales</w:t>
            </w:r>
          </w:p>
        </w:tc>
        <w:tc>
          <w:tcPr>
            <w:tcW w:w="880" w:type="dxa"/>
            <w:vAlign w:val="bottom"/>
            <w:gridSpan w:val="3"/>
          </w:tcPr>
          <w:p>
            <w:pPr>
              <w:jc w:val="right"/>
              <w:spacing w:after="0"/>
              <w:rPr>
                <w:sz w:val="20"/>
                <w:szCs w:val="20"/>
                <w:color w:val="auto"/>
              </w:rPr>
            </w:pPr>
            <w:r>
              <w:rPr>
                <w:rFonts w:ascii="Arial" w:cs="Arial" w:eastAsia="Arial" w:hAnsi="Arial"/>
                <w:sz w:val="19"/>
                <w:szCs w:val="19"/>
                <w:color w:val="auto"/>
              </w:rPr>
              <w:t>15,598</w:t>
            </w: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9"/>
                <w:szCs w:val="19"/>
                <w:color w:val="auto"/>
              </w:rPr>
              <w:t>15,735</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15,601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4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Automation and Control Solutions Sales</w:t>
            </w: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40" w:type="dxa"/>
            <w:vAlign w:val="bottom"/>
          </w:tcPr>
          <w:p>
            <w:pPr>
              <w:ind w:left="360"/>
              <w:spacing w:after="0"/>
              <w:rPr>
                <w:sz w:val="20"/>
                <w:szCs w:val="20"/>
                <w:color w:val="auto"/>
              </w:rPr>
            </w:pPr>
            <w:r>
              <w:rPr>
                <w:rFonts w:ascii="Arial" w:cs="Arial" w:eastAsia="Arial" w:hAnsi="Arial"/>
                <w:sz w:val="19"/>
                <w:szCs w:val="19"/>
                <w:color w:val="auto"/>
              </w:rPr>
              <w:t>Energy Safety &amp; Security</w:t>
            </w:r>
          </w:p>
        </w:tc>
        <w:tc>
          <w:tcPr>
            <w:tcW w:w="880" w:type="dxa"/>
            <w:vAlign w:val="bottom"/>
            <w:gridSpan w:val="3"/>
          </w:tcPr>
          <w:p>
            <w:pPr>
              <w:jc w:val="right"/>
              <w:spacing w:after="0"/>
              <w:rPr>
                <w:sz w:val="20"/>
                <w:szCs w:val="20"/>
                <w:color w:val="auto"/>
              </w:rPr>
            </w:pPr>
            <w:r>
              <w:rPr>
                <w:rFonts w:ascii="Arial" w:cs="Arial" w:eastAsia="Arial" w:hAnsi="Arial"/>
                <w:sz w:val="19"/>
                <w:szCs w:val="19"/>
                <w:color w:val="auto"/>
              </w:rPr>
              <w:t>9,738</w:t>
            </w: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9"/>
                <w:szCs w:val="19"/>
                <w:color w:val="auto"/>
              </w:rPr>
              <w:t>8,756</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8,123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9"/>
                <w:szCs w:val="19"/>
                <w:color w:val="auto"/>
              </w:rPr>
              <w:t>11%</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81"/>
              <w:spacing w:after="0"/>
              <w:rPr>
                <w:sz w:val="20"/>
                <w:szCs w:val="20"/>
                <w:color w:val="auto"/>
              </w:rPr>
            </w:pPr>
            <w:r>
              <w:rPr>
                <w:rFonts w:ascii="Arial" w:cs="Arial" w:eastAsia="Arial" w:hAnsi="Arial"/>
                <w:sz w:val="19"/>
                <w:szCs w:val="19"/>
                <w:color w:val="auto"/>
              </w:rPr>
              <w:t>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Building Solutions &amp; Distribution</w:t>
            </w:r>
          </w:p>
        </w:tc>
        <w:tc>
          <w:tcPr>
            <w:tcW w:w="8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4,749</w:t>
            </w:r>
          </w:p>
        </w:tc>
        <w:tc>
          <w:tcPr>
            <w:tcW w:w="280" w:type="dxa"/>
            <w:vAlign w:val="bottom"/>
            <w:shd w:val="clear" w:color="auto" w:fill="E5FFFF"/>
          </w:tcPr>
          <w:p>
            <w:pPr>
              <w:spacing w:after="0"/>
              <w:rPr>
                <w:sz w:val="21"/>
                <w:szCs w:val="21"/>
                <w:color w:val="auto"/>
              </w:rPr>
            </w:pPr>
          </w:p>
        </w:tc>
        <w:tc>
          <w:tcPr>
            <w:tcW w:w="88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9"/>
                <w:szCs w:val="19"/>
                <w:color w:val="auto"/>
              </w:rPr>
              <w:t>4,709</w:t>
            </w:r>
          </w:p>
        </w:tc>
        <w:tc>
          <w:tcPr>
            <w:tcW w:w="30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4,664</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ind w:right="48"/>
              <w:spacing w:after="0"/>
              <w:rPr>
                <w:sz w:val="20"/>
                <w:szCs w:val="20"/>
                <w:color w:val="auto"/>
              </w:rPr>
            </w:pPr>
            <w:r>
              <w:rPr>
                <w:rFonts w:ascii="Arial" w:cs="Arial" w:eastAsia="Arial" w:hAnsi="Arial"/>
                <w:sz w:val="19"/>
                <w:szCs w:val="19"/>
                <w:color w:val="auto"/>
              </w:rPr>
              <w:t>1%</w:t>
            </w:r>
          </w:p>
        </w:tc>
        <w:tc>
          <w:tcPr>
            <w:tcW w:w="3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ind w:right="81"/>
              <w:spacing w:after="0"/>
              <w:rPr>
                <w:sz w:val="20"/>
                <w:szCs w:val="20"/>
                <w:color w:val="auto"/>
              </w:rPr>
            </w:pPr>
            <w:r>
              <w:rPr>
                <w:rFonts w:ascii="Arial" w:cs="Arial" w:eastAsia="Arial" w:hAnsi="Arial"/>
                <w:sz w:val="19"/>
                <w:szCs w:val="19"/>
                <w:color w:val="auto"/>
              </w:rPr>
              <w:t>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40" w:type="dxa"/>
            <w:vAlign w:val="bottom"/>
          </w:tcPr>
          <w:p>
            <w:pPr>
              <w:ind w:left="720"/>
              <w:spacing w:after="0"/>
              <w:rPr>
                <w:sz w:val="20"/>
                <w:szCs w:val="20"/>
                <w:color w:val="auto"/>
              </w:rPr>
            </w:pPr>
            <w:r>
              <w:rPr>
                <w:rFonts w:ascii="Arial" w:cs="Arial" w:eastAsia="Arial" w:hAnsi="Arial"/>
                <w:sz w:val="19"/>
                <w:szCs w:val="19"/>
                <w:color w:val="auto"/>
              </w:rPr>
              <w:t>Total Automation and Control Solutions Sales</w:t>
            </w:r>
          </w:p>
        </w:tc>
        <w:tc>
          <w:tcPr>
            <w:tcW w:w="880" w:type="dxa"/>
            <w:vAlign w:val="bottom"/>
            <w:gridSpan w:val="3"/>
          </w:tcPr>
          <w:p>
            <w:pPr>
              <w:jc w:val="right"/>
              <w:spacing w:after="0"/>
              <w:rPr>
                <w:sz w:val="20"/>
                <w:szCs w:val="20"/>
                <w:color w:val="auto"/>
              </w:rPr>
            </w:pPr>
            <w:r>
              <w:rPr>
                <w:rFonts w:ascii="Arial" w:cs="Arial" w:eastAsia="Arial" w:hAnsi="Arial"/>
                <w:sz w:val="19"/>
                <w:szCs w:val="19"/>
                <w:color w:val="auto"/>
              </w:rPr>
              <w:t>14,487</w:t>
            </w: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9"/>
                <w:szCs w:val="19"/>
                <w:color w:val="auto"/>
              </w:rPr>
              <w:t>13,465</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12,787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4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Performance Materials and Technologies Sales</w:t>
            </w: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40" w:type="dxa"/>
            <w:vAlign w:val="bottom"/>
          </w:tcPr>
          <w:p>
            <w:pPr>
              <w:ind w:left="360"/>
              <w:spacing w:after="0"/>
              <w:rPr>
                <w:sz w:val="20"/>
                <w:szCs w:val="20"/>
                <w:color w:val="auto"/>
              </w:rPr>
            </w:pPr>
            <w:r>
              <w:rPr>
                <w:rFonts w:ascii="Arial" w:cs="Arial" w:eastAsia="Arial" w:hAnsi="Arial"/>
                <w:sz w:val="19"/>
                <w:szCs w:val="19"/>
                <w:color w:val="auto"/>
              </w:rPr>
              <w:t>UOP</w:t>
            </w:r>
          </w:p>
        </w:tc>
        <w:tc>
          <w:tcPr>
            <w:tcW w:w="880" w:type="dxa"/>
            <w:vAlign w:val="bottom"/>
            <w:gridSpan w:val="3"/>
          </w:tcPr>
          <w:p>
            <w:pPr>
              <w:jc w:val="right"/>
              <w:spacing w:after="0"/>
              <w:rPr>
                <w:sz w:val="20"/>
                <w:szCs w:val="20"/>
                <w:color w:val="auto"/>
              </w:rPr>
            </w:pPr>
            <w:r>
              <w:rPr>
                <w:rFonts w:ascii="Arial" w:cs="Arial" w:eastAsia="Arial" w:hAnsi="Arial"/>
                <w:sz w:val="19"/>
                <w:szCs w:val="19"/>
                <w:color w:val="auto"/>
              </w:rPr>
              <w:t>3,195</w:t>
            </w:r>
          </w:p>
        </w:tc>
        <w:tc>
          <w:tcPr>
            <w:tcW w:w="28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Arial" w:cs="Arial" w:eastAsia="Arial" w:hAnsi="Arial"/>
                <w:sz w:val="19"/>
                <w:szCs w:val="19"/>
                <w:color w:val="auto"/>
              </w:rPr>
              <w:t>2,962</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9"/>
                <w:szCs w:val="19"/>
                <w:color w:val="auto"/>
              </w:rPr>
              <w:t>2,253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9"/>
                <w:szCs w:val="19"/>
                <w:color w:val="auto"/>
              </w:rPr>
              <w:t>8%</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81"/>
              <w:spacing w:after="0"/>
              <w:rPr>
                <w:sz w:val="20"/>
                <w:szCs w:val="20"/>
                <w:color w:val="auto"/>
              </w:rPr>
            </w:pPr>
            <w:r>
              <w:rPr>
                <w:rFonts w:ascii="Arial" w:cs="Arial" w:eastAsia="Arial" w:hAnsi="Arial"/>
                <w:sz w:val="19"/>
                <w:szCs w:val="19"/>
                <w:color w:val="auto"/>
              </w:rPr>
              <w:t>31%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52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Process Solutions</w:t>
            </w:r>
          </w:p>
        </w:tc>
        <w:tc>
          <w:tcPr>
            <w:tcW w:w="8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3,122</w:t>
            </w:r>
          </w:p>
        </w:tc>
        <w:tc>
          <w:tcPr>
            <w:tcW w:w="280" w:type="dxa"/>
            <w:vAlign w:val="bottom"/>
            <w:shd w:val="clear" w:color="auto" w:fill="E5FFFF"/>
          </w:tcPr>
          <w:p>
            <w:pPr>
              <w:spacing w:after="0"/>
              <w:rPr>
                <w:sz w:val="21"/>
                <w:szCs w:val="21"/>
                <w:color w:val="auto"/>
              </w:rPr>
            </w:pPr>
          </w:p>
        </w:tc>
        <w:tc>
          <w:tcPr>
            <w:tcW w:w="8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3,091</w:t>
            </w:r>
          </w:p>
        </w:tc>
        <w:tc>
          <w:tcPr>
            <w:tcW w:w="30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3,093</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gridSpan w:val="3"/>
            <w:shd w:val="clear" w:color="auto" w:fill="E5FFFF"/>
          </w:tcPr>
          <w:p>
            <w:pPr>
              <w:jc w:val="right"/>
              <w:ind w:right="48"/>
              <w:spacing w:after="0"/>
              <w:rPr>
                <w:sz w:val="20"/>
                <w:szCs w:val="20"/>
                <w:color w:val="auto"/>
              </w:rPr>
            </w:pPr>
            <w:r>
              <w:rPr>
                <w:rFonts w:ascii="Arial" w:cs="Arial" w:eastAsia="Arial" w:hAnsi="Arial"/>
                <w:sz w:val="19"/>
                <w:szCs w:val="19"/>
                <w:color w:val="auto"/>
              </w:rPr>
              <w:t>1%</w:t>
            </w:r>
          </w:p>
        </w:tc>
        <w:tc>
          <w:tcPr>
            <w:tcW w:w="3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540" w:type="dxa"/>
            <w:vAlign w:val="bottom"/>
            <w:gridSpan w:val="2"/>
            <w:shd w:val="clear" w:color="auto" w:fill="E5FFFF"/>
          </w:tcPr>
          <w:p>
            <w:pPr>
              <w:jc w:val="right"/>
              <w:ind w:right="241"/>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40" w:type="dxa"/>
            <w:vAlign w:val="bottom"/>
          </w:tcPr>
          <w:p>
            <w:pPr>
              <w:ind w:left="360"/>
              <w:spacing w:after="0"/>
              <w:rPr>
                <w:sz w:val="20"/>
                <w:szCs w:val="20"/>
                <w:color w:val="auto"/>
              </w:rPr>
            </w:pPr>
            <w:r>
              <w:rPr>
                <w:rFonts w:ascii="Arial" w:cs="Arial" w:eastAsia="Arial" w:hAnsi="Arial"/>
                <w:sz w:val="19"/>
                <w:szCs w:val="19"/>
                <w:color w:val="auto"/>
              </w:rPr>
              <w:t>Advanced Materials</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3,904</w:t>
            </w:r>
          </w:p>
        </w:tc>
        <w:tc>
          <w:tcPr>
            <w:tcW w:w="280" w:type="dxa"/>
            <w:vAlign w:val="bottom"/>
          </w:tcPr>
          <w:p>
            <w:pPr>
              <w:spacing w:after="0"/>
              <w:rPr>
                <w:sz w:val="21"/>
                <w:szCs w:val="21"/>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3,802</w:t>
            </w:r>
          </w:p>
        </w:tc>
        <w:tc>
          <w:tcPr>
            <w:tcW w:w="3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3,931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9"/>
                <w:szCs w:val="19"/>
                <w:color w:val="auto"/>
              </w:rPr>
              <w:t>3%</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21"/>
              <w:spacing w:after="0"/>
              <w:rPr>
                <w:sz w:val="20"/>
                <w:szCs w:val="20"/>
                <w:color w:val="auto"/>
              </w:rPr>
            </w:pPr>
            <w:r>
              <w:rPr>
                <w:rFonts w:ascii="Arial" w:cs="Arial" w:eastAsia="Arial" w:hAnsi="Arial"/>
                <w:sz w:val="19"/>
                <w:szCs w:val="19"/>
                <w:color w:val="auto"/>
              </w:rPr>
              <w:t>(3)%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40" w:type="dxa"/>
            <w:vAlign w:val="bottom"/>
            <w:shd w:val="clear" w:color="auto" w:fill="E5FFFF"/>
          </w:tcPr>
          <w:p>
            <w:pPr>
              <w:ind w:left="720"/>
              <w:spacing w:after="0" w:line="216" w:lineRule="exact"/>
              <w:rPr>
                <w:sz w:val="20"/>
                <w:szCs w:val="20"/>
                <w:color w:val="auto"/>
              </w:rPr>
            </w:pPr>
            <w:r>
              <w:rPr>
                <w:rFonts w:ascii="Arial" w:cs="Arial" w:eastAsia="Arial" w:hAnsi="Arial"/>
                <w:sz w:val="19"/>
                <w:szCs w:val="19"/>
                <w:color w:val="auto"/>
              </w:rPr>
              <w:t>Total Performance Materials and Technologies</w:t>
            </w: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240" w:type="dxa"/>
            <w:vAlign w:val="bottom"/>
            <w:shd w:val="clear" w:color="auto" w:fill="E5FFFF"/>
          </w:tcPr>
          <w:p>
            <w:pPr>
              <w:ind w:left="900"/>
              <w:spacing w:after="0" w:line="216" w:lineRule="exact"/>
              <w:rPr>
                <w:sz w:val="20"/>
                <w:szCs w:val="20"/>
                <w:color w:val="auto"/>
              </w:rPr>
            </w:pPr>
            <w:r>
              <w:rPr>
                <w:rFonts w:ascii="Arial" w:cs="Arial" w:eastAsia="Arial" w:hAnsi="Arial"/>
                <w:sz w:val="19"/>
                <w:szCs w:val="19"/>
                <w:color w:val="auto"/>
              </w:rPr>
              <w:t>Sales</w:t>
            </w:r>
          </w:p>
        </w:tc>
        <w:tc>
          <w:tcPr>
            <w:tcW w:w="880" w:type="dxa"/>
            <w:vAlign w:val="bottom"/>
            <w:tcBorders>
              <w:bottom w:val="single" w:sz="8" w:color="auto"/>
            </w:tcBorders>
            <w:gridSpan w:val="3"/>
            <w:shd w:val="clear" w:color="auto" w:fill="E5FFFF"/>
          </w:tcPr>
          <w:p>
            <w:pPr>
              <w:jc w:val="right"/>
              <w:spacing w:after="0" w:line="216" w:lineRule="exact"/>
              <w:rPr>
                <w:sz w:val="20"/>
                <w:szCs w:val="20"/>
                <w:color w:val="auto"/>
              </w:rPr>
            </w:pPr>
            <w:r>
              <w:rPr>
                <w:rFonts w:ascii="Arial" w:cs="Arial" w:eastAsia="Arial" w:hAnsi="Arial"/>
                <w:sz w:val="19"/>
                <w:szCs w:val="19"/>
                <w:color w:val="auto"/>
              </w:rPr>
              <w:t>10,221</w:t>
            </w:r>
          </w:p>
        </w:tc>
        <w:tc>
          <w:tcPr>
            <w:tcW w:w="280" w:type="dxa"/>
            <w:vAlign w:val="bottom"/>
            <w:shd w:val="clear" w:color="auto" w:fill="E5FFFF"/>
          </w:tcPr>
          <w:p>
            <w:pPr>
              <w:spacing w:after="0"/>
              <w:rPr>
                <w:sz w:val="18"/>
                <w:szCs w:val="18"/>
                <w:color w:val="auto"/>
              </w:rPr>
            </w:pPr>
          </w:p>
        </w:tc>
        <w:tc>
          <w:tcPr>
            <w:tcW w:w="880" w:type="dxa"/>
            <w:vAlign w:val="bottom"/>
            <w:tcBorders>
              <w:bottom w:val="single" w:sz="8" w:color="auto"/>
            </w:tcBorders>
            <w:gridSpan w:val="4"/>
            <w:shd w:val="clear" w:color="auto" w:fill="E5FFFF"/>
          </w:tcPr>
          <w:p>
            <w:pPr>
              <w:jc w:val="right"/>
              <w:spacing w:after="0" w:line="216" w:lineRule="exact"/>
              <w:rPr>
                <w:sz w:val="20"/>
                <w:szCs w:val="20"/>
                <w:color w:val="auto"/>
              </w:rPr>
            </w:pPr>
            <w:r>
              <w:rPr>
                <w:rFonts w:ascii="Arial" w:cs="Arial" w:eastAsia="Arial" w:hAnsi="Arial"/>
                <w:sz w:val="19"/>
                <w:szCs w:val="19"/>
                <w:color w:val="auto"/>
              </w:rPr>
              <w:t>9,855</w:t>
            </w:r>
          </w:p>
        </w:tc>
        <w:tc>
          <w:tcPr>
            <w:tcW w:w="300" w:type="dxa"/>
            <w:vAlign w:val="bottom"/>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9,277</w:t>
            </w: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9"/>
                <w:szCs w:val="19"/>
                <w:color w:val="auto"/>
              </w:rPr>
              <w:t>Net Sales</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$ 40,306</w:t>
            </w:r>
          </w:p>
        </w:tc>
        <w:tc>
          <w:tcPr>
            <w:tcW w:w="280" w:type="dxa"/>
            <w:vAlign w:val="bottom"/>
          </w:tcPr>
          <w:p>
            <w:pPr>
              <w:spacing w:after="0"/>
              <w:rPr>
                <w:sz w:val="21"/>
                <w:szCs w:val="21"/>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$ 39,055</w:t>
            </w:r>
          </w:p>
        </w:tc>
        <w:tc>
          <w:tcPr>
            <w:tcW w:w="30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37,665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Aerospace</w:t>
            </w: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7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0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b w:val="1"/>
                <w:bCs w:val="1"/>
                <w:color w:val="auto"/>
              </w:rPr>
              <w:t>2014</w:t>
            </w:r>
          </w:p>
        </w:tc>
        <w:tc>
          <w:tcPr>
            <w:tcW w:w="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2013</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2012</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37"/>
        </w:trPr>
        <w:tc>
          <w:tcPr>
            <w:tcW w:w="5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15,598</w:t>
            </w:r>
          </w:p>
        </w:tc>
        <w:tc>
          <w:tcPr>
            <w:tcW w:w="52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15,735</w:t>
            </w:r>
          </w:p>
        </w:tc>
        <w:tc>
          <w:tcPr>
            <w:tcW w:w="4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880" w:type="dxa"/>
            <w:vAlign w:val="bottom"/>
            <w:gridSpan w:val="3"/>
            <w:shd w:val="clear" w:color="auto" w:fill="E5FFFF"/>
          </w:tcPr>
          <w:p>
            <w:pPr>
              <w:jc w:val="right"/>
              <w:ind w:right="160"/>
              <w:spacing w:after="0"/>
              <w:rPr>
                <w:sz w:val="20"/>
                <w:szCs w:val="20"/>
                <w:color w:val="auto"/>
              </w:rPr>
            </w:pPr>
            <w:r>
              <w:rPr>
                <w:rFonts w:ascii="Arial" w:cs="Arial" w:eastAsia="Arial" w:hAnsi="Arial"/>
                <w:sz w:val="19"/>
                <w:szCs w:val="19"/>
                <w:color w:val="auto"/>
              </w:rPr>
              <w:t>(1)%</w:t>
            </w:r>
          </w:p>
        </w:tc>
        <w:tc>
          <w:tcPr>
            <w:tcW w:w="140" w:type="dxa"/>
            <w:vAlign w:val="bottom"/>
            <w:shd w:val="clear" w:color="auto" w:fill="E5FFFF"/>
          </w:tcPr>
          <w:p>
            <w:pPr>
              <w:spacing w:after="0"/>
              <w:rPr>
                <w:sz w:val="20"/>
                <w:szCs w:val="20"/>
                <w:color w:val="auto"/>
              </w:rPr>
            </w:pPr>
          </w:p>
        </w:tc>
        <w:tc>
          <w:tcPr>
            <w:tcW w:w="3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15,601</w:t>
            </w:r>
          </w:p>
        </w:tc>
        <w:tc>
          <w:tcPr>
            <w:tcW w:w="1100" w:type="dxa"/>
            <w:vAlign w:val="bottom"/>
            <w:gridSpan w:val="4"/>
            <w:shd w:val="clear" w:color="auto" w:fill="E5FFFF"/>
          </w:tcPr>
          <w:p>
            <w:pPr>
              <w:jc w:val="center"/>
              <w:ind w:left="247"/>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5740" w:type="dxa"/>
            <w:vAlign w:val="bottom"/>
            <w:gridSpan w:val="2"/>
          </w:tcPr>
          <w:p>
            <w:pPr>
              <w:spacing w:after="0"/>
              <w:rPr>
                <w:sz w:val="20"/>
                <w:szCs w:val="20"/>
                <w:color w:val="auto"/>
              </w:rPr>
            </w:pPr>
            <w:r>
              <w:rPr>
                <w:rFonts w:ascii="Arial" w:cs="Arial" w:eastAsia="Arial" w:hAnsi="Arial"/>
                <w:sz w:val="19"/>
                <w:szCs w:val="19"/>
                <w:color w:val="auto"/>
              </w:rPr>
              <w:t>Cost of products and services sold</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9"/>
                <w:szCs w:val="19"/>
                <w:color w:val="auto"/>
              </w:rPr>
              <w:t>11,699</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9"/>
                <w:szCs w:val="19"/>
                <w:color w:val="auto"/>
              </w:rPr>
              <w:t>11,889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9"/>
                <w:szCs w:val="19"/>
                <w:color w:val="auto"/>
              </w:rPr>
              <w:t>11,863</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Selling, general and administrative expenses</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712</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705</w:t>
            </w: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763</w:t>
            </w:r>
          </w:p>
        </w:tc>
        <w:tc>
          <w:tcPr>
            <w:tcW w:w="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gridSpan w:val="2"/>
          </w:tcPr>
          <w:p>
            <w:pPr>
              <w:spacing w:after="0"/>
              <w:rPr>
                <w:sz w:val="20"/>
                <w:szCs w:val="20"/>
                <w:color w:val="auto"/>
              </w:rPr>
            </w:pPr>
            <w:r>
              <w:rPr>
                <w:rFonts w:ascii="Arial" w:cs="Arial" w:eastAsia="Arial" w:hAnsi="Arial"/>
                <w:sz w:val="19"/>
                <w:szCs w:val="19"/>
                <w:color w:val="auto"/>
              </w:rPr>
              <w:t>Other</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272</w:t>
            </w:r>
          </w:p>
        </w:tc>
        <w:tc>
          <w:tcPr>
            <w:tcW w:w="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271</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264</w:t>
            </w:r>
          </w:p>
        </w:tc>
        <w:tc>
          <w:tcPr>
            <w:tcW w:w="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Segment profit</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8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2,915</w:t>
            </w:r>
          </w:p>
        </w:tc>
        <w:tc>
          <w:tcPr>
            <w:tcW w:w="52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2,870</w:t>
            </w:r>
          </w:p>
        </w:tc>
        <w:tc>
          <w:tcPr>
            <w:tcW w:w="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2,711</w:t>
            </w:r>
          </w:p>
        </w:tc>
        <w:tc>
          <w:tcPr>
            <w:tcW w:w="1100" w:type="dxa"/>
            <w:vAlign w:val="bottom"/>
            <w:gridSpan w:val="4"/>
            <w:shd w:val="clear" w:color="auto" w:fill="E5FFFF"/>
          </w:tcPr>
          <w:p>
            <w:pPr>
              <w:jc w:val="center"/>
              <w:ind w:left="247"/>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6"/>
                <w:szCs w:val="16"/>
                <w:b w:val="1"/>
                <w:bCs w:val="1"/>
                <w:color w:val="auto"/>
              </w:rPr>
              <w:t>2014 vs. 2013</w:t>
            </w:r>
          </w:p>
        </w:tc>
        <w:tc>
          <w:tcPr>
            <w:tcW w:w="28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6"/>
                <w:szCs w:val="16"/>
                <w:b w:val="1"/>
                <w:bCs w:val="1"/>
                <w:color w:val="auto"/>
              </w:rPr>
              <w:t>2013 vs. 2012</w:t>
            </w:r>
          </w:p>
        </w:tc>
      </w:tr>
      <w:tr>
        <w:trPr>
          <w:trHeight w:val="155"/>
        </w:trPr>
        <w:tc>
          <w:tcPr>
            <w:tcW w:w="6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r>
      <w:tr>
        <w:trPr>
          <w:trHeight w:val="190"/>
        </w:trPr>
        <w:tc>
          <w:tcPr>
            <w:tcW w:w="6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280" w:type="dxa"/>
            <w:vAlign w:val="bottom"/>
          </w:tcPr>
          <w:p>
            <w:pPr>
              <w:spacing w:after="0"/>
              <w:rPr>
                <w:sz w:val="16"/>
                <w:szCs w:val="16"/>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Sales</w:t>
            </w:r>
          </w:p>
        </w:tc>
        <w:tc>
          <w:tcPr>
            <w:tcW w:w="280" w:type="dxa"/>
            <w:vAlign w:val="bottom"/>
          </w:tcPr>
          <w:p>
            <w:pPr>
              <w:spacing w:after="0"/>
              <w:rPr>
                <w:sz w:val="16"/>
                <w:szCs w:val="16"/>
                <w:color w:val="auto"/>
              </w:rPr>
            </w:pPr>
          </w:p>
        </w:tc>
        <w:tc>
          <w:tcPr>
            <w:tcW w:w="7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Profit</w:t>
            </w:r>
          </w:p>
        </w:tc>
        <w:tc>
          <w:tcPr>
            <w:tcW w:w="280" w:type="dxa"/>
            <w:vAlign w:val="bottom"/>
          </w:tcPr>
          <w:p>
            <w:pPr>
              <w:spacing w:after="0"/>
              <w:rPr>
                <w:sz w:val="16"/>
                <w:szCs w:val="16"/>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Sales</w:t>
            </w: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Profit</w:t>
            </w:r>
          </w:p>
        </w:tc>
      </w:tr>
      <w:tr>
        <w:trPr>
          <w:trHeight w:val="237"/>
        </w:trPr>
        <w:tc>
          <w:tcPr>
            <w:tcW w:w="6320" w:type="dxa"/>
            <w:vAlign w:val="bottom"/>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1060" w:type="dxa"/>
            <w:vAlign w:val="bottom"/>
            <w:gridSpan w:val="2"/>
            <w:shd w:val="clear" w:color="auto" w:fill="E5FFFF"/>
          </w:tcPr>
          <w:p>
            <w:pPr>
              <w:jc w:val="right"/>
              <w:ind w:right="35"/>
              <w:spacing w:after="0"/>
              <w:rPr>
                <w:sz w:val="20"/>
                <w:szCs w:val="20"/>
                <w:color w:val="auto"/>
              </w:rPr>
            </w:pPr>
            <w:r>
              <w:rPr>
                <w:rFonts w:ascii="Arial" w:cs="Arial" w:eastAsia="Arial" w:hAnsi="Arial"/>
                <w:sz w:val="19"/>
                <w:szCs w:val="19"/>
                <w:color w:val="auto"/>
              </w:rPr>
              <w:t>8%</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w:t>
            </w:r>
          </w:p>
        </w:tc>
      </w:tr>
      <w:tr>
        <w:trPr>
          <w:trHeight w:val="250"/>
        </w:trPr>
        <w:tc>
          <w:tcPr>
            <w:tcW w:w="6320" w:type="dxa"/>
            <w:vAlign w:val="bottom"/>
          </w:tcPr>
          <w:p>
            <w:pPr>
              <w:spacing w:after="0"/>
              <w:rPr>
                <w:sz w:val="20"/>
                <w:szCs w:val="20"/>
                <w:color w:val="auto"/>
              </w:rPr>
            </w:pPr>
            <w:r>
              <w:rPr>
                <w:rFonts w:ascii="Arial" w:cs="Arial" w:eastAsia="Arial" w:hAnsi="Arial"/>
                <w:sz w:val="19"/>
                <w:szCs w:val="19"/>
                <w:color w:val="auto"/>
              </w:rPr>
              <w:t>Acquisitions, divestitures and other, net</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2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280" w:type="dxa"/>
            <w:vAlign w:val="bottom"/>
          </w:tcPr>
          <w:p>
            <w:pPr>
              <w:spacing w:after="0"/>
              <w:rPr>
                <w:sz w:val="21"/>
                <w:szCs w:val="21"/>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9"/>
                <w:szCs w:val="19"/>
                <w:color w:val="auto"/>
              </w:rPr>
              <w:t>—</w:t>
            </w:r>
          </w:p>
        </w:tc>
      </w:tr>
      <w:tr>
        <w:trPr>
          <w:trHeight w:val="243"/>
        </w:trPr>
        <w:tc>
          <w:tcPr>
            <w:tcW w:w="63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 Change</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1060" w:type="dxa"/>
            <w:vAlign w:val="bottom"/>
            <w:gridSpan w:val="2"/>
            <w:shd w:val="clear" w:color="auto" w:fill="E5FFFF"/>
          </w:tcPr>
          <w:p>
            <w:pPr>
              <w:jc w:val="right"/>
              <w:ind w:right="35"/>
              <w:spacing w:after="0"/>
              <w:rPr>
                <w:sz w:val="20"/>
                <w:szCs w:val="20"/>
                <w:color w:val="auto"/>
              </w:rPr>
            </w:pPr>
            <w:r>
              <w:rPr>
                <w:rFonts w:ascii="Arial" w:cs="Arial" w:eastAsia="Arial" w:hAnsi="Arial"/>
                <w:sz w:val="19"/>
                <w:szCs w:val="19"/>
                <w:color w:val="auto"/>
              </w:rPr>
              <w:t>2%</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w:t>
            </w:r>
          </w:p>
        </w:tc>
      </w:tr>
      <w:tr>
        <w:trPr>
          <w:trHeight w:val="20"/>
        </w:trPr>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2014 compared with 2013</w:t>
      </w:r>
    </w:p>
    <w:p>
      <w:pPr>
        <w:spacing w:after="0" w:line="13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Aerospace sales decreased primarily due to the Friction Materials divestiture and an increase in incentive payments due to air transport and regional and business and general aviation original equipment (OE) manufacturers (OEM Incentive Payments), partially offset by an increase in organic sales, as discussed below.</w:t>
      </w:r>
    </w:p>
    <w:p>
      <w:pPr>
        <w:spacing w:after="0" w:line="74" w:lineRule="exact"/>
        <w:rPr>
          <w:sz w:val="20"/>
          <w:szCs w:val="20"/>
          <w:color w:val="auto"/>
        </w:rPr>
      </w:pPr>
    </w:p>
    <w:p>
      <w:pPr>
        <w:jc w:val="both"/>
        <w:ind w:left="540" w:hanging="168"/>
        <w:spacing w:after="0" w:line="245"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Commercial Original Equipment sales decreased by 2% (increased by 3% organic) primarily due to an increase in OEM Incentive Payments to air transport and regional OE manufacturers, partially offset by higher air transport volumes, consistent with the OE Manufacturers’ higher production rates, and business and general aviation engine shipments.</w:t>
      </w:r>
    </w:p>
    <w:p>
      <w:pPr>
        <w:spacing w:after="0" w:line="73"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Commercial Aftermarket sales increased by 3% driven primarily by higher sales of spare parts to air transport and regional customers, partially offset by a decline in retrofits, modifications and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1" w:name="page22"/>
    <w:bookmarkEnd w:id="21"/>
    <w:p>
      <w:pPr>
        <w:ind w:left="540"/>
        <w:spacing w:after="0"/>
        <w:rPr>
          <w:sz w:val="20"/>
          <w:szCs w:val="20"/>
          <w:color w:val="auto"/>
        </w:rPr>
      </w:pPr>
      <w:r>
        <w:rPr>
          <w:rFonts w:ascii="Arial" w:cs="Arial" w:eastAsia="Arial" w:hAnsi="Arial"/>
          <w:sz w:val="19"/>
          <w:szCs w:val="19"/>
          <w:color w:val="auto"/>
        </w:rPr>
        <w:t>upgrades and lower repair and overhaul activities for our business and general aviation customers.</w:t>
      </w:r>
    </w:p>
    <w:p>
      <w:pPr>
        <w:spacing w:after="0" w:line="92" w:lineRule="exact"/>
        <w:rPr>
          <w:sz w:val="20"/>
          <w:szCs w:val="20"/>
          <w:color w:val="auto"/>
        </w:rPr>
      </w:pPr>
    </w:p>
    <w:p>
      <w:pPr>
        <w:ind w:left="540" w:hanging="168"/>
        <w:spacing w:after="0" w:line="253"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Defense and Space sales decreased by 2% primarily due to lower U.S. government services revenue and the absence of a prior year royalty gain, partially offset by growth in international programs.</w:t>
      </w:r>
    </w:p>
    <w:p>
      <w:pPr>
        <w:spacing w:after="0" w:line="66"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Transportation Systems sales decreased by 3% (increased by 5% organic) primarily due to the Friction Materials divestiture, partially offset by continued growth from new platform launches, higher global turbo gas penetration and increased commercial vehicle demand in Europe.</w:t>
      </w:r>
    </w:p>
    <w:p>
      <w:pPr>
        <w:spacing w:after="0" w:line="8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Aerospace segment profit increased by 2% due to an 8% increase in operational segment profit, partially offset by a 6% unfavorable impact from acquisitions, divestitures and other (predominantly higher OEM Incentive Payments and the absence of a prior year royalty gain), as discussed above. The increase in operational segment profit is driven primarily by favorable price and productivity, net of inflation. Cost of products and services sold totaled $11.7 billion in 2014, a decrease of $190 million, primarily due to the factors discussed above (excluding price).</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2013 compared with 2012</w:t>
      </w:r>
    </w:p>
    <w:p>
      <w:pPr>
        <w:spacing w:after="0" w:line="130"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Aerospace sales increased primarily due to favorable pricing, increased volumes in our Commercial Original Equipment business and increased licensing revenue (primarily due to a royalty gain in the fourth quarter), offset by decreased volumes in our Defense and Space and Commercial Aftermarket businesses and an increase in incentive payments due to business and general aviation and air transport and regional OE manufacturers to partially offset their pre-production costs associated with new aircraft platforms.</w:t>
      </w:r>
    </w:p>
    <w:p>
      <w:pPr>
        <w:spacing w:after="0" w:line="284" w:lineRule="exact"/>
        <w:rPr>
          <w:sz w:val="20"/>
          <w:szCs w:val="20"/>
          <w:color w:val="auto"/>
        </w:rPr>
      </w:pPr>
    </w:p>
    <w:p>
      <w:pPr>
        <w:jc w:val="both"/>
        <w:ind w:left="540" w:hanging="168"/>
        <w:spacing w:after="0" w:line="245"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Commercial Original Equipment sales increased by 3% driven primarily by higher air transport volumes, consistent with the OE Manufacturers’ higher production rates, and strong demand in the business jet mid to large cabin segment, partially offset by an increase in OEM Incentive Payments to business and general aviation customers.</w:t>
      </w:r>
    </w:p>
    <w:p>
      <w:pPr>
        <w:spacing w:after="0" w:line="73"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Commercial Aftermarket sales increased by 2% driven primarily by higher retrofits, modifications and upgrades activities and higher repair and overhaul activities for air transport and regional customers, partially offset by fewer repair and overhaul activities for business and general aviation customers.</w:t>
      </w:r>
    </w:p>
    <w:p>
      <w:pPr>
        <w:spacing w:after="0" w:line="73"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Defense and Space sales decreased by 5% primarily due to U.S. government program ramp downs and lower defense budget, partially offset by a royalty gain in the fourth quarter.</w:t>
      </w:r>
    </w:p>
    <w:p>
      <w:pPr>
        <w:spacing w:after="0" w:line="66"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Transportation Systems sales increased by 5% primarily due to an increase in organic sales driven by continued strong growth from new platform launches and higher global turbo gas penetration.</w:t>
      </w:r>
    </w:p>
    <w:p>
      <w:pPr>
        <w:spacing w:after="0" w:line="80"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Aerospace segment profit increased by 6% primarily due to an increase in operational segment profit driven by commercial sales growth, as discussed above, including favorable pricing and productivity, net of inflation, partially offset by lower defense and space sales, as discussed above. Cost of products and services sold totaled $11.9 billion in 2013, an increase of approximately $26 million, primarily due to the factors discussed above (excluding price).</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Automation and Control Solutions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6"/>
                <w:szCs w:val="16"/>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Change</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237"/>
        </w:trPr>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5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14,487</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13,465</w:t>
            </w:r>
          </w:p>
        </w:tc>
        <w:tc>
          <w:tcPr>
            <w:tcW w:w="10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8%</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12,787</w:t>
            </w:r>
          </w:p>
        </w:tc>
        <w:tc>
          <w:tcPr>
            <w:tcW w:w="1040" w:type="dxa"/>
            <w:vAlign w:val="bottom"/>
            <w:gridSpan w:val="2"/>
            <w:shd w:val="clear" w:color="auto" w:fill="E5FFFF"/>
          </w:tcPr>
          <w:p>
            <w:pPr>
              <w:jc w:val="center"/>
              <w:ind w:left="223"/>
              <w:spacing w:after="0"/>
              <w:rPr>
                <w:sz w:val="20"/>
                <w:szCs w:val="20"/>
                <w:color w:val="auto"/>
              </w:rPr>
            </w:pPr>
            <w:r>
              <w:rPr>
                <w:rFonts w:ascii="Arial" w:cs="Arial" w:eastAsia="Arial" w:hAnsi="Arial"/>
                <w:sz w:val="19"/>
                <w:szCs w:val="19"/>
                <w:color w:val="auto"/>
              </w:rPr>
              <w:t>5%</w:t>
            </w:r>
          </w:p>
        </w:tc>
      </w:tr>
      <w:tr>
        <w:trPr>
          <w:trHeight w:val="243"/>
        </w:trPr>
        <w:tc>
          <w:tcPr>
            <w:tcW w:w="4740" w:type="dxa"/>
            <w:vAlign w:val="bottom"/>
          </w:tcPr>
          <w:p>
            <w:pPr>
              <w:spacing w:after="0"/>
              <w:rPr>
                <w:sz w:val="20"/>
                <w:szCs w:val="20"/>
                <w:color w:val="auto"/>
              </w:rPr>
            </w:pPr>
            <w:r>
              <w:rPr>
                <w:rFonts w:ascii="Arial" w:cs="Arial" w:eastAsia="Arial" w:hAnsi="Arial"/>
                <w:sz w:val="19"/>
                <w:szCs w:val="19"/>
                <w:color w:val="auto"/>
              </w:rPr>
              <w:t>Cost of products and services sold</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9,447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8,872</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8,511</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expenses</w:t>
            </w:r>
          </w:p>
        </w:tc>
        <w:tc>
          <w:tcPr>
            <w:tcW w:w="13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2,584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2,358</w:t>
            </w:r>
          </w:p>
        </w:tc>
        <w:tc>
          <w:tcPr>
            <w:tcW w:w="30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2,197</w:t>
            </w:r>
          </w:p>
        </w:tc>
        <w:tc>
          <w:tcPr>
            <w:tcW w:w="32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9"/>
                <w:szCs w:val="19"/>
                <w:color w:val="auto"/>
              </w:rPr>
              <w:t>Other</w:t>
            </w:r>
          </w:p>
        </w:tc>
        <w:tc>
          <w:tcPr>
            <w:tcW w:w="1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256</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252</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243</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3"/>
        </w:trPr>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Segment profit</w:t>
            </w:r>
          </w:p>
        </w:tc>
        <w:tc>
          <w:tcPr>
            <w:tcW w:w="15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2,200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1,983</w:t>
            </w:r>
          </w:p>
        </w:tc>
        <w:tc>
          <w:tcPr>
            <w:tcW w:w="102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11%</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1,836</w:t>
            </w:r>
          </w:p>
        </w:tc>
        <w:tc>
          <w:tcPr>
            <w:tcW w:w="1040" w:type="dxa"/>
            <w:vAlign w:val="bottom"/>
            <w:gridSpan w:val="2"/>
            <w:shd w:val="clear" w:color="auto" w:fill="E5FFFF"/>
          </w:tcPr>
          <w:p>
            <w:pPr>
              <w:jc w:val="center"/>
              <w:ind w:left="223"/>
              <w:spacing w:after="0"/>
              <w:rPr>
                <w:sz w:val="20"/>
                <w:szCs w:val="20"/>
                <w:color w:val="auto"/>
              </w:rPr>
            </w:pPr>
            <w:r>
              <w:rPr>
                <w:rFonts w:ascii="Arial" w:cs="Arial" w:eastAsia="Arial" w:hAnsi="Arial"/>
                <w:sz w:val="19"/>
                <w:szCs w:val="19"/>
                <w:color w:val="auto"/>
              </w:rPr>
              <w:t>8%</w:t>
            </w:r>
          </w:p>
        </w:tc>
      </w:tr>
      <w:tr>
        <w:trPr>
          <w:trHeight w:val="349"/>
        </w:trPr>
        <w:tc>
          <w:tcPr>
            <w:tcW w:w="4740" w:type="dxa"/>
            <w:vAlign w:val="bottom"/>
          </w:tcPr>
          <w:p>
            <w:pPr>
              <w:spacing w:after="0"/>
              <w:rPr>
                <w:sz w:val="24"/>
                <w:szCs w:val="24"/>
                <w:color w:val="auto"/>
              </w:rPr>
            </w:pPr>
          </w:p>
        </w:tc>
        <w:tc>
          <w:tcPr>
            <w:tcW w:w="1380" w:type="dxa"/>
            <w:vAlign w:val="bottom"/>
          </w:tcPr>
          <w:p>
            <w:pPr>
              <w:jc w:val="right"/>
              <w:ind w:right="203"/>
              <w:spacing w:after="0"/>
              <w:rPr>
                <w:sz w:val="20"/>
                <w:szCs w:val="20"/>
                <w:color w:val="auto"/>
              </w:rPr>
            </w:pPr>
            <w:r>
              <w:rPr>
                <w:rFonts w:ascii="Arial" w:cs="Arial" w:eastAsia="Arial" w:hAnsi="Arial"/>
                <w:sz w:val="19"/>
                <w:szCs w:val="19"/>
                <w:color w:val="auto"/>
              </w:rPr>
              <w:t>20</w:t>
            </w: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9"/>
        </w:trPr>
        <w:tc>
          <w:tcPr>
            <w:tcW w:w="47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22" w:name="page23"/>
    <w:bookmarkEnd w:id="22"/>
    <w:tbl>
      <w:tblPr>
        <w:tblLayout w:type="fixed"/>
        <w:tblInd w:w="50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2014 vs. 2013</w:t>
            </w:r>
          </w:p>
        </w:tc>
        <w:tc>
          <w:tcPr>
            <w:tcW w:w="3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rPr>
              <w:t>2013 vs. 2012</w:t>
            </w:r>
          </w:p>
        </w:tc>
      </w:tr>
      <w:tr>
        <w:trPr>
          <w:trHeight w:val="155"/>
        </w:trPr>
        <w:tc>
          <w:tcPr>
            <w:tcW w:w="6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r>
      <w:tr>
        <w:trPr>
          <w:trHeight w:val="190"/>
        </w:trPr>
        <w:tc>
          <w:tcPr>
            <w:tcW w:w="6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300" w:type="dxa"/>
            <w:vAlign w:val="bottom"/>
          </w:tcPr>
          <w:p>
            <w:pPr>
              <w:spacing w:after="0"/>
              <w:rPr>
                <w:sz w:val="16"/>
                <w:szCs w:val="16"/>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Sales</w:t>
            </w: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Profit</w:t>
            </w:r>
          </w:p>
        </w:tc>
        <w:tc>
          <w:tcPr>
            <w:tcW w:w="30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Profit</w:t>
            </w:r>
          </w:p>
        </w:tc>
      </w:tr>
      <w:tr>
        <w:trPr>
          <w:trHeight w:val="237"/>
        </w:trPr>
        <w:tc>
          <w:tcPr>
            <w:tcW w:w="6400" w:type="dxa"/>
            <w:vAlign w:val="bottom"/>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92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4%</w:t>
            </w:r>
          </w:p>
        </w:tc>
        <w:tc>
          <w:tcPr>
            <w:tcW w:w="1080" w:type="dxa"/>
            <w:vAlign w:val="bottom"/>
            <w:gridSpan w:val="2"/>
            <w:shd w:val="clear" w:color="auto" w:fill="E5FFFF"/>
          </w:tcPr>
          <w:p>
            <w:pPr>
              <w:jc w:val="right"/>
              <w:ind w:right="35"/>
              <w:spacing w:after="0"/>
              <w:rPr>
                <w:sz w:val="20"/>
                <w:szCs w:val="20"/>
                <w:color w:val="auto"/>
              </w:rPr>
            </w:pPr>
            <w:r>
              <w:rPr>
                <w:rFonts w:ascii="Arial" w:cs="Arial" w:eastAsia="Arial" w:hAnsi="Arial"/>
                <w:sz w:val="19"/>
                <w:szCs w:val="19"/>
                <w:color w:val="auto"/>
              </w:rPr>
              <w:t>9%</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1120" w:type="dxa"/>
            <w:vAlign w:val="bottom"/>
            <w:gridSpan w:val="2"/>
            <w:shd w:val="clear" w:color="auto" w:fill="E5FFFF"/>
          </w:tcPr>
          <w:p>
            <w:pPr>
              <w:jc w:val="right"/>
              <w:ind w:right="72"/>
              <w:spacing w:after="0"/>
              <w:rPr>
                <w:sz w:val="20"/>
                <w:szCs w:val="20"/>
                <w:color w:val="auto"/>
              </w:rPr>
            </w:pPr>
            <w:r>
              <w:rPr>
                <w:rFonts w:ascii="Arial" w:cs="Arial" w:eastAsia="Arial" w:hAnsi="Arial"/>
                <w:sz w:val="19"/>
                <w:szCs w:val="19"/>
                <w:color w:val="auto"/>
              </w:rPr>
              <w:t>7%</w:t>
            </w:r>
          </w:p>
        </w:tc>
      </w:tr>
      <w:tr>
        <w:trPr>
          <w:trHeight w:val="243"/>
        </w:trPr>
        <w:tc>
          <w:tcPr>
            <w:tcW w:w="6400" w:type="dxa"/>
            <w:vAlign w:val="bottom"/>
          </w:tcPr>
          <w:p>
            <w:pPr>
              <w:spacing w:after="0"/>
              <w:rPr>
                <w:sz w:val="20"/>
                <w:szCs w:val="20"/>
                <w:color w:val="auto"/>
              </w:rPr>
            </w:pPr>
            <w:r>
              <w:rPr>
                <w:rFonts w:ascii="Arial" w:cs="Arial" w:eastAsia="Arial" w:hAnsi="Arial"/>
                <w:sz w:val="19"/>
                <w:szCs w:val="19"/>
                <w:color w:val="auto"/>
              </w:rPr>
              <w:t>Foreign exchange</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580" w:type="dxa"/>
            <w:vAlign w:val="bottom"/>
          </w:tcPr>
          <w:p>
            <w:pPr>
              <w:jc w:val="right"/>
              <w:ind w:right="112"/>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840" w:type="dxa"/>
            <w:vAlign w:val="bottom"/>
          </w:tcPr>
          <w:p>
            <w:pPr>
              <w:jc w:val="right"/>
              <w:ind w:right="232"/>
              <w:spacing w:after="0"/>
              <w:rPr>
                <w:sz w:val="20"/>
                <w:szCs w:val="20"/>
                <w:color w:val="auto"/>
              </w:rPr>
            </w:pPr>
            <w:r>
              <w:rPr>
                <w:rFonts w:ascii="Arial" w:cs="Arial" w:eastAsia="Arial" w:hAnsi="Arial"/>
                <w:sz w:val="19"/>
                <w:szCs w:val="19"/>
                <w:color w:val="auto"/>
              </w:rPr>
              <w:t>—</w:t>
            </w:r>
          </w:p>
        </w:tc>
      </w:tr>
      <w:tr>
        <w:trPr>
          <w:trHeight w:val="243"/>
        </w:trPr>
        <w:tc>
          <w:tcPr>
            <w:tcW w:w="6400" w:type="dxa"/>
            <w:vAlign w:val="bottom"/>
            <w:shd w:val="clear" w:color="auto" w:fill="E5FFFF"/>
          </w:tcPr>
          <w:p>
            <w:pPr>
              <w:spacing w:after="0"/>
              <w:rPr>
                <w:sz w:val="20"/>
                <w:szCs w:val="20"/>
                <w:color w:val="auto"/>
              </w:rPr>
            </w:pPr>
            <w:r>
              <w:rPr>
                <w:rFonts w:ascii="Arial" w:cs="Arial" w:eastAsia="Arial" w:hAnsi="Arial"/>
                <w:sz w:val="19"/>
                <w:szCs w:val="19"/>
                <w:color w:val="auto"/>
              </w:rPr>
              <w:t>Acquisitions and divestitures, net</w:t>
            </w:r>
          </w:p>
        </w:tc>
        <w:tc>
          <w:tcPr>
            <w:tcW w:w="30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5"/>
              <w:spacing w:after="0"/>
              <w:rPr>
                <w:sz w:val="20"/>
                <w:szCs w:val="20"/>
                <w:color w:val="auto"/>
              </w:rPr>
            </w:pPr>
            <w:r>
              <w:rPr>
                <w:rFonts w:ascii="Arial" w:cs="Arial" w:eastAsia="Arial" w:hAnsi="Arial"/>
                <w:sz w:val="19"/>
                <w:szCs w:val="19"/>
                <w:color w:val="auto"/>
              </w:rPr>
              <w:t>5%</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35"/>
              <w:spacing w:after="0"/>
              <w:rPr>
                <w:sz w:val="20"/>
                <w:szCs w:val="20"/>
                <w:color w:val="auto"/>
              </w:rPr>
            </w:pPr>
            <w:r>
              <w:rPr>
                <w:rFonts w:ascii="Arial" w:cs="Arial" w:eastAsia="Arial" w:hAnsi="Arial"/>
                <w:sz w:val="19"/>
                <w:szCs w:val="19"/>
                <w:color w:val="auto"/>
              </w:rPr>
              <w:t>3%</w:t>
            </w:r>
          </w:p>
        </w:tc>
        <w:tc>
          <w:tcPr>
            <w:tcW w:w="300" w:type="dxa"/>
            <w:vAlign w:val="bottom"/>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28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ind w:right="72"/>
              <w:spacing w:after="0"/>
              <w:rPr>
                <w:sz w:val="20"/>
                <w:szCs w:val="20"/>
                <w:color w:val="auto"/>
              </w:rPr>
            </w:pPr>
            <w:r>
              <w:rPr>
                <w:rFonts w:ascii="Arial" w:cs="Arial" w:eastAsia="Arial" w:hAnsi="Arial"/>
                <w:sz w:val="19"/>
                <w:szCs w:val="19"/>
                <w:color w:val="auto"/>
              </w:rPr>
              <w:t>1%</w:t>
            </w:r>
          </w:p>
        </w:tc>
      </w:tr>
      <w:tr>
        <w:trPr>
          <w:trHeight w:val="250"/>
        </w:trPr>
        <w:tc>
          <w:tcPr>
            <w:tcW w:w="6400" w:type="dxa"/>
            <w:vAlign w:val="bottom"/>
          </w:tcPr>
          <w:p>
            <w:pPr>
              <w:ind w:left="360"/>
              <w:spacing w:after="0"/>
              <w:rPr>
                <w:sz w:val="20"/>
                <w:szCs w:val="20"/>
                <w:color w:val="auto"/>
              </w:rPr>
            </w:pPr>
            <w:r>
              <w:rPr>
                <w:rFonts w:ascii="Arial" w:cs="Arial" w:eastAsia="Arial" w:hAnsi="Arial"/>
                <w:sz w:val="19"/>
                <w:szCs w:val="19"/>
                <w:color w:val="auto"/>
              </w:rPr>
              <w:t>Total % Change</w:t>
            </w:r>
          </w:p>
        </w:tc>
        <w:tc>
          <w:tcPr>
            <w:tcW w:w="920" w:type="dxa"/>
            <w:vAlign w:val="bottom"/>
            <w:gridSpan w:val="2"/>
          </w:tcPr>
          <w:p>
            <w:pPr>
              <w:jc w:val="right"/>
              <w:ind w:right="15"/>
              <w:spacing w:after="0"/>
              <w:rPr>
                <w:sz w:val="20"/>
                <w:szCs w:val="20"/>
                <w:color w:val="auto"/>
              </w:rPr>
            </w:pPr>
            <w:r>
              <w:rPr>
                <w:rFonts w:ascii="Arial" w:cs="Arial" w:eastAsia="Arial" w:hAnsi="Arial"/>
                <w:sz w:val="19"/>
                <w:szCs w:val="19"/>
                <w:color w:val="auto"/>
              </w:rPr>
              <w:t>8%</w:t>
            </w:r>
          </w:p>
        </w:tc>
        <w:tc>
          <w:tcPr>
            <w:tcW w:w="1080" w:type="dxa"/>
            <w:vAlign w:val="bottom"/>
            <w:gridSpan w:val="2"/>
          </w:tcPr>
          <w:p>
            <w:pPr>
              <w:jc w:val="right"/>
              <w:ind w:right="35"/>
              <w:spacing w:after="0"/>
              <w:rPr>
                <w:sz w:val="20"/>
                <w:szCs w:val="20"/>
                <w:color w:val="auto"/>
              </w:rPr>
            </w:pPr>
            <w:r>
              <w:rPr>
                <w:rFonts w:ascii="Arial" w:cs="Arial" w:eastAsia="Arial" w:hAnsi="Arial"/>
                <w:sz w:val="19"/>
                <w:szCs w:val="19"/>
                <w:color w:val="auto"/>
              </w:rPr>
              <w:t>11%</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1120" w:type="dxa"/>
            <w:vAlign w:val="bottom"/>
            <w:gridSpan w:val="2"/>
          </w:tcPr>
          <w:p>
            <w:pPr>
              <w:jc w:val="right"/>
              <w:ind w:right="72"/>
              <w:spacing w:after="0"/>
              <w:rPr>
                <w:sz w:val="20"/>
                <w:szCs w:val="20"/>
                <w:color w:val="auto"/>
              </w:rPr>
            </w:pPr>
            <w:r>
              <w:rPr>
                <w:rFonts w:ascii="Arial" w:cs="Arial" w:eastAsia="Arial" w:hAnsi="Arial"/>
                <w:sz w:val="19"/>
                <w:szCs w:val="19"/>
                <w:color w:val="auto"/>
              </w:rPr>
              <w:t>8%</w:t>
            </w:r>
          </w:p>
        </w:tc>
      </w:tr>
      <w:tr>
        <w:trPr>
          <w:trHeight w:val="20"/>
        </w:trPr>
        <w:tc>
          <w:tcPr>
            <w:tcW w:w="6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2014 compared with 2013</w:t>
      </w:r>
    </w:p>
    <w:p>
      <w:pPr>
        <w:spacing w:after="0" w:line="130"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ACS sales increased by 8% in 2014 compared with 2013, primarily due to growth from acquisitions, net of divestitures and organic sales growth, partially offset by the unfavorable impact of foreign exchange.</w:t>
      </w:r>
    </w:p>
    <w:p>
      <w:pPr>
        <w:spacing w:after="0" w:line="66" w:lineRule="exact"/>
        <w:rPr>
          <w:sz w:val="20"/>
          <w:szCs w:val="20"/>
          <w:color w:val="auto"/>
        </w:rPr>
      </w:pPr>
    </w:p>
    <w:p>
      <w:pPr>
        <w:jc w:val="both"/>
        <w:ind w:left="540" w:hanging="168"/>
        <w:spacing w:after="0" w:line="241"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Sales in our Energy, Safety &amp; Security businesses increased by 11% (4% organic) in 2014 principally due to (i) acquisitions, net of divestitures, (ii) higher global sales volumes in our Environmental and Combustion Controls business driven by strong U.S. residential market conditions and new product introductions, (iii) increases in sales volumes in our Fire and Industrial Safety businesses driven by organic growth in all regions and (iv) increases in sales volumes in our Scanning and Mobility business in the second half of 2014.</w:t>
      </w:r>
    </w:p>
    <w:p>
      <w:pPr>
        <w:spacing w:after="0" w:line="64"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Sales in Building Solutions &amp; Distribution increased by 1% (2% organic) in 2014 principally due to increased sales volumes in our Americas Distribution business partially offset by softness in the U.S. energy retrofit business. Building solutions backlog increased in 2014.</w:t>
      </w:r>
    </w:p>
    <w:p>
      <w:pPr>
        <w:spacing w:after="0" w:line="87"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ACS segment profit increased by 11% in 2014 compared with 2013 due to a 9% increase in operational segment profit and a 3% increase from acquisitions, net of divestitures, partially offset by the unfavorable impact of foreign exchange. The increase in operational segment profit is primarily the result of higher sales volumes as discussed above, and the positive impact of price and productivity, net of inflation partially offset by continued investment for growth. Cost of products and services sold totaled $9.4 billion in 2014, an increase of $575 million which is primarily due to higher sales volume, acquisitions, net of divestitures and inflation, partially offset by productivity and the favorable impact of foreign exchange.</w:t>
      </w:r>
    </w:p>
    <w:p>
      <w:pPr>
        <w:spacing w:after="0" w:line="28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2013 compared with 2012</w:t>
      </w:r>
    </w:p>
    <w:p>
      <w:pPr>
        <w:spacing w:after="0" w:line="130"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ACS sales increased by 5% in 2013 compared with 2012, primarily due to a 3% increase in organic revenue driven by increased sales volume and 2% growth from acquisitions, net of divestitures.</w:t>
      </w:r>
    </w:p>
    <w:p>
      <w:pPr>
        <w:spacing w:after="0" w:line="66" w:lineRule="exact"/>
        <w:rPr>
          <w:sz w:val="20"/>
          <w:szCs w:val="20"/>
          <w:color w:val="auto"/>
        </w:rPr>
      </w:pPr>
    </w:p>
    <w:p>
      <w:pPr>
        <w:jc w:val="both"/>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Sales in our Energy, Safety &amp; Security businesses increased by 8% (3% organic) in 2013 principally due to (i) the positive impact of acquisitions, (ii) increases in sales volumes in our environmental and combustion control and security businesses driven by improved U.S. residential market conditions and new product introductions and (iii) higher sales volumes of our fire systems and sensors and safety products (in the second half), partially offset by decreases in sales volumes of our sensing and control products (in the first half of 2013) and scanning and mobility products primarily the result of continued softness in their U.S. end markets.</w:t>
      </w:r>
    </w:p>
    <w:p>
      <w:pPr>
        <w:spacing w:after="0" w:line="80"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Sales in our Building Solutions &amp; Distribution businesses increased by 1% in 2013 principally due to increased sales volumes in our Americas Distribution business due to improved U.S. residential market conditions partially offset by continued softness in the U.S. energy retrofit business.</w:t>
      </w:r>
    </w:p>
    <w:p>
      <w:pPr>
        <w:spacing w:after="0" w:line="8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ACS segment profit increased by 8% in 2013 compared with 2012 due to a 7% increase in operational segment profit and a 1% increase from acquisitions. The increase in operational segment profit is primarily the result of the positive impact from price and productivity, net of inflation, investment for growth and higher sales volumes as discussed above. Cost of products and services sold totaled $8.9 billion in 2013, an increase of $361 million which is primarily due to higher sales volume, acquisitions and inflation partially offset by the favorable impact of productivity and foreign exchange.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color w:val="auto"/>
        </w:rPr>
        <w:t>Performance Materials and Technologies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66"/>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c>
          <w:tcPr>
            <w:tcW w:w="300" w:type="dxa"/>
            <w:vAlign w:val="bottom"/>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6"/>
                <w:szCs w:val="16"/>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Change</w:t>
            </w:r>
          </w:p>
        </w:tc>
      </w:tr>
      <w:tr>
        <w:trPr>
          <w:trHeight w:val="237"/>
        </w:trPr>
        <w:tc>
          <w:tcPr>
            <w:tcW w:w="638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10,221</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$ 9,855</w:t>
            </w:r>
          </w:p>
        </w:tc>
        <w:tc>
          <w:tcPr>
            <w:tcW w:w="1000" w:type="dxa"/>
            <w:vAlign w:val="bottom"/>
            <w:gridSpan w:val="2"/>
            <w:shd w:val="clear" w:color="auto" w:fill="E5FFFF"/>
          </w:tcPr>
          <w:p>
            <w:pPr>
              <w:jc w:val="center"/>
              <w:ind w:left="223"/>
              <w:spacing w:after="0"/>
              <w:rPr>
                <w:sz w:val="20"/>
                <w:szCs w:val="20"/>
                <w:color w:val="auto"/>
              </w:rPr>
            </w:pPr>
            <w:r>
              <w:rPr>
                <w:rFonts w:ascii="Arial" w:cs="Arial" w:eastAsia="Arial" w:hAnsi="Arial"/>
                <w:sz w:val="19"/>
                <w:szCs w:val="19"/>
                <w:color w:val="auto"/>
              </w:rPr>
              <w:t>4%</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$ 9,277</w:t>
            </w:r>
          </w:p>
        </w:tc>
        <w:tc>
          <w:tcPr>
            <w:tcW w:w="10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6%</w:t>
            </w:r>
          </w:p>
        </w:tc>
      </w:tr>
      <w:tr>
        <w:trPr>
          <w:trHeight w:val="243"/>
        </w:trPr>
        <w:tc>
          <w:tcPr>
            <w:tcW w:w="6380" w:type="dxa"/>
            <w:vAlign w:val="bottom"/>
          </w:tcPr>
          <w:p>
            <w:pPr>
              <w:spacing w:after="0"/>
              <w:rPr>
                <w:sz w:val="20"/>
                <w:szCs w:val="20"/>
                <w:color w:val="auto"/>
              </w:rPr>
            </w:pPr>
            <w:r>
              <w:rPr>
                <w:rFonts w:ascii="Arial" w:cs="Arial" w:eastAsia="Arial" w:hAnsi="Arial"/>
                <w:sz w:val="19"/>
                <w:szCs w:val="19"/>
                <w:color w:val="auto"/>
              </w:rPr>
              <w:t>Cost of products and services sold</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7,221</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6,974</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6,627</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6380" w:type="dxa"/>
            <w:vAlign w:val="bottom"/>
            <w:shd w:val="clear" w:color="auto" w:fill="E5FFFF"/>
          </w:tcPr>
          <w:p>
            <w:pPr>
              <w:spacing w:after="0"/>
              <w:rPr>
                <w:sz w:val="20"/>
                <w:szCs w:val="20"/>
                <w:color w:val="auto"/>
              </w:rPr>
            </w:pPr>
            <w:r>
              <w:rPr>
                <w:rFonts w:ascii="Arial" w:cs="Arial" w:eastAsia="Arial" w:hAnsi="Arial"/>
                <w:sz w:val="19"/>
                <w:szCs w:val="19"/>
                <w:color w:val="auto"/>
              </w:rPr>
              <w:t>Selling, general and administrative expenses</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1,049</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1,025</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979</w:t>
            </w:r>
          </w:p>
        </w:tc>
        <w:tc>
          <w:tcPr>
            <w:tcW w:w="300" w:type="dxa"/>
            <w:vAlign w:val="bottom"/>
            <w:shd w:val="clear" w:color="auto" w:fill="E5FFFF"/>
          </w:tcPr>
          <w:p>
            <w:pPr>
              <w:spacing w:after="0"/>
              <w:rPr>
                <w:sz w:val="21"/>
                <w:szCs w:val="21"/>
                <w:color w:val="auto"/>
              </w:rPr>
            </w:pPr>
          </w:p>
        </w:tc>
        <w:tc>
          <w:tcPr>
            <w:tcW w:w="760" w:type="dxa"/>
            <w:vAlign w:val="bottom"/>
            <w:shd w:val="clear" w:color="auto" w:fill="E5FFFF"/>
          </w:tcPr>
          <w:p>
            <w:pPr>
              <w:spacing w:after="0"/>
              <w:rPr>
                <w:sz w:val="21"/>
                <w:szCs w:val="21"/>
                <w:color w:val="auto"/>
              </w:rPr>
            </w:pPr>
          </w:p>
        </w:tc>
      </w:tr>
      <w:tr>
        <w:trPr>
          <w:trHeight w:val="250"/>
        </w:trPr>
        <w:tc>
          <w:tcPr>
            <w:tcW w:w="6380" w:type="dxa"/>
            <w:vAlign w:val="bottom"/>
          </w:tcPr>
          <w:p>
            <w:pPr>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134</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131</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6380" w:type="dxa"/>
            <w:vAlign w:val="bottom"/>
            <w:shd w:val="clear" w:color="auto" w:fill="E5FFFF"/>
          </w:tcPr>
          <w:p>
            <w:pPr>
              <w:spacing w:after="0"/>
              <w:rPr>
                <w:sz w:val="20"/>
                <w:szCs w:val="20"/>
                <w:color w:val="auto"/>
              </w:rPr>
            </w:pPr>
            <w:r>
              <w:rPr>
                <w:rFonts w:ascii="Arial" w:cs="Arial" w:eastAsia="Arial" w:hAnsi="Arial"/>
                <w:sz w:val="19"/>
                <w:szCs w:val="19"/>
                <w:color w:val="auto"/>
              </w:rPr>
              <w:t>Segment profit</w:t>
            </w:r>
          </w:p>
        </w:tc>
        <w:tc>
          <w:tcPr>
            <w:tcW w:w="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1,817</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$ 1,725</w:t>
            </w:r>
          </w:p>
        </w:tc>
        <w:tc>
          <w:tcPr>
            <w:tcW w:w="1000" w:type="dxa"/>
            <w:vAlign w:val="bottom"/>
            <w:gridSpan w:val="2"/>
            <w:shd w:val="clear" w:color="auto" w:fill="E5FFFF"/>
          </w:tcPr>
          <w:p>
            <w:pPr>
              <w:jc w:val="center"/>
              <w:ind w:left="223"/>
              <w:spacing w:after="0"/>
              <w:rPr>
                <w:sz w:val="20"/>
                <w:szCs w:val="20"/>
                <w:color w:val="auto"/>
              </w:rPr>
            </w:pPr>
            <w:r>
              <w:rPr>
                <w:rFonts w:ascii="Arial" w:cs="Arial" w:eastAsia="Arial" w:hAnsi="Arial"/>
                <w:sz w:val="19"/>
                <w:szCs w:val="19"/>
                <w:color w:val="auto"/>
              </w:rPr>
              <w:t>5%</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$ 1,550</w:t>
            </w:r>
          </w:p>
        </w:tc>
        <w:tc>
          <w:tcPr>
            <w:tcW w:w="106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11%</w:t>
            </w:r>
          </w:p>
        </w:tc>
      </w:tr>
    </w:tbl>
    <w:p>
      <w:pPr>
        <w:spacing w:after="0" w:line="269"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6"/>
                <w:szCs w:val="16"/>
                <w:b w:val="1"/>
                <w:bCs w:val="1"/>
                <w:color w:val="auto"/>
              </w:rPr>
              <w:t>2014 vs. 2013</w:t>
            </w:r>
          </w:p>
        </w:tc>
        <w:tc>
          <w:tcPr>
            <w:tcW w:w="300" w:type="dxa"/>
            <w:vAlign w:val="bottom"/>
          </w:tcPr>
          <w:p>
            <w:pPr>
              <w:spacing w:after="0"/>
              <w:rPr>
                <w:sz w:val="16"/>
                <w:szCs w:val="16"/>
                <w:color w:val="auto"/>
              </w:rPr>
            </w:pPr>
          </w:p>
        </w:tc>
        <w:tc>
          <w:tcPr>
            <w:tcW w:w="17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6"/>
                <w:szCs w:val="16"/>
                <w:b w:val="1"/>
                <w:bCs w:val="1"/>
                <w:color w:val="auto"/>
              </w:rPr>
              <w:t>2013 vs. 2012</w:t>
            </w:r>
          </w:p>
        </w:tc>
      </w:tr>
      <w:tr>
        <w:trPr>
          <w:trHeight w:val="155"/>
        </w:trPr>
        <w:tc>
          <w:tcPr>
            <w:tcW w:w="6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Segment</w:t>
            </w:r>
          </w:p>
        </w:tc>
      </w:tr>
      <w:tr>
        <w:trPr>
          <w:trHeight w:val="190"/>
        </w:trPr>
        <w:tc>
          <w:tcPr>
            <w:tcW w:w="6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Factors Contributing to Year-Over-Year Change</w:t>
            </w:r>
          </w:p>
        </w:tc>
        <w:tc>
          <w:tcPr>
            <w:tcW w:w="300" w:type="dxa"/>
            <w:vAlign w:val="bottom"/>
          </w:tcPr>
          <w:p>
            <w:pPr>
              <w:spacing w:after="0"/>
              <w:rPr>
                <w:sz w:val="16"/>
                <w:szCs w:val="16"/>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Sales</w:t>
            </w: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Profit</w:t>
            </w:r>
          </w:p>
        </w:tc>
        <w:tc>
          <w:tcPr>
            <w:tcW w:w="30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Sales</w:t>
            </w:r>
          </w:p>
        </w:tc>
        <w:tc>
          <w:tcPr>
            <w:tcW w:w="300" w:type="dxa"/>
            <w:vAlign w:val="bottom"/>
          </w:tcPr>
          <w:p>
            <w:pPr>
              <w:spacing w:after="0"/>
              <w:rPr>
                <w:sz w:val="16"/>
                <w:szCs w:val="16"/>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Profit</w:t>
            </w:r>
          </w:p>
        </w:tc>
      </w:tr>
      <w:tr>
        <w:trPr>
          <w:trHeight w:val="237"/>
        </w:trPr>
        <w:tc>
          <w:tcPr>
            <w:tcW w:w="6400" w:type="dxa"/>
            <w:vAlign w:val="bottom"/>
            <w:shd w:val="clear" w:color="auto" w:fill="E5FFFF"/>
          </w:tcPr>
          <w:p>
            <w:pPr>
              <w:spacing w:after="0"/>
              <w:rPr>
                <w:sz w:val="20"/>
                <w:szCs w:val="20"/>
                <w:color w:val="auto"/>
              </w:rPr>
            </w:pPr>
            <w:r>
              <w:rPr>
                <w:rFonts w:ascii="Arial" w:cs="Arial" w:eastAsia="Arial" w:hAnsi="Arial"/>
                <w:sz w:val="19"/>
                <w:szCs w:val="19"/>
                <w:color w:val="auto"/>
              </w:rPr>
              <w:t>Organic growth/ Operational segment profit</w:t>
            </w:r>
          </w:p>
        </w:tc>
        <w:tc>
          <w:tcPr>
            <w:tcW w:w="92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5%</w:t>
            </w:r>
          </w:p>
        </w:tc>
        <w:tc>
          <w:tcPr>
            <w:tcW w:w="1080" w:type="dxa"/>
            <w:vAlign w:val="bottom"/>
            <w:gridSpan w:val="2"/>
            <w:shd w:val="clear" w:color="auto" w:fill="E5FFFF"/>
          </w:tcPr>
          <w:p>
            <w:pPr>
              <w:jc w:val="right"/>
              <w:ind w:right="95"/>
              <w:spacing w:after="0"/>
              <w:rPr>
                <w:sz w:val="20"/>
                <w:szCs w:val="20"/>
                <w:color w:val="auto"/>
              </w:rPr>
            </w:pPr>
            <w:r>
              <w:rPr>
                <w:rFonts w:ascii="Arial" w:cs="Arial" w:eastAsia="Arial" w:hAnsi="Arial"/>
                <w:sz w:val="19"/>
                <w:szCs w:val="19"/>
                <w:color w:val="auto"/>
              </w:rPr>
              <w:t>6%</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1140" w:type="dxa"/>
            <w:vAlign w:val="bottom"/>
            <w:gridSpan w:val="2"/>
            <w:shd w:val="clear" w:color="auto" w:fill="E5FFFF"/>
          </w:tcPr>
          <w:p>
            <w:pPr>
              <w:jc w:val="right"/>
              <w:ind w:right="72"/>
              <w:spacing w:after="0"/>
              <w:rPr>
                <w:sz w:val="20"/>
                <w:szCs w:val="20"/>
                <w:color w:val="auto"/>
              </w:rPr>
            </w:pPr>
            <w:r>
              <w:rPr>
                <w:rFonts w:ascii="Arial" w:cs="Arial" w:eastAsia="Arial" w:hAnsi="Arial"/>
                <w:sz w:val="19"/>
                <w:szCs w:val="19"/>
                <w:color w:val="auto"/>
              </w:rPr>
              <w:t>6%</w:t>
            </w:r>
          </w:p>
        </w:tc>
      </w:tr>
      <w:tr>
        <w:trPr>
          <w:trHeight w:val="243"/>
        </w:trPr>
        <w:tc>
          <w:tcPr>
            <w:tcW w:w="6400" w:type="dxa"/>
            <w:vAlign w:val="bottom"/>
          </w:tcPr>
          <w:p>
            <w:pPr>
              <w:spacing w:after="0"/>
              <w:rPr>
                <w:sz w:val="20"/>
                <w:szCs w:val="20"/>
                <w:color w:val="auto"/>
              </w:rPr>
            </w:pPr>
            <w:r>
              <w:rPr>
                <w:rFonts w:ascii="Arial" w:cs="Arial" w:eastAsia="Arial" w:hAnsi="Arial"/>
                <w:sz w:val="19"/>
                <w:szCs w:val="19"/>
                <w:color w:val="auto"/>
              </w:rPr>
              <w:t>Foreign exchange</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1080" w:type="dxa"/>
            <w:vAlign w:val="bottom"/>
            <w:gridSpan w:val="2"/>
          </w:tcPr>
          <w:p>
            <w:pPr>
              <w:jc w:val="right"/>
              <w:ind w:right="35"/>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560" w:type="dxa"/>
            <w:vAlign w:val="bottom"/>
          </w:tcPr>
          <w:p>
            <w:pPr>
              <w:jc w:val="right"/>
              <w:ind w:right="112"/>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840" w:type="dxa"/>
            <w:vAlign w:val="bottom"/>
          </w:tcPr>
          <w:p>
            <w:pPr>
              <w:jc w:val="right"/>
              <w:ind w:right="232"/>
              <w:spacing w:after="0"/>
              <w:rPr>
                <w:sz w:val="20"/>
                <w:szCs w:val="20"/>
                <w:color w:val="auto"/>
              </w:rPr>
            </w:pPr>
            <w:r>
              <w:rPr>
                <w:rFonts w:ascii="Arial" w:cs="Arial" w:eastAsia="Arial" w:hAnsi="Arial"/>
                <w:sz w:val="19"/>
                <w:szCs w:val="19"/>
                <w:color w:val="auto"/>
              </w:rPr>
              <w:t>—</w:t>
            </w:r>
          </w:p>
        </w:tc>
      </w:tr>
      <w:tr>
        <w:trPr>
          <w:trHeight w:val="243"/>
        </w:trPr>
        <w:tc>
          <w:tcPr>
            <w:tcW w:w="6400" w:type="dxa"/>
            <w:vAlign w:val="bottom"/>
            <w:shd w:val="clear" w:color="auto" w:fill="E5FFFF"/>
          </w:tcPr>
          <w:p>
            <w:pPr>
              <w:spacing w:after="0"/>
              <w:rPr>
                <w:sz w:val="20"/>
                <w:szCs w:val="20"/>
                <w:color w:val="auto"/>
              </w:rPr>
            </w:pPr>
            <w:r>
              <w:rPr>
                <w:rFonts w:ascii="Arial" w:cs="Arial" w:eastAsia="Arial" w:hAnsi="Arial"/>
                <w:sz w:val="19"/>
                <w:szCs w:val="19"/>
                <w:color w:val="auto"/>
              </w:rPr>
              <w:t>Acquisitions and divestitures, net</w:t>
            </w:r>
          </w:p>
        </w:tc>
        <w:tc>
          <w:tcPr>
            <w:tcW w:w="30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ind w:right="195"/>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27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300" w:type="dxa"/>
            <w:vAlign w:val="bottom"/>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jc w:val="right"/>
              <w:ind w:right="72"/>
              <w:spacing w:after="0"/>
              <w:rPr>
                <w:sz w:val="20"/>
                <w:szCs w:val="20"/>
                <w:color w:val="auto"/>
              </w:rPr>
            </w:pPr>
            <w:r>
              <w:rPr>
                <w:rFonts w:ascii="Arial" w:cs="Arial" w:eastAsia="Arial" w:hAnsi="Arial"/>
                <w:sz w:val="19"/>
                <w:szCs w:val="19"/>
                <w:color w:val="auto"/>
              </w:rPr>
              <w:t>5%</w:t>
            </w:r>
          </w:p>
        </w:tc>
      </w:tr>
      <w:tr>
        <w:trPr>
          <w:trHeight w:val="250"/>
        </w:trPr>
        <w:tc>
          <w:tcPr>
            <w:tcW w:w="6400" w:type="dxa"/>
            <w:vAlign w:val="bottom"/>
          </w:tcPr>
          <w:p>
            <w:pPr>
              <w:ind w:left="360"/>
              <w:spacing w:after="0"/>
              <w:rPr>
                <w:sz w:val="20"/>
                <w:szCs w:val="20"/>
                <w:color w:val="auto"/>
              </w:rPr>
            </w:pPr>
            <w:r>
              <w:rPr>
                <w:rFonts w:ascii="Arial" w:cs="Arial" w:eastAsia="Arial" w:hAnsi="Arial"/>
                <w:sz w:val="19"/>
                <w:szCs w:val="19"/>
                <w:color w:val="auto"/>
              </w:rPr>
              <w:t>Total % Change</w:t>
            </w:r>
          </w:p>
        </w:tc>
        <w:tc>
          <w:tcPr>
            <w:tcW w:w="920" w:type="dxa"/>
            <w:vAlign w:val="bottom"/>
            <w:gridSpan w:val="2"/>
          </w:tcPr>
          <w:p>
            <w:pPr>
              <w:jc w:val="right"/>
              <w:ind w:right="15"/>
              <w:spacing w:after="0"/>
              <w:rPr>
                <w:sz w:val="20"/>
                <w:szCs w:val="20"/>
                <w:color w:val="auto"/>
              </w:rPr>
            </w:pPr>
            <w:r>
              <w:rPr>
                <w:rFonts w:ascii="Arial" w:cs="Arial" w:eastAsia="Arial" w:hAnsi="Arial"/>
                <w:sz w:val="19"/>
                <w:szCs w:val="19"/>
                <w:color w:val="auto"/>
              </w:rPr>
              <w:t>4%</w:t>
            </w:r>
          </w:p>
        </w:tc>
        <w:tc>
          <w:tcPr>
            <w:tcW w:w="1080" w:type="dxa"/>
            <w:vAlign w:val="bottom"/>
            <w:gridSpan w:val="2"/>
          </w:tcPr>
          <w:p>
            <w:pPr>
              <w:jc w:val="right"/>
              <w:ind w:right="95"/>
              <w:spacing w:after="0"/>
              <w:rPr>
                <w:sz w:val="20"/>
                <w:szCs w:val="20"/>
                <w:color w:val="auto"/>
              </w:rPr>
            </w:pPr>
            <w:r>
              <w:rPr>
                <w:rFonts w:ascii="Arial" w:cs="Arial" w:eastAsia="Arial" w:hAnsi="Arial"/>
                <w:sz w:val="19"/>
                <w:szCs w:val="19"/>
                <w:color w:val="auto"/>
              </w:rPr>
              <w:t>5%</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6%</w:t>
            </w:r>
          </w:p>
        </w:tc>
        <w:tc>
          <w:tcPr>
            <w:tcW w:w="1140" w:type="dxa"/>
            <w:vAlign w:val="bottom"/>
            <w:gridSpan w:val="2"/>
          </w:tcPr>
          <w:p>
            <w:pPr>
              <w:jc w:val="right"/>
              <w:ind w:right="72"/>
              <w:spacing w:after="0"/>
              <w:rPr>
                <w:sz w:val="20"/>
                <w:szCs w:val="20"/>
                <w:color w:val="auto"/>
              </w:rPr>
            </w:pPr>
            <w:r>
              <w:rPr>
                <w:rFonts w:ascii="Arial" w:cs="Arial" w:eastAsia="Arial" w:hAnsi="Arial"/>
                <w:sz w:val="19"/>
                <w:szCs w:val="19"/>
                <w:color w:val="auto"/>
              </w:rPr>
              <w:t>11%</w:t>
            </w:r>
          </w:p>
        </w:tc>
      </w:tr>
      <w:tr>
        <w:trPr>
          <w:trHeight w:val="20"/>
        </w:trPr>
        <w:tc>
          <w:tcPr>
            <w:tcW w:w="6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2014 compared with 2013</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PMT sales increased by 4% due to 5% increase in organic sales partially offset by the unfavorable impact of foreign exchange.</w:t>
      </w:r>
    </w:p>
    <w:p>
      <w:pPr>
        <w:spacing w:after="0" w:line="79" w:lineRule="exact"/>
        <w:rPr>
          <w:sz w:val="20"/>
          <w:szCs w:val="20"/>
          <w:color w:val="auto"/>
        </w:rPr>
      </w:pPr>
    </w:p>
    <w:p>
      <w:pPr>
        <w:jc w:val="both"/>
        <w:ind w:left="540" w:hanging="168"/>
        <w:spacing w:after="0" w:line="242"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UOP sales increased by 8% driven primarily by higher catalyst and gas processing volumes partially offset by lower equipment and service revenues in the first nine months. Catalyst sales decreased in the fourth quarter due to the timing of shipments as well as stronger volume growth in the fourth quarter of 2013 as compared to 2014 which was partially offset by increased licensing revenues.</w:t>
      </w:r>
    </w:p>
    <w:p>
      <w:pPr>
        <w:spacing w:after="0" w:line="77"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Sales in our Process Solutions business increased by 1% (4% organic) driven primarily by volume growth in advanced solutions software and services and field products partially offset by unfavorable foreign exchange, predominately in the fourth quarter. Project and service orders and backlog increased in 2014.</w:t>
      </w:r>
    </w:p>
    <w:p>
      <w:pPr>
        <w:spacing w:after="0" w:line="73" w:lineRule="exact"/>
        <w:rPr>
          <w:rFonts w:ascii="Arial" w:cs="Arial" w:eastAsia="Arial" w:hAnsi="Arial"/>
          <w:sz w:val="19"/>
          <w:szCs w:val="19"/>
          <w:color w:val="auto"/>
        </w:rPr>
      </w:pPr>
    </w:p>
    <w:p>
      <w:pPr>
        <w:jc w:val="both"/>
        <w:ind w:left="540" w:hanging="168"/>
        <w:spacing w:after="0" w:line="242"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Advanced Materials sales increased by 3% primarily driven by increased volume in Fluorine Products and Resins and Chemicals, partially offset by unfavorable pricing most significantly in Fluorine Products and Resins and Chemicals. We anticipate unfavorable pricing to continue in 2015 primarily in Resins and Chemicals where sales fluctuate with the market price of certain raw materials, which are correlated to the price of oil.</w:t>
      </w:r>
    </w:p>
    <w:p>
      <w:pPr>
        <w:spacing w:after="0" w:line="9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PMT segment profit increased by 5% due to a 6% increase in operational segment profit partially offset by the unfavorable impact of foreign exchange. The increase in operational segment profit is primarily due to higher sales volumes, as discussed above, and productivity, net of inflation partially offset by unfavorable Advanced Materials pricing, continued investment for growth and unfavorable foreign exchange. Cost of products and services sold totaled $7.2 billion in 2014, an increase of $247 million which is primarily due to higher volume and continued investment for growth partially offset by productivity, net of inflation and the favorable impact of foreign exchange.</w:t>
      </w:r>
    </w:p>
    <w:p>
      <w:pPr>
        <w:spacing w:after="0" w:line="28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2013 compared with 2012</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PMT sales increased by 6% due to 5% growth from acquisitions and 1% increase in organic growth.</w:t>
      </w:r>
    </w:p>
    <w:p>
      <w:pPr>
        <w:spacing w:after="0" w:line="92" w:lineRule="exact"/>
        <w:rPr>
          <w:sz w:val="20"/>
          <w:szCs w:val="20"/>
          <w:color w:val="auto"/>
        </w:rPr>
      </w:pPr>
    </w:p>
    <w:p>
      <w:pPr>
        <w:jc w:val="both"/>
        <w:ind w:left="540" w:hanging="168"/>
        <w:spacing w:after="0" w:line="245"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UOP sales increased by 31% (9% organic) primarily driven by (i) the favorable impact of acquisitions, (ii) higher volume of petrochemical catalysts, (iii) increased revenue from gas processing and (iv) increased equipment revenue in the first half of 2013, partially offset by decreased service revenues related to scheduled project completions and lower licensing revenues.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4" w:name="page25"/>
    <w:bookmarkEnd w:id="24"/>
    <w:p>
      <w:pPr>
        <w:ind w:left="540" w:hanging="168"/>
        <w:spacing w:after="0" w:line="253"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Sales in our Process Solutions business were flat (increased 1% organic) principally due to decreased volume reflecting the completion of several large projects as expected offset by service and software solutions volume growth.</w:t>
      </w:r>
    </w:p>
    <w:p>
      <w:pPr>
        <w:spacing w:after="0" w:line="66"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Advanced Materials sales decreased by 3% primarily driven by (i) lower Flourine Products volume (due to the unfavorable impact of unseasonably cool weather on refrigerant volume and planned plant outages in the first half of 2013) and price, (ii) soft end market conditions in Electronic Materials and (iii) lower production volume in Resins and Chemicals.</w:t>
      </w:r>
    </w:p>
    <w:p>
      <w:pPr>
        <w:spacing w:after="0" w:line="10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PMT segment profit increased by 11% due to a 6% increase in operational segment profit and a 5% increase from acquisitions. The increase in operational segment profit is primarily due to higher UOP sales volume and positive impact of productivity, net of inflation and investment for growth. Cost of products and services sold totaled $6.9 billion in 2013, an increase of $347 million which is primarily due to acquisitions and inflation, partially offset by productivity.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Repositioning Charges</w:t>
      </w:r>
    </w:p>
    <w:p>
      <w:pPr>
        <w:spacing w:after="0" w:line="116"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See Note 3 Repositioning and Other Charges of Notes to Financial Statements for a discussion of our repositioning actions and related charges incurred in 2014, 2013 and 2012. These repositioning actions are expected to generate incremental pretax savings of $ 100 million to $125 million in 2015 compared with 2014 principally from planned workforce reductions. Cash spending related to our repositioning actions was $ 161 million, $160 million and $136 million in 2014, 2013 and 2012, respectively, and was funded through operating cash flows. In 2015, we expect cash spending for repositioning actions to be approximately $150 million and to be funded through operating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5" w:name="page26"/>
    <w:bookmarkEnd w:id="25"/>
    <w:p>
      <w:pPr>
        <w:spacing w:after="0"/>
        <w:rPr>
          <w:sz w:val="20"/>
          <w:szCs w:val="20"/>
          <w:color w:val="auto"/>
        </w:rPr>
      </w:pPr>
      <w:r>
        <w:rPr>
          <w:rFonts w:ascii="Arial" w:cs="Arial" w:eastAsia="Arial" w:hAnsi="Arial"/>
          <w:sz w:val="23"/>
          <w:szCs w:val="23"/>
          <w:b w:val="1"/>
          <w:bCs w:val="1"/>
          <w:color w:val="auto"/>
        </w:rPr>
        <w:t>LIQUIDITY AND CAPITAL RESOURCES</w:t>
      </w:r>
    </w:p>
    <w:p>
      <w:pPr>
        <w:spacing w:after="0" w:line="14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and access to the public debt and equity markets. We continue to balance our cash and financing uses through investment in our existing core businesses, acquisition activity, share repurchases and dividends.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Flow Summary</w:t>
      </w:r>
    </w:p>
    <w:p>
      <w:pPr>
        <w:spacing w:after="0" w:line="130" w:lineRule="exact"/>
        <w:rPr>
          <w:sz w:val="20"/>
          <w:szCs w:val="20"/>
          <w:color w:val="auto"/>
        </w:rPr>
      </w:pPr>
    </w:p>
    <w:p>
      <w:pPr>
        <w:jc w:val="both"/>
        <w:ind w:firstLine="357"/>
        <w:spacing w:after="0" w:line="246" w:lineRule="auto"/>
        <w:rPr>
          <w:sz w:val="20"/>
          <w:szCs w:val="20"/>
          <w:color w:val="auto"/>
        </w:rPr>
      </w:pPr>
      <w:r>
        <w:rPr>
          <w:rFonts w:ascii="Arial" w:cs="Arial" w:eastAsia="Arial" w:hAnsi="Arial"/>
          <w:sz w:val="19"/>
          <w:szCs w:val="19"/>
          <w:color w:val="auto"/>
        </w:rPr>
        <w:t>Our cash flows from operating, investing and financing activities, as reflected in the Consolidated Statement of Cash Flows, are summarized as follows:</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7"/>
          </w:tcPr>
          <w:p>
            <w:pPr>
              <w:jc w:val="right"/>
              <w:ind w:right="446"/>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2012</w:t>
            </w:r>
          </w:p>
        </w:tc>
      </w:tr>
      <w:tr>
        <w:trPr>
          <w:trHeight w:val="210"/>
        </w:trPr>
        <w:tc>
          <w:tcPr>
            <w:tcW w:w="72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Cash provided by (used for):</w:t>
            </w:r>
          </w:p>
        </w:tc>
        <w:tc>
          <w:tcPr>
            <w:tcW w:w="16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Operating activities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5,024</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4,335</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6"/>
              <w:spacing w:after="0"/>
              <w:rPr>
                <w:sz w:val="20"/>
                <w:szCs w:val="20"/>
                <w:color w:val="auto"/>
              </w:rPr>
            </w:pPr>
            <w:r>
              <w:rPr>
                <w:rFonts w:ascii="Arial" w:cs="Arial" w:eastAsia="Arial" w:hAnsi="Arial"/>
                <w:sz w:val="19"/>
                <w:szCs w:val="19"/>
                <w:color w:val="auto"/>
              </w:rPr>
              <w:t>3,517</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Investing activities</w:t>
            </w: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(1,876)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(1,959)</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(1,428)</w:t>
            </w: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Financing activities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(2,272)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(433)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(1,206)</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Effect of exchange rate changes on cash</w:t>
            </w: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(339)</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(155)</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53</w:t>
            </w:r>
          </w:p>
        </w:tc>
      </w:tr>
      <w:tr>
        <w:trPr>
          <w:trHeight w:val="250"/>
        </w:trPr>
        <w:tc>
          <w:tcPr>
            <w:tcW w:w="7280" w:type="dxa"/>
            <w:vAlign w:val="bottom"/>
          </w:tcPr>
          <w:p>
            <w:pPr>
              <w:spacing w:after="0"/>
              <w:rPr>
                <w:sz w:val="20"/>
                <w:szCs w:val="20"/>
                <w:color w:val="auto"/>
              </w:rPr>
            </w:pPr>
            <w:r>
              <w:rPr>
                <w:rFonts w:ascii="Arial" w:cs="Arial" w:eastAsia="Arial" w:hAnsi="Arial"/>
                <w:sz w:val="19"/>
                <w:szCs w:val="19"/>
                <w:color w:val="auto"/>
              </w:rPr>
              <w:t>Net increase in cash and cash equivalents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537</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1,788</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6"/>
              <w:spacing w:after="0"/>
              <w:rPr>
                <w:sz w:val="20"/>
                <w:szCs w:val="20"/>
                <w:color w:val="auto"/>
              </w:rPr>
            </w:pPr>
            <w:r>
              <w:rPr>
                <w:rFonts w:ascii="Arial" w:cs="Arial" w:eastAsia="Arial" w:hAnsi="Arial"/>
                <w:sz w:val="19"/>
                <w:szCs w:val="19"/>
                <w:color w:val="auto"/>
              </w:rPr>
              <w:t>936</w:t>
            </w: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2014 compared with 2013</w:t>
      </w:r>
    </w:p>
    <w:p>
      <w:pPr>
        <w:spacing w:after="0" w:line="130" w:lineRule="exact"/>
        <w:rPr>
          <w:sz w:val="20"/>
          <w:szCs w:val="20"/>
          <w:color w:val="auto"/>
        </w:rPr>
      </w:pPr>
    </w:p>
    <w:p>
      <w:pPr>
        <w:jc w:val="both"/>
        <w:ind w:firstLine="357"/>
        <w:spacing w:after="0" w:line="237" w:lineRule="auto"/>
        <w:rPr>
          <w:sz w:val="20"/>
          <w:szCs w:val="20"/>
          <w:color w:val="auto"/>
        </w:rPr>
      </w:pPr>
      <w:r>
        <w:rPr>
          <w:rFonts w:ascii="Arial" w:cs="Arial" w:eastAsia="Arial" w:hAnsi="Arial"/>
          <w:sz w:val="19"/>
          <w:szCs w:val="19"/>
          <w:color w:val="auto"/>
        </w:rPr>
        <w:t>Cash provided by operating activities increased by $689 million primarily due to (i) a $508 million increase of net income before the non-cash pension mark-to-market adjustment, (ii) reduced net payments for repositioning and other charges of $233 million (primarily due to the collection of a $130 million asbestos receivable due from one of our insurance carriers and lower asbestos related payments of $98 million), (iii) reduced cash contributions to our pension and other postretirement plans of $131 million and</w:t>
      </w:r>
    </w:p>
    <w:p>
      <w:pPr>
        <w:spacing w:after="0" w:line="1" w:lineRule="exact"/>
        <w:rPr>
          <w:sz w:val="20"/>
          <w:szCs w:val="20"/>
          <w:color w:val="auto"/>
        </w:rPr>
      </w:pPr>
    </w:p>
    <w:p>
      <w:pPr>
        <w:ind w:firstLine="8"/>
        <w:spacing w:after="0" w:line="253" w:lineRule="auto"/>
        <w:tabs>
          <w:tab w:leader="none" w:pos="334" w:val="left"/>
        </w:tabs>
        <w:numPr>
          <w:ilvl w:val="0"/>
          <w:numId w:val="18"/>
        </w:numPr>
        <w:rPr>
          <w:rFonts w:ascii="Arial" w:cs="Arial" w:eastAsia="Arial" w:hAnsi="Arial"/>
          <w:sz w:val="19"/>
          <w:szCs w:val="19"/>
          <w:color w:val="auto"/>
        </w:rPr>
      </w:pPr>
      <w:r>
        <w:rPr>
          <w:rFonts w:ascii="Arial" w:cs="Arial" w:eastAsia="Arial" w:hAnsi="Arial"/>
          <w:sz w:val="19"/>
          <w:szCs w:val="19"/>
          <w:color w:val="auto"/>
        </w:rPr>
        <w:t>lower cash tax payments of approximately $129 million, partially offset by a $93 million unfavorable impact from working capital (primarily driven by higher inventory to support sales growth).</w:t>
      </w:r>
    </w:p>
    <w:p>
      <w:pPr>
        <w:spacing w:after="0" w:line="8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Cash used for investing activities decreased by $83 million primarily due to a decrease in cash paid for acquisitions of $1,129 million (most significantly Intermec and RAE Systems, Inc. in 2013) and an increase in proceeds from the sales of businesses of $157 million (most significantly Friction Materials), partially offset by (i) a net $688 million increase in investments (primarily short-term marketable securities), (ii) an increase of approximately $371 million in settlement payments of foreign currency exchange contracts used as economic hedges on certain non-functional currency denominated monetary assets and liabilities and (iii) a $147 million increase in expenditures for property, plant and equipment.</w:t>
      </w:r>
    </w:p>
    <w:p>
      <w:pPr>
        <w:spacing w:after="0" w:line="94"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Cash used for financing activities increased by $1,839 million primarily due to a decrease in the net proceeds from debt issuances of $1,589 million, an increase in cash dividends paid of $157 million and lower net proceeds from the issuance of common stock of $33 million.</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2013 compared with 2012</w:t>
      </w:r>
    </w:p>
    <w:p>
      <w:pPr>
        <w:spacing w:after="0" w:line="13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Cash provided by operating activities increased by $818 million primarily due to (i) reduced cash contributions to our pension plans of $883 million, (ii) a $447 million increase of net income before the non-cash pension mark-to-market adjustment, (iii) a $135 million favorable impact from working capital (driven by improved accounts payable performance and inventory, partially offset by higher receivables primarily due to sales growth and timing of sales), partially offset by higher cash tax payments of approximately $352 million and a $260 million increase in net payments for repositioning and other charges (most significantly the NARCO Trust establishment payments of $164 million).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6" w:name="page27"/>
    <w:bookmarkEnd w:id="26"/>
    <w:p>
      <w:pPr>
        <w:jc w:val="both"/>
        <w:ind w:firstLine="357"/>
        <w:spacing w:after="0" w:line="242" w:lineRule="auto"/>
        <w:rPr>
          <w:sz w:val="20"/>
          <w:szCs w:val="20"/>
          <w:color w:val="auto"/>
        </w:rPr>
      </w:pPr>
      <w:r>
        <w:rPr>
          <w:rFonts w:ascii="Arial" w:cs="Arial" w:eastAsia="Arial" w:hAnsi="Arial"/>
          <w:sz w:val="19"/>
          <w:szCs w:val="19"/>
          <w:color w:val="auto"/>
        </w:rPr>
        <w:t>Cash used for investing activities increased by $ 531 million primarily due to an increase in cash paid for acquisitions of $695 million (most significantly Intermec and RAE Systems Inc.), partially offset by an increase of approximately $190 million in settlement receipts of foreign currency exchange contracts used as economic hedges on certain non-functional currency denominated monetary assets and liabilities.</w:t>
      </w:r>
    </w:p>
    <w:p>
      <w:pPr>
        <w:spacing w:after="0" w:line="9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Cash used for financing activities decreased by $773 million primarily due to an increase in the net proceeds from debt issuances of $1,462 million, partially offset by an increase in net repurchases of common stock of $651 million and an increase in cash dividends paid of $142 million.</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w:t>
      </w:r>
    </w:p>
    <w:p>
      <w:pPr>
        <w:spacing w:after="0" w:line="130"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Each of our businesses is focused on implementing strategies to increase operating cash flows through revenue growth, margin expansion and improved working capital turnover. Considering the current economic environment in which each of the businesses operate and their business plans and strategies, including the focus on growth, cost reduction and productivity initiatives, we believe that cash balances and operating cash flow will continue to be our principal source of liquidity. In addition to the available cash and operating cash flows, additional sources of liquidity include committed credit lines, short-term debt from the commercial paper markets, long-term borrowings, and access to the public debt and equity markets. At December 31, 2014, a substantial portion of the Company’s cash and cash equivalents were held by foreign subsidiaries. If the amounts held outside of the U.S. were to be repatriated, under current law, they would be subject to U.S. federal income taxes, less applicable foreign tax credits. However, our intent is to permanently reinvest the vast majority of these funds outside of the U.S. It is not practicable to estimate the amount of tax that might be payable if some or all of such earnings were to be repatriated, and the amount of foreign tax credits that would be available to reduce or eliminate the resulting U.S. income tax liability.</w:t>
      </w:r>
    </w:p>
    <w:p>
      <w:pPr>
        <w:spacing w:after="0" w:line="78"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We monitor the third-party depository institutions that hold our cash and cash equivalents on a daily basis. Our emphasis is primarily on safety of principal and secondarily on maximizing yield on those funds. We diversify our cash and cash equivalents among counterparties to minimize exposure to any one of these entities.</w:t>
      </w:r>
    </w:p>
    <w:p>
      <w:pPr>
        <w:spacing w:after="0" w:line="87"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A source of liquidity is our ability to issue short-term debt in the commercial paper market. Commercial paper notes are sold at a discount and have a maturity of not more than 365 days from date of issuance. Borrowings under the commercial paper program are available for general corporate purposes as well as for financing acquisitions. The weighted average interest rate on short-term borrowings and commercial paper outstanding at December 31, 2014 and 2013 was 0.60% and 0.79%, respectively.</w:t>
      </w:r>
    </w:p>
    <w:p>
      <w:pPr>
        <w:spacing w:after="0" w:line="91"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Our ability to access the commercial paper market, and the related cost of these borrowings, is affected by the strength of our credit rating and market conditions. Our credit ratings are periodically reviewed by the major independent debt-rating agencies. As of December 31, 2014, Standard and Poor’s (S&amp;P), Fitch, and Moody’s have ratings on our long-term debt of A, A and A2 respectively, and short-term debt of A-1, F1 and P1 respectively. S&amp;P, Fitch and Moody’s have Honeywell’s rating outlook as “stable”. To date, the Company has not experienced any limitations in our ability to access these sources of liquidity.</w:t>
      </w:r>
    </w:p>
    <w:p>
      <w:pPr>
        <w:spacing w:after="0" w:line="9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We also have a current shelf registration statement filed with the Securities and Exchange Commission under which we may issue additional debt securities, common stock and preferred stock that may be offered in one or more offerings on terms to be determined at the time of the offering. Net proceeds of any offering would be used for general corporate purposes, including repayment of existing indebtedness, capital expenditures and acquisitions.</w:t>
      </w:r>
    </w:p>
    <w:p>
      <w:pPr>
        <w:spacing w:after="0" w:line="9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On December 10, 2013, the Company entered into a $4 billion Amended and Restated Five Year Credit Agreement (“Credit Agreement”) with a syndicate of banks. Commitments under the Credit Agreement can be increased pursuant to the terms of the Credit Agreement to an aggregate amount not to exceed $4.5 billion. The Credit Agreement is maintained for general corporate purposes. There have been no borrowings under the Credit Agreement.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7" w:name="page28"/>
    <w:bookmarkEnd w:id="27"/>
    <w:p>
      <w:pPr>
        <w:jc w:val="both"/>
        <w:ind w:firstLine="357"/>
        <w:spacing w:after="0" w:line="242" w:lineRule="auto"/>
        <w:rPr>
          <w:sz w:val="20"/>
          <w:szCs w:val="20"/>
          <w:color w:val="auto"/>
        </w:rPr>
      </w:pPr>
      <w:r>
        <w:rPr>
          <w:rFonts w:ascii="Arial" w:cs="Arial" w:eastAsia="Arial" w:hAnsi="Arial"/>
          <w:sz w:val="19"/>
          <w:szCs w:val="19"/>
          <w:color w:val="auto"/>
        </w:rPr>
        <w:t>During 2014, the Company repurchased $924 million of outstanding shares to offset the dilutive impact of employee stock based compensation plans, including option exercises, restricted unit vesting and matching contributions under our savings plans. In December 2013, the Board of Directors authorized the repurchase of up to a total of $5 billion of Honeywell common stock, $4.1 billion remained available as of December 31, 2014 for additional share repurchases.</w:t>
      </w:r>
    </w:p>
    <w:p>
      <w:pPr>
        <w:spacing w:after="0" w:line="9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In addition to our normal operating cash requirements, our principal future cash requirements will be to fund capital expenditures, dividends, strategic acquisitions, share repurchases, employee benefit obligations, environmental remediation costs, asbestos claims, severance and exit costs related to repositioning actions and debt repayments.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Specifically, we expect our primary cash requirements in 2015 to be as follows:</w:t>
      </w:r>
    </w:p>
    <w:p>
      <w:pPr>
        <w:spacing w:after="0" w:line="92" w:lineRule="exact"/>
        <w:rPr>
          <w:sz w:val="20"/>
          <w:szCs w:val="20"/>
          <w:color w:val="auto"/>
        </w:rPr>
      </w:pPr>
    </w:p>
    <w:p>
      <w:pPr>
        <w:ind w:left="540" w:hanging="168"/>
        <w:spacing w:after="0" w:line="253"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Capital expenditures—we expect to spend approximately $1.3 billion for capital expenditures in 2015 primarily for growth, production and capacity expansion, cost reduction, maintenance, and replacement.</w:t>
      </w:r>
    </w:p>
    <w:p>
      <w:pPr>
        <w:spacing w:after="0" w:line="52" w:lineRule="exact"/>
        <w:rPr>
          <w:rFonts w:ascii="Arial" w:cs="Arial" w:eastAsia="Arial" w:hAnsi="Arial"/>
          <w:sz w:val="19"/>
          <w:szCs w:val="19"/>
          <w:color w:val="auto"/>
        </w:rPr>
      </w:pPr>
    </w:p>
    <w:p>
      <w:pPr>
        <w:jc w:val="both"/>
        <w:ind w:left="540" w:hanging="168"/>
        <w:spacing w:after="0" w:line="241"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Share repurchases—under the Company’s share repurchase program, $4.1 billion is available as of December 31, 2014 for additional share repurchases. Honeywell presently expects to repurchase outstanding shares from time to time to offset the dilutive impact of employee stock-based compensation plans, including option exercises, restricted unit vesting and matching contributions under our savings plans. The amount and timing of future repurchases may vary depending on market conditions and our level of operating, financing and other investing activities.</w:t>
      </w:r>
    </w:p>
    <w:p>
      <w:pPr>
        <w:spacing w:after="0" w:line="77"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Dividends—we increased our dividend rate by 15% to $.5175 per share of common stock effective with the fourth quarter 2014 dividend. The Company intends to continue to pay quarterly dividends in 2015.</w:t>
      </w:r>
    </w:p>
    <w:p>
      <w:pPr>
        <w:spacing w:after="0" w:line="66"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Asbestos claims—we expect our cash spending for asbestos claims and our cash receipts for related insurance recoveries to be approximately $350 million and $30 million, respectively, in 2015.</w:t>
      </w:r>
    </w:p>
    <w:p>
      <w:pPr>
        <w:spacing w:after="0" w:line="66" w:lineRule="exact"/>
        <w:rPr>
          <w:rFonts w:ascii="Arial" w:cs="Arial" w:eastAsia="Arial" w:hAnsi="Arial"/>
          <w:sz w:val="19"/>
          <w:szCs w:val="19"/>
          <w:color w:val="auto"/>
        </w:rPr>
      </w:pPr>
    </w:p>
    <w:p>
      <w:pPr>
        <w:jc w:val="both"/>
        <w:ind w:left="540" w:hanging="168"/>
        <w:spacing w:after="0" w:line="241"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Pension contributions—in 2015, we are not required to make contributions to our U.S. pension plans. We plan to make contributions of cash and/or marketable securities of approximately $140 million ($109 million of marketable securities were contributed in January 2015) to our non-U.S. plans to satisfy regulatory funding standards. The timing and amount of contributions to both our U.S. and non-U.S. plans may be impacted by a number of factors, including the funded status of the plans.</w:t>
      </w:r>
    </w:p>
    <w:p>
      <w:pPr>
        <w:spacing w:after="0" w:line="77"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Repositioning actions—we expect that cash spending for severance and other exit costs necessary to execute repositioning actions will approximate $150 million in 2015.</w:t>
      </w:r>
    </w:p>
    <w:p>
      <w:pPr>
        <w:spacing w:after="0" w:line="66" w:lineRule="exact"/>
        <w:rPr>
          <w:rFonts w:ascii="Arial" w:cs="Arial" w:eastAsia="Arial" w:hAnsi="Arial"/>
          <w:sz w:val="19"/>
          <w:szCs w:val="19"/>
          <w:color w:val="auto"/>
        </w:rPr>
      </w:pPr>
    </w:p>
    <w:p>
      <w:pPr>
        <w:ind w:left="540" w:hanging="168"/>
        <w:spacing w:after="0" w:line="253" w:lineRule="auto"/>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Environmental remediation costs—we expect to spend approximately $275 million in 2015 for remedial response and voluntary clean-up costs.</w:t>
      </w:r>
    </w:p>
    <w:p>
      <w:pPr>
        <w:spacing w:after="0" w:line="8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In 2014 and 2013, we realized $160 million and $3 million, respectively, in cash proceeds from sales of non-strategic businesses.</w:t>
      </w:r>
    </w:p>
    <w:p>
      <w:pPr>
        <w:spacing w:after="0" w:line="310" w:lineRule="exact"/>
        <w:rPr>
          <w:sz w:val="20"/>
          <w:szCs w:val="20"/>
          <w:color w:val="auto"/>
        </w:rPr>
      </w:pPr>
    </w:p>
    <w:p>
      <w:pPr>
        <w:jc w:val="both"/>
        <w:ind w:firstLine="357"/>
        <w:spacing w:after="0" w:line="243" w:lineRule="auto"/>
        <w:rPr>
          <w:sz w:val="20"/>
          <w:szCs w:val="20"/>
          <w:color w:val="auto"/>
        </w:rPr>
      </w:pPr>
      <w:r>
        <w:rPr>
          <w:rFonts w:ascii="Arial" w:cs="Arial" w:eastAsia="Arial" w:hAnsi="Arial"/>
          <w:sz w:val="19"/>
          <w:szCs w:val="19"/>
          <w:color w:val="auto"/>
        </w:rPr>
        <w:t>Based on past performance and current expectations, we believe that our operating cash flows will be sufficient to meet our future operating cash needs. Our available cash, committed credit lines, access to the public debt and equity markets, provide additional sources of short-term and long-term liquidity to fund current operations, debt maturities, and future investment opportunities.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28" w:name="page29"/>
    <w:bookmarkEnd w:id="28"/>
    <w:p>
      <w:pPr>
        <w:spacing w:after="0"/>
        <w:rPr>
          <w:sz w:val="20"/>
          <w:szCs w:val="20"/>
          <w:color w:val="auto"/>
        </w:rPr>
      </w:pPr>
      <w:r>
        <w:rPr>
          <w:rFonts w:ascii="Arial" w:cs="Arial" w:eastAsia="Arial" w:hAnsi="Arial"/>
          <w:sz w:val="19"/>
          <w:szCs w:val="19"/>
          <w:b w:val="1"/>
          <w:bCs w:val="1"/>
          <w:color w:val="auto"/>
        </w:rPr>
        <w:t>Contractual Obligations and Probable Liability Payments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Following is a summary of our significant contractual obligations and probable liability payments at December 31, 2014:</w:t>
      </w:r>
    </w:p>
    <w:p>
      <w:pPr>
        <w:spacing w:after="0" w:line="253"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Payments by Period</w:t>
            </w:r>
          </w:p>
        </w:tc>
        <w:tc>
          <w:tcPr>
            <w:tcW w:w="6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55"/>
        </w:trPr>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67"/>
              <w:spacing w:after="0" w:line="155"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7"/>
              <w:spacing w:after="0" w:line="155" w:lineRule="exact"/>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0"/>
        </w:trPr>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w w:val="96"/>
              </w:rPr>
              <w:t>Total(6)</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6"/>
                <w:szCs w:val="16"/>
                <w:color w:val="auto"/>
              </w:rPr>
            </w:pPr>
          </w:p>
        </w:tc>
        <w:tc>
          <w:tcPr>
            <w:tcW w:w="9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6"/>
                <w:szCs w:val="16"/>
                <w:b w:val="1"/>
                <w:bCs w:val="1"/>
                <w:color w:val="auto"/>
              </w:rPr>
              <w:t>Thereafter</w:t>
            </w:r>
          </w:p>
        </w:tc>
      </w:tr>
      <w:tr>
        <w:trPr>
          <w:trHeight w:val="237"/>
        </w:trPr>
        <w:tc>
          <w:tcPr>
            <w:tcW w:w="5060" w:type="dxa"/>
            <w:vAlign w:val="bottom"/>
            <w:shd w:val="clear" w:color="auto" w:fill="E5FFFF"/>
          </w:tcPr>
          <w:p>
            <w:pPr>
              <w:spacing w:after="0"/>
              <w:rPr>
                <w:sz w:val="20"/>
                <w:szCs w:val="20"/>
                <w:color w:val="auto"/>
              </w:rPr>
            </w:pPr>
            <w:r>
              <w:rPr>
                <w:rFonts w:ascii="Arial" w:cs="Arial" w:eastAsia="Arial" w:hAnsi="Arial"/>
                <w:sz w:val="19"/>
                <w:szCs w:val="19"/>
                <w:color w:val="auto"/>
              </w:rPr>
              <w:t>Long-term debt, including capitalized leases(1)</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6,985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939</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962</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1,807</w:t>
            </w:r>
          </w:p>
        </w:tc>
        <w:tc>
          <w:tcPr>
            <w:tcW w:w="56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3,277</w:t>
            </w:r>
          </w:p>
        </w:tc>
      </w:tr>
      <w:tr>
        <w:trPr>
          <w:trHeight w:val="216"/>
        </w:trPr>
        <w:tc>
          <w:tcPr>
            <w:tcW w:w="5060" w:type="dxa"/>
            <w:vAlign w:val="bottom"/>
          </w:tcPr>
          <w:p>
            <w:pPr>
              <w:spacing w:after="0" w:line="216" w:lineRule="exact"/>
              <w:rPr>
                <w:sz w:val="20"/>
                <w:szCs w:val="20"/>
                <w:color w:val="auto"/>
              </w:rPr>
            </w:pPr>
            <w:r>
              <w:rPr>
                <w:rFonts w:ascii="Arial" w:cs="Arial" w:eastAsia="Arial" w:hAnsi="Arial"/>
                <w:sz w:val="19"/>
                <w:szCs w:val="19"/>
                <w:color w:val="auto"/>
              </w:rPr>
              <w:t>Interest payments on long-term debt, including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060" w:type="dxa"/>
            <w:vAlign w:val="bottom"/>
          </w:tcPr>
          <w:p>
            <w:pPr>
              <w:ind w:left="180"/>
              <w:spacing w:after="0" w:line="216" w:lineRule="exact"/>
              <w:rPr>
                <w:sz w:val="20"/>
                <w:szCs w:val="20"/>
                <w:color w:val="auto"/>
              </w:rPr>
            </w:pPr>
            <w:r>
              <w:rPr>
                <w:rFonts w:ascii="Arial" w:cs="Arial" w:eastAsia="Arial" w:hAnsi="Arial"/>
                <w:sz w:val="19"/>
                <w:szCs w:val="19"/>
                <w:color w:val="auto"/>
              </w:rPr>
              <w:t>capitalized leases</w:t>
            </w:r>
          </w:p>
        </w:tc>
        <w:tc>
          <w:tcPr>
            <w:tcW w:w="140" w:type="dxa"/>
            <w:vAlign w:val="bottom"/>
          </w:tcPr>
          <w:p>
            <w:pPr>
              <w:spacing w:after="0"/>
              <w:rPr>
                <w:sz w:val="18"/>
                <w:szCs w:val="18"/>
                <w:color w:val="auto"/>
              </w:rPr>
            </w:pPr>
          </w:p>
        </w:tc>
        <w:tc>
          <w:tcPr>
            <w:tcW w:w="720" w:type="dxa"/>
            <w:vAlign w:val="bottom"/>
          </w:tcPr>
          <w:p>
            <w:pPr>
              <w:jc w:val="right"/>
              <w:spacing w:after="0" w:line="216" w:lineRule="exact"/>
              <w:rPr>
                <w:sz w:val="20"/>
                <w:szCs w:val="20"/>
                <w:color w:val="auto"/>
              </w:rPr>
            </w:pPr>
            <w:r>
              <w:rPr>
                <w:rFonts w:ascii="Arial" w:cs="Arial" w:eastAsia="Arial" w:hAnsi="Arial"/>
                <w:sz w:val="19"/>
                <w:szCs w:val="19"/>
                <w:color w:val="auto"/>
              </w:rPr>
              <w:t>3,349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Arial" w:cs="Arial" w:eastAsia="Arial" w:hAnsi="Arial"/>
                <w:sz w:val="19"/>
                <w:szCs w:val="19"/>
                <w:color w:val="auto"/>
              </w:rPr>
              <w:t>303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line="216" w:lineRule="exact"/>
              <w:rPr>
                <w:sz w:val="20"/>
                <w:szCs w:val="20"/>
                <w:color w:val="auto"/>
              </w:rPr>
            </w:pPr>
            <w:r>
              <w:rPr>
                <w:rFonts w:ascii="Arial" w:cs="Arial" w:eastAsia="Arial" w:hAnsi="Arial"/>
                <w:sz w:val="19"/>
                <w:szCs w:val="19"/>
                <w:color w:val="auto"/>
              </w:rPr>
              <w:t>552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line="216" w:lineRule="exact"/>
              <w:rPr>
                <w:sz w:val="20"/>
                <w:szCs w:val="20"/>
                <w:color w:val="auto"/>
              </w:rPr>
            </w:pPr>
            <w:r>
              <w:rPr>
                <w:rFonts w:ascii="Arial" w:cs="Arial" w:eastAsia="Arial" w:hAnsi="Arial"/>
                <w:sz w:val="19"/>
                <w:szCs w:val="19"/>
                <w:color w:val="auto"/>
              </w:rPr>
              <w:t>414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3"/>
              <w:spacing w:after="0" w:line="216" w:lineRule="exact"/>
              <w:rPr>
                <w:sz w:val="20"/>
                <w:szCs w:val="20"/>
                <w:color w:val="auto"/>
              </w:rPr>
            </w:pPr>
            <w:r>
              <w:rPr>
                <w:rFonts w:ascii="Arial" w:cs="Arial" w:eastAsia="Arial" w:hAnsi="Arial"/>
                <w:sz w:val="19"/>
                <w:szCs w:val="19"/>
                <w:color w:val="auto"/>
              </w:rPr>
              <w:t>2,080</w:t>
            </w:r>
          </w:p>
        </w:tc>
      </w:tr>
      <w:tr>
        <w:trPr>
          <w:trHeight w:val="243"/>
        </w:trPr>
        <w:tc>
          <w:tcPr>
            <w:tcW w:w="5060" w:type="dxa"/>
            <w:vAlign w:val="bottom"/>
            <w:shd w:val="clear" w:color="auto" w:fill="E5FFFF"/>
          </w:tcPr>
          <w:p>
            <w:pPr>
              <w:spacing w:after="0"/>
              <w:rPr>
                <w:sz w:val="20"/>
                <w:szCs w:val="20"/>
                <w:color w:val="auto"/>
              </w:rPr>
            </w:pPr>
            <w:r>
              <w:rPr>
                <w:rFonts w:ascii="Arial" w:cs="Arial" w:eastAsia="Arial" w:hAnsi="Arial"/>
                <w:sz w:val="19"/>
                <w:szCs w:val="19"/>
                <w:color w:val="auto"/>
              </w:rPr>
              <w:t>Minimum operating lease payments</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1,281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224</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257</w:t>
            </w:r>
          </w:p>
        </w:tc>
      </w:tr>
      <w:tr>
        <w:trPr>
          <w:trHeight w:val="243"/>
        </w:trPr>
        <w:tc>
          <w:tcPr>
            <w:tcW w:w="5060" w:type="dxa"/>
            <w:vAlign w:val="bottom"/>
          </w:tcPr>
          <w:p>
            <w:pPr>
              <w:spacing w:after="0"/>
              <w:rPr>
                <w:sz w:val="20"/>
                <w:szCs w:val="20"/>
                <w:color w:val="auto"/>
              </w:rPr>
            </w:pPr>
            <w:r>
              <w:rPr>
                <w:rFonts w:ascii="Arial" w:cs="Arial" w:eastAsia="Arial" w:hAnsi="Arial"/>
                <w:sz w:val="19"/>
                <w:szCs w:val="19"/>
                <w:color w:val="auto"/>
              </w:rPr>
              <w:t>Purchase obligations(2)</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1,643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953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472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158</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60</w:t>
            </w:r>
          </w:p>
        </w:tc>
      </w:tr>
      <w:tr>
        <w:trPr>
          <w:trHeight w:val="243"/>
        </w:trPr>
        <w:tc>
          <w:tcPr>
            <w:tcW w:w="5060" w:type="dxa"/>
            <w:vAlign w:val="bottom"/>
            <w:shd w:val="clear" w:color="auto" w:fill="E5FFFF"/>
          </w:tcPr>
          <w:p>
            <w:pPr>
              <w:spacing w:after="0"/>
              <w:rPr>
                <w:sz w:val="20"/>
                <w:szCs w:val="20"/>
                <w:color w:val="auto"/>
              </w:rPr>
            </w:pPr>
            <w:r>
              <w:rPr>
                <w:rFonts w:ascii="Arial" w:cs="Arial" w:eastAsia="Arial" w:hAnsi="Arial"/>
                <w:sz w:val="19"/>
                <w:szCs w:val="19"/>
                <w:color w:val="auto"/>
              </w:rPr>
              <w:t>Estimated environmental liability payments(3)</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w:t>
            </w:r>
          </w:p>
        </w:tc>
        <w:tc>
          <w:tcPr>
            <w:tcW w:w="30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20</w:t>
            </w:r>
          </w:p>
        </w:tc>
      </w:tr>
      <w:tr>
        <w:trPr>
          <w:trHeight w:val="243"/>
        </w:trPr>
        <w:tc>
          <w:tcPr>
            <w:tcW w:w="5060" w:type="dxa"/>
            <w:vAlign w:val="bottom"/>
          </w:tcPr>
          <w:p>
            <w:pPr>
              <w:spacing w:after="0"/>
              <w:rPr>
                <w:sz w:val="20"/>
                <w:szCs w:val="20"/>
                <w:color w:val="auto"/>
              </w:rPr>
            </w:pPr>
            <w:r>
              <w:rPr>
                <w:rFonts w:ascii="Arial" w:cs="Arial" w:eastAsia="Arial" w:hAnsi="Arial"/>
                <w:sz w:val="19"/>
                <w:szCs w:val="19"/>
                <w:color w:val="auto"/>
              </w:rPr>
              <w:t>Asbestos related liability payments(4)</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1,552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352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737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413</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50</w:t>
            </w:r>
          </w:p>
        </w:tc>
      </w:tr>
      <w:tr>
        <w:trPr>
          <w:trHeight w:val="243"/>
        </w:trPr>
        <w:tc>
          <w:tcPr>
            <w:tcW w:w="5060" w:type="dxa"/>
            <w:vAlign w:val="bottom"/>
            <w:shd w:val="clear" w:color="auto" w:fill="E5FFFF"/>
          </w:tcPr>
          <w:p>
            <w:pPr>
              <w:spacing w:after="0"/>
              <w:rPr>
                <w:sz w:val="20"/>
                <w:szCs w:val="20"/>
                <w:color w:val="auto"/>
              </w:rPr>
            </w:pPr>
            <w:r>
              <w:rPr>
                <w:rFonts w:ascii="Arial" w:cs="Arial" w:eastAsia="Arial" w:hAnsi="Arial"/>
                <w:sz w:val="19"/>
                <w:szCs w:val="19"/>
                <w:color w:val="auto"/>
              </w:rPr>
              <w:t>Asbestos insurance recoveries(5)</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(485)</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(31)</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(112)</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(105)</w:t>
            </w:r>
          </w:p>
        </w:tc>
        <w:tc>
          <w:tcPr>
            <w:tcW w:w="300" w:type="dxa"/>
            <w:vAlign w:val="bottom"/>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(237)</w:t>
            </w:r>
          </w:p>
        </w:tc>
      </w:tr>
      <w:tr>
        <w:trPr>
          <w:trHeight w:val="250"/>
        </w:trPr>
        <w:tc>
          <w:tcPr>
            <w:tcW w:w="50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14,916</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3,124</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3,299</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2,986</w:t>
            </w:r>
          </w:p>
        </w:tc>
        <w:tc>
          <w:tcPr>
            <w:tcW w:w="560" w:type="dxa"/>
            <w:vAlign w:val="bottom"/>
            <w:gridSpan w:val="2"/>
          </w:tcPr>
          <w:p>
            <w:pPr>
              <w:jc w:val="right"/>
              <w:ind w:right="61"/>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3"/>
              <w:spacing w:after="0"/>
              <w:rPr>
                <w:sz w:val="20"/>
                <w:szCs w:val="20"/>
                <w:color w:val="auto"/>
              </w:rPr>
            </w:pPr>
            <w:r>
              <w:rPr>
                <w:rFonts w:ascii="Arial" w:cs="Arial" w:eastAsia="Arial" w:hAnsi="Arial"/>
                <w:sz w:val="19"/>
                <w:szCs w:val="19"/>
                <w:color w:val="auto"/>
              </w:rPr>
              <w:t>5,507</w:t>
            </w:r>
          </w:p>
        </w:tc>
      </w:tr>
      <w:tr>
        <w:trPr>
          <w:trHeight w:val="20"/>
        </w:trPr>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420" w:hanging="338"/>
        <w:spacing w:after="0"/>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Assumes all long-term debt is outstanding until scheduled maturity.</w:t>
      </w:r>
    </w:p>
    <w:p>
      <w:pPr>
        <w:ind w:left="420" w:right="20" w:hanging="338"/>
        <w:spacing w:after="0" w:line="237" w:lineRule="auto"/>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Purchase obligations are entered into with various vendors in the normal course of business and are consistent with our expected requirements.</w:t>
      </w:r>
    </w:p>
    <w:p>
      <w:pPr>
        <w:ind w:left="420" w:hanging="338"/>
        <w:spacing w:after="0" w:line="237" w:lineRule="auto"/>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payment amounts in the table only reflect the environmental liabilities which are probable and reasonably estimable as of December 31, 2014.</w:t>
      </w:r>
    </w:p>
    <w:p>
      <w:pPr>
        <w:jc w:val="both"/>
        <w:ind w:left="420" w:hanging="338"/>
        <w:spacing w:after="0" w:line="237" w:lineRule="auto"/>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These amounts are estimates of asbestos related cash payments for NARCO and Bendix based on our asbestos related liabilities which are probable and reasonably estimable as of December 31, 2014. See Asbestos Matters in Note 19 Commitments and Contingencies of Notes to Financial Statements for additional information.</w:t>
      </w:r>
    </w:p>
    <w:p>
      <w:pPr>
        <w:jc w:val="both"/>
        <w:ind w:left="420" w:hanging="338"/>
        <w:spacing w:after="0" w:line="237" w:lineRule="auto"/>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These amounts represent our insurance recoveries that are deemed probable for asbestos related liabilities as of December 31, 2014. See Asbestos Matters in Note 19 Commitments and Contingencies of Notes to Financial Statements for additional information.</w:t>
      </w:r>
    </w:p>
    <w:p>
      <w:pPr>
        <w:ind w:left="420" w:hanging="338"/>
        <w:spacing w:after="0" w:line="253" w:lineRule="auto"/>
        <w:tabs>
          <w:tab w:leader="none" w:pos="4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table excludes tax effects as well as $659 million of uncertain tax positions. See Note 5 Income Taxes of Notes to Financial Statements for additional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Accruals for environmental matters deemed probable and reasonably estimable were $268 million, $272 million and $234 million in 2014, 2013 and 2012, respectively. In addition, in both 2014 and 2013 we incurred operating costs for ongoing businesses of approximately $88 million relating to compliance with environmental regulations.</w:t>
      </w:r>
    </w:p>
    <w:p>
      <w:pPr>
        <w:spacing w:after="0" w:line="8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Spending related to known environmental matters was $321 million, $304 million and $320 million in 2014, 2013 and 2012, respectively, and is estimated to be approximately $275 million in 2015. We expect to fund expenditures for these environmental matters from operating cash flow. The timing of cash expenditures depends on a numbers of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91" w:lineRule="exact"/>
        <w:rPr>
          <w:sz w:val="20"/>
          <w:szCs w:val="20"/>
          <w:color w:val="auto"/>
        </w:rPr>
      </w:pPr>
    </w:p>
    <w:p>
      <w:pPr>
        <w:jc w:val="both"/>
        <w:ind w:firstLine="357"/>
        <w:spacing w:after="0" w:line="246" w:lineRule="auto"/>
        <w:rPr>
          <w:sz w:val="20"/>
          <w:szCs w:val="20"/>
          <w:color w:val="auto"/>
        </w:rPr>
      </w:pPr>
      <w:r>
        <w:rPr>
          <w:rFonts w:ascii="Arial" w:cs="Arial" w:eastAsia="Arial" w:hAnsi="Arial"/>
          <w:sz w:val="19"/>
          <w:szCs w:val="19"/>
          <w:color w:val="auto"/>
        </w:rPr>
        <w:t>See Note 19 Commitments and Contingencies of Notes to Financial Statements for further discussion of our environmental matters.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Instruments</w:t>
      </w:r>
    </w:p>
    <w:p>
      <w:pPr>
        <w:spacing w:after="0" w:line="116"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29" w:name="page30"/>
    <w:bookmarkEnd w:id="29"/>
    <w:p>
      <w:pPr>
        <w:spacing w:after="0" w:line="246" w:lineRule="auto"/>
        <w:rPr>
          <w:sz w:val="20"/>
          <w:szCs w:val="20"/>
          <w:color w:val="auto"/>
        </w:rPr>
      </w:pPr>
      <w:r>
        <w:rPr>
          <w:rFonts w:ascii="Arial" w:cs="Arial" w:eastAsia="Arial" w:hAnsi="Arial"/>
          <w:sz w:val="19"/>
          <w:szCs w:val="19"/>
          <w:color w:val="auto"/>
        </w:rPr>
        <w:t>based on a 10% weakening of the U.S. Dollar versus local currency exchange rates across all maturities at December 31, 2014 and 2013.</w:t>
      </w:r>
    </w:p>
    <w:tbl>
      <w:tblPr>
        <w:tblLayout w:type="fixed"/>
        <w:tblInd w:w="0" w:type="dxa"/>
        <w:tblCellMar>
          <w:top w:w="0" w:type="dxa"/>
          <w:left w:w="0" w:type="dxa"/>
          <w:bottom w:w="0" w:type="dxa"/>
          <w:right w:w="0" w:type="dxa"/>
        </w:tblCellMar>
      </w:tblPr>
      <w:tr>
        <w:trPr>
          <w:trHeight w:val="172"/>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0"/>
              <w:spacing w:after="0" w:line="172" w:lineRule="exact"/>
              <w:rPr>
                <w:sz w:val="20"/>
                <w:szCs w:val="20"/>
                <w:color w:val="auto"/>
              </w:rPr>
            </w:pPr>
            <w:r>
              <w:rPr>
                <w:rFonts w:ascii="Arial" w:cs="Arial" w:eastAsia="Arial" w:hAnsi="Arial"/>
                <w:sz w:val="16"/>
                <w:szCs w:val="16"/>
                <w:b w:val="1"/>
                <w:bCs w:val="1"/>
                <w:color w:val="auto"/>
                <w:w w:val="99"/>
              </w:rPr>
              <w:t>Estimated</w:t>
            </w:r>
          </w:p>
        </w:tc>
      </w:tr>
      <w:tr>
        <w:trPr>
          <w:trHeight w:val="176"/>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Arial" w:cs="Arial" w:eastAsia="Arial" w:hAnsi="Arial"/>
                <w:sz w:val="16"/>
                <w:szCs w:val="16"/>
                <w:b w:val="1"/>
                <w:bCs w:val="1"/>
                <w:color w:val="auto"/>
                <w:w w:val="98"/>
              </w:rPr>
              <w:t>Increase</w:t>
            </w:r>
          </w:p>
        </w:tc>
      </w:tr>
      <w:tr>
        <w:trPr>
          <w:trHeight w:val="176"/>
        </w:trPr>
        <w:tc>
          <w:tcPr>
            <w:tcW w:w="7100" w:type="dxa"/>
            <w:vAlign w:val="bottom"/>
          </w:tcPr>
          <w:p>
            <w:pPr>
              <w:spacing w:after="0"/>
              <w:rPr>
                <w:sz w:val="15"/>
                <w:szCs w:val="15"/>
                <w:color w:val="auto"/>
              </w:rPr>
            </w:pPr>
          </w:p>
        </w:tc>
        <w:tc>
          <w:tcPr>
            <w:tcW w:w="7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Face or</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(Decrease)</w:t>
            </w:r>
          </w:p>
        </w:tc>
      </w:tr>
      <w:tr>
        <w:trPr>
          <w:trHeight w:val="176"/>
        </w:trPr>
        <w:tc>
          <w:tcPr>
            <w:tcW w:w="7100" w:type="dxa"/>
            <w:vAlign w:val="bottom"/>
          </w:tcPr>
          <w:p>
            <w:pPr>
              <w:spacing w:after="0"/>
              <w:rPr>
                <w:sz w:val="15"/>
                <w:szCs w:val="15"/>
                <w:color w:val="auto"/>
              </w:rPr>
            </w:pPr>
          </w:p>
        </w:tc>
        <w:tc>
          <w:tcPr>
            <w:tcW w:w="7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Notional</w:t>
            </w:r>
          </w:p>
        </w:tc>
        <w:tc>
          <w:tcPr>
            <w:tcW w:w="300" w:type="dxa"/>
            <w:vAlign w:val="bottom"/>
          </w:tcPr>
          <w:p>
            <w:pPr>
              <w:spacing w:after="0"/>
              <w:rPr>
                <w:sz w:val="15"/>
                <w:szCs w:val="15"/>
                <w:color w:val="auto"/>
              </w:rPr>
            </w:pPr>
          </w:p>
        </w:tc>
        <w:tc>
          <w:tcPr>
            <w:tcW w:w="820" w:type="dxa"/>
            <w:vAlign w:val="bottom"/>
          </w:tcPr>
          <w:p>
            <w:pPr>
              <w:jc w:val="right"/>
              <w:ind w:right="1"/>
              <w:spacing w:after="0" w:line="176"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5"/>
                <w:szCs w:val="15"/>
                <w:color w:val="auto"/>
              </w:rPr>
            </w:pPr>
          </w:p>
        </w:tc>
        <w:tc>
          <w:tcPr>
            <w:tcW w:w="820" w:type="dxa"/>
            <w:vAlign w:val="bottom"/>
          </w:tcPr>
          <w:p>
            <w:pPr>
              <w:jc w:val="right"/>
              <w:ind w:right="201"/>
              <w:spacing w:after="0" w:line="176" w:lineRule="exact"/>
              <w:rPr>
                <w:sz w:val="20"/>
                <w:szCs w:val="20"/>
                <w:color w:val="auto"/>
              </w:rPr>
            </w:pPr>
            <w:r>
              <w:rPr>
                <w:rFonts w:ascii="Arial" w:cs="Arial" w:eastAsia="Arial" w:hAnsi="Arial"/>
                <w:sz w:val="16"/>
                <w:szCs w:val="16"/>
                <w:b w:val="1"/>
                <w:bCs w:val="1"/>
                <w:color w:val="auto"/>
              </w:rPr>
              <w:t>Fair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0"/>
              <w:spacing w:after="0" w:line="176" w:lineRule="exact"/>
              <w:rPr>
                <w:sz w:val="20"/>
                <w:szCs w:val="20"/>
                <w:color w:val="auto"/>
              </w:rPr>
            </w:pPr>
            <w:r>
              <w:rPr>
                <w:rFonts w:ascii="Arial" w:cs="Arial" w:eastAsia="Arial" w:hAnsi="Arial"/>
                <w:sz w:val="16"/>
                <w:szCs w:val="16"/>
                <w:b w:val="1"/>
                <w:bCs w:val="1"/>
                <w:color w:val="auto"/>
                <w:w w:val="99"/>
              </w:rPr>
              <w:t>in Fair</w:t>
            </w:r>
          </w:p>
        </w:tc>
      </w:tr>
      <w:tr>
        <w:trPr>
          <w:trHeight w:val="190"/>
        </w:trPr>
        <w:tc>
          <w:tcPr>
            <w:tcW w:w="710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300" w:type="dxa"/>
            <w:vAlign w:val="bottom"/>
          </w:tcPr>
          <w:p>
            <w:pPr>
              <w:spacing w:after="0"/>
              <w:rPr>
                <w:sz w:val="16"/>
                <w:szCs w:val="16"/>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Value(1)</w:t>
            </w:r>
          </w:p>
        </w:tc>
        <w:tc>
          <w:tcPr>
            <w:tcW w:w="300" w:type="dxa"/>
            <w:vAlign w:val="bottom"/>
          </w:tcPr>
          <w:p>
            <w:pPr>
              <w:spacing w:after="0"/>
              <w:rPr>
                <w:sz w:val="16"/>
                <w:szCs w:val="16"/>
                <w:color w:val="auto"/>
              </w:rPr>
            </w:pP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Value(1)</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6"/>
                <w:szCs w:val="16"/>
                <w:b w:val="1"/>
                <w:bCs w:val="1"/>
                <w:color w:val="auto"/>
                <w:w w:val="96"/>
              </w:rPr>
              <w:t>Value(2)</w:t>
            </w:r>
          </w:p>
        </w:tc>
      </w:tr>
      <w:tr>
        <w:trPr>
          <w:trHeight w:val="210"/>
        </w:trPr>
        <w:tc>
          <w:tcPr>
            <w:tcW w:w="710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December 31, 2014</w:t>
            </w: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16"/>
        </w:trPr>
        <w:tc>
          <w:tcPr>
            <w:tcW w:w="7100" w:type="dxa"/>
            <w:vAlign w:val="bottom"/>
          </w:tcPr>
          <w:p>
            <w:pPr>
              <w:spacing w:after="0" w:line="216" w:lineRule="exact"/>
              <w:rPr>
                <w:sz w:val="20"/>
                <w:szCs w:val="20"/>
                <w:color w:val="auto"/>
              </w:rPr>
            </w:pPr>
            <w:r>
              <w:rPr>
                <w:rFonts w:ascii="Arial" w:cs="Arial" w:eastAsia="Arial" w:hAnsi="Arial"/>
                <w:sz w:val="19"/>
                <w:szCs w:val="19"/>
                <w:b w:val="1"/>
                <w:bCs w:val="1"/>
                <w:color w:val="auto"/>
              </w:rPr>
              <w:t>Interest Rate Sensitive Instruments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71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Long-term debt (including current maturities)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6,985</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(6,985)</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(7,817)</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(478)</w:t>
            </w:r>
          </w:p>
        </w:tc>
      </w:tr>
      <w:tr>
        <w:trPr>
          <w:trHeight w:val="243"/>
        </w:trPr>
        <w:tc>
          <w:tcPr>
            <w:tcW w:w="7100" w:type="dxa"/>
            <w:vAlign w:val="bottom"/>
          </w:tcPr>
          <w:p>
            <w:pPr>
              <w:ind w:left="180"/>
              <w:spacing w:after="0"/>
              <w:rPr>
                <w:sz w:val="20"/>
                <w:szCs w:val="20"/>
                <w:color w:val="auto"/>
              </w:rPr>
            </w:pPr>
            <w:r>
              <w:rPr>
                <w:rFonts w:ascii="Arial" w:cs="Arial" w:eastAsia="Arial" w:hAnsi="Arial"/>
                <w:sz w:val="19"/>
                <w:szCs w:val="19"/>
                <w:color w:val="auto"/>
              </w:rPr>
              <w:t>Interest rate swap agreements</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1,100</w:t>
            </w:r>
          </w:p>
        </w:tc>
        <w:tc>
          <w:tcPr>
            <w:tcW w:w="1120" w:type="dxa"/>
            <w:vAlign w:val="bottom"/>
            <w:gridSpan w:val="2"/>
          </w:tcPr>
          <w:p>
            <w:pPr>
              <w:jc w:val="right"/>
              <w:ind w:right="1"/>
              <w:spacing w:after="0"/>
              <w:rPr>
                <w:sz w:val="20"/>
                <w:szCs w:val="20"/>
                <w:color w:val="auto"/>
              </w:rPr>
            </w:pPr>
            <w:r>
              <w:rPr>
                <w:rFonts w:ascii="Arial" w:cs="Arial" w:eastAsia="Arial" w:hAnsi="Arial"/>
                <w:sz w:val="19"/>
                <w:szCs w:val="19"/>
                <w:color w:val="auto"/>
              </w:rPr>
              <w:t>93</w:t>
            </w:r>
          </w:p>
        </w:tc>
        <w:tc>
          <w:tcPr>
            <w:tcW w:w="1120" w:type="dxa"/>
            <w:vAlign w:val="bottom"/>
            <w:gridSpan w:val="2"/>
          </w:tcPr>
          <w:p>
            <w:pPr>
              <w:jc w:val="right"/>
              <w:ind w:right="1"/>
              <w:spacing w:after="0"/>
              <w:rPr>
                <w:sz w:val="20"/>
                <w:szCs w:val="20"/>
                <w:color w:val="auto"/>
              </w:rPr>
            </w:pPr>
            <w:r>
              <w:rPr>
                <w:rFonts w:ascii="Arial" w:cs="Arial" w:eastAsia="Arial" w:hAnsi="Arial"/>
                <w:sz w:val="19"/>
                <w:szCs w:val="19"/>
                <w:color w:val="auto"/>
              </w:rPr>
              <w:t>93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(69)</w:t>
            </w:r>
          </w:p>
        </w:tc>
      </w:tr>
      <w:tr>
        <w:trPr>
          <w:trHeight w:val="216"/>
        </w:trPr>
        <w:tc>
          <w:tcPr>
            <w:tcW w:w="71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Foreign Exchange Rate Sensitive Instruments</w:t>
            </w: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9"/>
                <w:szCs w:val="19"/>
                <w:color w:val="auto"/>
              </w:rPr>
              <w:t>Foreign currency exchange contracts(3)</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7,291</w:t>
            </w:r>
          </w:p>
        </w:tc>
        <w:tc>
          <w:tcPr>
            <w:tcW w:w="1120" w:type="dxa"/>
            <w:vAlign w:val="bottom"/>
            <w:gridSpan w:val="2"/>
          </w:tcPr>
          <w:p>
            <w:pPr>
              <w:jc w:val="right"/>
              <w:ind w:right="1"/>
              <w:spacing w:after="0"/>
              <w:rPr>
                <w:sz w:val="20"/>
                <w:szCs w:val="20"/>
                <w:color w:val="auto"/>
              </w:rPr>
            </w:pPr>
            <w:r>
              <w:rPr>
                <w:rFonts w:ascii="Arial" w:cs="Arial" w:eastAsia="Arial" w:hAnsi="Arial"/>
                <w:sz w:val="19"/>
                <w:szCs w:val="19"/>
                <w:color w:val="auto"/>
              </w:rPr>
              <w:t>10</w:t>
            </w:r>
          </w:p>
        </w:tc>
        <w:tc>
          <w:tcPr>
            <w:tcW w:w="1120" w:type="dxa"/>
            <w:vAlign w:val="bottom"/>
            <w:gridSpan w:val="2"/>
          </w:tcPr>
          <w:p>
            <w:pPr>
              <w:jc w:val="right"/>
              <w:ind w:right="1"/>
              <w:spacing w:after="0"/>
              <w:rPr>
                <w:sz w:val="20"/>
                <w:szCs w:val="20"/>
                <w:color w:val="auto"/>
              </w:rPr>
            </w:pPr>
            <w:r>
              <w:rPr>
                <w:rFonts w:ascii="Arial" w:cs="Arial" w:eastAsia="Arial" w:hAnsi="Arial"/>
                <w:sz w:val="19"/>
                <w:szCs w:val="19"/>
                <w:color w:val="auto"/>
              </w:rPr>
              <w:t>10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9"/>
                <w:szCs w:val="19"/>
                <w:color w:val="auto"/>
              </w:rPr>
              <w:t>86</w:t>
            </w:r>
          </w:p>
        </w:tc>
      </w:tr>
      <w:tr>
        <w:trPr>
          <w:trHeight w:val="216"/>
        </w:trPr>
        <w:tc>
          <w:tcPr>
            <w:tcW w:w="71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December 31, 2013</w:t>
            </w: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16"/>
        </w:trPr>
        <w:tc>
          <w:tcPr>
            <w:tcW w:w="7100" w:type="dxa"/>
            <w:vAlign w:val="bottom"/>
          </w:tcPr>
          <w:p>
            <w:pPr>
              <w:spacing w:after="0" w:line="216" w:lineRule="exact"/>
              <w:rPr>
                <w:sz w:val="20"/>
                <w:szCs w:val="20"/>
                <w:color w:val="auto"/>
              </w:rPr>
            </w:pPr>
            <w:r>
              <w:rPr>
                <w:rFonts w:ascii="Arial" w:cs="Arial" w:eastAsia="Arial" w:hAnsi="Arial"/>
                <w:sz w:val="19"/>
                <w:szCs w:val="19"/>
                <w:b w:val="1"/>
                <w:bCs w:val="1"/>
                <w:color w:val="auto"/>
              </w:rPr>
              <w:t>Interest Rate Sensitive Instruments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71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Long-term debt (including current maturities)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7,433</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(7,433)</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(8,066)</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(466)</w:t>
            </w:r>
          </w:p>
        </w:tc>
      </w:tr>
      <w:tr>
        <w:trPr>
          <w:trHeight w:val="243"/>
        </w:trPr>
        <w:tc>
          <w:tcPr>
            <w:tcW w:w="7100" w:type="dxa"/>
            <w:vAlign w:val="bottom"/>
          </w:tcPr>
          <w:p>
            <w:pPr>
              <w:ind w:left="180"/>
              <w:spacing w:after="0"/>
              <w:rPr>
                <w:sz w:val="20"/>
                <w:szCs w:val="20"/>
                <w:color w:val="auto"/>
              </w:rPr>
            </w:pPr>
            <w:r>
              <w:rPr>
                <w:rFonts w:ascii="Arial" w:cs="Arial" w:eastAsia="Arial" w:hAnsi="Arial"/>
                <w:sz w:val="19"/>
                <w:szCs w:val="19"/>
                <w:color w:val="auto"/>
              </w:rPr>
              <w:t>Interest rate swap agreements</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1,700</w:t>
            </w:r>
          </w:p>
        </w:tc>
        <w:tc>
          <w:tcPr>
            <w:tcW w:w="1120" w:type="dxa"/>
            <w:vAlign w:val="bottom"/>
            <w:gridSpan w:val="2"/>
          </w:tcPr>
          <w:p>
            <w:pPr>
              <w:jc w:val="right"/>
              <w:ind w:right="1"/>
              <w:spacing w:after="0"/>
              <w:rPr>
                <w:sz w:val="20"/>
                <w:szCs w:val="20"/>
                <w:color w:val="auto"/>
              </w:rPr>
            </w:pPr>
            <w:r>
              <w:rPr>
                <w:rFonts w:ascii="Arial" w:cs="Arial" w:eastAsia="Arial" w:hAnsi="Arial"/>
                <w:sz w:val="19"/>
                <w:szCs w:val="19"/>
                <w:color w:val="auto"/>
              </w:rPr>
              <w:t>55</w:t>
            </w:r>
          </w:p>
        </w:tc>
        <w:tc>
          <w:tcPr>
            <w:tcW w:w="1120" w:type="dxa"/>
            <w:vAlign w:val="bottom"/>
            <w:gridSpan w:val="2"/>
          </w:tcPr>
          <w:p>
            <w:pPr>
              <w:jc w:val="right"/>
              <w:ind w:right="1"/>
              <w:spacing w:after="0"/>
              <w:rPr>
                <w:sz w:val="20"/>
                <w:szCs w:val="20"/>
                <w:color w:val="auto"/>
              </w:rPr>
            </w:pPr>
            <w:r>
              <w:rPr>
                <w:rFonts w:ascii="Arial" w:cs="Arial" w:eastAsia="Arial" w:hAnsi="Arial"/>
                <w:sz w:val="19"/>
                <w:szCs w:val="19"/>
                <w:color w:val="auto"/>
              </w:rPr>
              <w:t>55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(77)</w:t>
            </w:r>
          </w:p>
        </w:tc>
      </w:tr>
      <w:tr>
        <w:trPr>
          <w:trHeight w:val="216"/>
        </w:trPr>
        <w:tc>
          <w:tcPr>
            <w:tcW w:w="710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Foreign Exchange Rate Sensitive Instruments</w:t>
            </w:r>
          </w:p>
        </w:tc>
        <w:tc>
          <w:tcPr>
            <w:tcW w:w="18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900" w:type="dxa"/>
            <w:vAlign w:val="bottom"/>
            <w:shd w:val="clear" w:color="auto" w:fill="E5FFFF"/>
          </w:tcPr>
          <w:p>
            <w:pPr>
              <w:spacing w:after="0"/>
              <w:rPr>
                <w:sz w:val="18"/>
                <w:szCs w:val="18"/>
                <w:color w:val="auto"/>
              </w:rPr>
            </w:pPr>
          </w:p>
        </w:tc>
      </w:tr>
      <w:tr>
        <w:trPr>
          <w:trHeight w:val="261"/>
        </w:trPr>
        <w:tc>
          <w:tcPr>
            <w:tcW w:w="7100" w:type="dxa"/>
            <w:vAlign w:val="bottom"/>
          </w:tcPr>
          <w:p>
            <w:pPr>
              <w:ind w:left="180"/>
              <w:spacing w:after="0"/>
              <w:rPr>
                <w:sz w:val="20"/>
                <w:szCs w:val="20"/>
                <w:color w:val="auto"/>
              </w:rPr>
            </w:pPr>
            <w:r>
              <w:rPr>
                <w:rFonts w:ascii="Arial" w:cs="Arial" w:eastAsia="Arial" w:hAnsi="Arial"/>
                <w:sz w:val="19"/>
                <w:szCs w:val="19"/>
                <w:color w:val="auto"/>
              </w:rPr>
              <w:t>Foreign currency exchange contracts(3)</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7,298</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(7)</w:t>
            </w:r>
          </w:p>
        </w:tc>
        <w:tc>
          <w:tcPr>
            <w:tcW w:w="1120" w:type="dxa"/>
            <w:vAlign w:val="bottom"/>
            <w:gridSpan w:val="2"/>
          </w:tcPr>
          <w:p>
            <w:pPr>
              <w:jc w:val="right"/>
              <w:spacing w:after="0"/>
              <w:rPr>
                <w:sz w:val="20"/>
                <w:szCs w:val="20"/>
                <w:color w:val="auto"/>
              </w:rPr>
            </w:pPr>
            <w:r>
              <w:rPr>
                <w:rFonts w:ascii="Arial" w:cs="Arial" w:eastAsia="Arial" w:hAnsi="Arial"/>
                <w:sz w:val="19"/>
                <w:szCs w:val="19"/>
                <w:color w:val="auto"/>
              </w:rPr>
              <w:t>(7)</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9"/>
                <w:szCs w:val="19"/>
                <w:color w:val="auto"/>
              </w:rPr>
              <w:t>296</w:t>
            </w:r>
          </w:p>
        </w:tc>
      </w:tr>
    </w:tbl>
    <w:p>
      <w:pPr>
        <w:spacing w:after="0" w:line="304" w:lineRule="exact"/>
        <w:rPr>
          <w:sz w:val="20"/>
          <w:szCs w:val="20"/>
          <w:color w:val="auto"/>
        </w:rPr>
      </w:pPr>
    </w:p>
    <w:p>
      <w:pPr>
        <w:ind w:left="420" w:hanging="338"/>
        <w:spacing w:after="0"/>
        <w:tabs>
          <w:tab w:leader="none" w:pos="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Asset or (liability).</w:t>
      </w:r>
    </w:p>
    <w:p>
      <w:pPr>
        <w:jc w:val="both"/>
        <w:ind w:left="420" w:hanging="338"/>
        <w:spacing w:after="0" w:line="237" w:lineRule="auto"/>
        <w:tabs>
          <w:tab w:leader="none" w:pos="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equal to the inverse of the amount disclosed in the table.</w:t>
      </w:r>
    </w:p>
    <w:p>
      <w:pPr>
        <w:ind w:left="420" w:hanging="338"/>
        <w:spacing w:after="0" w:line="253" w:lineRule="auto"/>
        <w:tabs>
          <w:tab w:leader="none" w:pos="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Changes in the fair value of foreign currency exchange contracts are offset by changes in the fair value or cash flows of underlying hedged foreign currency transactions.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Note 14 Financial Instruments and Fair Value Measures of Notes to Financial Statements for further discussion.</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CRITICAL ACCOUNTING POLICIES</w:t>
      </w:r>
    </w:p>
    <w:p>
      <w:pPr>
        <w:spacing w:after="0" w:line="14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discussed below to be critical to the understanding of our financial statements. Actual results could differ from our estimates and assumptions, and any such differences could be material to our consolidated financial statements.</w:t>
      </w:r>
    </w:p>
    <w:p>
      <w:pPr>
        <w:spacing w:after="0" w:line="6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b w:val="1"/>
          <w:bCs w:val="1"/>
          <w:i w:val="1"/>
          <w:iCs w:val="1"/>
          <w:color w:val="auto"/>
        </w:rPr>
        <w:t>Contingent Liabilities</w:t>
      </w:r>
      <w:r>
        <w:rPr>
          <w:rFonts w:ascii="Arial" w:cs="Arial" w:eastAsia="Arial" w:hAnsi="Arial"/>
          <w:sz w:val="19"/>
          <w:szCs w:val="19"/>
          <w:color w:val="auto"/>
        </w:rPr>
        <w:t>—We are subject to a number of lawsuits, investigations and claims (some of which involve substantial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dollar amounts) that arise out of the conduct of our global business operations or those of previously owned entities, including matters relating to commercial transactions, government contracts, product liability (including asbestos), prior acquisitions and divestitures, employee benefit plans, intellectual property,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the number and cost of pending and future asbestos claims,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Commitments and Contingencies of Notes to Financial Statements for a discussion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9"/>
          <w:szCs w:val="19"/>
          <w:color w:val="auto"/>
        </w:rPr>
        <w:t>management’s judgment applied in the recognition and measurement of our environmental and asbestos liabilities which represent our most significant contingencies.</w:t>
      </w:r>
    </w:p>
    <w:p>
      <w:pPr>
        <w:spacing w:after="0" w:line="56" w:lineRule="exact"/>
        <w:rPr>
          <w:sz w:val="20"/>
          <w:szCs w:val="20"/>
          <w:color w:val="auto"/>
        </w:rPr>
      </w:pPr>
    </w:p>
    <w:p>
      <w:pPr>
        <w:jc w:val="both"/>
        <w:ind w:firstLine="357"/>
        <w:spacing w:after="0"/>
        <w:rPr>
          <w:sz w:val="20"/>
          <w:szCs w:val="20"/>
          <w:color w:val="auto"/>
        </w:rPr>
      </w:pPr>
      <w:r>
        <w:rPr>
          <w:rFonts w:ascii="Arial" w:cs="Arial" w:eastAsia="Arial" w:hAnsi="Arial"/>
          <w:sz w:val="19"/>
          <w:szCs w:val="19"/>
          <w:b w:val="1"/>
          <w:bCs w:val="1"/>
          <w:i w:val="1"/>
          <w:iCs w:val="1"/>
          <w:color w:val="auto"/>
        </w:rPr>
        <w:t>Asbestos Related Contingencies and Insurance Recoveries</w:t>
      </w:r>
      <w:r>
        <w:rPr>
          <w:rFonts w:ascii="Arial" w:cs="Arial" w:eastAsia="Arial" w:hAnsi="Arial"/>
          <w:sz w:val="19"/>
          <w:szCs w:val="19"/>
          <w:color w:val="auto"/>
        </w:rPr>
        <w:t>—Honeywell’s involvement in asbestos related personal injury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actions relates to two predecessor companies. Regarding North American Refractories Company (NARCO) asbestos related claims, we accrued for pending claims based on terms and conditions in agreements with NARCO, its former parent company, and certain asbestos claimants, and an estimate of the unsettled claims pending as of the time NARCO filed for bankruptcy protection. We also accrued for the estimated value of future NARCO asbestos related claims expected to be asserted against the NARCO Trust through 2018. In light of the inherent uncertainties in making long term projections and in connection with the initial operation of a 524(g) trust, as well as the stay of all NARCO asbestos claims from January 2002 through the effective date of the NARCO Trust on April 30, 2013, we do not believe that we have a reasonable basis for estimating NARCO asbestos claims beyond 2018. Regarding Bendix asbestos related claims, we accrued for the estimated value of pending claims using average resolution values for the previous five years. We also accrued for the estimated value of future anticipated claims related to Bendix for the next five years based on historic claims filing experience and dismissal rates, disease classifications, and average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w:t>
      </w:r>
    </w:p>
    <w:p>
      <w:pPr>
        <w:spacing w:after="0" w:line="317"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In connection with the recognition of liabilities for asbestos related matters, we record asbestos related insurance recoveries that are deemed probable. In assessing the probability of insurance recovery, we make judgments concerning insurance coverage that we believe are reasonable and consistent with our historical dealings and our knowledge of any pertinent solvency issues surrounding insurers. While the substantial majority of our insurance carriers are solvent, some of our individual carriers are insolvent, which has been considered in our analysis of probable recoveries. Projecting future events is subject to various uncertainties that could cause the insurance recovery on asbestos related liabilities to be higher or lower than that projected and recorded. Given the inherent uncertainty in making future projections, we reevaluate our projections concerning our probable insurance recoveries in light of any changes to the projected liability, our recovery experience or other relevant factors that may impact future insurance recoveries.</w:t>
      </w:r>
    </w:p>
    <w:p>
      <w:pPr>
        <w:spacing w:after="0" w:line="305" w:lineRule="exact"/>
        <w:rPr>
          <w:sz w:val="20"/>
          <w:szCs w:val="20"/>
          <w:color w:val="auto"/>
        </w:rPr>
      </w:pPr>
    </w:p>
    <w:p>
      <w:pPr>
        <w:jc w:val="both"/>
        <w:ind w:right="20" w:firstLine="357"/>
        <w:spacing w:after="0" w:line="253" w:lineRule="auto"/>
        <w:rPr>
          <w:sz w:val="20"/>
          <w:szCs w:val="20"/>
          <w:color w:val="auto"/>
        </w:rPr>
      </w:pPr>
      <w:r>
        <w:rPr>
          <w:rFonts w:ascii="Arial" w:cs="Arial" w:eastAsia="Arial" w:hAnsi="Arial"/>
          <w:sz w:val="19"/>
          <w:szCs w:val="19"/>
          <w:color w:val="auto"/>
        </w:rPr>
        <w:t>See Note 19 Commitments and Contingencies of Notes to Financial Statements for a discussion of management’s judgments applied in the recognition and measurement of our asbestos-related liabilities and related insurance recoveries.</w:t>
      </w:r>
    </w:p>
    <w:p>
      <w:pPr>
        <w:spacing w:after="0" w:line="56"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b w:val="1"/>
          <w:bCs w:val="1"/>
          <w:i w:val="1"/>
          <w:iCs w:val="1"/>
          <w:color w:val="auto"/>
        </w:rPr>
        <w:t>Defined Benefit Pension Plans</w:t>
      </w:r>
      <w:r>
        <w:rPr>
          <w:rFonts w:ascii="Arial" w:cs="Arial" w:eastAsia="Arial" w:hAnsi="Arial"/>
          <w:sz w:val="19"/>
          <w:szCs w:val="19"/>
          <w:color w:val="auto"/>
        </w:rPr>
        <w:t>—We sponsor both funded and unfunded U.S. and non-U.S. defined benefit pension plans.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financial reporting purposes, net periodic pension (income) expense is calculated annually based upon a number of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a potential mark-to-market adjustment (MTM Adjustment) and service and interest cost, assumed return on plan assets and prior service amortization (Pension Ongoing (Income) Expense).</w:t>
      </w:r>
    </w:p>
    <w:p>
      <w:pPr>
        <w:spacing w:after="0" w:line="90" w:lineRule="exact"/>
        <w:rPr>
          <w:sz w:val="20"/>
          <w:szCs w:val="20"/>
          <w:color w:val="auto"/>
        </w:rPr>
      </w:pPr>
    </w:p>
    <w:p>
      <w:pPr>
        <w:jc w:val="both"/>
        <w:ind w:firstLine="357"/>
        <w:spacing w:after="0" w:line="246" w:lineRule="auto"/>
        <w:rPr>
          <w:sz w:val="20"/>
          <w:szCs w:val="20"/>
          <w:color w:val="auto"/>
        </w:rPr>
      </w:pPr>
      <w:r>
        <w:rPr>
          <w:rFonts w:ascii="Arial" w:cs="Arial" w:eastAsia="Arial" w:hAnsi="Arial"/>
          <w:sz w:val="19"/>
          <w:szCs w:val="19"/>
          <w:color w:val="auto"/>
        </w:rPr>
        <w:t>The key assumptions used in developing our 2014, 2013 and 2012 net periodic pension (income) expense for our U.S. plans included the following:</w:t>
      </w:r>
    </w:p>
    <w:p>
      <w:pPr>
        <w:spacing w:after="0" w:line="2"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72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6"/>
                <w:szCs w:val="16"/>
                <w:color w:val="auto"/>
              </w:rPr>
            </w:pPr>
          </w:p>
        </w:tc>
        <w:tc>
          <w:tcPr>
            <w:tcW w:w="7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2012</w:t>
            </w:r>
          </w:p>
        </w:tc>
      </w:tr>
      <w:tr>
        <w:trPr>
          <w:trHeight w:val="237"/>
        </w:trPr>
        <w:tc>
          <w:tcPr>
            <w:tcW w:w="6600" w:type="dxa"/>
            <w:vAlign w:val="bottom"/>
            <w:shd w:val="clear" w:color="auto" w:fill="E5FFFF"/>
          </w:tcPr>
          <w:p>
            <w:pPr>
              <w:spacing w:after="0"/>
              <w:rPr>
                <w:sz w:val="20"/>
                <w:szCs w:val="20"/>
                <w:color w:val="auto"/>
              </w:rPr>
            </w:pPr>
            <w:r>
              <w:rPr>
                <w:rFonts w:ascii="Arial" w:cs="Arial" w:eastAsia="Arial" w:hAnsi="Arial"/>
                <w:sz w:val="19"/>
                <w:szCs w:val="19"/>
                <w:color w:val="auto"/>
              </w:rPr>
              <w:t>Discount rate</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4.89%</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4.06%</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4.89%</w:t>
            </w:r>
          </w:p>
        </w:tc>
      </w:tr>
      <w:tr>
        <w:trPr>
          <w:trHeight w:val="216"/>
        </w:trPr>
        <w:tc>
          <w:tcPr>
            <w:tcW w:w="6600" w:type="dxa"/>
            <w:vAlign w:val="bottom"/>
          </w:tcPr>
          <w:p>
            <w:pPr>
              <w:spacing w:after="0" w:line="216" w:lineRule="exact"/>
              <w:rPr>
                <w:sz w:val="20"/>
                <w:szCs w:val="20"/>
                <w:color w:val="auto"/>
              </w:rPr>
            </w:pPr>
            <w:r>
              <w:rPr>
                <w:rFonts w:ascii="Arial" w:cs="Arial" w:eastAsia="Arial" w:hAnsi="Arial"/>
                <w:sz w:val="19"/>
                <w:szCs w:val="19"/>
                <w:color w:val="auto"/>
              </w:rPr>
              <w:t>Assets: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3"/>
        </w:trPr>
        <w:tc>
          <w:tcPr>
            <w:tcW w:w="66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Expected rate of return</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7.75%</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7.75%</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w:t>
            </w:r>
          </w:p>
        </w:tc>
      </w:tr>
      <w:tr>
        <w:trPr>
          <w:trHeight w:val="243"/>
        </w:trPr>
        <w:tc>
          <w:tcPr>
            <w:tcW w:w="6600" w:type="dxa"/>
            <w:vAlign w:val="bottom"/>
          </w:tcPr>
          <w:p>
            <w:pPr>
              <w:ind w:left="360"/>
              <w:spacing w:after="0"/>
              <w:rPr>
                <w:sz w:val="20"/>
                <w:szCs w:val="20"/>
                <w:color w:val="auto"/>
              </w:rPr>
            </w:pPr>
            <w:r>
              <w:rPr>
                <w:rFonts w:ascii="Arial" w:cs="Arial" w:eastAsia="Arial" w:hAnsi="Arial"/>
                <w:sz w:val="19"/>
                <w:szCs w:val="19"/>
                <w:color w:val="auto"/>
              </w:rPr>
              <w:t>Actual rate of return</w:t>
            </w:r>
          </w:p>
        </w:tc>
        <w:tc>
          <w:tcPr>
            <w:tcW w:w="720" w:type="dxa"/>
            <w:vAlign w:val="bottom"/>
          </w:tcPr>
          <w:p>
            <w:pPr>
              <w:jc w:val="right"/>
              <w:spacing w:after="0"/>
              <w:rPr>
                <w:sz w:val="20"/>
                <w:szCs w:val="20"/>
                <w:color w:val="auto"/>
              </w:rPr>
            </w:pPr>
            <w:r>
              <w:rPr>
                <w:rFonts w:ascii="Arial" w:cs="Arial" w:eastAsia="Arial" w:hAnsi="Arial"/>
                <w:sz w:val="19"/>
                <w:szCs w:val="19"/>
                <w:color w:val="auto"/>
              </w:rPr>
              <w:t>8%</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23%</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13%</w:t>
            </w:r>
          </w:p>
        </w:tc>
      </w:tr>
      <w:tr>
        <w:trPr>
          <w:trHeight w:val="243"/>
        </w:trPr>
        <w:tc>
          <w:tcPr>
            <w:tcW w:w="66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Actual 10 year average annual compounded rate of return</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w:t>
            </w:r>
          </w:p>
        </w:tc>
      </w:tr>
    </w:tbl>
    <w:p>
      <w:pPr>
        <w:spacing w:after="0" w:line="95"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The MTM Adjustment represents the recognition of net actuarial gains or losses in excess of the corridor. Net actuarial gains and losses occur when the actual experience differs from any of the</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1" w:name="page32"/>
    <w:bookmarkEnd w:id="31"/>
    <w:p>
      <w:pPr>
        <w:jc w:val="both"/>
        <w:spacing w:after="0" w:line="241" w:lineRule="auto"/>
        <w:rPr>
          <w:sz w:val="20"/>
          <w:szCs w:val="20"/>
          <w:color w:val="auto"/>
        </w:rPr>
      </w:pPr>
      <w:r>
        <w:rPr>
          <w:rFonts w:ascii="Arial" w:cs="Arial" w:eastAsia="Arial" w:hAnsi="Arial"/>
          <w:sz w:val="19"/>
          <w:szCs w:val="19"/>
          <w:color w:val="auto"/>
        </w:rPr>
        <w:t>various assumptions used to value our pension plans or when 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MTM charges were $249 million, $51 million and $957 million in 2014, 2013 and 2012, respectively.</w:t>
      </w:r>
    </w:p>
    <w:p>
      <w:pPr>
        <w:spacing w:after="0" w:line="9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We determine the expected long-term rate of return on plan assets utilizing historical plan asset returns over varying long-term periods combined with our expectations of future market conditions and asset mix considerations (see Note 20 Pension and Other Postretirement Benefits of Notes to Financial Statements for details on the actual various asset classes and targeted asset allocation percentages for our pension plans). We plan to continue to use an expected rate of return on plan assets of 7.75% for 2015 as this is a long-term rate based on historical plan asset returns over varying long term periods combined with our expectations of future market conditions and the asset mix of the plan’s investments.</w:t>
      </w:r>
    </w:p>
    <w:p>
      <w:pPr>
        <w:spacing w:after="0" w:line="94"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The discount rate reflects the market rate on December 31 (measurement date) for high-quality fixed-income investments with maturities corresponding to our benefit obligations and is subject to change each year. The discount rate can be volatile from year to year as it is determined based upon prevailing interest rates as of the measurement date. We will use a 4.08% discount rate in 2015, reflecting the significant decline in the market interest rate environment since the prior year-end.</w:t>
      </w:r>
    </w:p>
    <w:p>
      <w:pPr>
        <w:spacing w:after="0" w:line="9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In addition to the potential for MTM Adjustments, changes in our expected rate of return on plan assets and discount rate resulting from economic events also affects future pension ongoing (income) expense. The following table highlights the sensitivity of our U.S. pension obligations and ongoing (income) expense to changes in these assumptions, assuming all other assumptions remain constant. These estimates exclude any potential MTM Adjustment:</w:t>
      </w: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Impact on 2015</w:t>
            </w: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90"/>
        </w:trPr>
        <w:tc>
          <w:tcPr>
            <w:tcW w:w="5720" w:type="dxa"/>
            <w:vAlign w:val="bottom"/>
            <w:tcBorders>
              <w:bottom w:val="single" w:sz="8" w:color="auto"/>
            </w:tcBorders>
          </w:tcPr>
          <w:p>
            <w:pPr>
              <w:ind w:left="2000"/>
              <w:spacing w:after="0"/>
              <w:rPr>
                <w:sz w:val="20"/>
                <w:szCs w:val="20"/>
                <w:color w:val="auto"/>
              </w:rPr>
            </w:pPr>
            <w:r>
              <w:rPr>
                <w:rFonts w:ascii="Arial" w:cs="Arial" w:eastAsia="Arial" w:hAnsi="Arial"/>
                <w:sz w:val="16"/>
                <w:szCs w:val="16"/>
                <w:b w:val="1"/>
                <w:bCs w:val="1"/>
                <w:color w:val="auto"/>
              </w:rPr>
              <w:t>Change in Assumption</w:t>
            </w:r>
          </w:p>
        </w:tc>
        <w:tc>
          <w:tcPr>
            <w:tcW w:w="30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Pension Ongoing Expense</w:t>
            </w:r>
          </w:p>
        </w:tc>
        <w:tc>
          <w:tcPr>
            <w:tcW w:w="30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Impact on PBO</w:t>
            </w:r>
          </w:p>
        </w:tc>
      </w:tr>
      <w:tr>
        <w:trPr>
          <w:trHeight w:val="237"/>
        </w:trPr>
        <w:tc>
          <w:tcPr>
            <w:tcW w:w="5720" w:type="dxa"/>
            <w:vAlign w:val="bottom"/>
            <w:shd w:val="clear" w:color="auto" w:fill="E5FFFF"/>
          </w:tcPr>
          <w:p>
            <w:pPr>
              <w:spacing w:after="0"/>
              <w:rPr>
                <w:sz w:val="20"/>
                <w:szCs w:val="20"/>
                <w:color w:val="auto"/>
              </w:rPr>
            </w:pPr>
            <w:r>
              <w:rPr>
                <w:rFonts w:ascii="Arial" w:cs="Arial" w:eastAsia="Arial" w:hAnsi="Arial"/>
                <w:sz w:val="19"/>
                <w:szCs w:val="19"/>
                <w:color w:val="auto"/>
              </w:rPr>
              <w:t>0.25 percentage point decrease in discount rate</w:t>
            </w:r>
          </w:p>
        </w:tc>
        <w:tc>
          <w:tcPr>
            <w:tcW w:w="300" w:type="dxa"/>
            <w:vAlign w:val="bottom"/>
            <w:shd w:val="clear" w:color="auto" w:fill="E5FFFF"/>
          </w:tcPr>
          <w:p>
            <w:pPr>
              <w:spacing w:after="0"/>
              <w:rPr>
                <w:sz w:val="20"/>
                <w:szCs w:val="20"/>
                <w:color w:val="auto"/>
              </w:rPr>
            </w:pPr>
          </w:p>
        </w:tc>
        <w:tc>
          <w:tcPr>
            <w:tcW w:w="238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Decrease $14 million</w:t>
            </w:r>
          </w:p>
        </w:tc>
        <w:tc>
          <w:tcPr>
            <w:tcW w:w="300" w:type="dxa"/>
            <w:vAlign w:val="bottom"/>
            <w:shd w:val="clear" w:color="auto" w:fill="E5FFFF"/>
          </w:tcPr>
          <w:p>
            <w:pPr>
              <w:spacing w:after="0"/>
              <w:rPr>
                <w:sz w:val="20"/>
                <w:szCs w:val="20"/>
                <w:color w:val="auto"/>
              </w:rPr>
            </w:pPr>
          </w:p>
        </w:tc>
        <w:tc>
          <w:tcPr>
            <w:tcW w:w="27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Increase $542 million</w:t>
            </w:r>
          </w:p>
        </w:tc>
      </w:tr>
      <w:tr>
        <w:trPr>
          <w:trHeight w:val="243"/>
        </w:trPr>
        <w:tc>
          <w:tcPr>
            <w:tcW w:w="5720" w:type="dxa"/>
            <w:vAlign w:val="bottom"/>
          </w:tcPr>
          <w:p>
            <w:pPr>
              <w:spacing w:after="0"/>
              <w:rPr>
                <w:sz w:val="20"/>
                <w:szCs w:val="20"/>
                <w:color w:val="auto"/>
              </w:rPr>
            </w:pPr>
            <w:r>
              <w:rPr>
                <w:rFonts w:ascii="Arial" w:cs="Arial" w:eastAsia="Arial" w:hAnsi="Arial"/>
                <w:sz w:val="19"/>
                <w:szCs w:val="19"/>
                <w:color w:val="auto"/>
              </w:rPr>
              <w:t>0.25 percentage point increase in discount rate</w:t>
            </w:r>
          </w:p>
        </w:tc>
        <w:tc>
          <w:tcPr>
            <w:tcW w:w="30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rPr>
              <w:t>Increase $13 million</w:t>
            </w:r>
          </w:p>
        </w:tc>
        <w:tc>
          <w:tcPr>
            <w:tcW w:w="30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9"/>
                <w:szCs w:val="19"/>
                <w:color w:val="auto"/>
              </w:rPr>
              <w:t>Decrease $515 million</w:t>
            </w:r>
          </w:p>
        </w:tc>
      </w:tr>
      <w:tr>
        <w:trPr>
          <w:trHeight w:val="216"/>
        </w:trPr>
        <w:tc>
          <w:tcPr>
            <w:tcW w:w="572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0.25 percentage point decrease in expected rate of return on</w:t>
            </w:r>
          </w:p>
        </w:tc>
        <w:tc>
          <w:tcPr>
            <w:tcW w:w="300" w:type="dxa"/>
            <w:vAlign w:val="bottom"/>
            <w:shd w:val="clear" w:color="auto" w:fill="E5FFFF"/>
          </w:tcPr>
          <w:p>
            <w:pPr>
              <w:spacing w:after="0"/>
              <w:rPr>
                <w:sz w:val="18"/>
                <w:szCs w:val="18"/>
                <w:color w:val="auto"/>
              </w:rPr>
            </w:pPr>
          </w:p>
        </w:tc>
        <w:tc>
          <w:tcPr>
            <w:tcW w:w="23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720" w:type="dxa"/>
            <w:vAlign w:val="bottom"/>
            <w:shd w:val="clear" w:color="auto" w:fill="E5FFFF"/>
          </w:tcPr>
          <w:p>
            <w:pPr>
              <w:spacing w:after="0"/>
              <w:rPr>
                <w:sz w:val="18"/>
                <w:szCs w:val="18"/>
                <w:color w:val="auto"/>
              </w:rPr>
            </w:pPr>
          </w:p>
        </w:tc>
      </w:tr>
      <w:tr>
        <w:trPr>
          <w:trHeight w:val="216"/>
        </w:trPr>
        <w:tc>
          <w:tcPr>
            <w:tcW w:w="572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assets</w:t>
            </w:r>
          </w:p>
        </w:tc>
        <w:tc>
          <w:tcPr>
            <w:tcW w:w="300" w:type="dxa"/>
            <w:vAlign w:val="bottom"/>
            <w:shd w:val="clear" w:color="auto" w:fill="E5FFFF"/>
          </w:tcPr>
          <w:p>
            <w:pPr>
              <w:spacing w:after="0"/>
              <w:rPr>
                <w:sz w:val="18"/>
                <w:szCs w:val="18"/>
                <w:color w:val="auto"/>
              </w:rPr>
            </w:pPr>
          </w:p>
        </w:tc>
        <w:tc>
          <w:tcPr>
            <w:tcW w:w="2380" w:type="dxa"/>
            <w:vAlign w:val="bottom"/>
            <w:shd w:val="clear" w:color="auto" w:fill="E5FFFF"/>
          </w:tcPr>
          <w:p>
            <w:pPr>
              <w:jc w:val="center"/>
              <w:spacing w:after="0" w:line="216" w:lineRule="exact"/>
              <w:rPr>
                <w:sz w:val="20"/>
                <w:szCs w:val="20"/>
                <w:color w:val="auto"/>
              </w:rPr>
            </w:pPr>
            <w:r>
              <w:rPr>
                <w:rFonts w:ascii="Arial" w:cs="Arial" w:eastAsia="Arial" w:hAnsi="Arial"/>
                <w:sz w:val="19"/>
                <w:szCs w:val="19"/>
                <w:color w:val="auto"/>
              </w:rPr>
              <w:t>Increase $41 million</w:t>
            </w:r>
          </w:p>
        </w:tc>
        <w:tc>
          <w:tcPr>
            <w:tcW w:w="300" w:type="dxa"/>
            <w:vAlign w:val="bottom"/>
            <w:shd w:val="clear" w:color="auto" w:fill="E5FFFF"/>
          </w:tcPr>
          <w:p>
            <w:pPr>
              <w:spacing w:after="0"/>
              <w:rPr>
                <w:sz w:val="18"/>
                <w:szCs w:val="18"/>
                <w:color w:val="auto"/>
              </w:rPr>
            </w:pPr>
          </w:p>
        </w:tc>
        <w:tc>
          <w:tcPr>
            <w:tcW w:w="2720" w:type="dxa"/>
            <w:vAlign w:val="bottom"/>
            <w:shd w:val="clear" w:color="auto" w:fill="E5FFFF"/>
          </w:tcPr>
          <w:p>
            <w:pPr>
              <w:jc w:val="center"/>
              <w:spacing w:after="0" w:line="216" w:lineRule="exact"/>
              <w:rPr>
                <w:sz w:val="20"/>
                <w:szCs w:val="20"/>
                <w:color w:val="auto"/>
              </w:rPr>
            </w:pPr>
            <w:r>
              <w:rPr>
                <w:rFonts w:ascii="Arial" w:cs="Arial" w:eastAsia="Arial" w:hAnsi="Arial"/>
                <w:sz w:val="19"/>
                <w:szCs w:val="19"/>
                <w:color w:val="auto"/>
              </w:rPr>
              <w:t>—</w:t>
            </w:r>
          </w:p>
        </w:tc>
      </w:tr>
      <w:tr>
        <w:trPr>
          <w:trHeight w:val="216"/>
        </w:trPr>
        <w:tc>
          <w:tcPr>
            <w:tcW w:w="5720" w:type="dxa"/>
            <w:vAlign w:val="bottom"/>
          </w:tcPr>
          <w:p>
            <w:pPr>
              <w:spacing w:after="0" w:line="216" w:lineRule="exact"/>
              <w:rPr>
                <w:sz w:val="20"/>
                <w:szCs w:val="20"/>
                <w:color w:val="auto"/>
              </w:rPr>
            </w:pPr>
            <w:r>
              <w:rPr>
                <w:rFonts w:ascii="Arial" w:cs="Arial" w:eastAsia="Arial" w:hAnsi="Arial"/>
                <w:sz w:val="19"/>
                <w:szCs w:val="19"/>
                <w:color w:val="auto"/>
              </w:rPr>
              <w:t>0.25 percentage point increase in expected rate of return on</w:t>
            </w: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4"/>
        </w:trPr>
        <w:tc>
          <w:tcPr>
            <w:tcW w:w="5720" w:type="dxa"/>
            <w:vAlign w:val="bottom"/>
          </w:tcPr>
          <w:p>
            <w:pPr>
              <w:ind w:left="180"/>
              <w:spacing w:after="0"/>
              <w:rPr>
                <w:sz w:val="20"/>
                <w:szCs w:val="20"/>
                <w:color w:val="auto"/>
              </w:rPr>
            </w:pPr>
            <w:r>
              <w:rPr>
                <w:rFonts w:ascii="Arial" w:cs="Arial" w:eastAsia="Arial" w:hAnsi="Arial"/>
                <w:sz w:val="19"/>
                <w:szCs w:val="19"/>
                <w:color w:val="auto"/>
              </w:rPr>
              <w:t>assets</w:t>
            </w:r>
          </w:p>
        </w:tc>
        <w:tc>
          <w:tcPr>
            <w:tcW w:w="30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rPr>
              <w:t>Decrease $41 million</w:t>
            </w:r>
          </w:p>
        </w:tc>
        <w:tc>
          <w:tcPr>
            <w:tcW w:w="3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9"/>
                <w:szCs w:val="19"/>
                <w:color w:val="auto"/>
              </w:rPr>
              <w:t>—</w:t>
            </w:r>
          </w:p>
        </w:tc>
      </w:tr>
    </w:tbl>
    <w:p>
      <w:pPr>
        <w:spacing w:after="0" w:line="91"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Pension ongoing income for all of our pension plans is expected to be approximately $385 million in 2015 compared with pension ongoing income of $254 million in 2014. The increase in pension ongoing income in 2015 compared with 2014 results primarily from lower interest cost due to a decline in discount rates at December 31, 2014 compared with December 31, 2013 and an increase in the plans’ assets at December 31, 2014 compared with December 31, 2013 mainly due to strong asset returns in 2014. Also, if required, an MTM Adjustment will be recorded in the fourth quarter of 2015 in accordance with our pension accounting method as previously described. It is difficult to reliably forecast or predict whether there will be a MTM Adjustment in 2015,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72"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b w:val="1"/>
          <w:bCs w:val="1"/>
          <w:i w:val="1"/>
          <w:iCs w:val="1"/>
          <w:color w:val="auto"/>
        </w:rPr>
        <w:t>Long-Lived Assets (including Tangible and Finite-Lived Intangible Assets)</w:t>
      </w:r>
      <w:r>
        <w:rPr>
          <w:rFonts w:ascii="Arial" w:cs="Arial" w:eastAsia="Arial" w:hAnsi="Arial"/>
          <w:sz w:val="19"/>
          <w:szCs w:val="19"/>
          <w:color w:val="auto"/>
        </w:rPr>
        <w:t>—The determination of useful lives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depreciation/amortization purposes) and whether or not tangible and intangible assets are impaired involves the use of accounting estimates and assumptions, changes in which could materially impact our financial condition or operating performance if actual results differ from such estimates and assumptions. We evaluate the recoverability of the carrying amount of our long-lived assets whenever events or changes in circumstances indicate that the carrying amount of a long-lived asset group may not be fully recoverable. The principal factors in considering when to perform an impairment review are as follows:</w:t>
      </w:r>
    </w:p>
    <w:p>
      <w:pPr>
        <w:spacing w:after="0" w:line="63" w:lineRule="exact"/>
        <w:rPr>
          <w:sz w:val="20"/>
          <w:szCs w:val="20"/>
          <w:color w:val="auto"/>
        </w:rPr>
      </w:pPr>
    </w:p>
    <w:p>
      <w:pPr>
        <w:ind w:left="540" w:right="20" w:hanging="168"/>
        <w:spacing w:after="0" w:line="253" w:lineRule="auto"/>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Significant under-performance (i.e., declines in sales, earnings or cash flows) of a business or product line in relation to expectations;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32" w:name="page33"/>
    <w:bookmarkEnd w:id="32"/>
    <w:p>
      <w:pPr>
        <w:ind w:left="540" w:hanging="168"/>
        <w:spacing w:after="0" w:line="253"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Annual operating plans or five-year strategic plans that indicate an unfavorable trend in operating performance of a business or product line;</w:t>
      </w:r>
    </w:p>
    <w:p>
      <w:pPr>
        <w:spacing w:after="0" w:line="66" w:lineRule="exact"/>
        <w:rPr>
          <w:rFonts w:ascii="Arial" w:cs="Arial" w:eastAsia="Arial" w:hAnsi="Arial"/>
          <w:sz w:val="19"/>
          <w:szCs w:val="19"/>
          <w:color w:val="auto"/>
        </w:rPr>
      </w:pPr>
    </w:p>
    <w:p>
      <w:pPr>
        <w:ind w:left="540" w:hanging="168"/>
        <w:spacing w:after="0"/>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Significant negative industry or economic trends;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Significant changes or planned changes in our use of the assets.</w:t>
      </w:r>
    </w:p>
    <w:p>
      <w:pPr>
        <w:spacing w:after="0" w:line="119"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 We endeavor to utilize the best information available to measure fair value, which is usually either market prices (if available), level 1 or level 2 of the fair value hierarchy, or an estimate of the future discounted cash flow, level 3 of the fair value hierarchy. The key estimates in our discounted cash flow analysis include expected industry growth rates, our assumptions as to volume, selling prices and costs, and the discount rate selected.</w:t>
      </w:r>
    </w:p>
    <w:p>
      <w:pPr>
        <w:spacing w:after="0" w:line="67"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Goodwill and Indefinite-Lived Intangible Assets Impairment Testing</w:t>
      </w:r>
      <w:r>
        <w:rPr>
          <w:rFonts w:ascii="Arial" w:cs="Arial" w:eastAsia="Arial" w:hAnsi="Arial"/>
          <w:sz w:val="19"/>
          <w:szCs w:val="19"/>
          <w:color w:val="auto"/>
        </w:rPr>
        <w:t>—In testing goodwill and indefinite-lived intangible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assets, the fair value is estimated utilizing a discounted cash flow approach utilizing cash flow forecasts in our five year strategic and annual operating plans adjusted for terminal value assumptions. These impairment tests involve the use of accounting estimates and assumptions, changes in which could materially impact our financial condition or operating performance if actual results differ from such estimates and assumptions. To address this uncertainty we perform sensitivity analysis on key estimates and assumptions.</w:t>
      </w:r>
    </w:p>
    <w:p>
      <w:pPr>
        <w:spacing w:after="0" w:line="60"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—On a recurring basis, we assess the need for a valuation allowance against our deferred tax assets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60" w:lineRule="exact"/>
        <w:rPr>
          <w:sz w:val="20"/>
          <w:szCs w:val="20"/>
          <w:color w:val="auto"/>
        </w:rPr>
      </w:pPr>
    </w:p>
    <w:p>
      <w:pPr>
        <w:jc w:val="both"/>
        <w:ind w:firstLine="357"/>
        <w:spacing w:after="0"/>
        <w:rPr>
          <w:sz w:val="20"/>
          <w:szCs w:val="20"/>
          <w:color w:val="auto"/>
        </w:rPr>
      </w:pPr>
      <w:r>
        <w:rPr>
          <w:rFonts w:ascii="Arial" w:cs="Arial" w:eastAsia="Arial" w:hAnsi="Arial"/>
          <w:sz w:val="19"/>
          <w:szCs w:val="19"/>
          <w:b w:val="1"/>
          <w:bCs w:val="1"/>
          <w:i w:val="1"/>
          <w:iCs w:val="1"/>
          <w:color w:val="auto"/>
        </w:rPr>
        <w:t>Sales Recognition on Long-Term Contracts</w:t>
      </w:r>
      <w:r>
        <w:rPr>
          <w:rFonts w:ascii="Arial" w:cs="Arial" w:eastAsia="Arial" w:hAnsi="Arial"/>
          <w:sz w:val="19"/>
          <w:szCs w:val="19"/>
          <w:color w:val="auto"/>
        </w:rPr>
        <w:t>—In 2014, we recognized approximately 15% of our total net sales using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percentage-of-completion method for long-term contracts in our Aerospace, ACS and PMT segments. These long-term contracts are measured on the cost-to-cost basis for engineering-type contracts and the units-of-delivery basis for production-type contracts. Accounting for these contracts involves management judgment in estimating total contract revenue and cost.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Contract costs are incurred over a period of time, which can be several years, and the estimation of these costs requires management judgment.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Anticipated losses on long-term contracts are recognized when such losses become evident. We maintain financial controls over the customer qualification, contract pricing and estimation processes to reduce the risk of contract losses.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OTHER MATTERS</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Litigation</w:t>
      </w:r>
    </w:p>
    <w:p>
      <w:pPr>
        <w:spacing w:after="0" w:line="130"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See Note 19 Commitments and Contingencies of Notes to Financial Statements for a discussion of environmental, asbestos and other litigation matters.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3" w:name="page34"/>
    <w:bookmarkEnd w:id="33"/>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30"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See Note 1 Summary of Significant Accounting Policies of Notes to Financial Statements for a discussion of recent accounting pronouncements.</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7A. Quantitative and Qualitative Disclosures About Market Risk</w:t>
      </w:r>
    </w:p>
    <w:p>
      <w:pPr>
        <w:spacing w:after="0" w:line="147" w:lineRule="exact"/>
        <w:rPr>
          <w:sz w:val="20"/>
          <w:szCs w:val="20"/>
          <w:color w:val="auto"/>
        </w:rPr>
      </w:pPr>
    </w:p>
    <w:p>
      <w:pPr>
        <w:ind w:right="20" w:firstLine="357"/>
        <w:spacing w:after="0" w:line="253" w:lineRule="auto"/>
        <w:rPr>
          <w:sz w:val="20"/>
          <w:szCs w:val="20"/>
          <w:color w:val="auto"/>
        </w:rPr>
      </w:pPr>
      <w:r>
        <w:rPr>
          <w:rFonts w:ascii="Arial" w:cs="Arial" w:eastAsia="Arial" w:hAnsi="Arial"/>
          <w:sz w:val="19"/>
          <w:szCs w:val="19"/>
          <w:color w:val="auto"/>
        </w:rPr>
        <w:t>Information relating to market risk is included in Item 7. Management’s Discussion and Analysis of Financial Condition and Results of Operations under the caption “Financial Instruments”.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34" w:name="page35"/>
    <w:bookmarkEnd w:id="34"/>
    <w:p>
      <w:pPr>
        <w:spacing w:after="0"/>
        <w:rPr>
          <w:sz w:val="20"/>
          <w:szCs w:val="20"/>
          <w:color w:val="auto"/>
        </w:rPr>
      </w:pPr>
      <w:r>
        <w:rPr>
          <w:rFonts w:ascii="Arial" w:cs="Arial" w:eastAsia="Arial" w:hAnsi="Arial"/>
          <w:sz w:val="23"/>
          <w:szCs w:val="23"/>
          <w:b w:val="1"/>
          <w:bCs w:val="1"/>
          <w:color w:val="auto"/>
        </w:rPr>
        <w:t>ITEM 8. Financial Statements and Supplementary Data</w:t>
      </w:r>
    </w:p>
    <w:p>
      <w:pPr>
        <w:spacing w:after="0" w:line="181" w:lineRule="exact"/>
        <w:rPr>
          <w:sz w:val="20"/>
          <w:szCs w:val="20"/>
          <w:color w:val="auto"/>
        </w:rPr>
      </w:pPr>
    </w:p>
    <w:p>
      <w:pPr>
        <w:ind w:left="3760"/>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OPERATIONS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center"/>
              <w:ind w:right="44"/>
              <w:spacing w:after="0"/>
              <w:rPr>
                <w:sz w:val="20"/>
                <w:szCs w:val="20"/>
                <w:color w:val="auto"/>
              </w:rPr>
            </w:pPr>
            <w:r>
              <w:rPr>
                <w:rFonts w:ascii="Arial" w:cs="Arial" w:eastAsia="Arial" w:hAnsi="Arial"/>
                <w:sz w:val="16"/>
                <w:szCs w:val="16"/>
                <w:b w:val="1"/>
                <w:bCs w:val="1"/>
                <w:color w:val="auto"/>
                <w:w w:val="98"/>
              </w:rPr>
              <w:t>Years Ended December 31,</w:t>
            </w:r>
          </w:p>
        </w:tc>
      </w:tr>
      <w:tr>
        <w:trPr>
          <w:trHeight w:val="169"/>
        </w:trPr>
        <w:tc>
          <w:tcPr>
            <w:tcW w:w="8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4"/>
              <w:spacing w:after="0" w:line="169" w:lineRule="exact"/>
              <w:rPr>
                <w:sz w:val="20"/>
                <w:szCs w:val="20"/>
                <w:color w:val="auto"/>
              </w:rPr>
            </w:pPr>
            <w:r>
              <w:rPr>
                <w:rFonts w:ascii="Arial" w:cs="Arial" w:eastAsia="Arial" w:hAnsi="Arial"/>
                <w:sz w:val="16"/>
                <w:szCs w:val="16"/>
                <w:b w:val="1"/>
                <w:bCs w:val="1"/>
                <w:color w:val="auto"/>
                <w:w w:val="95"/>
              </w:rPr>
              <w:t>2013</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2012</w:t>
            </w:r>
          </w:p>
        </w:tc>
      </w:tr>
      <w:tr>
        <w:trPr>
          <w:trHeight w:val="155"/>
        </w:trPr>
        <w:tc>
          <w:tcPr>
            <w:tcW w:w="8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gridSpan w:val="5"/>
          </w:tcPr>
          <w:p>
            <w:pPr>
              <w:jc w:val="center"/>
              <w:spacing w:after="0" w:line="155" w:lineRule="exact"/>
              <w:rPr>
                <w:sz w:val="20"/>
                <w:szCs w:val="20"/>
                <w:color w:val="auto"/>
              </w:rPr>
            </w:pPr>
            <w:r>
              <w:rPr>
                <w:rFonts w:ascii="Arial" w:cs="Arial" w:eastAsia="Arial" w:hAnsi="Arial"/>
                <w:sz w:val="16"/>
                <w:szCs w:val="16"/>
                <w:b w:val="1"/>
                <w:bCs w:val="1"/>
                <w:color w:val="auto"/>
                <w:w w:val="98"/>
              </w:rPr>
              <w:t>(Dollars in millions,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0"/>
        </w:trPr>
        <w:tc>
          <w:tcPr>
            <w:tcW w:w="8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8"/>
          </w:tcPr>
          <w:p>
            <w:pPr>
              <w:jc w:val="center"/>
              <w:ind w:right="44"/>
              <w:spacing w:after="0"/>
              <w:rPr>
                <w:sz w:val="20"/>
                <w:szCs w:val="20"/>
                <w:color w:val="auto"/>
              </w:rPr>
            </w:pPr>
            <w:r>
              <w:rPr>
                <w:rFonts w:ascii="Arial" w:cs="Arial" w:eastAsia="Arial" w:hAnsi="Arial"/>
                <w:sz w:val="16"/>
                <w:szCs w:val="16"/>
                <w:b w:val="1"/>
                <w:bCs w:val="1"/>
                <w:color w:val="auto"/>
                <w:w w:val="99"/>
              </w:rPr>
              <w:t>except per share amounts)</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Product sales</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32,398</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31,214</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29,812</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Service sales</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7,908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7,841</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7,853</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Net sales</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40,306</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39,055</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37,665</w:t>
            </w:r>
          </w:p>
        </w:tc>
      </w:tr>
      <w:tr>
        <w:trPr>
          <w:trHeight w:val="223"/>
        </w:trPr>
        <w:tc>
          <w:tcPr>
            <w:tcW w:w="8200" w:type="dxa"/>
            <w:vAlign w:val="bottom"/>
          </w:tcPr>
          <w:p>
            <w:pPr>
              <w:spacing w:after="0"/>
              <w:rPr>
                <w:sz w:val="20"/>
                <w:szCs w:val="20"/>
                <w:color w:val="auto"/>
              </w:rPr>
            </w:pPr>
            <w:r>
              <w:rPr>
                <w:rFonts w:ascii="Arial" w:cs="Arial" w:eastAsia="Arial" w:hAnsi="Arial"/>
                <w:sz w:val="19"/>
                <w:szCs w:val="19"/>
                <w:color w:val="auto"/>
              </w:rPr>
              <w:t>Costs, expenses and other</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43"/>
        </w:trPr>
        <w:tc>
          <w:tcPr>
            <w:tcW w:w="8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Cost of products sold</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23,889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23,317</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22,929</w:t>
            </w:r>
          </w:p>
        </w:tc>
      </w:tr>
      <w:tr>
        <w:trPr>
          <w:trHeight w:val="250"/>
        </w:trPr>
        <w:tc>
          <w:tcPr>
            <w:tcW w:w="8200" w:type="dxa"/>
            <w:vAlign w:val="bottom"/>
          </w:tcPr>
          <w:p>
            <w:pPr>
              <w:ind w:left="360"/>
              <w:spacing w:after="0"/>
              <w:rPr>
                <w:sz w:val="20"/>
                <w:szCs w:val="20"/>
                <w:color w:val="auto"/>
              </w:rPr>
            </w:pPr>
            <w:r>
              <w:rPr>
                <w:rFonts w:ascii="Arial" w:cs="Arial" w:eastAsia="Arial" w:hAnsi="Arial"/>
                <w:sz w:val="19"/>
                <w:szCs w:val="19"/>
                <w:color w:val="auto"/>
              </w:rPr>
              <w:t>Cost of services sold</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5,068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5,047</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5,362</w:t>
            </w:r>
          </w:p>
        </w:tc>
      </w:tr>
      <w:tr>
        <w:trPr>
          <w:trHeight w:val="243"/>
        </w:trPr>
        <w:tc>
          <w:tcPr>
            <w:tcW w:w="8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28,957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28,364</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28,291</w:t>
            </w:r>
          </w:p>
        </w:tc>
      </w:tr>
      <w:tr>
        <w:trPr>
          <w:trHeight w:val="243"/>
        </w:trPr>
        <w:tc>
          <w:tcPr>
            <w:tcW w:w="8200" w:type="dxa"/>
            <w:vAlign w:val="bottom"/>
          </w:tcPr>
          <w:p>
            <w:pPr>
              <w:ind w:left="360"/>
              <w:spacing w:after="0"/>
              <w:rPr>
                <w:sz w:val="20"/>
                <w:szCs w:val="20"/>
                <w:color w:val="auto"/>
              </w:rPr>
            </w:pPr>
            <w:r>
              <w:rPr>
                <w:rFonts w:ascii="Arial" w:cs="Arial" w:eastAsia="Arial" w:hAnsi="Arial"/>
                <w:sz w:val="19"/>
                <w:szCs w:val="19"/>
                <w:color w:val="auto"/>
              </w:rPr>
              <w:t>Selling, general and administrative expenses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5,518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5,190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5,218</w:t>
            </w:r>
          </w:p>
        </w:tc>
      </w:tr>
      <w:tr>
        <w:trPr>
          <w:trHeight w:val="243"/>
        </w:trPr>
        <w:tc>
          <w:tcPr>
            <w:tcW w:w="8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Other (income) expense</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(238)</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w:t>
            </w:r>
          </w:p>
        </w:tc>
      </w:tr>
      <w:tr>
        <w:trPr>
          <w:trHeight w:val="250"/>
        </w:trPr>
        <w:tc>
          <w:tcPr>
            <w:tcW w:w="8200" w:type="dxa"/>
            <w:vAlign w:val="bottom"/>
          </w:tcPr>
          <w:p>
            <w:pPr>
              <w:ind w:left="360"/>
              <w:spacing w:after="0"/>
              <w:rPr>
                <w:sz w:val="20"/>
                <w:szCs w:val="20"/>
                <w:color w:val="auto"/>
              </w:rPr>
            </w:pPr>
            <w:r>
              <w:rPr>
                <w:rFonts w:ascii="Arial" w:cs="Arial" w:eastAsia="Arial" w:hAnsi="Arial"/>
                <w:sz w:val="19"/>
                <w:szCs w:val="19"/>
                <w:color w:val="auto"/>
              </w:rPr>
              <w:t>Interest and other financial charges</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327</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351</w:t>
            </w:r>
          </w:p>
        </w:tc>
      </w:tr>
      <w:tr>
        <w:trPr>
          <w:trHeight w:val="243"/>
        </w:trPr>
        <w:tc>
          <w:tcPr>
            <w:tcW w:w="82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34,488</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33,643</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33,790</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Income from continuing operations before taxes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5,818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5,412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3,875</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Tax expense</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1,489</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1,450</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944</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Net income</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4,329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3,962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2,931</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Less: Net income attributable to the noncontrolling interest</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38</w:t>
            </w: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5</w:t>
            </w:r>
          </w:p>
        </w:tc>
      </w:tr>
      <w:tr>
        <w:trPr>
          <w:trHeight w:val="250"/>
        </w:trPr>
        <w:tc>
          <w:tcPr>
            <w:tcW w:w="8200" w:type="dxa"/>
            <w:vAlign w:val="bottom"/>
          </w:tcPr>
          <w:p>
            <w:pPr>
              <w:spacing w:after="0"/>
              <w:rPr>
                <w:sz w:val="20"/>
                <w:szCs w:val="20"/>
                <w:color w:val="auto"/>
              </w:rPr>
            </w:pPr>
            <w:r>
              <w:rPr>
                <w:rFonts w:ascii="Arial" w:cs="Arial" w:eastAsia="Arial" w:hAnsi="Arial"/>
                <w:sz w:val="19"/>
                <w:szCs w:val="19"/>
                <w:color w:val="auto"/>
              </w:rPr>
              <w:t>Net income attributable to Honeywell</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4,239</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3,924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2,926</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Earnings per share of common stock—basic</w:t>
            </w: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5.40</w:t>
            </w:r>
          </w:p>
        </w:tc>
        <w:tc>
          <w:tcPr>
            <w:tcW w:w="300" w:type="dxa"/>
            <w:vAlign w:val="bottom"/>
            <w:shd w:val="clear" w:color="auto" w:fill="E5FFFF"/>
          </w:tcPr>
          <w:p>
            <w:pPr>
              <w:spacing w:after="0"/>
              <w:rPr>
                <w:sz w:val="20"/>
                <w:szCs w:val="20"/>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4.99</w:t>
            </w:r>
          </w:p>
        </w:tc>
        <w:tc>
          <w:tcPr>
            <w:tcW w:w="280" w:type="dxa"/>
            <w:vAlign w:val="bottom"/>
            <w:shd w:val="clear" w:color="auto" w:fill="E5FFFF"/>
          </w:tcPr>
          <w:p>
            <w:pPr>
              <w:spacing w:after="0"/>
              <w:rPr>
                <w:sz w:val="20"/>
                <w:szCs w:val="20"/>
                <w:color w:val="auto"/>
              </w:rPr>
            </w:pPr>
          </w:p>
        </w:tc>
        <w:tc>
          <w:tcPr>
            <w:tcW w:w="20" w:type="dxa"/>
            <w:vAlign w:val="bottom"/>
            <w:tcBorders>
              <w:bottom w:val="single" w:sz="8" w:color="auto"/>
            </w:tcBorders>
            <w:shd w:val="clear" w:color="auto" w:fill="E5FFFF"/>
          </w:tcPr>
          <w:p>
            <w:pPr>
              <w:spacing w:after="0"/>
              <w:rPr>
                <w:sz w:val="20"/>
                <w:szCs w:val="20"/>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3.74</w:t>
            </w:r>
          </w:p>
        </w:tc>
      </w:tr>
      <w:tr>
        <w:trPr>
          <w:trHeight w:val="20"/>
        </w:trPr>
        <w:tc>
          <w:tcPr>
            <w:tcW w:w="8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8200" w:type="dxa"/>
            <w:vAlign w:val="bottom"/>
          </w:tcPr>
          <w:p>
            <w:pPr>
              <w:spacing w:after="0"/>
              <w:rPr>
                <w:sz w:val="20"/>
                <w:szCs w:val="20"/>
                <w:color w:val="auto"/>
              </w:rPr>
            </w:pPr>
            <w:r>
              <w:rPr>
                <w:rFonts w:ascii="Arial" w:cs="Arial" w:eastAsia="Arial" w:hAnsi="Arial"/>
                <w:sz w:val="19"/>
                <w:szCs w:val="19"/>
                <w:color w:val="auto"/>
              </w:rPr>
              <w:t>Earnings per share of common stock—assuming dilution</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5.33</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4.92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3.69</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Cash dividends per share of common stock</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1.87</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w:t>
            </w: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1.53</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COMPREHENSIVE INCOME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center"/>
              <w:ind w:right="64"/>
              <w:spacing w:after="0"/>
              <w:rPr>
                <w:sz w:val="20"/>
                <w:szCs w:val="20"/>
                <w:color w:val="auto"/>
              </w:rPr>
            </w:pPr>
            <w:r>
              <w:rPr>
                <w:rFonts w:ascii="Arial" w:cs="Arial" w:eastAsia="Arial" w:hAnsi="Arial"/>
                <w:sz w:val="16"/>
                <w:szCs w:val="16"/>
                <w:b w:val="1"/>
                <w:bCs w:val="1"/>
                <w:color w:val="auto"/>
                <w:w w:val="98"/>
              </w:rPr>
              <w:t>Years Ended December 31,</w:t>
            </w:r>
          </w:p>
        </w:tc>
      </w:tr>
      <w:tr>
        <w:trPr>
          <w:trHeight w:val="169"/>
        </w:trPr>
        <w:tc>
          <w:tcPr>
            <w:tcW w:w="8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8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4"/>
          </w:tcPr>
          <w:p>
            <w:pPr>
              <w:jc w:val="center"/>
              <w:ind w:left="445"/>
              <w:spacing w:after="0"/>
              <w:rPr>
                <w:sz w:val="20"/>
                <w:szCs w:val="20"/>
                <w:color w:val="auto"/>
              </w:rPr>
            </w:pPr>
            <w:r>
              <w:rPr>
                <w:rFonts w:ascii="Arial" w:cs="Arial" w:eastAsia="Arial" w:hAnsi="Arial"/>
                <w:sz w:val="16"/>
                <w:szCs w:val="16"/>
                <w:b w:val="1"/>
                <w:bCs w:val="1"/>
                <w:color w:val="auto"/>
                <w:w w:val="98"/>
              </w:rPr>
              <w:t>(Dollars in millions)</w:t>
            </w:r>
          </w:p>
        </w:tc>
        <w:tc>
          <w:tcPr>
            <w:tcW w:w="700" w:type="dxa"/>
            <w:vAlign w:val="bottom"/>
          </w:tcPr>
          <w:p>
            <w:pPr>
              <w:spacing w:after="0"/>
              <w:rPr>
                <w:sz w:val="20"/>
                <w:szCs w:val="20"/>
                <w:color w:val="auto"/>
              </w:rPr>
            </w:pPr>
          </w:p>
        </w:tc>
      </w:tr>
      <w:tr>
        <w:trPr>
          <w:trHeight w:val="243"/>
        </w:trPr>
        <w:tc>
          <w:tcPr>
            <w:tcW w:w="8580" w:type="dxa"/>
            <w:vAlign w:val="bottom"/>
            <w:shd w:val="clear" w:color="auto" w:fill="E5FFFF"/>
          </w:tcPr>
          <w:p>
            <w:pPr>
              <w:spacing w:after="0"/>
              <w:rPr>
                <w:sz w:val="20"/>
                <w:szCs w:val="20"/>
                <w:color w:val="auto"/>
              </w:rPr>
            </w:pPr>
            <w:r>
              <w:rPr>
                <w:rFonts w:ascii="Arial" w:cs="Arial" w:eastAsia="Arial" w:hAnsi="Arial"/>
                <w:sz w:val="19"/>
                <w:szCs w:val="19"/>
                <w:color w:val="auto"/>
              </w:rPr>
              <w:t>Net income</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4,329</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$ 3,962</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$2,931</w:t>
            </w:r>
          </w:p>
        </w:tc>
      </w:tr>
      <w:tr>
        <w:trPr>
          <w:trHeight w:val="216"/>
        </w:trPr>
        <w:tc>
          <w:tcPr>
            <w:tcW w:w="8580" w:type="dxa"/>
            <w:vAlign w:val="bottom"/>
          </w:tcPr>
          <w:p>
            <w:pPr>
              <w:spacing w:after="0" w:line="216" w:lineRule="exact"/>
              <w:rPr>
                <w:sz w:val="20"/>
                <w:szCs w:val="20"/>
                <w:color w:val="auto"/>
              </w:rPr>
            </w:pPr>
            <w:r>
              <w:rPr>
                <w:rFonts w:ascii="Arial" w:cs="Arial" w:eastAsia="Arial" w:hAnsi="Arial"/>
                <w:sz w:val="19"/>
                <w:szCs w:val="19"/>
                <w:color w:val="auto"/>
              </w:rPr>
              <w:t>Other comprehensive income (loss), net of tax</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Foreign exchange translation adjustment</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(1,044)</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(52)</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282</w:t>
            </w:r>
          </w:p>
        </w:tc>
      </w:tr>
      <w:tr>
        <w:trPr>
          <w:trHeight w:val="243"/>
        </w:trPr>
        <w:tc>
          <w:tcPr>
            <w:tcW w:w="8580" w:type="dxa"/>
            <w:vAlign w:val="bottom"/>
          </w:tcPr>
          <w:p>
            <w:pPr>
              <w:ind w:left="360"/>
              <w:spacing w:after="0"/>
              <w:rPr>
                <w:sz w:val="20"/>
                <w:szCs w:val="20"/>
                <w:color w:val="auto"/>
              </w:rPr>
            </w:pPr>
            <w:r>
              <w:rPr>
                <w:rFonts w:ascii="Arial" w:cs="Arial" w:eastAsia="Arial" w:hAnsi="Arial"/>
                <w:sz w:val="19"/>
                <w:szCs w:val="19"/>
                <w:color w:val="auto"/>
              </w:rPr>
              <w:t>Actuarial gains (losses)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(1,411)</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2,064</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(839)</w:t>
            </w: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Prior service credit</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73</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99</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w:t>
            </w:r>
          </w:p>
        </w:tc>
      </w:tr>
      <w:tr>
        <w:trPr>
          <w:trHeight w:val="243"/>
        </w:trPr>
        <w:tc>
          <w:tcPr>
            <w:tcW w:w="8580" w:type="dxa"/>
            <w:vAlign w:val="bottom"/>
          </w:tcPr>
          <w:p>
            <w:pPr>
              <w:ind w:left="360"/>
              <w:spacing w:after="0"/>
              <w:rPr>
                <w:sz w:val="20"/>
                <w:szCs w:val="20"/>
                <w:color w:val="auto"/>
              </w:rPr>
            </w:pPr>
            <w:r>
              <w:rPr>
                <w:rFonts w:ascii="Arial" w:cs="Arial" w:eastAsia="Arial" w:hAnsi="Arial"/>
                <w:sz w:val="19"/>
                <w:szCs w:val="19"/>
                <w:color w:val="auto"/>
              </w:rPr>
              <w:t>Prior service cost (credit) recognized during year</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5</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Actuarial losses recognized during year</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202</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61</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649</w:t>
            </w:r>
          </w:p>
        </w:tc>
      </w:tr>
      <w:tr>
        <w:trPr>
          <w:trHeight w:val="243"/>
        </w:trPr>
        <w:tc>
          <w:tcPr>
            <w:tcW w:w="8580" w:type="dxa"/>
            <w:vAlign w:val="bottom"/>
          </w:tcPr>
          <w:p>
            <w:pPr>
              <w:ind w:left="360"/>
              <w:spacing w:after="0"/>
              <w:rPr>
                <w:sz w:val="20"/>
                <w:szCs w:val="20"/>
                <w:color w:val="auto"/>
              </w:rPr>
            </w:pPr>
            <w:r>
              <w:rPr>
                <w:rFonts w:ascii="Arial" w:cs="Arial" w:eastAsia="Arial" w:hAnsi="Arial"/>
                <w:sz w:val="19"/>
                <w:szCs w:val="19"/>
                <w:color w:val="auto"/>
              </w:rPr>
              <w:t>Transition obligation recognized during year</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Settlements and curtailments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w:t>
            </w:r>
          </w:p>
        </w:tc>
      </w:tr>
      <w:tr>
        <w:trPr>
          <w:trHeight w:val="250"/>
        </w:trPr>
        <w:tc>
          <w:tcPr>
            <w:tcW w:w="8580" w:type="dxa"/>
            <w:vAlign w:val="bottom"/>
          </w:tcPr>
          <w:p>
            <w:pPr>
              <w:ind w:left="360"/>
              <w:spacing w:after="0"/>
              <w:rPr>
                <w:sz w:val="20"/>
                <w:szCs w:val="20"/>
                <w:color w:val="auto"/>
              </w:rPr>
            </w:pPr>
            <w:r>
              <w:rPr>
                <w:rFonts w:ascii="Arial" w:cs="Arial" w:eastAsia="Arial" w:hAnsi="Arial"/>
                <w:sz w:val="19"/>
                <w:szCs w:val="19"/>
                <w:color w:val="auto"/>
              </w:rPr>
              <w:t>Foreign exchange translation and other</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30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w:t>
            </w:r>
          </w:p>
        </w:tc>
      </w:tr>
      <w:tr>
        <w:trPr>
          <w:trHeight w:val="243"/>
        </w:trPr>
        <w:tc>
          <w:tcPr>
            <w:tcW w:w="8580" w:type="dxa"/>
            <w:vAlign w:val="bottom"/>
            <w:shd w:val="clear" w:color="auto" w:fill="E5FFFF"/>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(1,083)</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2,203</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(198)</w:t>
            </w:r>
          </w:p>
        </w:tc>
      </w:tr>
      <w:tr>
        <w:trPr>
          <w:trHeight w:val="243"/>
        </w:trPr>
        <w:tc>
          <w:tcPr>
            <w:tcW w:w="8580" w:type="dxa"/>
            <w:vAlign w:val="bottom"/>
          </w:tcPr>
          <w:p>
            <w:pPr>
              <w:ind w:left="360"/>
              <w:spacing w:after="0"/>
              <w:rPr>
                <w:sz w:val="20"/>
                <w:szCs w:val="20"/>
                <w:color w:val="auto"/>
              </w:rPr>
            </w:pPr>
            <w:r>
              <w:rPr>
                <w:rFonts w:ascii="Arial" w:cs="Arial" w:eastAsia="Arial" w:hAnsi="Arial"/>
                <w:sz w:val="19"/>
                <w:szCs w:val="19"/>
                <w:color w:val="auto"/>
              </w:rPr>
              <w:t>Unrealized gains (losses) for the period</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15</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140</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Less: reclassification adjustment for gains included in net income</w:t>
            </w: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185</w:t>
            </w:r>
          </w:p>
        </w:tc>
        <w:tc>
          <w:tcPr>
            <w:tcW w:w="30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127</w:t>
            </w:r>
          </w:p>
        </w:tc>
        <w:tc>
          <w:tcPr>
            <w:tcW w:w="30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50"/>
        </w:trPr>
        <w:tc>
          <w:tcPr>
            <w:tcW w:w="8580" w:type="dxa"/>
            <w:vAlign w:val="bottom"/>
          </w:tcPr>
          <w:p>
            <w:pPr>
              <w:spacing w:after="0"/>
              <w:rPr>
                <w:sz w:val="20"/>
                <w:szCs w:val="20"/>
                <w:color w:val="auto"/>
              </w:rPr>
            </w:pPr>
            <w:r>
              <w:rPr>
                <w:rFonts w:ascii="Arial" w:cs="Arial" w:eastAsia="Arial" w:hAnsi="Arial"/>
                <w:sz w:val="19"/>
                <w:szCs w:val="19"/>
                <w:color w:val="auto"/>
              </w:rPr>
              <w:t>Changes in fair value of available for sale investments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(170)</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13</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43"/>
        </w:trPr>
        <w:tc>
          <w:tcPr>
            <w:tcW w:w="85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Effective portion of cash flow hedges recognized in other comprehensive income</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w:t>
            </w:r>
          </w:p>
        </w:tc>
      </w:tr>
      <w:tr>
        <w:trPr>
          <w:trHeight w:val="250"/>
        </w:trPr>
        <w:tc>
          <w:tcPr>
            <w:tcW w:w="8580" w:type="dxa"/>
            <w:vAlign w:val="bottom"/>
          </w:tcPr>
          <w:p>
            <w:pPr>
              <w:ind w:left="360"/>
              <w:spacing w:after="0"/>
              <w:rPr>
                <w:sz w:val="20"/>
                <w:szCs w:val="20"/>
                <w:color w:val="auto"/>
              </w:rPr>
            </w:pPr>
            <w:r>
              <w:rPr>
                <w:rFonts w:ascii="Arial" w:cs="Arial" w:eastAsia="Arial" w:hAnsi="Arial"/>
                <w:sz w:val="19"/>
                <w:szCs w:val="19"/>
                <w:color w:val="auto"/>
              </w:rPr>
              <w:t>Less: reclassification adjustment for losses included in net income</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w:t>
            </w:r>
          </w:p>
        </w:tc>
        <w:tc>
          <w:tcPr>
            <w:tcW w:w="30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r>
      <w:tr>
        <w:trPr>
          <w:trHeight w:val="243"/>
        </w:trPr>
        <w:tc>
          <w:tcPr>
            <w:tcW w:w="8580" w:type="dxa"/>
            <w:vAlign w:val="bottom"/>
            <w:shd w:val="clear" w:color="auto" w:fill="E5FFFF"/>
          </w:tcPr>
          <w:p>
            <w:pPr>
              <w:spacing w:after="0"/>
              <w:rPr>
                <w:sz w:val="20"/>
                <w:szCs w:val="20"/>
                <w:color w:val="auto"/>
              </w:rPr>
            </w:pPr>
            <w:r>
              <w:rPr>
                <w:rFonts w:ascii="Arial" w:cs="Arial" w:eastAsia="Arial" w:hAnsi="Arial"/>
                <w:sz w:val="19"/>
                <w:szCs w:val="19"/>
                <w:color w:val="auto"/>
              </w:rPr>
              <w:t>Changes in fair value of effective cash flow hedges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w:t>
            </w:r>
          </w:p>
        </w:tc>
      </w:tr>
      <w:tr>
        <w:trPr>
          <w:trHeight w:val="243"/>
        </w:trPr>
        <w:tc>
          <w:tcPr>
            <w:tcW w:w="8580" w:type="dxa"/>
            <w:vAlign w:val="bottom"/>
          </w:tcPr>
          <w:p>
            <w:pPr>
              <w:spacing w:after="0"/>
              <w:rPr>
                <w:sz w:val="20"/>
                <w:szCs w:val="20"/>
                <w:color w:val="auto"/>
              </w:rPr>
            </w:pPr>
            <w:r>
              <w:rPr>
                <w:rFonts w:ascii="Arial" w:cs="Arial" w:eastAsia="Arial" w:hAnsi="Arial"/>
                <w:sz w:val="19"/>
                <w:szCs w:val="19"/>
                <w:color w:val="auto"/>
              </w:rPr>
              <w:t>Other comprehensive income (loss), net of tax</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(2,277)</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2,157</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105</w:t>
            </w:r>
          </w:p>
        </w:tc>
      </w:tr>
      <w:tr>
        <w:trPr>
          <w:trHeight w:val="243"/>
        </w:trPr>
        <w:tc>
          <w:tcPr>
            <w:tcW w:w="8580" w:type="dxa"/>
            <w:vAlign w:val="bottom"/>
            <w:shd w:val="clear" w:color="auto" w:fill="E5FFFF"/>
          </w:tcPr>
          <w:p>
            <w:pPr>
              <w:spacing w:after="0"/>
              <w:rPr>
                <w:sz w:val="20"/>
                <w:szCs w:val="20"/>
                <w:color w:val="auto"/>
              </w:rPr>
            </w:pPr>
            <w:r>
              <w:rPr>
                <w:rFonts w:ascii="Arial" w:cs="Arial" w:eastAsia="Arial" w:hAnsi="Arial"/>
                <w:sz w:val="19"/>
                <w:szCs w:val="19"/>
                <w:color w:val="auto"/>
              </w:rPr>
              <w:t>Comprehensive income</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2,052</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6,119</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3,036</w:t>
            </w:r>
          </w:p>
        </w:tc>
      </w:tr>
      <w:tr>
        <w:trPr>
          <w:trHeight w:val="250"/>
        </w:trPr>
        <w:tc>
          <w:tcPr>
            <w:tcW w:w="8580" w:type="dxa"/>
            <w:vAlign w:val="bottom"/>
          </w:tcPr>
          <w:p>
            <w:pPr>
              <w:ind w:left="360"/>
              <w:spacing w:after="0"/>
              <w:rPr>
                <w:sz w:val="20"/>
                <w:szCs w:val="20"/>
                <w:color w:val="auto"/>
              </w:rPr>
            </w:pPr>
            <w:r>
              <w:rPr>
                <w:rFonts w:ascii="Arial" w:cs="Arial" w:eastAsia="Arial" w:hAnsi="Arial"/>
                <w:sz w:val="19"/>
                <w:szCs w:val="19"/>
                <w:color w:val="auto"/>
              </w:rPr>
              <w:t>Less: Comprehensive income attributable to the noncontrolling interest</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87</w:t>
            </w:r>
          </w:p>
        </w:tc>
        <w:tc>
          <w:tcPr>
            <w:tcW w:w="30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w:t>
            </w:r>
          </w:p>
        </w:tc>
        <w:tc>
          <w:tcPr>
            <w:tcW w:w="30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r>
      <w:tr>
        <w:trPr>
          <w:trHeight w:val="243"/>
        </w:trPr>
        <w:tc>
          <w:tcPr>
            <w:tcW w:w="8580" w:type="dxa"/>
            <w:vAlign w:val="bottom"/>
            <w:shd w:val="clear" w:color="auto" w:fill="E5FFFF"/>
          </w:tcPr>
          <w:p>
            <w:pPr>
              <w:spacing w:after="0"/>
              <w:rPr>
                <w:sz w:val="20"/>
                <w:szCs w:val="20"/>
                <w:color w:val="auto"/>
              </w:rPr>
            </w:pPr>
            <w:r>
              <w:rPr>
                <w:rFonts w:ascii="Arial" w:cs="Arial" w:eastAsia="Arial" w:hAnsi="Arial"/>
                <w:sz w:val="19"/>
                <w:szCs w:val="19"/>
                <w:color w:val="auto"/>
              </w:rPr>
              <w:t>Comprehensive income attributable to Honeywell</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1,965</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$ 6,083</w:t>
            </w:r>
          </w:p>
        </w:tc>
        <w:tc>
          <w:tcPr>
            <w:tcW w:w="3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3,031</w:t>
            </w:r>
          </w:p>
        </w:tc>
      </w:tr>
      <w:tr>
        <w:trPr>
          <w:trHeight w:val="20"/>
        </w:trPr>
        <w:tc>
          <w:tcPr>
            <w:tcW w:w="8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BALANCE SHEET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9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2013</w:t>
            </w:r>
          </w:p>
        </w:tc>
      </w:tr>
      <w:tr>
        <w:trPr>
          <w:trHeight w:val="237"/>
        </w:trPr>
        <w:tc>
          <w:tcPr>
            <w:tcW w:w="9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4"/>
          </w:tcPr>
          <w:p>
            <w:pPr>
              <w:jc w:val="right"/>
              <w:ind w:right="204"/>
              <w:spacing w:after="0"/>
              <w:rPr>
                <w:sz w:val="20"/>
                <w:szCs w:val="20"/>
                <w:color w:val="auto"/>
              </w:rPr>
            </w:pPr>
            <w:r>
              <w:rPr>
                <w:rFonts w:ascii="Arial" w:cs="Arial" w:eastAsia="Arial" w:hAnsi="Arial"/>
                <w:sz w:val="16"/>
                <w:szCs w:val="16"/>
                <w:b w:val="1"/>
                <w:bCs w:val="1"/>
                <w:color w:val="auto"/>
              </w:rPr>
              <w:t>(Dollars in millions)</w:t>
            </w:r>
          </w:p>
        </w:tc>
      </w:tr>
      <w:tr>
        <w:trPr>
          <w:trHeight w:val="176"/>
        </w:trPr>
        <w:tc>
          <w:tcPr>
            <w:tcW w:w="9360" w:type="dxa"/>
            <w:vAlign w:val="bottom"/>
            <w:shd w:val="clear" w:color="auto" w:fill="E5FFFF"/>
          </w:tcPr>
          <w:p>
            <w:pPr>
              <w:spacing w:after="0" w:line="176"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r>
      <w:tr>
        <w:trPr>
          <w:trHeight w:val="216"/>
        </w:trPr>
        <w:tc>
          <w:tcPr>
            <w:tcW w:w="9360" w:type="dxa"/>
            <w:vAlign w:val="bottom"/>
          </w:tcPr>
          <w:p>
            <w:pPr>
              <w:spacing w:after="0" w:line="216" w:lineRule="exact"/>
              <w:rPr>
                <w:sz w:val="20"/>
                <w:szCs w:val="20"/>
                <w:color w:val="auto"/>
              </w:rPr>
            </w:pPr>
            <w:r>
              <w:rPr>
                <w:rFonts w:ascii="Arial" w:cs="Arial" w:eastAsia="Arial" w:hAnsi="Arial"/>
                <w:sz w:val="19"/>
                <w:szCs w:val="19"/>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3"/>
        </w:trPr>
        <w:tc>
          <w:tcPr>
            <w:tcW w:w="93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Cash and cash equivalents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6,959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6,422</w:t>
            </w:r>
          </w:p>
        </w:tc>
      </w:tr>
      <w:tr>
        <w:trPr>
          <w:trHeight w:val="243"/>
        </w:trPr>
        <w:tc>
          <w:tcPr>
            <w:tcW w:w="9360" w:type="dxa"/>
            <w:vAlign w:val="bottom"/>
          </w:tcPr>
          <w:p>
            <w:pPr>
              <w:ind w:left="180"/>
              <w:spacing w:after="0"/>
              <w:rPr>
                <w:sz w:val="20"/>
                <w:szCs w:val="20"/>
                <w:color w:val="auto"/>
              </w:rPr>
            </w:pPr>
            <w:r>
              <w:rPr>
                <w:rFonts w:ascii="Arial" w:cs="Arial" w:eastAsia="Arial" w:hAnsi="Arial"/>
                <w:sz w:val="19"/>
                <w:szCs w:val="19"/>
                <w:color w:val="auto"/>
              </w:rPr>
              <w:t>Accounts, notes and other receivables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7,960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7,929</w:t>
            </w:r>
          </w:p>
        </w:tc>
      </w:tr>
      <w:tr>
        <w:trPr>
          <w:trHeight w:val="243"/>
        </w:trPr>
        <w:tc>
          <w:tcPr>
            <w:tcW w:w="93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Inventories</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4,405</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4,293</w:t>
            </w:r>
          </w:p>
        </w:tc>
      </w:tr>
      <w:tr>
        <w:trPr>
          <w:trHeight w:val="243"/>
        </w:trPr>
        <w:tc>
          <w:tcPr>
            <w:tcW w:w="9360" w:type="dxa"/>
            <w:vAlign w:val="bottom"/>
          </w:tcPr>
          <w:p>
            <w:pPr>
              <w:ind w:left="180"/>
              <w:spacing w:after="0"/>
              <w:rPr>
                <w:sz w:val="20"/>
                <w:szCs w:val="20"/>
                <w:color w:val="auto"/>
              </w:rPr>
            </w:pPr>
            <w:r>
              <w:rPr>
                <w:rFonts w:ascii="Arial" w:cs="Arial" w:eastAsia="Arial" w:hAnsi="Arial"/>
                <w:sz w:val="19"/>
                <w:szCs w:val="19"/>
                <w:color w:val="auto"/>
              </w:rPr>
              <w:t>Deferred income taxes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722</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849</w:t>
            </w:r>
          </w:p>
        </w:tc>
      </w:tr>
      <w:tr>
        <w:trPr>
          <w:trHeight w:val="243"/>
        </w:trPr>
        <w:tc>
          <w:tcPr>
            <w:tcW w:w="93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Investments and other current assets</w:t>
            </w: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2,145</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1,671</w:t>
            </w:r>
          </w:p>
        </w:tc>
      </w:tr>
      <w:tr>
        <w:trPr>
          <w:trHeight w:val="250"/>
        </w:trPr>
        <w:tc>
          <w:tcPr>
            <w:tcW w:w="9360" w:type="dxa"/>
            <w:vAlign w:val="bottom"/>
          </w:tcPr>
          <w:p>
            <w:pPr>
              <w:ind w:left="720"/>
              <w:spacing w:after="0"/>
              <w:rPr>
                <w:sz w:val="20"/>
                <w:szCs w:val="20"/>
                <w:color w:val="auto"/>
              </w:rPr>
            </w:pPr>
            <w:r>
              <w:rPr>
                <w:rFonts w:ascii="Arial" w:cs="Arial" w:eastAsia="Arial" w:hAnsi="Arial"/>
                <w:sz w:val="19"/>
                <w:szCs w:val="19"/>
                <w:color w:val="auto"/>
              </w:rPr>
              <w:t>Total current assets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22,191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21,164</w:t>
            </w:r>
          </w:p>
        </w:tc>
      </w:tr>
      <w:tr>
        <w:trPr>
          <w:trHeight w:val="243"/>
        </w:trPr>
        <w:tc>
          <w:tcPr>
            <w:tcW w:w="9360" w:type="dxa"/>
            <w:vAlign w:val="bottom"/>
            <w:shd w:val="clear" w:color="auto" w:fill="E5FFFF"/>
          </w:tcPr>
          <w:p>
            <w:pPr>
              <w:spacing w:after="0"/>
              <w:rPr>
                <w:sz w:val="20"/>
                <w:szCs w:val="20"/>
                <w:color w:val="auto"/>
              </w:rPr>
            </w:pPr>
            <w:r>
              <w:rPr>
                <w:rFonts w:ascii="Arial" w:cs="Arial" w:eastAsia="Arial" w:hAnsi="Arial"/>
                <w:sz w:val="19"/>
                <w:szCs w:val="19"/>
                <w:color w:val="auto"/>
              </w:rPr>
              <w:t>Investments and long-term receivables</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465</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393</w:t>
            </w:r>
          </w:p>
        </w:tc>
      </w:tr>
      <w:tr>
        <w:trPr>
          <w:trHeight w:val="243"/>
        </w:trPr>
        <w:tc>
          <w:tcPr>
            <w:tcW w:w="9360" w:type="dxa"/>
            <w:vAlign w:val="bottom"/>
          </w:tcPr>
          <w:p>
            <w:pPr>
              <w:spacing w:after="0"/>
              <w:rPr>
                <w:sz w:val="20"/>
                <w:szCs w:val="20"/>
                <w:color w:val="auto"/>
              </w:rPr>
            </w:pPr>
            <w:r>
              <w:rPr>
                <w:rFonts w:ascii="Arial" w:cs="Arial" w:eastAsia="Arial" w:hAnsi="Arial"/>
                <w:sz w:val="19"/>
                <w:szCs w:val="19"/>
                <w:color w:val="auto"/>
              </w:rPr>
              <w:t>Property, plant and equipment—net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5,383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5,278</w:t>
            </w:r>
          </w:p>
        </w:tc>
      </w:tr>
      <w:tr>
        <w:trPr>
          <w:trHeight w:val="243"/>
        </w:trPr>
        <w:tc>
          <w:tcPr>
            <w:tcW w:w="9360" w:type="dxa"/>
            <w:vAlign w:val="bottom"/>
            <w:shd w:val="clear" w:color="auto" w:fill="E5FFFF"/>
          </w:tcPr>
          <w:p>
            <w:pPr>
              <w:spacing w:after="0"/>
              <w:rPr>
                <w:sz w:val="20"/>
                <w:szCs w:val="20"/>
                <w:color w:val="auto"/>
              </w:rPr>
            </w:pPr>
            <w:r>
              <w:rPr>
                <w:rFonts w:ascii="Arial" w:cs="Arial" w:eastAsia="Arial" w:hAnsi="Arial"/>
                <w:sz w:val="19"/>
                <w:szCs w:val="19"/>
                <w:color w:val="auto"/>
              </w:rPr>
              <w:t>Goodwill</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12,788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13,046</w:t>
            </w:r>
          </w:p>
        </w:tc>
      </w:tr>
      <w:tr>
        <w:trPr>
          <w:trHeight w:val="243"/>
        </w:trPr>
        <w:tc>
          <w:tcPr>
            <w:tcW w:w="9360" w:type="dxa"/>
            <w:vAlign w:val="bottom"/>
          </w:tcPr>
          <w:p>
            <w:pPr>
              <w:spacing w:after="0"/>
              <w:rPr>
                <w:sz w:val="20"/>
                <w:szCs w:val="20"/>
                <w:color w:val="auto"/>
              </w:rPr>
            </w:pPr>
            <w:r>
              <w:rPr>
                <w:rFonts w:ascii="Arial" w:cs="Arial" w:eastAsia="Arial" w:hAnsi="Arial"/>
                <w:sz w:val="19"/>
                <w:szCs w:val="19"/>
                <w:color w:val="auto"/>
              </w:rPr>
              <w:t>Other intangible assets—net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2,208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2,514</w:t>
            </w:r>
          </w:p>
        </w:tc>
      </w:tr>
      <w:tr>
        <w:trPr>
          <w:trHeight w:val="243"/>
        </w:trPr>
        <w:tc>
          <w:tcPr>
            <w:tcW w:w="9360" w:type="dxa"/>
            <w:vAlign w:val="bottom"/>
            <w:shd w:val="clear" w:color="auto" w:fill="E5FFFF"/>
          </w:tcPr>
          <w:p>
            <w:pPr>
              <w:spacing w:after="0"/>
              <w:rPr>
                <w:sz w:val="20"/>
                <w:szCs w:val="20"/>
                <w:color w:val="auto"/>
              </w:rPr>
            </w:pPr>
            <w:r>
              <w:rPr>
                <w:rFonts w:ascii="Arial" w:cs="Arial" w:eastAsia="Arial" w:hAnsi="Arial"/>
                <w:sz w:val="19"/>
                <w:szCs w:val="19"/>
                <w:color w:val="auto"/>
              </w:rPr>
              <w:t>Insurance recoveries for asbestos related liabilities</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454</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595</w:t>
            </w:r>
          </w:p>
        </w:tc>
      </w:tr>
      <w:tr>
        <w:trPr>
          <w:trHeight w:val="243"/>
        </w:trPr>
        <w:tc>
          <w:tcPr>
            <w:tcW w:w="9360" w:type="dxa"/>
            <w:vAlign w:val="bottom"/>
          </w:tcPr>
          <w:p>
            <w:pPr>
              <w:spacing w:after="0"/>
              <w:rPr>
                <w:sz w:val="20"/>
                <w:szCs w:val="20"/>
                <w:color w:val="auto"/>
              </w:rPr>
            </w:pPr>
            <w:r>
              <w:rPr>
                <w:rFonts w:ascii="Arial" w:cs="Arial" w:eastAsia="Arial" w:hAnsi="Arial"/>
                <w:sz w:val="19"/>
                <w:szCs w:val="19"/>
                <w:color w:val="auto"/>
              </w:rPr>
              <w:t>Deferred income taxes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404</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368</w:t>
            </w:r>
          </w:p>
        </w:tc>
      </w:tr>
      <w:tr>
        <w:trPr>
          <w:trHeight w:val="243"/>
        </w:trPr>
        <w:tc>
          <w:tcPr>
            <w:tcW w:w="9360" w:type="dxa"/>
            <w:vAlign w:val="bottom"/>
            <w:shd w:val="clear" w:color="auto" w:fill="E5FFFF"/>
          </w:tcPr>
          <w:p>
            <w:pPr>
              <w:spacing w:after="0"/>
              <w:rPr>
                <w:sz w:val="20"/>
                <w:szCs w:val="20"/>
                <w:color w:val="auto"/>
              </w:rPr>
            </w:pPr>
            <w:r>
              <w:rPr>
                <w:rFonts w:ascii="Arial" w:cs="Arial" w:eastAsia="Arial" w:hAnsi="Arial"/>
                <w:sz w:val="19"/>
                <w:szCs w:val="19"/>
                <w:color w:val="auto"/>
              </w:rPr>
              <w:t>Other assets</w:t>
            </w: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1,558</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2,077</w:t>
            </w:r>
          </w:p>
        </w:tc>
      </w:tr>
      <w:tr>
        <w:trPr>
          <w:trHeight w:val="250"/>
        </w:trPr>
        <w:tc>
          <w:tcPr>
            <w:tcW w:w="9360" w:type="dxa"/>
            <w:vAlign w:val="bottom"/>
          </w:tcPr>
          <w:p>
            <w:pPr>
              <w:ind w:left="720"/>
              <w:spacing w:after="0"/>
              <w:rPr>
                <w:sz w:val="20"/>
                <w:szCs w:val="20"/>
                <w:color w:val="auto"/>
              </w:rPr>
            </w:pPr>
            <w:r>
              <w:rPr>
                <w:rFonts w:ascii="Arial" w:cs="Arial" w:eastAsia="Arial" w:hAnsi="Arial"/>
                <w:sz w:val="19"/>
                <w:szCs w:val="19"/>
                <w:color w:val="auto"/>
              </w:rPr>
              <w:t>Total assets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45,451</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45,435</w:t>
            </w:r>
          </w:p>
        </w:tc>
      </w:tr>
      <w:tr>
        <w:trPr>
          <w:trHeight w:val="20"/>
        </w:trPr>
        <w:tc>
          <w:tcPr>
            <w:tcW w:w="9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9360" w:type="dxa"/>
            <w:vAlign w:val="bottom"/>
            <w:shd w:val="clear" w:color="auto" w:fill="E5FFFF"/>
          </w:tcPr>
          <w:p>
            <w:pPr>
              <w:spacing w:after="0" w:line="170" w:lineRule="exact"/>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720" w:type="dxa"/>
            <w:vAlign w:val="bottom"/>
            <w:shd w:val="clear" w:color="auto" w:fill="E5FFFF"/>
          </w:tcPr>
          <w:p>
            <w:pPr>
              <w:spacing w:after="0"/>
              <w:rPr>
                <w:sz w:val="14"/>
                <w:szCs w:val="14"/>
                <w:color w:val="auto"/>
              </w:rPr>
            </w:pPr>
          </w:p>
        </w:tc>
      </w:tr>
      <w:tr>
        <w:trPr>
          <w:trHeight w:val="216"/>
        </w:trPr>
        <w:tc>
          <w:tcPr>
            <w:tcW w:w="9360" w:type="dxa"/>
            <w:vAlign w:val="bottom"/>
          </w:tcPr>
          <w:p>
            <w:pPr>
              <w:spacing w:after="0" w:line="216" w:lineRule="exact"/>
              <w:rPr>
                <w:sz w:val="20"/>
                <w:szCs w:val="20"/>
                <w:color w:val="auto"/>
              </w:rPr>
            </w:pPr>
            <w:r>
              <w:rPr>
                <w:rFonts w:ascii="Arial" w:cs="Arial" w:eastAsia="Arial" w:hAnsi="Arial"/>
                <w:sz w:val="19"/>
                <w:szCs w:val="19"/>
                <w:color w:val="auto"/>
              </w:rPr>
              <w:t>Current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3"/>
        </w:trPr>
        <w:tc>
          <w:tcPr>
            <w:tcW w:w="93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Accounts payable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5,365</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5,174</w:t>
            </w:r>
          </w:p>
        </w:tc>
      </w:tr>
      <w:tr>
        <w:trPr>
          <w:trHeight w:val="243"/>
        </w:trPr>
        <w:tc>
          <w:tcPr>
            <w:tcW w:w="9360" w:type="dxa"/>
            <w:vAlign w:val="bottom"/>
          </w:tcPr>
          <w:p>
            <w:pPr>
              <w:ind w:left="180"/>
              <w:spacing w:after="0"/>
              <w:rPr>
                <w:sz w:val="20"/>
                <w:szCs w:val="20"/>
                <w:color w:val="auto"/>
              </w:rPr>
            </w:pPr>
            <w:r>
              <w:rPr>
                <w:rFonts w:ascii="Arial" w:cs="Arial" w:eastAsia="Arial" w:hAnsi="Arial"/>
                <w:sz w:val="19"/>
                <w:szCs w:val="19"/>
                <w:color w:val="auto"/>
              </w:rPr>
              <w:t>Short-term borrowings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51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97</w:t>
            </w:r>
          </w:p>
        </w:tc>
      </w:tr>
      <w:tr>
        <w:trPr>
          <w:trHeight w:val="243"/>
        </w:trPr>
        <w:tc>
          <w:tcPr>
            <w:tcW w:w="93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Commercial paper</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1,647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1,299</w:t>
            </w:r>
          </w:p>
        </w:tc>
      </w:tr>
      <w:tr>
        <w:trPr>
          <w:trHeight w:val="243"/>
        </w:trPr>
        <w:tc>
          <w:tcPr>
            <w:tcW w:w="9360" w:type="dxa"/>
            <w:vAlign w:val="bottom"/>
          </w:tcPr>
          <w:p>
            <w:pPr>
              <w:ind w:left="180"/>
              <w:spacing w:after="0"/>
              <w:rPr>
                <w:sz w:val="20"/>
                <w:szCs w:val="20"/>
                <w:color w:val="auto"/>
              </w:rPr>
            </w:pPr>
            <w:r>
              <w:rPr>
                <w:rFonts w:ascii="Arial" w:cs="Arial" w:eastAsia="Arial" w:hAnsi="Arial"/>
                <w:sz w:val="19"/>
                <w:szCs w:val="19"/>
                <w:color w:val="auto"/>
              </w:rPr>
              <w:t>Current maturities of long-term debt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939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632</w:t>
            </w:r>
          </w:p>
        </w:tc>
      </w:tr>
      <w:tr>
        <w:trPr>
          <w:trHeight w:val="243"/>
        </w:trPr>
        <w:tc>
          <w:tcPr>
            <w:tcW w:w="93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Accrued liabilities</w:t>
            </w: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6,771</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6,979</w:t>
            </w:r>
          </w:p>
        </w:tc>
      </w:tr>
      <w:tr>
        <w:trPr>
          <w:trHeight w:val="250"/>
        </w:trPr>
        <w:tc>
          <w:tcPr>
            <w:tcW w:w="9360" w:type="dxa"/>
            <w:vAlign w:val="bottom"/>
          </w:tcPr>
          <w:p>
            <w:pPr>
              <w:ind w:left="720"/>
              <w:spacing w:after="0"/>
              <w:rPr>
                <w:sz w:val="20"/>
                <w:szCs w:val="20"/>
                <w:color w:val="auto"/>
              </w:rPr>
            </w:pPr>
            <w:r>
              <w:rPr>
                <w:rFonts w:ascii="Arial" w:cs="Arial" w:eastAsia="Arial" w:hAnsi="Arial"/>
                <w:sz w:val="19"/>
                <w:szCs w:val="19"/>
                <w:color w:val="auto"/>
              </w:rPr>
              <w:t>Total current liabilities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14,773</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14,181</w:t>
            </w:r>
          </w:p>
        </w:tc>
      </w:tr>
      <w:tr>
        <w:trPr>
          <w:trHeight w:val="243"/>
        </w:trPr>
        <w:tc>
          <w:tcPr>
            <w:tcW w:w="9360" w:type="dxa"/>
            <w:vAlign w:val="bottom"/>
            <w:shd w:val="clear" w:color="auto" w:fill="E5FFFF"/>
          </w:tcPr>
          <w:p>
            <w:pPr>
              <w:spacing w:after="0"/>
              <w:rPr>
                <w:sz w:val="20"/>
                <w:szCs w:val="20"/>
                <w:color w:val="auto"/>
              </w:rPr>
            </w:pPr>
            <w:r>
              <w:rPr>
                <w:rFonts w:ascii="Arial" w:cs="Arial" w:eastAsia="Arial" w:hAnsi="Arial"/>
                <w:sz w:val="19"/>
                <w:szCs w:val="19"/>
                <w:color w:val="auto"/>
              </w:rPr>
              <w:t>Long-term debt</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6,046</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6,801</w:t>
            </w:r>
          </w:p>
        </w:tc>
      </w:tr>
      <w:tr>
        <w:trPr>
          <w:trHeight w:val="243"/>
        </w:trPr>
        <w:tc>
          <w:tcPr>
            <w:tcW w:w="9360" w:type="dxa"/>
            <w:vAlign w:val="bottom"/>
          </w:tcPr>
          <w:p>
            <w:pPr>
              <w:spacing w:after="0"/>
              <w:rPr>
                <w:sz w:val="20"/>
                <w:szCs w:val="20"/>
                <w:color w:val="auto"/>
              </w:rPr>
            </w:pPr>
            <w:r>
              <w:rPr>
                <w:rFonts w:ascii="Arial" w:cs="Arial" w:eastAsia="Arial" w:hAnsi="Arial"/>
                <w:sz w:val="19"/>
                <w:szCs w:val="19"/>
                <w:color w:val="auto"/>
              </w:rPr>
              <w:t>Deferred income taxes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236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804</w:t>
            </w:r>
          </w:p>
        </w:tc>
      </w:tr>
      <w:tr>
        <w:trPr>
          <w:trHeight w:val="243"/>
        </w:trPr>
        <w:tc>
          <w:tcPr>
            <w:tcW w:w="9360" w:type="dxa"/>
            <w:vAlign w:val="bottom"/>
            <w:shd w:val="clear" w:color="auto" w:fill="E5FFFF"/>
          </w:tcPr>
          <w:p>
            <w:pPr>
              <w:spacing w:after="0"/>
              <w:rPr>
                <w:sz w:val="20"/>
                <w:szCs w:val="20"/>
                <w:color w:val="auto"/>
              </w:rPr>
            </w:pPr>
            <w:r>
              <w:rPr>
                <w:rFonts w:ascii="Arial" w:cs="Arial" w:eastAsia="Arial" w:hAnsi="Arial"/>
                <w:sz w:val="19"/>
                <w:szCs w:val="19"/>
                <w:color w:val="auto"/>
              </w:rPr>
              <w:t>Postretirement benefit obligations other than pensions</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1,019</w:t>
            </w:r>
          </w:p>
        </w:tc>
      </w:tr>
      <w:tr>
        <w:trPr>
          <w:trHeight w:val="243"/>
        </w:trPr>
        <w:tc>
          <w:tcPr>
            <w:tcW w:w="9360" w:type="dxa"/>
            <w:vAlign w:val="bottom"/>
          </w:tcPr>
          <w:p>
            <w:pPr>
              <w:spacing w:after="0"/>
              <w:rPr>
                <w:sz w:val="20"/>
                <w:szCs w:val="20"/>
                <w:color w:val="auto"/>
              </w:rPr>
            </w:pPr>
            <w:r>
              <w:rPr>
                <w:rFonts w:ascii="Arial" w:cs="Arial" w:eastAsia="Arial" w:hAnsi="Arial"/>
                <w:sz w:val="19"/>
                <w:szCs w:val="19"/>
                <w:color w:val="auto"/>
              </w:rPr>
              <w:t>Asbestos related liabilities</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1,200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1,150</w:t>
            </w:r>
          </w:p>
        </w:tc>
      </w:tr>
      <w:tr>
        <w:trPr>
          <w:trHeight w:val="243"/>
        </w:trPr>
        <w:tc>
          <w:tcPr>
            <w:tcW w:w="9360" w:type="dxa"/>
            <w:vAlign w:val="bottom"/>
            <w:shd w:val="clear" w:color="auto" w:fill="E5FFFF"/>
          </w:tcPr>
          <w:p>
            <w:pPr>
              <w:spacing w:after="0"/>
              <w:rPr>
                <w:sz w:val="20"/>
                <w:szCs w:val="20"/>
                <w:color w:val="auto"/>
              </w:rPr>
            </w:pPr>
            <w:r>
              <w:rPr>
                <w:rFonts w:ascii="Arial" w:cs="Arial" w:eastAsia="Arial" w:hAnsi="Arial"/>
                <w:sz w:val="19"/>
                <w:szCs w:val="19"/>
                <w:color w:val="auto"/>
              </w:rPr>
              <w:t>Other liabilities</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4,282</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3,734</w:t>
            </w:r>
          </w:p>
        </w:tc>
      </w:tr>
      <w:tr>
        <w:trPr>
          <w:trHeight w:val="243"/>
        </w:trPr>
        <w:tc>
          <w:tcPr>
            <w:tcW w:w="9360" w:type="dxa"/>
            <w:vAlign w:val="bottom"/>
          </w:tcPr>
          <w:p>
            <w:pPr>
              <w:spacing w:after="0"/>
              <w:rPr>
                <w:sz w:val="20"/>
                <w:szCs w:val="20"/>
                <w:color w:val="auto"/>
              </w:rPr>
            </w:pPr>
            <w:r>
              <w:rPr>
                <w:rFonts w:ascii="Arial" w:cs="Arial" w:eastAsia="Arial" w:hAnsi="Arial"/>
                <w:sz w:val="19"/>
                <w:szCs w:val="19"/>
                <w:color w:val="auto"/>
              </w:rPr>
              <w:t>Redeemable noncontrolling interest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219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167</w:t>
            </w:r>
          </w:p>
        </w:tc>
      </w:tr>
      <w:tr>
        <w:trPr>
          <w:trHeight w:val="176"/>
        </w:trPr>
        <w:tc>
          <w:tcPr>
            <w:tcW w:w="9360" w:type="dxa"/>
            <w:vAlign w:val="bottom"/>
            <w:shd w:val="clear" w:color="auto" w:fill="E5FFFF"/>
          </w:tcPr>
          <w:p>
            <w:pPr>
              <w:spacing w:after="0" w:line="176" w:lineRule="exact"/>
              <w:rPr>
                <w:sz w:val="20"/>
                <w:szCs w:val="20"/>
                <w:color w:val="auto"/>
              </w:rPr>
            </w:pPr>
            <w:r>
              <w:rPr>
                <w:rFonts w:ascii="Arial" w:cs="Arial" w:eastAsia="Arial" w:hAnsi="Arial"/>
                <w:sz w:val="16"/>
                <w:szCs w:val="16"/>
                <w:b w:val="1"/>
                <w:bCs w:val="1"/>
                <w:color w:val="auto"/>
              </w:rPr>
              <w:t>SHAREOWNERS’ EQUITY</w:t>
            </w:r>
          </w:p>
        </w:tc>
        <w:tc>
          <w:tcPr>
            <w:tcW w:w="16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8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r>
      <w:tr>
        <w:trPr>
          <w:trHeight w:val="243"/>
        </w:trPr>
        <w:tc>
          <w:tcPr>
            <w:tcW w:w="9360" w:type="dxa"/>
            <w:vAlign w:val="bottom"/>
          </w:tcPr>
          <w:p>
            <w:pPr>
              <w:spacing w:after="0"/>
              <w:rPr>
                <w:sz w:val="20"/>
                <w:szCs w:val="20"/>
                <w:color w:val="auto"/>
              </w:rPr>
            </w:pPr>
            <w:r>
              <w:rPr>
                <w:rFonts w:ascii="Arial" w:cs="Arial" w:eastAsia="Arial" w:hAnsi="Arial"/>
                <w:sz w:val="19"/>
                <w:szCs w:val="19"/>
                <w:color w:val="auto"/>
              </w:rPr>
              <w:t>Capital—common stock issued</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958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958</w:t>
            </w:r>
          </w:p>
        </w:tc>
      </w:tr>
      <w:tr>
        <w:trPr>
          <w:trHeight w:val="243"/>
        </w:trPr>
        <w:tc>
          <w:tcPr>
            <w:tcW w:w="9360" w:type="dxa"/>
            <w:vAlign w:val="bottom"/>
            <w:shd w:val="clear" w:color="auto" w:fill="E5FFFF"/>
          </w:tcPr>
          <w:p>
            <w:pPr>
              <w:ind w:left="540"/>
              <w:spacing w:after="0"/>
              <w:rPr>
                <w:sz w:val="20"/>
                <w:szCs w:val="20"/>
                <w:color w:val="auto"/>
              </w:rPr>
            </w:pPr>
            <w:r>
              <w:rPr>
                <w:rFonts w:ascii="Arial" w:cs="Arial" w:eastAsia="Arial" w:hAnsi="Arial"/>
                <w:sz w:val="19"/>
                <w:szCs w:val="19"/>
                <w:color w:val="auto"/>
              </w:rPr>
              <w:t>—additional paid-in capital</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5,038</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4,682</w:t>
            </w:r>
          </w:p>
        </w:tc>
      </w:tr>
      <w:tr>
        <w:trPr>
          <w:trHeight w:val="243"/>
        </w:trPr>
        <w:tc>
          <w:tcPr>
            <w:tcW w:w="9360" w:type="dxa"/>
            <w:vAlign w:val="bottom"/>
          </w:tcPr>
          <w:p>
            <w:pPr>
              <w:spacing w:after="0"/>
              <w:rPr>
                <w:sz w:val="20"/>
                <w:szCs w:val="20"/>
                <w:color w:val="auto"/>
              </w:rPr>
            </w:pPr>
            <w:r>
              <w:rPr>
                <w:rFonts w:ascii="Arial" w:cs="Arial" w:eastAsia="Arial" w:hAnsi="Arial"/>
                <w:sz w:val="19"/>
                <w:szCs w:val="19"/>
                <w:color w:val="auto"/>
              </w:rPr>
              <w:t>Common stock held in treasury, at cost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(9,995)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(9,374)</w:t>
            </w:r>
          </w:p>
        </w:tc>
      </w:tr>
      <w:tr>
        <w:trPr>
          <w:trHeight w:val="243"/>
        </w:trPr>
        <w:tc>
          <w:tcPr>
            <w:tcW w:w="9360" w:type="dxa"/>
            <w:vAlign w:val="bottom"/>
            <w:shd w:val="clear" w:color="auto" w:fill="E5FFFF"/>
          </w:tcPr>
          <w:p>
            <w:pPr>
              <w:spacing w:after="0"/>
              <w:rPr>
                <w:sz w:val="20"/>
                <w:szCs w:val="20"/>
                <w:color w:val="auto"/>
              </w:rPr>
            </w:pPr>
            <w:r>
              <w:rPr>
                <w:rFonts w:ascii="Arial" w:cs="Arial" w:eastAsia="Arial" w:hAnsi="Arial"/>
                <w:sz w:val="19"/>
                <w:szCs w:val="19"/>
                <w:color w:val="auto"/>
              </w:rPr>
              <w:t>Accumulated other comprehensive income (loss)</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(1,459)</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818</w:t>
            </w:r>
          </w:p>
        </w:tc>
      </w:tr>
      <w:tr>
        <w:trPr>
          <w:trHeight w:val="250"/>
        </w:trPr>
        <w:tc>
          <w:tcPr>
            <w:tcW w:w="9360" w:type="dxa"/>
            <w:vAlign w:val="bottom"/>
          </w:tcPr>
          <w:p>
            <w:pPr>
              <w:spacing w:after="0"/>
              <w:rPr>
                <w:sz w:val="20"/>
                <w:szCs w:val="20"/>
                <w:color w:val="auto"/>
              </w:rPr>
            </w:pPr>
            <w:r>
              <w:rPr>
                <w:rFonts w:ascii="Arial" w:cs="Arial" w:eastAsia="Arial" w:hAnsi="Arial"/>
                <w:sz w:val="19"/>
                <w:szCs w:val="19"/>
                <w:color w:val="auto"/>
              </w:rPr>
              <w:t>Retained earnings</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23,115</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20,383</w:t>
            </w:r>
          </w:p>
        </w:tc>
      </w:tr>
      <w:tr>
        <w:trPr>
          <w:trHeight w:val="243"/>
        </w:trPr>
        <w:tc>
          <w:tcPr>
            <w:tcW w:w="936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 Honeywell shareowners’ equity</w:t>
            </w: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17,657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17,467</w:t>
            </w:r>
          </w:p>
        </w:tc>
      </w:tr>
      <w:tr>
        <w:trPr>
          <w:trHeight w:val="250"/>
        </w:trPr>
        <w:tc>
          <w:tcPr>
            <w:tcW w:w="9360" w:type="dxa"/>
            <w:vAlign w:val="bottom"/>
          </w:tcPr>
          <w:p>
            <w:pPr>
              <w:spacing w:after="0"/>
              <w:rPr>
                <w:sz w:val="20"/>
                <w:szCs w:val="20"/>
                <w:color w:val="auto"/>
              </w:rPr>
            </w:pPr>
            <w:r>
              <w:rPr>
                <w:rFonts w:ascii="Arial" w:cs="Arial" w:eastAsia="Arial" w:hAnsi="Arial"/>
                <w:sz w:val="19"/>
                <w:szCs w:val="19"/>
                <w:color w:val="auto"/>
              </w:rPr>
              <w:t>Noncontrolling interest</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112</w:t>
            </w:r>
          </w:p>
        </w:tc>
      </w:tr>
      <w:tr>
        <w:trPr>
          <w:trHeight w:val="243"/>
        </w:trPr>
        <w:tc>
          <w:tcPr>
            <w:tcW w:w="936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 shareowners’ equity</w:t>
            </w: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17,784</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17,579</w:t>
            </w:r>
          </w:p>
        </w:tc>
      </w:tr>
      <w:tr>
        <w:trPr>
          <w:trHeight w:val="250"/>
        </w:trPr>
        <w:tc>
          <w:tcPr>
            <w:tcW w:w="9360" w:type="dxa"/>
            <w:vAlign w:val="bottom"/>
          </w:tcPr>
          <w:p>
            <w:pPr>
              <w:ind w:left="720"/>
              <w:spacing w:after="0"/>
              <w:rPr>
                <w:sz w:val="20"/>
                <w:szCs w:val="20"/>
                <w:color w:val="auto"/>
              </w:rPr>
            </w:pPr>
            <w:r>
              <w:rPr>
                <w:rFonts w:ascii="Arial" w:cs="Arial" w:eastAsia="Arial" w:hAnsi="Arial"/>
                <w:sz w:val="19"/>
                <w:szCs w:val="19"/>
                <w:color w:val="auto"/>
              </w:rPr>
              <w:t>Total liabilities, redeemable noncontrolling interest and shareowners’ equity</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45,451</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45,435</w:t>
            </w:r>
          </w:p>
        </w:tc>
      </w:tr>
      <w:tr>
        <w:trPr>
          <w:trHeight w:val="20"/>
        </w:trPr>
        <w:tc>
          <w:tcPr>
            <w:tcW w:w="9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CASH FLOWS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31"/>
              <w:spacing w:after="0"/>
              <w:rPr>
                <w:sz w:val="20"/>
                <w:szCs w:val="20"/>
                <w:color w:val="auto"/>
              </w:rPr>
            </w:pPr>
            <w:r>
              <w:rPr>
                <w:rFonts w:ascii="Arial" w:cs="Arial" w:eastAsia="Arial" w:hAnsi="Arial"/>
                <w:sz w:val="16"/>
                <w:szCs w:val="16"/>
                <w:b w:val="1"/>
                <w:bCs w:val="1"/>
                <w:color w:val="auto"/>
                <w:w w:val="98"/>
              </w:rPr>
              <w:t>Years Ended December 31,</w:t>
            </w:r>
          </w:p>
        </w:tc>
      </w:tr>
      <w:tr>
        <w:trPr>
          <w:trHeight w:val="169"/>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1"/>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1"/>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1"/>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6"/>
          </w:tcPr>
          <w:p>
            <w:pPr>
              <w:jc w:val="center"/>
              <w:ind w:left="391"/>
              <w:spacing w:after="0"/>
              <w:rPr>
                <w:sz w:val="20"/>
                <w:szCs w:val="20"/>
                <w:color w:val="auto"/>
              </w:rPr>
            </w:pPr>
            <w:r>
              <w:rPr>
                <w:rFonts w:ascii="Arial" w:cs="Arial" w:eastAsia="Arial" w:hAnsi="Arial"/>
                <w:sz w:val="16"/>
                <w:szCs w:val="16"/>
                <w:b w:val="1"/>
                <w:bCs w:val="1"/>
                <w:color w:val="auto"/>
                <w:w w:val="99"/>
              </w:rPr>
              <w:t>(Dollars in millions)</w:t>
            </w:r>
          </w:p>
        </w:tc>
        <w:tc>
          <w:tcPr>
            <w:tcW w:w="62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85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4,329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3,962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2,931</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300"/>
              <w:spacing w:after="0"/>
              <w:rPr>
                <w:sz w:val="20"/>
                <w:szCs w:val="20"/>
                <w:color w:val="auto"/>
              </w:rPr>
            </w:pPr>
            <w:r>
              <w:rPr>
                <w:rFonts w:ascii="Arial" w:cs="Arial" w:eastAsia="Arial" w:hAnsi="Arial"/>
                <w:sz w:val="18"/>
                <w:szCs w:val="18"/>
                <w:color w:val="auto"/>
              </w:rPr>
              <w:t>Less: Net income attributable to the noncontrolling interest</w:t>
            </w: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Net income attributable to Honeywell</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2,926</w:t>
            </w:r>
          </w:p>
        </w:tc>
      </w:tr>
      <w:tr>
        <w:trPr>
          <w:trHeight w:val="203"/>
        </w:trPr>
        <w:tc>
          <w:tcPr>
            <w:tcW w:w="20" w:type="dxa"/>
            <w:vAlign w:val="bottom"/>
          </w:tcPr>
          <w:p>
            <w:pPr>
              <w:spacing w:after="0"/>
              <w:rPr>
                <w:sz w:val="17"/>
                <w:szCs w:val="17"/>
                <w:color w:val="auto"/>
              </w:rPr>
            </w:pPr>
          </w:p>
        </w:tc>
        <w:tc>
          <w:tcPr>
            <w:tcW w:w="8560" w:type="dxa"/>
            <w:vAlign w:val="bottom"/>
            <w:shd w:val="clear" w:color="auto" w:fill="E5FFFF"/>
          </w:tcPr>
          <w:p>
            <w:pPr>
              <w:ind w:left="300"/>
              <w:spacing w:after="0" w:line="203"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E5FFFF"/>
          </w:tcPr>
          <w:p>
            <w:pPr>
              <w:ind w:left="480"/>
              <w:spacing w:after="0" w:line="202" w:lineRule="exact"/>
              <w:rPr>
                <w:sz w:val="20"/>
                <w:szCs w:val="20"/>
                <w:color w:val="auto"/>
              </w:rPr>
            </w:pPr>
            <w:r>
              <w:rPr>
                <w:rFonts w:ascii="Arial" w:cs="Arial" w:eastAsia="Arial" w:hAnsi="Arial"/>
                <w:sz w:val="18"/>
                <w:szCs w:val="18"/>
                <w:color w:val="auto"/>
              </w:rPr>
              <w:t>activities:</w:t>
            </w: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640"/>
              <w:spacing w:after="0"/>
              <w:rPr>
                <w:sz w:val="20"/>
                <w:szCs w:val="20"/>
                <w:color w:val="auto"/>
              </w:rPr>
            </w:pPr>
            <w:r>
              <w:rPr>
                <w:rFonts w:ascii="Arial" w:cs="Arial" w:eastAsia="Arial" w:hAnsi="Arial"/>
                <w:sz w:val="18"/>
                <w:szCs w:val="18"/>
                <w:color w:val="auto"/>
              </w:rPr>
              <w:t>Loss (gain) on sale of non-strategic businesses and assets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Gain on sale of available for sale investments</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640"/>
              <w:spacing w:after="0"/>
              <w:rPr>
                <w:sz w:val="20"/>
                <w:szCs w:val="20"/>
                <w:color w:val="auto"/>
              </w:rPr>
            </w:pPr>
            <w:r>
              <w:rPr>
                <w:rFonts w:ascii="Arial" w:cs="Arial" w:eastAsia="Arial" w:hAnsi="Arial"/>
                <w:sz w:val="18"/>
                <w:szCs w:val="18"/>
                <w:color w:val="auto"/>
              </w:rPr>
              <w:t>Repositioning and other charges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598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443</w:t>
            </w:r>
          </w:p>
        </w:tc>
      </w:tr>
      <w:tr>
        <w:trPr>
          <w:trHeight w:val="243"/>
        </w:trPr>
        <w:tc>
          <w:tcPr>
            <w:tcW w:w="20" w:type="dxa"/>
            <w:vAlign w:val="bottom"/>
          </w:tcPr>
          <w:p>
            <w:pPr>
              <w:spacing w:after="0"/>
              <w:rPr>
                <w:sz w:val="21"/>
                <w:szCs w:val="21"/>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Net payments for repositioning and other charges</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640"/>
              <w:spacing w:after="0"/>
              <w:rPr>
                <w:sz w:val="20"/>
                <w:szCs w:val="20"/>
                <w:color w:val="auto"/>
              </w:rPr>
            </w:pPr>
            <w:r>
              <w:rPr>
                <w:rFonts w:ascii="Arial" w:cs="Arial" w:eastAsia="Arial" w:hAnsi="Arial"/>
                <w:sz w:val="18"/>
                <w:szCs w:val="18"/>
                <w:color w:val="auto"/>
              </w:rPr>
              <w:t>Pension and other postretirement expense (income)</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1,065</w:t>
            </w:r>
          </w:p>
        </w:tc>
      </w:tr>
      <w:tr>
        <w:trPr>
          <w:trHeight w:val="243"/>
        </w:trPr>
        <w:tc>
          <w:tcPr>
            <w:tcW w:w="20" w:type="dxa"/>
            <w:vAlign w:val="bottom"/>
          </w:tcPr>
          <w:p>
            <w:pPr>
              <w:spacing w:after="0"/>
              <w:rPr>
                <w:sz w:val="21"/>
                <w:szCs w:val="21"/>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Pension and other postretirement benefit payments</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640"/>
              <w:spacing w:after="0"/>
              <w:rPr>
                <w:sz w:val="20"/>
                <w:szCs w:val="20"/>
                <w:color w:val="auto"/>
              </w:rPr>
            </w:pPr>
            <w:r>
              <w:rPr>
                <w:rFonts w:ascii="Arial" w:cs="Arial" w:eastAsia="Arial" w:hAnsi="Arial"/>
                <w:sz w:val="18"/>
                <w:szCs w:val="18"/>
                <w:color w:val="auto"/>
              </w:rPr>
              <w:t>Stock compensation expense</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20" w:type="dxa"/>
            <w:vAlign w:val="bottom"/>
          </w:tcPr>
          <w:p>
            <w:pPr>
              <w:spacing w:after="0"/>
              <w:rPr>
                <w:sz w:val="21"/>
                <w:szCs w:val="21"/>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640"/>
              <w:spacing w:after="0"/>
              <w:rPr>
                <w:sz w:val="20"/>
                <w:szCs w:val="20"/>
                <w:color w:val="auto"/>
              </w:rPr>
            </w:pPr>
            <w:r>
              <w:rPr>
                <w:rFonts w:ascii="Arial" w:cs="Arial" w:eastAsia="Arial" w:hAnsi="Arial"/>
                <w:sz w:val="18"/>
                <w:szCs w:val="18"/>
                <w:color w:val="auto"/>
              </w:rPr>
              <w:t>Excess tax benefits from share based payment arrangements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20" w:type="dxa"/>
            <w:vAlign w:val="bottom"/>
          </w:tcPr>
          <w:p>
            <w:pPr>
              <w:spacing w:after="0"/>
              <w:rPr>
                <w:sz w:val="21"/>
                <w:szCs w:val="21"/>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3"/>
        </w:trPr>
        <w:tc>
          <w:tcPr>
            <w:tcW w:w="20" w:type="dxa"/>
            <w:vAlign w:val="bottom"/>
          </w:tcPr>
          <w:p>
            <w:pPr>
              <w:spacing w:after="0"/>
              <w:rPr>
                <w:sz w:val="17"/>
                <w:szCs w:val="17"/>
                <w:color w:val="auto"/>
              </w:rPr>
            </w:pPr>
          </w:p>
        </w:tc>
        <w:tc>
          <w:tcPr>
            <w:tcW w:w="8560" w:type="dxa"/>
            <w:vAlign w:val="bottom"/>
            <w:shd w:val="clear" w:color="auto" w:fill="E5FFFF"/>
          </w:tcPr>
          <w:p>
            <w:pPr>
              <w:ind w:left="64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960"/>
              <w:spacing w:after="0"/>
              <w:rPr>
                <w:sz w:val="20"/>
                <w:szCs w:val="20"/>
                <w:color w:val="auto"/>
              </w:rPr>
            </w:pPr>
            <w:r>
              <w:rPr>
                <w:rFonts w:ascii="Arial" w:cs="Arial" w:eastAsia="Arial" w:hAnsi="Arial"/>
                <w:sz w:val="18"/>
                <w:szCs w:val="18"/>
                <w:color w:val="auto"/>
              </w:rPr>
              <w:t>Accounts, notes and other receivables</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9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0" w:type="dxa"/>
            <w:vAlign w:val="bottom"/>
          </w:tcPr>
          <w:p>
            <w:pPr>
              <w:spacing w:after="0"/>
              <w:rPr>
                <w:sz w:val="21"/>
                <w:szCs w:val="21"/>
                <w:color w:val="auto"/>
              </w:rPr>
            </w:pPr>
          </w:p>
        </w:tc>
        <w:tc>
          <w:tcPr>
            <w:tcW w:w="8560" w:type="dxa"/>
            <w:vAlign w:val="bottom"/>
          </w:tcPr>
          <w:p>
            <w:pPr>
              <w:ind w:left="9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9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20" w:type="dxa"/>
            <w:vAlign w:val="bottom"/>
          </w:tcPr>
          <w:p>
            <w:pPr>
              <w:spacing w:after="0"/>
              <w:rPr>
                <w:sz w:val="21"/>
                <w:szCs w:val="21"/>
                <w:color w:val="auto"/>
              </w:rPr>
            </w:pPr>
          </w:p>
        </w:tc>
        <w:tc>
          <w:tcPr>
            <w:tcW w:w="8560" w:type="dxa"/>
            <w:vAlign w:val="bottom"/>
          </w:tcPr>
          <w:p>
            <w:pPr>
              <w:ind w:left="96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11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5,024</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4,335</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3,517</w:t>
            </w:r>
          </w:p>
        </w:tc>
      </w:tr>
      <w:tr>
        <w:trPr>
          <w:trHeight w:val="210"/>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30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(1,094)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(947)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(884)</w:t>
            </w:r>
          </w:p>
        </w:tc>
      </w:tr>
      <w:tr>
        <w:trPr>
          <w:trHeight w:val="243"/>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Proceeds from disposals of property, plant and equipment</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300"/>
              <w:spacing w:after="0"/>
              <w:rPr>
                <w:sz w:val="20"/>
                <w:szCs w:val="20"/>
                <w:color w:val="auto"/>
              </w:rPr>
            </w:pPr>
            <w:r>
              <w:rPr>
                <w:rFonts w:ascii="Arial" w:cs="Arial" w:eastAsia="Arial" w:hAnsi="Arial"/>
                <w:sz w:val="18"/>
                <w:szCs w:val="18"/>
                <w:color w:val="auto"/>
              </w:rPr>
              <w:t>Increase in investments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(4,074)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(1,220)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(702)</w:t>
            </w:r>
          </w:p>
        </w:tc>
      </w:tr>
      <w:tr>
        <w:trPr>
          <w:trHeight w:val="243"/>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Decrease in investments</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300"/>
              <w:spacing w:after="0"/>
              <w:rPr>
                <w:sz w:val="20"/>
                <w:szCs w:val="20"/>
                <w:color w:val="auto"/>
              </w:rPr>
            </w:pPr>
            <w:r>
              <w:rPr>
                <w:rFonts w:ascii="Arial" w:cs="Arial" w:eastAsia="Arial" w:hAnsi="Arial"/>
                <w:sz w:val="18"/>
                <w:szCs w:val="18"/>
                <w:color w:val="auto"/>
              </w:rPr>
              <w:t>Cash paid for acquisitions, net of cash acquired</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(1,133)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Proceeds from sales of businesses, net of fees paid</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3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20" w:type="dxa"/>
            <w:vAlign w:val="bottom"/>
          </w:tcPr>
          <w:p>
            <w:pPr>
              <w:spacing w:after="0"/>
              <w:rPr>
                <w:sz w:val="22"/>
                <w:szCs w:val="22"/>
                <w:color w:val="auto"/>
              </w:rPr>
            </w:pPr>
          </w:p>
        </w:tc>
        <w:tc>
          <w:tcPr>
            <w:tcW w:w="8560" w:type="dxa"/>
            <w:vAlign w:val="bottom"/>
          </w:tcPr>
          <w:p>
            <w:pPr>
              <w:ind w:left="112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(1,876)</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(1,959)</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r>
      <w:tr>
        <w:trPr>
          <w:trHeight w:val="203"/>
        </w:trPr>
        <w:tc>
          <w:tcPr>
            <w:tcW w:w="20" w:type="dxa"/>
            <w:vAlign w:val="bottom"/>
          </w:tcPr>
          <w:p>
            <w:pPr>
              <w:spacing w:after="0"/>
              <w:rPr>
                <w:sz w:val="17"/>
                <w:szCs w:val="17"/>
                <w:color w:val="auto"/>
              </w:rPr>
            </w:pPr>
          </w:p>
        </w:tc>
        <w:tc>
          <w:tcPr>
            <w:tcW w:w="85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Net increase (decrease) in commercial paper</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300"/>
              <w:spacing w:after="0"/>
              <w:rPr>
                <w:sz w:val="20"/>
                <w:szCs w:val="20"/>
                <w:color w:val="auto"/>
              </w:rPr>
            </w:pPr>
            <w:r>
              <w:rPr>
                <w:rFonts w:ascii="Arial" w:cs="Arial" w:eastAsia="Arial" w:hAnsi="Arial"/>
                <w:sz w:val="18"/>
                <w:szCs w:val="18"/>
                <w:color w:val="auto"/>
              </w:rPr>
              <w:t>Net (decrease) increase in short-term borrowings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30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1,063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Payments of long-term debt</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(607)</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300"/>
              <w:spacing w:after="0"/>
              <w:rPr>
                <w:sz w:val="20"/>
                <w:szCs w:val="20"/>
                <w:color w:val="auto"/>
              </w:rPr>
            </w:pPr>
            <w:r>
              <w:rPr>
                <w:rFonts w:ascii="Arial" w:cs="Arial" w:eastAsia="Arial" w:hAnsi="Arial"/>
                <w:sz w:val="18"/>
                <w:szCs w:val="18"/>
                <w:color w:val="auto"/>
              </w:rPr>
              <w:t>Excess tax benefits from share based payment arrangements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(1,073)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300"/>
              <w:spacing w:after="0"/>
              <w:rPr>
                <w:sz w:val="20"/>
                <w:szCs w:val="20"/>
                <w:color w:val="auto"/>
              </w:rPr>
            </w:pPr>
            <w:r>
              <w:rPr>
                <w:rFonts w:ascii="Arial" w:cs="Arial" w:eastAsia="Arial" w:hAnsi="Arial"/>
                <w:sz w:val="18"/>
                <w:szCs w:val="18"/>
                <w:color w:val="auto"/>
              </w:rPr>
              <w:t>Cash dividends paid</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(1,510)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8"/>
              </w:rPr>
              <w:t>(1,353)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(1,211)</w:t>
            </w:r>
          </w:p>
        </w:tc>
      </w:tr>
      <w:tr>
        <w:trPr>
          <w:trHeight w:val="250"/>
        </w:trPr>
        <w:tc>
          <w:tcPr>
            <w:tcW w:w="20" w:type="dxa"/>
            <w:vAlign w:val="bottom"/>
          </w:tcPr>
          <w:p>
            <w:pPr>
              <w:spacing w:after="0"/>
              <w:rPr>
                <w:sz w:val="21"/>
                <w:szCs w:val="21"/>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ind w:left="1120"/>
              <w:spacing w:after="0"/>
              <w:rPr>
                <w:sz w:val="20"/>
                <w:szCs w:val="20"/>
                <w:color w:val="auto"/>
              </w:rPr>
            </w:pPr>
            <w:r>
              <w:rPr>
                <w:rFonts w:ascii="Arial" w:cs="Arial" w:eastAsia="Arial" w:hAnsi="Arial"/>
                <w:sz w:val="18"/>
                <w:szCs w:val="18"/>
                <w:color w:val="auto"/>
              </w:rPr>
              <w:t>Net cash used for financing activities</w:t>
            </w: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98"/>
              </w:rPr>
              <w:t>(2,272)</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(1,206)</w:t>
            </w:r>
          </w:p>
        </w:tc>
      </w:tr>
      <w:tr>
        <w:trPr>
          <w:trHeight w:val="257"/>
        </w:trPr>
        <w:tc>
          <w:tcPr>
            <w:tcW w:w="8580" w:type="dxa"/>
            <w:vAlign w:val="bottom"/>
            <w:gridSpan w:val="2"/>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1,788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936</w:t>
            </w:r>
          </w:p>
        </w:tc>
      </w:tr>
      <w:tr>
        <w:trPr>
          <w:trHeight w:val="250"/>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r>
      <w:tr>
        <w:trPr>
          <w:trHeight w:val="243"/>
        </w:trPr>
        <w:tc>
          <w:tcPr>
            <w:tcW w:w="20" w:type="dxa"/>
            <w:vAlign w:val="bottom"/>
          </w:tcPr>
          <w:p>
            <w:pPr>
              <w:spacing w:after="0"/>
              <w:rPr>
                <w:sz w:val="21"/>
                <w:szCs w:val="21"/>
                <w:color w:val="auto"/>
              </w:rPr>
            </w:pPr>
          </w:p>
        </w:tc>
        <w:tc>
          <w:tcPr>
            <w:tcW w:w="856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6,959</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6,422</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4,634</w:t>
            </w: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CONSOLIDATED STATEMENT OF SHAREOWNERS’ EQUITY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center"/>
              <w:ind w:left="331"/>
              <w:spacing w:after="0"/>
              <w:rPr>
                <w:sz w:val="20"/>
                <w:szCs w:val="20"/>
                <w:color w:val="auto"/>
              </w:rPr>
            </w:pPr>
            <w:r>
              <w:rPr>
                <w:rFonts w:ascii="Arial" w:cs="Arial" w:eastAsia="Arial" w:hAnsi="Arial"/>
                <w:sz w:val="16"/>
                <w:szCs w:val="16"/>
                <w:b w:val="1"/>
                <w:bCs w:val="1"/>
                <w:color w:val="auto"/>
                <w:w w:val="98"/>
              </w:rPr>
              <w:t>Years Ended December 31,</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0" w:type="dxa"/>
            <w:vAlign w:val="bottom"/>
            <w:tcBorders>
              <w:bottom w:val="single" w:sz="8" w:color="auto"/>
            </w:tcBorders>
            <w:gridSpan w:val="3"/>
          </w:tcPr>
          <w:p>
            <w:pPr>
              <w:jc w:val="right"/>
              <w:ind w:right="20"/>
              <w:spacing w:after="0" w:line="169" w:lineRule="exact"/>
              <w:rPr>
                <w:sz w:val="20"/>
                <w:szCs w:val="20"/>
                <w:color w:val="auto"/>
              </w:rPr>
            </w:pPr>
            <w:r>
              <w:rPr>
                <w:rFonts w:ascii="Arial" w:cs="Arial" w:eastAsia="Arial" w:hAnsi="Arial"/>
                <w:sz w:val="16"/>
                <w:szCs w:val="16"/>
                <w:b w:val="1"/>
                <w:bCs w:val="1"/>
                <w:color w:val="auto"/>
              </w:rPr>
              <w:t>2014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552"/>
              <w:spacing w:after="0" w:line="169" w:lineRule="exact"/>
              <w:rPr>
                <w:sz w:val="20"/>
                <w:szCs w:val="20"/>
                <w:color w:val="auto"/>
              </w:rPr>
            </w:pPr>
            <w:r>
              <w:rPr>
                <w:rFonts w:ascii="Arial" w:cs="Arial" w:eastAsia="Arial" w:hAnsi="Arial"/>
                <w:sz w:val="16"/>
                <w:szCs w:val="16"/>
                <w:b w:val="1"/>
                <w:bCs w:val="1"/>
                <w:color w:val="auto"/>
                <w:w w:val="95"/>
              </w:rPr>
              <w:t>2013</w:t>
            </w:r>
          </w:p>
        </w:tc>
        <w:tc>
          <w:tcPr>
            <w:tcW w:w="26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52"/>
              <w:spacing w:after="0" w:line="169" w:lineRule="exact"/>
              <w:rPr>
                <w:sz w:val="20"/>
                <w:szCs w:val="20"/>
                <w:color w:val="auto"/>
              </w:rPr>
            </w:pPr>
            <w:r>
              <w:rPr>
                <w:rFonts w:ascii="Arial" w:cs="Arial" w:eastAsia="Arial" w:hAnsi="Arial"/>
                <w:sz w:val="16"/>
                <w:szCs w:val="16"/>
                <w:b w:val="1"/>
                <w:bCs w:val="1"/>
                <w:color w:val="auto"/>
              </w:rPr>
              <w:t>2012</w:t>
            </w:r>
          </w:p>
        </w:tc>
      </w:tr>
      <w:tr>
        <w:trPr>
          <w:trHeight w:val="169"/>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1"/>
              <w:spacing w:after="0" w:line="169" w:lineRule="exact"/>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Shares</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ind w:right="232"/>
              <w:spacing w:after="0" w:line="169" w:lineRule="exact"/>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4"/>
                <w:szCs w:val="14"/>
                <w:color w:val="auto"/>
              </w:rPr>
            </w:pPr>
          </w:p>
        </w:tc>
        <w:tc>
          <w:tcPr>
            <w:tcW w:w="700" w:type="dxa"/>
            <w:vAlign w:val="bottom"/>
            <w:tcBorders>
              <w:bottom w:val="single" w:sz="8" w:color="auto"/>
            </w:tcBorders>
          </w:tcPr>
          <w:p>
            <w:pPr>
              <w:jc w:val="right"/>
              <w:ind w:right="212"/>
              <w:spacing w:after="0" w:line="169" w:lineRule="exact"/>
              <w:rPr>
                <w:sz w:val="20"/>
                <w:szCs w:val="20"/>
                <w:color w:val="auto"/>
              </w:rPr>
            </w:pPr>
            <w:r>
              <w:rPr>
                <w:rFonts w:ascii="Arial" w:cs="Arial" w:eastAsia="Arial" w:hAnsi="Arial"/>
                <w:sz w:val="16"/>
                <w:szCs w:val="16"/>
                <w:b w:val="1"/>
                <w:bCs w:val="1"/>
                <w:color w:val="auto"/>
              </w:rPr>
              <w:t>$</w:t>
            </w: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rPr>
              <w:t>(in millions)</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Common stock, par value</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958</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958</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957.6</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958</w:t>
            </w:r>
          </w:p>
        </w:tc>
      </w:tr>
      <w:tr>
        <w:trPr>
          <w:trHeight w:val="21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Additional paid-in capital</w:t>
            </w: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4,682</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4,358</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4,157</w:t>
            </w:r>
          </w:p>
        </w:tc>
      </w:tr>
      <w:tr>
        <w:trPr>
          <w:trHeight w:val="243"/>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Issued for employee savings and option plans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170</w:t>
            </w:r>
          </w:p>
        </w:tc>
      </w:tr>
      <w:tr>
        <w:trPr>
          <w:trHeight w:val="250"/>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Other owner changes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5,038</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4,682</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4,358</w:t>
            </w:r>
          </w:p>
        </w:tc>
      </w:tr>
      <w:tr>
        <w:trPr>
          <w:trHeight w:val="21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Treasury stock</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(173.8)</w:t>
            </w: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(9,374)</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(174.8)</w:t>
            </w: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(8,801)</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(182.9)</w:t>
            </w: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(8,948)</w:t>
            </w:r>
          </w:p>
        </w:tc>
      </w:tr>
      <w:tr>
        <w:trPr>
          <w:trHeight w:val="243"/>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Reacquired stock or repurchases of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(1,073)</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Issued for employee savings and option plans</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464</w:t>
            </w:r>
          </w:p>
        </w:tc>
      </w:tr>
      <w:tr>
        <w:trPr>
          <w:trHeight w:val="257"/>
        </w:trPr>
        <w:tc>
          <w:tcPr>
            <w:tcW w:w="62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60" w:type="dxa"/>
            <w:vAlign w:val="bottom"/>
          </w:tcPr>
          <w:p>
            <w:pPr>
              <w:jc w:val="right"/>
              <w:spacing w:after="0"/>
              <w:rPr>
                <w:sz w:val="20"/>
                <w:szCs w:val="20"/>
                <w:color w:val="auto"/>
              </w:rPr>
            </w:pPr>
            <w:r>
              <w:rPr>
                <w:rFonts w:ascii="Arial" w:cs="Arial" w:eastAsia="Arial" w:hAnsi="Arial"/>
                <w:sz w:val="18"/>
                <w:szCs w:val="18"/>
                <w:color w:val="auto"/>
              </w:rPr>
              <w:t>(175.4)</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(9,374)</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(8,801)</w:t>
            </w:r>
          </w:p>
        </w:tc>
      </w:tr>
      <w:tr>
        <w:trPr>
          <w:trHeight w:val="203"/>
        </w:trPr>
        <w:tc>
          <w:tcPr>
            <w:tcW w:w="20" w:type="dxa"/>
            <w:vAlign w:val="bottom"/>
          </w:tcPr>
          <w:p>
            <w:pPr>
              <w:spacing w:after="0"/>
              <w:rPr>
                <w:sz w:val="17"/>
                <w:szCs w:val="17"/>
                <w:color w:val="auto"/>
              </w:rPr>
            </w:pPr>
          </w:p>
        </w:tc>
        <w:tc>
          <w:tcPr>
            <w:tcW w:w="61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Retained earnings</w:t>
            </w:r>
          </w:p>
        </w:tc>
        <w:tc>
          <w:tcPr>
            <w:tcW w:w="660" w:type="dxa"/>
            <w:vAlign w:val="bottom"/>
            <w:tcBorders>
              <w:top w:val="single" w:sz="8" w:color="auto"/>
            </w:tcBorders>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620" w:type="dxa"/>
            <w:vAlign w:val="bottom"/>
            <w:tcBorders>
              <w:top w:val="single" w:sz="8" w:color="auto"/>
            </w:tcBorders>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40" w:type="dxa"/>
            <w:vAlign w:val="bottom"/>
            <w:tcBorders>
              <w:top w:val="single" w:sz="8" w:color="auto"/>
            </w:tcBorders>
            <w:shd w:val="clear" w:color="auto" w:fill="E5FFFF"/>
          </w:tcPr>
          <w:p>
            <w:pPr>
              <w:spacing w:after="0"/>
              <w:rPr>
                <w:sz w:val="17"/>
                <w:szCs w:val="17"/>
                <w:color w:val="auto"/>
              </w:rPr>
            </w:pPr>
          </w:p>
        </w:tc>
        <w:tc>
          <w:tcPr>
            <w:tcW w:w="20" w:type="dxa"/>
            <w:vAlign w:val="bottom"/>
            <w:tcBorders>
              <w:top w:val="single" w:sz="8" w:color="auto"/>
            </w:tcBorders>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20" w:type="dxa"/>
            <w:vAlign w:val="bottom"/>
            <w:tcBorders>
              <w:top w:val="single" w:sz="8" w:color="auto"/>
            </w:tcBorders>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660" w:type="dxa"/>
            <w:vAlign w:val="bottom"/>
            <w:tcBorders>
              <w:top w:val="single" w:sz="8" w:color="auto"/>
            </w:tcBorders>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r>
      <w:tr>
        <w:trPr>
          <w:trHeight w:val="243"/>
        </w:trPr>
        <w:tc>
          <w:tcPr>
            <w:tcW w:w="620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20,383</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17,799</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16,083</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Net income attributable to Honeywell</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4,239</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3,924</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2,926</w:t>
            </w:r>
          </w:p>
        </w:tc>
      </w:tr>
      <w:tr>
        <w:trPr>
          <w:trHeight w:val="243"/>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Dividends on common stock</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(1,478)</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(1,329)</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(1,210)</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Redemption value adjustment</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280" w:type="dxa"/>
            <w:vAlign w:val="bottom"/>
            <w:gridSpan w:val="2"/>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2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23,115</w:t>
            </w: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20,383</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17,799</w:t>
            </w:r>
          </w:p>
        </w:tc>
      </w:tr>
      <w:tr>
        <w:trPr>
          <w:trHeight w:val="203"/>
        </w:trPr>
        <w:tc>
          <w:tcPr>
            <w:tcW w:w="20" w:type="dxa"/>
            <w:vAlign w:val="bottom"/>
          </w:tcPr>
          <w:p>
            <w:pPr>
              <w:spacing w:after="0"/>
              <w:rPr>
                <w:sz w:val="17"/>
                <w:szCs w:val="17"/>
                <w:color w:val="auto"/>
              </w:rPr>
            </w:pPr>
          </w:p>
        </w:tc>
        <w:tc>
          <w:tcPr>
            <w:tcW w:w="61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Accumulated other comprehensive income (loss)</w:t>
            </w:r>
          </w:p>
        </w:tc>
        <w:tc>
          <w:tcPr>
            <w:tcW w:w="6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0" w:type="dxa"/>
            <w:vAlign w:val="bottom"/>
            <w:tcBorders>
              <w:top w:val="single" w:sz="8" w:color="auto"/>
            </w:tcBorders>
            <w:shd w:val="clear" w:color="auto" w:fill="E5FFFF"/>
          </w:tcPr>
          <w:p>
            <w:pPr>
              <w:spacing w:after="0"/>
              <w:rPr>
                <w:sz w:val="17"/>
                <w:szCs w:val="17"/>
                <w:color w:val="auto"/>
              </w:rPr>
            </w:pPr>
          </w:p>
        </w:tc>
        <w:tc>
          <w:tcPr>
            <w:tcW w:w="620" w:type="dxa"/>
            <w:vAlign w:val="bottom"/>
            <w:tcBorders>
              <w:top w:val="single" w:sz="8" w:color="auto"/>
            </w:tcBorders>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720" w:type="dxa"/>
            <w:vAlign w:val="bottom"/>
            <w:tcBorders>
              <w:top w:val="single" w:sz="8" w:color="auto"/>
            </w:tcBorders>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700" w:type="dxa"/>
            <w:vAlign w:val="bottom"/>
            <w:tcBorders>
              <w:top w:val="single" w:sz="8" w:color="auto"/>
            </w:tcBorders>
            <w:shd w:val="clear" w:color="auto" w:fill="E5FFFF"/>
          </w:tcPr>
          <w:p>
            <w:pPr>
              <w:spacing w:after="0"/>
              <w:rPr>
                <w:sz w:val="17"/>
                <w:szCs w:val="17"/>
                <w:color w:val="auto"/>
              </w:rPr>
            </w:pPr>
          </w:p>
        </w:tc>
      </w:tr>
      <w:tr>
        <w:trPr>
          <w:trHeight w:val="243"/>
        </w:trPr>
        <w:tc>
          <w:tcPr>
            <w:tcW w:w="6200" w:type="dxa"/>
            <w:vAlign w:val="bottom"/>
            <w:gridSpan w:val="2"/>
          </w:tcPr>
          <w:p>
            <w:pPr>
              <w:spacing w:after="0"/>
              <w:rPr>
                <w:sz w:val="20"/>
                <w:szCs w:val="20"/>
                <w:color w:val="auto"/>
              </w:rPr>
            </w:pPr>
            <w:r>
              <w:rPr>
                <w:rFonts w:ascii="Arial" w:cs="Arial" w:eastAsia="Arial" w:hAnsi="Arial"/>
                <w:sz w:val="18"/>
                <w:szCs w:val="18"/>
                <w:color w:val="auto"/>
              </w:rPr>
              <w:t>Beginning balance</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818</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(1,339)</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(1,444)</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Foreign exchange translation adjustment</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(1,044)</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Pensions and other postretirement benefit adjustments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(1,083)</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2,203</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Changes in fair value of available for sale investments</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Changes in fair value of effective cash flow hedges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(1,459)</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(1,339)</w:t>
            </w:r>
          </w:p>
        </w:tc>
      </w:tr>
      <w:tr>
        <w:trPr>
          <w:trHeight w:val="21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8"/>
                <w:szCs w:val="18"/>
                <w:color w:val="auto"/>
              </w:rPr>
              <w:t>Beginning balance</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Acquisitions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Interest sold (bought)</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Foreign exchange translation adjustment</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Dividends paid</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ind w:left="300"/>
              <w:spacing w:after="0"/>
              <w:rPr>
                <w:sz w:val="20"/>
                <w:szCs w:val="20"/>
                <w:color w:val="auto"/>
              </w:rPr>
            </w:pPr>
            <w:r>
              <w:rPr>
                <w:rFonts w:ascii="Arial" w:cs="Arial" w:eastAsia="Arial" w:hAnsi="Arial"/>
                <w:sz w:val="18"/>
                <w:szCs w:val="18"/>
                <w:color w:val="auto"/>
              </w:rPr>
              <w:t>Contributions from noncontrolling interest holders</w:t>
            </w:r>
          </w:p>
        </w:tc>
        <w:tc>
          <w:tcPr>
            <w:tcW w:w="6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E5FFFF"/>
          </w:tcPr>
          <w:p>
            <w:pPr>
              <w:spacing w:after="0"/>
              <w:rPr>
                <w:sz w:val="21"/>
                <w:szCs w:val="21"/>
                <w:color w:val="auto"/>
              </w:rPr>
            </w:pPr>
          </w:p>
        </w:tc>
        <w:tc>
          <w:tcPr>
            <w:tcW w:w="640" w:type="dxa"/>
            <w:vAlign w:val="bottom"/>
            <w:shd w:val="clear" w:color="auto" w:fill="E5FFFF"/>
          </w:tcPr>
          <w:p>
            <w:pPr>
              <w:spacing w:after="0"/>
              <w:rPr>
                <w:sz w:val="21"/>
                <w:szCs w:val="21"/>
                <w:color w:val="auto"/>
              </w:rPr>
            </w:pP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6180" w:type="dxa"/>
            <w:vAlign w:val="bottom"/>
          </w:tcPr>
          <w:p>
            <w:pPr>
              <w:ind w:left="300"/>
              <w:spacing w:after="0"/>
              <w:rPr>
                <w:sz w:val="20"/>
                <w:szCs w:val="20"/>
                <w:color w:val="auto"/>
              </w:rPr>
            </w:pPr>
            <w:r>
              <w:rPr>
                <w:rFonts w:ascii="Arial" w:cs="Arial" w:eastAsia="Arial" w:hAnsi="Arial"/>
                <w:sz w:val="18"/>
                <w:szCs w:val="18"/>
                <w:color w:val="auto"/>
              </w:rPr>
              <w:t>Other owner changes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180" w:type="dxa"/>
            <w:vAlign w:val="bottom"/>
            <w:shd w:val="clear" w:color="auto" w:fill="E5FFFF"/>
          </w:tcPr>
          <w:p>
            <w:pPr>
              <w:spacing w:after="0"/>
              <w:rPr>
                <w:sz w:val="20"/>
                <w:szCs w:val="20"/>
                <w:color w:val="auto"/>
              </w:rPr>
            </w:pPr>
            <w:r>
              <w:rPr>
                <w:rFonts w:ascii="Arial" w:cs="Arial" w:eastAsia="Arial" w:hAnsi="Arial"/>
                <w:sz w:val="18"/>
                <w:szCs w:val="18"/>
                <w:color w:val="auto"/>
              </w:rPr>
              <w:t>Ending balance</w:t>
            </w:r>
          </w:p>
        </w:tc>
        <w:tc>
          <w:tcPr>
            <w:tcW w:w="660" w:type="dxa"/>
            <w:vAlign w:val="bottom"/>
            <w:tcBorders>
              <w:bottom w:val="single" w:sz="8" w:color="auto"/>
            </w:tcBorders>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90</w:t>
            </w:r>
          </w:p>
        </w:tc>
      </w:tr>
      <w:tr>
        <w:trPr>
          <w:trHeight w:val="25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Total shareowners’ equity</w:t>
            </w:r>
          </w:p>
        </w:tc>
        <w:tc>
          <w:tcPr>
            <w:tcW w:w="660" w:type="dxa"/>
            <w:vAlign w:val="bottom"/>
          </w:tcPr>
          <w:p>
            <w:pPr>
              <w:jc w:val="right"/>
              <w:spacing w:after="0"/>
              <w:rPr>
                <w:sz w:val="20"/>
                <w:szCs w:val="20"/>
                <w:color w:val="auto"/>
              </w:rPr>
            </w:pPr>
            <w:r>
              <w:rPr>
                <w:rFonts w:ascii="Arial" w:cs="Arial" w:eastAsia="Arial" w:hAnsi="Arial"/>
                <w:sz w:val="18"/>
                <w:szCs w:val="18"/>
                <w:color w:val="auto"/>
              </w:rPr>
              <w:t>782.2</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17,784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783.8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17,579</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782.8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13,065</w:t>
            </w: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Notes to Financial Statements are an integral part of this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 Summary of Significant Accounting Policies</w:t>
      </w:r>
    </w:p>
    <w:p>
      <w:pPr>
        <w:spacing w:after="0" w:line="106" w:lineRule="exact"/>
        <w:rPr>
          <w:sz w:val="20"/>
          <w:szCs w:val="20"/>
          <w:color w:val="auto"/>
        </w:rPr>
      </w:pPr>
    </w:p>
    <w:p>
      <w:pPr>
        <w:jc w:val="both"/>
        <w:ind w:firstLine="357"/>
        <w:spacing w:after="0" w:line="265" w:lineRule="auto"/>
        <w:rPr>
          <w:sz w:val="20"/>
          <w:szCs w:val="20"/>
          <w:color w:val="auto"/>
        </w:rPr>
      </w:pPr>
      <w:r>
        <w:rPr>
          <w:rFonts w:ascii="Arial" w:cs="Arial" w:eastAsia="Arial" w:hAnsi="Arial"/>
          <w:sz w:val="19"/>
          <w:szCs w:val="19"/>
          <w:b w:val="1"/>
          <w:bCs w:val="1"/>
          <w:i w:val="1"/>
          <w:iCs w:val="1"/>
          <w:color w:val="auto"/>
        </w:rPr>
        <w:t>Accounting Principles</w:t>
      </w:r>
      <w:r>
        <w:rPr>
          <w:rFonts w:ascii="Arial" w:cs="Arial" w:eastAsia="Arial" w:hAnsi="Arial"/>
          <w:sz w:val="19"/>
          <w:szCs w:val="19"/>
          <w:color w:val="auto"/>
        </w:rPr>
        <w:t>—The financial statements and accompanying notes are prepared in accordance with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principles generally accepted in the United States of America. The following is a description of Honeywell’s significant accounting policies.</w:t>
      </w:r>
    </w:p>
    <w:p>
      <w:pPr>
        <w:spacing w:after="0" w:line="274"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b w:val="1"/>
          <w:bCs w:val="1"/>
          <w:i w:val="1"/>
          <w:iCs w:val="1"/>
          <w:color w:val="auto"/>
        </w:rPr>
        <w:t>Principles of Consolidation</w:t>
      </w:r>
      <w:r>
        <w:rPr>
          <w:rFonts w:ascii="Arial" w:cs="Arial" w:eastAsia="Arial" w:hAnsi="Arial"/>
          <w:sz w:val="19"/>
          <w:szCs w:val="19"/>
          <w:color w:val="auto"/>
        </w:rPr>
        <w:t>—The consolidated financial statements include the accounts of Honeywell International Inc. and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its subsidiaries and entities in which a controlling interest is maintained. Our consolidation policy requires equity investments that we exercise significant influence over but do not control the investee and are not the primary beneficiary of the investee’s activities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9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Redeemable noncontrolling interest is considered to be temporary equity and is therefore reported outside of permanent equity on the Consolidated Balance Sheet at the greater of the initial carrying amount adjusted for the noncontrolling interest’s share of net income (loss) or its redemption value.</w:t>
      </w:r>
    </w:p>
    <w:p>
      <w:pPr>
        <w:spacing w:after="0" w:line="5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b w:val="1"/>
          <w:bCs w:val="1"/>
          <w:i w:val="1"/>
          <w:iCs w:val="1"/>
          <w:color w:val="auto"/>
        </w:rPr>
        <w:t>Property, Plant and Equipment</w:t>
      </w:r>
      <w:r>
        <w:rPr>
          <w:rFonts w:ascii="Arial" w:cs="Arial" w:eastAsia="Arial" w:hAnsi="Arial"/>
          <w:sz w:val="19"/>
          <w:szCs w:val="19"/>
          <w:color w:val="auto"/>
        </w:rPr>
        <w:t>—Property, plant and equipment are recorded at cost, including any asset retirement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obligations, less accumulated depreciation. For financial reporting, the straight-line method of depreciation is used over the estimated useful lives of 10 to 50 years for buildings and improvements and 2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66"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Goodwill and Indefinite-Lived Intangible Assets</w:t>
      </w:r>
      <w:r>
        <w:rPr>
          <w:rFonts w:ascii="Arial" w:cs="Arial" w:eastAsia="Arial" w:hAnsi="Arial"/>
          <w:sz w:val="19"/>
          <w:szCs w:val="19"/>
          <w:color w:val="auto"/>
        </w:rPr>
        <w:t>—Goodwill and indefinite-lived intangible assets are subject to impairment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testing annually as of March 31, or whenever events or changes in circumstances indicate that the carrying amount may not be fully recoverable. This testing compares carrying values to fair values and, when appropriate, the carrying value of these assets is reduced to fair value. We completed our annual goodwill impairment test as of March 31, 2014 and determined that there was no impairment as of that date.</w:t>
      </w:r>
    </w:p>
    <w:p>
      <w:pPr>
        <w:spacing w:after="0" w:line="60" w:lineRule="exact"/>
        <w:rPr>
          <w:sz w:val="20"/>
          <w:szCs w:val="20"/>
          <w:color w:val="auto"/>
        </w:rPr>
      </w:pPr>
    </w:p>
    <w:p>
      <w:pPr>
        <w:jc w:val="both"/>
        <w:ind w:firstLine="357"/>
        <w:spacing w:after="0" w:line="258" w:lineRule="auto"/>
        <w:rPr>
          <w:sz w:val="20"/>
          <w:szCs w:val="20"/>
          <w:color w:val="auto"/>
        </w:rPr>
      </w:pPr>
      <w:r>
        <w:rPr>
          <w:rFonts w:ascii="Arial" w:cs="Arial" w:eastAsia="Arial" w:hAnsi="Arial"/>
          <w:sz w:val="19"/>
          <w:szCs w:val="19"/>
          <w:b w:val="1"/>
          <w:bCs w:val="1"/>
          <w:i w:val="1"/>
          <w:iCs w:val="1"/>
          <w:color w:val="auto"/>
        </w:rPr>
        <w:t>Other Intangible Assets with Determinable Lives</w:t>
      </w:r>
      <w:r>
        <w:rPr>
          <w:rFonts w:ascii="Arial" w:cs="Arial" w:eastAsia="Arial" w:hAnsi="Arial"/>
          <w:sz w:val="19"/>
          <w:szCs w:val="19"/>
          <w:color w:val="auto"/>
        </w:rPr>
        <w:t>—Other intangible assets with determinable lives consist of customer lists,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technology, patents and trademarks and other intangibles and are amortized over their estimated useful lives, ranging from 2 to 24 years.</w:t>
      </w:r>
    </w:p>
    <w:p>
      <w:pPr>
        <w:spacing w:after="0" w:line="52"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b w:val="1"/>
          <w:bCs w:val="1"/>
          <w:i w:val="1"/>
          <w:iCs w:val="1"/>
          <w:color w:val="auto"/>
        </w:rPr>
        <w:t>Sales Recognition</w:t>
      </w:r>
      <w:r>
        <w:rPr>
          <w:rFonts w:ascii="Arial" w:cs="Arial" w:eastAsia="Arial" w:hAnsi="Arial"/>
          <w:sz w:val="19"/>
          <w:szCs w:val="19"/>
          <w:color w:val="auto"/>
        </w:rPr>
        <w:t>—Product and service sales are recognized when persuasive evidence of an arrangement exists, product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delivery has occurred or services have been rendered, pricing is fixed or determinable, and collection is reasonably assured. Service sales, principally representing repair, maintenance and engineering activities in our Aerospace and Automation and Control Solutions (ACS) segments, are recognized over the contractual period or as services are rendered. Sales under long-term contracts in the Aerospace, ACS and Performance Materials and Technologies (PMT) segments are recorded on a percentage-of-completion method measured on the cost-to-cost basis for engineering-type contracts and the units-of-delivery basis for production-type contracts. Provisions for anticipated losses on long-term contracts are recorded in full when such losses become evident. Revenues from contracts with multiple element arrangements are recognized as each element is earned based on the relative fair value of each element provided the delivered elements have value to customers on a standalone basis. Amounts allocated to each element are based on its objectively determined fair value, such as the sales price for the product or service when it is sold separately or competitor prices for similar products or services.</w:t>
      </w:r>
    </w:p>
    <w:p>
      <w:pPr>
        <w:spacing w:after="0" w:line="72" w:lineRule="exact"/>
        <w:rPr>
          <w:sz w:val="20"/>
          <w:szCs w:val="20"/>
          <w:color w:val="auto"/>
        </w:rPr>
      </w:pPr>
    </w:p>
    <w:p>
      <w:pPr>
        <w:jc w:val="both"/>
        <w:ind w:firstLine="357"/>
        <w:spacing w:after="0" w:line="258" w:lineRule="auto"/>
        <w:rPr>
          <w:sz w:val="20"/>
          <w:szCs w:val="20"/>
          <w:color w:val="auto"/>
        </w:rPr>
      </w:pPr>
      <w:r>
        <w:rPr>
          <w:rFonts w:ascii="Arial" w:cs="Arial" w:eastAsia="Arial" w:hAnsi="Arial"/>
          <w:sz w:val="19"/>
          <w:szCs w:val="19"/>
          <w:b w:val="1"/>
          <w:bCs w:val="1"/>
          <w:i w:val="1"/>
          <w:iCs w:val="1"/>
          <w:color w:val="auto"/>
        </w:rPr>
        <w:t>Environmental</w:t>
      </w:r>
      <w:r>
        <w:rPr>
          <w:rFonts w:ascii="Arial" w:cs="Arial" w:eastAsia="Arial" w:hAnsi="Arial"/>
          <w:sz w:val="19"/>
          <w:szCs w:val="19"/>
          <w:color w:val="auto"/>
        </w:rPr>
        <w:t>—We accrue costs related to environmental matters when it is probable that we have incurred a liability related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 contaminated site and the amount can be reasonably estimated. For additional information, see Note 19 Commitments and Contingencies.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70" w:lineRule="exact"/>
        <w:rPr>
          <w:sz w:val="20"/>
          <w:szCs w:val="20"/>
          <w:color w:val="auto"/>
        </w:rPr>
      </w:pPr>
    </w:p>
    <w:p>
      <w:pPr>
        <w:jc w:val="both"/>
        <w:ind w:firstLine="357"/>
        <w:spacing w:after="0" w:line="251" w:lineRule="auto"/>
        <w:rPr>
          <w:sz w:val="20"/>
          <w:szCs w:val="20"/>
          <w:color w:val="auto"/>
        </w:rPr>
      </w:pPr>
      <w:r>
        <w:rPr>
          <w:rFonts w:ascii="Arial" w:cs="Arial" w:eastAsia="Arial" w:hAnsi="Arial"/>
          <w:sz w:val="19"/>
          <w:szCs w:val="19"/>
          <w:b w:val="1"/>
          <w:bCs w:val="1"/>
          <w:i w:val="1"/>
          <w:iCs w:val="1"/>
          <w:color w:val="auto"/>
        </w:rPr>
        <w:t>Asbestos Related Contingencies and Insurance Recoveries</w:t>
      </w:r>
      <w:r>
        <w:rPr>
          <w:rFonts w:ascii="Arial" w:cs="Arial" w:eastAsia="Arial" w:hAnsi="Arial"/>
          <w:sz w:val="19"/>
          <w:szCs w:val="19"/>
          <w:color w:val="auto"/>
        </w:rPr>
        <w:t>—We recognize a liability for any asbestos related contingency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is probable of occurrence and reasonably estimable. In connection with the recognition of liabilities for asbestos related matters, we record asbestos related insurance recoveries that are deemed probable. For additional information, see Note 19 Commitments and Contingencies.</w:t>
      </w:r>
    </w:p>
    <w:p>
      <w:pPr>
        <w:spacing w:after="0" w:line="58"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Aerospace Sales Incentives</w:t>
      </w:r>
      <w:r>
        <w:rPr>
          <w:rFonts w:ascii="Arial" w:cs="Arial" w:eastAsia="Arial" w:hAnsi="Arial"/>
          <w:sz w:val="19"/>
          <w:szCs w:val="19"/>
          <w:color w:val="auto"/>
        </w:rPr>
        <w:t>—We provide sales incentives to commercial aircraft manufacturers and airlines in connection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their selection of our aircraft equipment, predominately wheel and braking system hardware, avionics, and auxiliary power units, for installation on commercial aircraft. These incentives consist of free or deeply discounted products, credits for future purchases of product and upfront cash payments. These costs are recognized in the period incurred as cost of products sold or as a reduction to sales, as appropriate.</w:t>
      </w:r>
    </w:p>
    <w:p>
      <w:pPr>
        <w:spacing w:after="0" w:line="60" w:lineRule="exact"/>
        <w:rPr>
          <w:sz w:val="20"/>
          <w:szCs w:val="20"/>
          <w:color w:val="auto"/>
        </w:rPr>
      </w:pPr>
    </w:p>
    <w:p>
      <w:pPr>
        <w:jc w:val="both"/>
        <w:ind w:firstLine="357"/>
        <w:spacing w:after="0" w:line="258" w:lineRule="auto"/>
        <w:rPr>
          <w:sz w:val="20"/>
          <w:szCs w:val="20"/>
          <w:color w:val="auto"/>
        </w:rPr>
      </w:pPr>
      <w:r>
        <w:rPr>
          <w:rFonts w:ascii="Arial" w:cs="Arial" w:eastAsia="Arial" w:hAnsi="Arial"/>
          <w:sz w:val="19"/>
          <w:szCs w:val="19"/>
          <w:b w:val="1"/>
          <w:bCs w:val="1"/>
          <w:i w:val="1"/>
          <w:iCs w:val="1"/>
          <w:color w:val="auto"/>
        </w:rPr>
        <w:t>Research and Development</w:t>
      </w:r>
      <w:r>
        <w:rPr>
          <w:rFonts w:ascii="Arial" w:cs="Arial" w:eastAsia="Arial" w:hAnsi="Arial"/>
          <w:sz w:val="19"/>
          <w:szCs w:val="19"/>
          <w:color w:val="auto"/>
        </w:rPr>
        <w:t>—Research and development costs for company-sponsored research and development projects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are expensed as incurred. Such costs are principally included in Cost of Products Sold and were $1,892 million, $1,804 million and $1,847 million in 2014, 2013 and 2012, respectively.</w:t>
      </w:r>
    </w:p>
    <w:p>
      <w:pPr>
        <w:spacing w:after="0" w:line="52" w:lineRule="exact"/>
        <w:rPr>
          <w:sz w:val="20"/>
          <w:szCs w:val="20"/>
          <w:color w:val="auto"/>
        </w:rPr>
      </w:pPr>
    </w:p>
    <w:p>
      <w:pPr>
        <w:jc w:val="both"/>
        <w:ind w:firstLine="357"/>
        <w:spacing w:after="0" w:line="244" w:lineRule="auto"/>
        <w:rPr>
          <w:sz w:val="20"/>
          <w:szCs w:val="20"/>
          <w:color w:val="auto"/>
        </w:rPr>
      </w:pPr>
      <w:r>
        <w:rPr>
          <w:rFonts w:ascii="Arial" w:cs="Arial" w:eastAsia="Arial" w:hAnsi="Arial"/>
          <w:sz w:val="19"/>
          <w:szCs w:val="19"/>
          <w:b w:val="1"/>
          <w:bCs w:val="1"/>
          <w:i w:val="1"/>
          <w:iCs w:val="1"/>
          <w:color w:val="auto"/>
        </w:rPr>
        <w:t>Stock-Based Compensation Plans</w:t>
      </w:r>
      <w:r>
        <w:rPr>
          <w:rFonts w:ascii="Arial" w:cs="Arial" w:eastAsia="Arial" w:hAnsi="Arial"/>
          <w:sz w:val="19"/>
          <w:szCs w:val="19"/>
          <w:color w:val="auto"/>
        </w:rPr>
        <w:t>—The principal awards issued under our stock-based compensation plans, which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described in Note 18 Stock-Based Compensation Plans, are non-qualified stock options and restricted stock units (RSUs).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 in our Consolidated Statement of Operations. Forfeitures are estimated at the time of grant to recognize expense for those awards that are expected to vest and are based on our historical forfeiture rates.</w:t>
      </w:r>
    </w:p>
    <w:p>
      <w:pPr>
        <w:spacing w:after="0" w:line="288"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Pension Benefits</w:t>
      </w:r>
      <w:r>
        <w:rPr>
          <w:rFonts w:ascii="Arial" w:cs="Arial" w:eastAsia="Arial" w:hAnsi="Arial"/>
          <w:sz w:val="19"/>
          <w:szCs w:val="19"/>
          <w:color w:val="auto"/>
        </w:rPr>
        <w:t>—We recognize net actuarial gains or losses in excess of 10% of the greater of the fair value of plan assets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plans’ projected benefit obligation (the corridor) annually in the fourth quarter each year (MTM Adjustment), and, if applicable, in any quarter in which an interim remeasurement is triggered. The remaining components of pension (income) expense, primarily service and interest costs and assumed return on plan assets, are recognized on a quarterly basis (Pension ongoing (income) expense).</w:t>
      </w:r>
    </w:p>
    <w:p>
      <w:pPr>
        <w:spacing w:after="0" w:line="272" w:lineRule="exact"/>
        <w:rPr>
          <w:sz w:val="20"/>
          <w:szCs w:val="20"/>
          <w:color w:val="auto"/>
        </w:rPr>
      </w:pPr>
    </w:p>
    <w:p>
      <w:pPr>
        <w:jc w:val="both"/>
        <w:ind w:firstLine="357"/>
        <w:spacing w:after="0" w:line="244" w:lineRule="auto"/>
        <w:rPr>
          <w:sz w:val="20"/>
          <w:szCs w:val="20"/>
          <w:color w:val="auto"/>
        </w:rPr>
      </w:pPr>
      <w:r>
        <w:rPr>
          <w:rFonts w:ascii="Arial" w:cs="Arial" w:eastAsia="Arial" w:hAnsi="Arial"/>
          <w:sz w:val="19"/>
          <w:szCs w:val="19"/>
          <w:b w:val="1"/>
          <w:bCs w:val="1"/>
          <w:i w:val="1"/>
          <w:iCs w:val="1"/>
          <w:color w:val="auto"/>
        </w:rPr>
        <w:t>Foreign Currency Translation</w:t>
      </w:r>
      <w:r>
        <w:rPr>
          <w:rFonts w:ascii="Arial" w:cs="Arial" w:eastAsia="Arial" w:hAnsi="Arial"/>
          <w:sz w:val="19"/>
          <w:szCs w:val="19"/>
          <w:color w:val="auto"/>
        </w:rPr>
        <w:t>—Assets and liabilities of subsidiaries operating outside the United States with a functional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66" w:lineRule="exact"/>
        <w:rPr>
          <w:sz w:val="20"/>
          <w:szCs w:val="20"/>
          <w:color w:val="auto"/>
        </w:rPr>
      </w:pPr>
    </w:p>
    <w:p>
      <w:pPr>
        <w:jc w:val="both"/>
        <w:ind w:firstLine="357"/>
        <w:spacing w:after="0" w:line="244" w:lineRule="auto"/>
        <w:rPr>
          <w:sz w:val="20"/>
          <w:szCs w:val="20"/>
          <w:color w:val="auto"/>
        </w:rPr>
      </w:pPr>
      <w:r>
        <w:rPr>
          <w:rFonts w:ascii="Arial" w:cs="Arial" w:eastAsia="Arial" w:hAnsi="Arial"/>
          <w:sz w:val="19"/>
          <w:szCs w:val="19"/>
          <w:b w:val="1"/>
          <w:bCs w:val="1"/>
          <w:i w:val="1"/>
          <w:iCs w:val="1"/>
          <w:color w:val="auto"/>
        </w:rPr>
        <w:t>Derivative Financial Instruments</w:t>
      </w:r>
      <w:r>
        <w:rPr>
          <w:rFonts w:ascii="Arial" w:cs="Arial" w:eastAsia="Arial" w:hAnsi="Arial"/>
          <w:sz w:val="19"/>
          <w:szCs w:val="19"/>
          <w:color w:val="auto"/>
        </w:rPr>
        <w:t>—We minimize our risks from interest and foreign currency exchange rate fluctuations through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normal operating and financing activities and, when deemed appropriate through the use of derivative financial instruments. Derivative financial instruments are used to manage risk and are not used for trading or other speculative purposes and we do not use leveraged derivative financial instruments.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All derivatives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effective portion of the changes in fair value of the derivatives are recorded in Accumulated Other Comprehensive Income (Loss) and subsequently recognized in earnings when the hedged items impact earnings. Cash flows of such derivative financial instruments are classified consistent with the underlying hedged item.</w:t>
      </w:r>
    </w:p>
    <w:p>
      <w:pPr>
        <w:spacing w:after="0" w:line="288"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b w:val="1"/>
          <w:bCs w:val="1"/>
          <w:i w:val="1"/>
          <w:iCs w:val="1"/>
          <w:color w:val="auto"/>
        </w:rPr>
        <w:t>Income Taxes</w:t>
      </w:r>
      <w:r>
        <w:rPr>
          <w:rFonts w:ascii="Arial" w:cs="Arial" w:eastAsia="Arial" w:hAnsi="Arial"/>
          <w:sz w:val="19"/>
          <w:szCs w:val="19"/>
          <w:color w:val="auto"/>
        </w:rPr>
        <w:t>—Significant judgment is required in evaluating tax positions. We establish additional reserves for income taxes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 despite the belief that tax positions are fully supportable, there remain certain positions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We regularly assess the potential outcomes of these examinations and any future examinations for the current or prior years in determining the adequacy of our provision for income taxes. We continually assess the likelihood and amount of potential adjustments and adjust the income tax provision, the current tax liability and deferred taxes in the period in which the facts that give rise to a change in estimate become known.</w:t>
      </w:r>
    </w:p>
    <w:p>
      <w:pPr>
        <w:spacing w:after="0" w:line="70" w:lineRule="exact"/>
        <w:rPr>
          <w:sz w:val="20"/>
          <w:szCs w:val="20"/>
          <w:color w:val="auto"/>
        </w:rPr>
      </w:pPr>
    </w:p>
    <w:p>
      <w:pPr>
        <w:jc w:val="both"/>
        <w:ind w:firstLine="357"/>
        <w:spacing w:after="0" w:line="258" w:lineRule="auto"/>
        <w:rPr>
          <w:sz w:val="20"/>
          <w:szCs w:val="20"/>
          <w:color w:val="auto"/>
        </w:rPr>
      </w:pPr>
      <w:r>
        <w:rPr>
          <w:rFonts w:ascii="Arial" w:cs="Arial" w:eastAsia="Arial" w:hAnsi="Arial"/>
          <w:sz w:val="19"/>
          <w:szCs w:val="19"/>
          <w:b w:val="1"/>
          <w:bCs w:val="1"/>
          <w:i w:val="1"/>
          <w:iCs w:val="1"/>
          <w:color w:val="auto"/>
        </w:rPr>
        <w:t>Earnings Per Share</w:t>
      </w:r>
      <w:r>
        <w:rPr>
          <w:rFonts w:ascii="Arial" w:cs="Arial" w:eastAsia="Arial" w:hAnsi="Arial"/>
          <w:sz w:val="19"/>
          <w:szCs w:val="19"/>
          <w:color w:val="auto"/>
        </w:rPr>
        <w:t>—Basic earnings per share is based on the weighted average number of common shares outstanding.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Diluted earnings per share is based on the weighted average number of common shares outstanding and all dilutive potential common shares outstanding.</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Reclassifications</w:t>
      </w:r>
      <w:r>
        <w:rPr>
          <w:rFonts w:ascii="Arial" w:cs="Arial" w:eastAsia="Arial" w:hAnsi="Arial"/>
          <w:sz w:val="19"/>
          <w:szCs w:val="19"/>
          <w:color w:val="auto"/>
        </w:rPr>
        <w:t>—Certain prior year amounts have been reclassified to conform to the current year presentation.</w:t>
      </w:r>
    </w:p>
    <w:p>
      <w:pPr>
        <w:spacing w:after="0" w:line="106" w:lineRule="exact"/>
        <w:rPr>
          <w:sz w:val="20"/>
          <w:szCs w:val="20"/>
          <w:color w:val="auto"/>
        </w:rPr>
      </w:pPr>
    </w:p>
    <w:p>
      <w:pPr>
        <w:jc w:val="both"/>
        <w:ind w:firstLine="357"/>
        <w:spacing w:after="0" w:line="258" w:lineRule="auto"/>
        <w:rPr>
          <w:sz w:val="20"/>
          <w:szCs w:val="20"/>
          <w:color w:val="auto"/>
        </w:rPr>
      </w:pPr>
      <w:r>
        <w:rPr>
          <w:rFonts w:ascii="Arial" w:cs="Arial" w:eastAsia="Arial" w:hAnsi="Arial"/>
          <w:sz w:val="19"/>
          <w:szCs w:val="19"/>
          <w:b w:val="1"/>
          <w:bCs w:val="1"/>
          <w:i w:val="1"/>
          <w:iCs w:val="1"/>
          <w:color w:val="auto"/>
        </w:rPr>
        <w:t>Recent Accounting Pronouncements</w:t>
      </w:r>
      <w:r>
        <w:rPr>
          <w:rFonts w:ascii="Arial" w:cs="Arial" w:eastAsia="Arial" w:hAnsi="Arial"/>
          <w:sz w:val="19"/>
          <w:szCs w:val="19"/>
          <w:color w:val="auto"/>
        </w:rPr>
        <w:t>—Changes to accounting principles generally accepted in the United States of America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 GAAP) are established by the Financial Accounting Standards Board (FASB) in the form of accounting standards updates (ASU’s) to the FASB’s Accounting Standards Codification.</w:t>
      </w:r>
    </w:p>
    <w:p>
      <w:pPr>
        <w:spacing w:after="0" w:line="62"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The Company considers the applicability and impact of all ASU’s. ASU’s not listed below were assessed and determined to be either not applicable or are expected to have minimal impact on our consolidated financial position or results of operations.</w:t>
      </w:r>
    </w:p>
    <w:p>
      <w:pPr>
        <w:spacing w:after="0" w:line="80"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In May 2014, the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guidance is effective for the interim and annual periods beginning on or after December 15, 2016 (early adoption is not permitted).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Divestiture</w:t>
      </w:r>
    </w:p>
    <w:p>
      <w:pPr>
        <w:spacing w:after="0" w:line="130" w:lineRule="exact"/>
        <w:rPr>
          <w:sz w:val="20"/>
          <w:szCs w:val="20"/>
          <w:color w:val="auto"/>
        </w:rPr>
      </w:pPr>
    </w:p>
    <w:p>
      <w:pPr>
        <w:jc w:val="both"/>
        <w:ind w:right="20" w:firstLine="357"/>
        <w:spacing w:after="0" w:line="253" w:lineRule="auto"/>
        <w:rPr>
          <w:sz w:val="20"/>
          <w:szCs w:val="20"/>
          <w:color w:val="auto"/>
        </w:rPr>
      </w:pPr>
      <w:r>
        <w:rPr>
          <w:rFonts w:ascii="Arial" w:cs="Arial" w:eastAsia="Arial" w:hAnsi="Arial"/>
          <w:sz w:val="19"/>
          <w:szCs w:val="19"/>
          <w:color w:val="auto"/>
        </w:rPr>
        <w:t>In 2014, the Company sold its Friction Materials business to Federal Mogul Corporation for $155 million and recognized a pre-tax and after-tax loss of $33 million (of which $5 million was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recognized in 2014). The sale of Friction Materials, which was part of the Transportation Systems business, is consistent with the Company’s strategic focus on its portfolio of differentiated global technologies.</w:t>
      </w:r>
    </w:p>
    <w:p>
      <w:pPr>
        <w:spacing w:after="0" w:line="80"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Following the closing of the sale, the Company announced the realignment of its Transportation Systems business segment with its Aerospace business segment. Under the realigned segment reporting structure, the Company has three business segments: Aerospace, Automation and Control Solutions and Performance Materials and Technologies. This realignment has no impact on the Company’s historical consolidated financial position, results of operations or cash flows. The Company has reported its financial performance based on the inclusion of Transportation Systems in Aerospace for all periods presented.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3. Repositioning and Other Charges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summary of repositioning and other charges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80" w:type="dxa"/>
            <w:vAlign w:val="bottom"/>
          </w:tcPr>
          <w:p>
            <w:pPr>
              <w:spacing w:after="0"/>
              <w:rPr>
                <w:sz w:val="16"/>
                <w:szCs w:val="16"/>
                <w:color w:val="auto"/>
              </w:rPr>
            </w:pPr>
          </w:p>
        </w:tc>
        <w:tc>
          <w:tcPr>
            <w:tcW w:w="23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9080" w:type="dxa"/>
            <w:vAlign w:val="bottom"/>
          </w:tcPr>
          <w:p>
            <w:pPr>
              <w:spacing w:after="0"/>
              <w:rPr>
                <w:sz w:val="14"/>
                <w:szCs w:val="14"/>
                <w:color w:val="auto"/>
              </w:rPr>
            </w:pPr>
          </w:p>
        </w:tc>
        <w:tc>
          <w:tcPr>
            <w:tcW w:w="540" w:type="dxa"/>
            <w:vAlign w:val="bottom"/>
            <w:tcBorders>
              <w:bottom w:val="single" w:sz="8" w:color="auto"/>
            </w:tcBorders>
          </w:tcPr>
          <w:p>
            <w:pPr>
              <w:jc w:val="right"/>
              <w:ind w:right="6"/>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560" w:type="dxa"/>
            <w:vAlign w:val="bottom"/>
            <w:tcBorders>
              <w:bottom w:val="single" w:sz="8" w:color="auto"/>
            </w:tcBorders>
          </w:tcPr>
          <w:p>
            <w:pPr>
              <w:jc w:val="right"/>
              <w:ind w:right="8"/>
              <w:spacing w:after="0" w:line="169" w:lineRule="exact"/>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6"/>
                <w:szCs w:val="16"/>
                <w:b w:val="1"/>
                <w:bCs w:val="1"/>
                <w:color w:val="auto"/>
                <w:w w:val="95"/>
              </w:rPr>
              <w:t>2012</w:t>
            </w:r>
          </w:p>
        </w:tc>
      </w:tr>
      <w:tr>
        <w:trPr>
          <w:trHeight w:val="237"/>
        </w:trPr>
        <w:tc>
          <w:tcPr>
            <w:tcW w:w="9080" w:type="dxa"/>
            <w:vAlign w:val="bottom"/>
            <w:shd w:val="clear" w:color="auto" w:fill="E5FFFF"/>
          </w:tcPr>
          <w:p>
            <w:pPr>
              <w:spacing w:after="0"/>
              <w:rPr>
                <w:sz w:val="20"/>
                <w:szCs w:val="20"/>
                <w:color w:val="auto"/>
              </w:rPr>
            </w:pPr>
            <w:r>
              <w:rPr>
                <w:rFonts w:ascii="Arial" w:cs="Arial" w:eastAsia="Arial" w:hAnsi="Arial"/>
                <w:sz w:val="19"/>
                <w:szCs w:val="19"/>
                <w:color w:val="auto"/>
              </w:rPr>
              <w:t>Severance</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2"/>
              </w:rPr>
              <w:t>$ 156</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$ 186</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91</w:t>
            </w:r>
          </w:p>
        </w:tc>
      </w:tr>
      <w:tr>
        <w:trPr>
          <w:trHeight w:val="243"/>
        </w:trPr>
        <w:tc>
          <w:tcPr>
            <w:tcW w:w="9080" w:type="dxa"/>
            <w:vAlign w:val="bottom"/>
          </w:tcPr>
          <w:p>
            <w:pPr>
              <w:spacing w:after="0"/>
              <w:rPr>
                <w:sz w:val="20"/>
                <w:szCs w:val="20"/>
                <w:color w:val="auto"/>
              </w:rPr>
            </w:pPr>
            <w:r>
              <w:rPr>
                <w:rFonts w:ascii="Arial" w:cs="Arial" w:eastAsia="Arial" w:hAnsi="Arial"/>
                <w:sz w:val="19"/>
                <w:szCs w:val="19"/>
                <w:color w:val="auto"/>
              </w:rPr>
              <w:t>Asset impairments</w:t>
            </w:r>
          </w:p>
        </w:tc>
        <w:tc>
          <w:tcPr>
            <w:tcW w:w="540" w:type="dxa"/>
            <w:vAlign w:val="bottom"/>
          </w:tcPr>
          <w:p>
            <w:pPr>
              <w:jc w:val="right"/>
              <w:spacing w:after="0"/>
              <w:rPr>
                <w:sz w:val="20"/>
                <w:szCs w:val="20"/>
                <w:color w:val="auto"/>
              </w:rPr>
            </w:pPr>
            <w:r>
              <w:rPr>
                <w:rFonts w:ascii="Arial" w:cs="Arial" w:eastAsia="Arial" w:hAnsi="Arial"/>
                <w:sz w:val="19"/>
                <w:szCs w:val="19"/>
                <w:color w:val="auto"/>
              </w:rPr>
              <w:t>12</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23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43"/>
        </w:trPr>
        <w:tc>
          <w:tcPr>
            <w:tcW w:w="9080" w:type="dxa"/>
            <w:vAlign w:val="bottom"/>
            <w:shd w:val="clear" w:color="auto" w:fill="E5FFFF"/>
          </w:tcPr>
          <w:p>
            <w:pPr>
              <w:spacing w:after="0"/>
              <w:rPr>
                <w:sz w:val="20"/>
                <w:szCs w:val="20"/>
                <w:color w:val="auto"/>
              </w:rPr>
            </w:pPr>
            <w:r>
              <w:rPr>
                <w:rFonts w:ascii="Arial" w:cs="Arial" w:eastAsia="Arial" w:hAnsi="Arial"/>
                <w:sz w:val="19"/>
                <w:szCs w:val="19"/>
                <w:color w:val="auto"/>
              </w:rPr>
              <w:t>Exit costs</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w:t>
            </w:r>
          </w:p>
        </w:tc>
      </w:tr>
      <w:tr>
        <w:trPr>
          <w:trHeight w:val="250"/>
        </w:trPr>
        <w:tc>
          <w:tcPr>
            <w:tcW w:w="9080" w:type="dxa"/>
            <w:vAlign w:val="bottom"/>
          </w:tcPr>
          <w:p>
            <w:pPr>
              <w:spacing w:after="0"/>
              <w:rPr>
                <w:sz w:val="20"/>
                <w:szCs w:val="20"/>
                <w:color w:val="auto"/>
              </w:rPr>
            </w:pPr>
            <w:r>
              <w:rPr>
                <w:rFonts w:ascii="Arial" w:cs="Arial" w:eastAsia="Arial" w:hAnsi="Arial"/>
                <w:sz w:val="19"/>
                <w:szCs w:val="19"/>
                <w:color w:val="auto"/>
              </w:rPr>
              <w:t>Reserve adjustments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w:t>
            </w:r>
          </w:p>
        </w:tc>
        <w:tc>
          <w:tcPr>
            <w:tcW w:w="3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w:t>
            </w:r>
          </w:p>
        </w:tc>
      </w:tr>
      <w:tr>
        <w:trPr>
          <w:trHeight w:val="243"/>
        </w:trPr>
        <w:tc>
          <w:tcPr>
            <w:tcW w:w="90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net repositioning charge</w:t>
            </w: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146</w:t>
            </w:r>
          </w:p>
        </w:tc>
        <w:tc>
          <w:tcPr>
            <w:tcW w:w="320" w:type="dxa"/>
            <w:vAlign w:val="bottom"/>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201</w:t>
            </w:r>
          </w:p>
        </w:tc>
        <w:tc>
          <w:tcPr>
            <w:tcW w:w="3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53</w:t>
            </w:r>
          </w:p>
        </w:tc>
      </w:tr>
      <w:tr>
        <w:trPr>
          <w:trHeight w:val="250"/>
        </w:trPr>
        <w:tc>
          <w:tcPr>
            <w:tcW w:w="9080" w:type="dxa"/>
            <w:vAlign w:val="bottom"/>
          </w:tcPr>
          <w:p>
            <w:pPr>
              <w:spacing w:after="0"/>
              <w:rPr>
                <w:sz w:val="20"/>
                <w:szCs w:val="20"/>
                <w:color w:val="auto"/>
              </w:rPr>
            </w:pPr>
            <w:r>
              <w:rPr>
                <w:rFonts w:ascii="Arial" w:cs="Arial" w:eastAsia="Arial" w:hAnsi="Arial"/>
                <w:sz w:val="19"/>
                <w:szCs w:val="19"/>
                <w:color w:val="auto"/>
              </w:rPr>
              <w:t>Asbestos related litigation charges, net of insurance</w:t>
            </w:r>
          </w:p>
        </w:tc>
        <w:tc>
          <w:tcPr>
            <w:tcW w:w="540" w:type="dxa"/>
            <w:vAlign w:val="bottom"/>
          </w:tcPr>
          <w:p>
            <w:pPr>
              <w:jc w:val="right"/>
              <w:spacing w:after="0"/>
              <w:rPr>
                <w:sz w:val="20"/>
                <w:szCs w:val="20"/>
                <w:color w:val="auto"/>
              </w:rPr>
            </w:pPr>
            <w:r>
              <w:rPr>
                <w:rFonts w:ascii="Arial" w:cs="Arial" w:eastAsia="Arial" w:hAnsi="Arial"/>
                <w:sz w:val="19"/>
                <w:szCs w:val="19"/>
                <w:color w:val="auto"/>
              </w:rPr>
              <w:t>182</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181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156</w:t>
            </w:r>
          </w:p>
        </w:tc>
      </w:tr>
      <w:tr>
        <w:trPr>
          <w:trHeight w:val="243"/>
        </w:trPr>
        <w:tc>
          <w:tcPr>
            <w:tcW w:w="9080" w:type="dxa"/>
            <w:vAlign w:val="bottom"/>
            <w:shd w:val="clear" w:color="auto" w:fill="E5FFFF"/>
          </w:tcPr>
          <w:p>
            <w:pPr>
              <w:spacing w:after="0"/>
              <w:rPr>
                <w:sz w:val="20"/>
                <w:szCs w:val="20"/>
                <w:color w:val="auto"/>
              </w:rPr>
            </w:pPr>
            <w:r>
              <w:rPr>
                <w:rFonts w:ascii="Arial" w:cs="Arial" w:eastAsia="Arial" w:hAnsi="Arial"/>
                <w:sz w:val="19"/>
                <w:szCs w:val="19"/>
                <w:color w:val="auto"/>
              </w:rPr>
              <w:t>Probable and reasonably estimable environmental liabilities</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268</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272</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234</w:t>
            </w:r>
          </w:p>
        </w:tc>
      </w:tr>
      <w:tr>
        <w:trPr>
          <w:trHeight w:val="250"/>
        </w:trPr>
        <w:tc>
          <w:tcPr>
            <w:tcW w:w="9080" w:type="dxa"/>
            <w:vAlign w:val="bottom"/>
          </w:tcPr>
          <w:p>
            <w:pPr>
              <w:spacing w:after="0"/>
              <w:rPr>
                <w:sz w:val="20"/>
                <w:szCs w:val="20"/>
                <w:color w:val="auto"/>
              </w:rPr>
            </w:pPr>
            <w:r>
              <w:rPr>
                <w:rFonts w:ascii="Arial" w:cs="Arial" w:eastAsia="Arial" w:hAnsi="Arial"/>
                <w:sz w:val="19"/>
                <w:szCs w:val="19"/>
                <w:color w:val="auto"/>
              </w:rPr>
              <w:t>Other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w:t>
            </w:r>
          </w:p>
        </w:tc>
        <w:tc>
          <w:tcPr>
            <w:tcW w:w="32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90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net repositioning and other charges</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2"/>
              </w:rPr>
              <w:t>$ 598</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$ 663</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443</w:t>
            </w:r>
          </w:p>
        </w:tc>
      </w:tr>
      <w:tr>
        <w:trPr>
          <w:trHeight w:val="20"/>
        </w:trPr>
        <w:tc>
          <w:tcPr>
            <w:tcW w:w="9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6" w:lineRule="auto"/>
        <w:rPr>
          <w:sz w:val="20"/>
          <w:szCs w:val="20"/>
          <w:color w:val="auto"/>
        </w:rPr>
      </w:pPr>
      <w:r>
        <w:rPr>
          <w:rFonts w:ascii="Arial" w:cs="Arial" w:eastAsia="Arial" w:hAnsi="Arial"/>
          <w:sz w:val="19"/>
          <w:szCs w:val="19"/>
          <w:color w:val="auto"/>
        </w:rPr>
        <w:t>The following table summarizes the pretax distribution of total net repositioning and other charges by income statement classification: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80" w:type="dxa"/>
            <w:vAlign w:val="bottom"/>
          </w:tcPr>
          <w:p>
            <w:pPr>
              <w:spacing w:after="0"/>
              <w:rPr>
                <w:sz w:val="16"/>
                <w:szCs w:val="16"/>
                <w:color w:val="auto"/>
              </w:rPr>
            </w:pPr>
          </w:p>
        </w:tc>
        <w:tc>
          <w:tcPr>
            <w:tcW w:w="234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9080" w:type="dxa"/>
            <w:vAlign w:val="bottom"/>
          </w:tcPr>
          <w:p>
            <w:pPr>
              <w:spacing w:after="0"/>
              <w:rPr>
                <w:sz w:val="14"/>
                <w:szCs w:val="14"/>
                <w:color w:val="auto"/>
              </w:rPr>
            </w:pPr>
          </w:p>
        </w:tc>
        <w:tc>
          <w:tcPr>
            <w:tcW w:w="540" w:type="dxa"/>
            <w:vAlign w:val="bottom"/>
            <w:tcBorders>
              <w:bottom w:val="single" w:sz="8" w:color="auto"/>
            </w:tcBorders>
          </w:tcPr>
          <w:p>
            <w:pPr>
              <w:jc w:val="right"/>
              <w:ind w:right="10"/>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9080" w:type="dxa"/>
            <w:vAlign w:val="bottom"/>
            <w:shd w:val="clear" w:color="auto" w:fill="E5FFFF"/>
          </w:tcPr>
          <w:p>
            <w:pPr>
              <w:spacing w:after="0"/>
              <w:rPr>
                <w:sz w:val="20"/>
                <w:szCs w:val="20"/>
                <w:color w:val="auto"/>
              </w:rPr>
            </w:pPr>
            <w:r>
              <w:rPr>
                <w:rFonts w:ascii="Arial" w:cs="Arial" w:eastAsia="Arial" w:hAnsi="Arial"/>
                <w:sz w:val="19"/>
                <w:szCs w:val="19"/>
                <w:color w:val="auto"/>
              </w:rPr>
              <w:t>Cost of products and services sold</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$ 525</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$ 566</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$ 428</w:t>
            </w:r>
          </w:p>
        </w:tc>
      </w:tr>
      <w:tr>
        <w:trPr>
          <w:trHeight w:val="250"/>
        </w:trPr>
        <w:tc>
          <w:tcPr>
            <w:tcW w:w="9080" w:type="dxa"/>
            <w:vAlign w:val="bottom"/>
          </w:tcPr>
          <w:p>
            <w:pPr>
              <w:spacing w:after="0"/>
              <w:rPr>
                <w:sz w:val="20"/>
                <w:szCs w:val="20"/>
                <w:color w:val="auto"/>
              </w:rPr>
            </w:pPr>
            <w:r>
              <w:rPr>
                <w:rFonts w:ascii="Arial" w:cs="Arial" w:eastAsia="Arial" w:hAnsi="Arial"/>
                <w:sz w:val="19"/>
                <w:szCs w:val="19"/>
                <w:color w:val="auto"/>
              </w:rPr>
              <w:t>Selling, general and administrative expenses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73</w:t>
            </w:r>
          </w:p>
        </w:tc>
        <w:tc>
          <w:tcPr>
            <w:tcW w:w="32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w:t>
            </w:r>
          </w:p>
        </w:tc>
        <w:tc>
          <w:tcPr>
            <w:tcW w:w="34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w:t>
            </w:r>
          </w:p>
        </w:tc>
      </w:tr>
      <w:tr>
        <w:trPr>
          <w:trHeight w:val="243"/>
        </w:trPr>
        <w:tc>
          <w:tcPr>
            <w:tcW w:w="908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$ 598</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$ 663</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$ 443</w:t>
            </w:r>
          </w:p>
        </w:tc>
      </w:tr>
      <w:tr>
        <w:trPr>
          <w:trHeight w:val="20"/>
        </w:trPr>
        <w:tc>
          <w:tcPr>
            <w:tcW w:w="9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pretax impact of total net repositioning and other charges by segment: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80" w:type="dxa"/>
            <w:vAlign w:val="bottom"/>
          </w:tcPr>
          <w:p>
            <w:pPr>
              <w:spacing w:after="0"/>
              <w:rPr>
                <w:sz w:val="16"/>
                <w:szCs w:val="16"/>
                <w:color w:val="auto"/>
              </w:rPr>
            </w:pPr>
          </w:p>
        </w:tc>
        <w:tc>
          <w:tcPr>
            <w:tcW w:w="234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9080" w:type="dxa"/>
            <w:vAlign w:val="bottom"/>
          </w:tcPr>
          <w:p>
            <w:pPr>
              <w:spacing w:after="0"/>
              <w:rPr>
                <w:sz w:val="14"/>
                <w:szCs w:val="14"/>
                <w:color w:val="auto"/>
              </w:rPr>
            </w:pPr>
          </w:p>
        </w:tc>
        <w:tc>
          <w:tcPr>
            <w:tcW w:w="540" w:type="dxa"/>
            <w:vAlign w:val="bottom"/>
            <w:tcBorders>
              <w:bottom w:val="single" w:sz="8" w:color="auto"/>
            </w:tcBorders>
          </w:tcPr>
          <w:p>
            <w:pPr>
              <w:jc w:val="right"/>
              <w:ind w:right="8"/>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9080" w:type="dxa"/>
            <w:vAlign w:val="bottom"/>
            <w:shd w:val="clear" w:color="auto" w:fill="E5FFFF"/>
          </w:tcPr>
          <w:p>
            <w:pPr>
              <w:spacing w:after="0"/>
              <w:rPr>
                <w:sz w:val="20"/>
                <w:szCs w:val="20"/>
                <w:color w:val="auto"/>
              </w:rPr>
            </w:pPr>
            <w:r>
              <w:rPr>
                <w:rFonts w:ascii="Arial" w:cs="Arial" w:eastAsia="Arial" w:hAnsi="Arial"/>
                <w:sz w:val="19"/>
                <w:szCs w:val="19"/>
                <w:color w:val="auto"/>
              </w:rPr>
              <w:t>Aerospace</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$ 193</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$ 235</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$ 192</w:t>
            </w:r>
          </w:p>
        </w:tc>
      </w:tr>
      <w:tr>
        <w:trPr>
          <w:trHeight w:val="243"/>
        </w:trPr>
        <w:tc>
          <w:tcPr>
            <w:tcW w:w="9080" w:type="dxa"/>
            <w:vAlign w:val="bottom"/>
          </w:tcPr>
          <w:p>
            <w:pPr>
              <w:spacing w:after="0"/>
              <w:rPr>
                <w:sz w:val="20"/>
                <w:szCs w:val="20"/>
                <w:color w:val="auto"/>
              </w:rPr>
            </w:pPr>
            <w:r>
              <w:rPr>
                <w:rFonts w:ascii="Arial" w:cs="Arial" w:eastAsia="Arial" w:hAnsi="Arial"/>
                <w:sz w:val="19"/>
                <w:szCs w:val="19"/>
                <w:color w:val="auto"/>
              </w:rPr>
              <w:t>Automation and Control Solutions</w:t>
            </w:r>
          </w:p>
        </w:tc>
        <w:tc>
          <w:tcPr>
            <w:tcW w:w="540" w:type="dxa"/>
            <w:vAlign w:val="bottom"/>
          </w:tcPr>
          <w:p>
            <w:pPr>
              <w:jc w:val="right"/>
              <w:spacing w:after="0"/>
              <w:rPr>
                <w:sz w:val="20"/>
                <w:szCs w:val="20"/>
                <w:color w:val="auto"/>
              </w:rPr>
            </w:pPr>
            <w:r>
              <w:rPr>
                <w:rFonts w:ascii="Arial" w:cs="Arial" w:eastAsia="Arial" w:hAnsi="Arial"/>
                <w:sz w:val="19"/>
                <w:szCs w:val="19"/>
                <w:color w:val="auto"/>
              </w:rPr>
              <w:t>80</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68</w:t>
            </w:r>
          </w:p>
        </w:tc>
        <w:tc>
          <w:tcPr>
            <w:tcW w:w="940" w:type="dxa"/>
            <w:vAlign w:val="bottom"/>
            <w:gridSpan w:val="2"/>
          </w:tcPr>
          <w:p>
            <w:pPr>
              <w:jc w:val="right"/>
              <w:spacing w:after="0"/>
              <w:rPr>
                <w:sz w:val="20"/>
                <w:szCs w:val="20"/>
                <w:color w:val="auto"/>
              </w:rPr>
            </w:pPr>
            <w:r>
              <w:rPr>
                <w:rFonts w:ascii="Arial" w:cs="Arial" w:eastAsia="Arial" w:hAnsi="Arial"/>
                <w:sz w:val="19"/>
                <w:szCs w:val="19"/>
                <w:color w:val="auto"/>
              </w:rPr>
              <w:t>13</w:t>
            </w:r>
          </w:p>
        </w:tc>
      </w:tr>
      <w:tr>
        <w:trPr>
          <w:trHeight w:val="243"/>
        </w:trPr>
        <w:tc>
          <w:tcPr>
            <w:tcW w:w="9080" w:type="dxa"/>
            <w:vAlign w:val="bottom"/>
            <w:shd w:val="clear" w:color="auto" w:fill="E5FFFF"/>
          </w:tcPr>
          <w:p>
            <w:pPr>
              <w:spacing w:after="0"/>
              <w:rPr>
                <w:sz w:val="20"/>
                <w:szCs w:val="20"/>
                <w:color w:val="auto"/>
              </w:rPr>
            </w:pPr>
            <w:r>
              <w:rPr>
                <w:rFonts w:ascii="Arial" w:cs="Arial" w:eastAsia="Arial" w:hAnsi="Arial"/>
                <w:sz w:val="19"/>
                <w:szCs w:val="19"/>
                <w:color w:val="auto"/>
              </w:rPr>
              <w:t>Performance Materials and Technologies</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56</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w:t>
            </w:r>
          </w:p>
        </w:tc>
      </w:tr>
      <w:tr>
        <w:trPr>
          <w:trHeight w:val="250"/>
        </w:trPr>
        <w:tc>
          <w:tcPr>
            <w:tcW w:w="9080" w:type="dxa"/>
            <w:vAlign w:val="bottom"/>
          </w:tcPr>
          <w:p>
            <w:pPr>
              <w:spacing w:after="0"/>
              <w:rPr>
                <w:sz w:val="20"/>
                <w:szCs w:val="20"/>
                <w:color w:val="auto"/>
              </w:rPr>
            </w:pPr>
            <w:r>
              <w:rPr>
                <w:rFonts w:ascii="Arial" w:cs="Arial" w:eastAsia="Arial" w:hAnsi="Arial"/>
                <w:sz w:val="19"/>
                <w:szCs w:val="19"/>
                <w:color w:val="auto"/>
              </w:rPr>
              <w:t>Corporate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292</w:t>
            </w:r>
          </w:p>
        </w:tc>
        <w:tc>
          <w:tcPr>
            <w:tcW w:w="32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304</w:t>
            </w:r>
          </w:p>
        </w:tc>
        <w:tc>
          <w:tcPr>
            <w:tcW w:w="34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221</w:t>
            </w:r>
          </w:p>
        </w:tc>
      </w:tr>
      <w:tr>
        <w:trPr>
          <w:trHeight w:val="243"/>
        </w:trPr>
        <w:tc>
          <w:tcPr>
            <w:tcW w:w="908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$ 598</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$ 663</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$ 443</w:t>
            </w:r>
          </w:p>
        </w:tc>
      </w:tr>
      <w:tr>
        <w:trPr>
          <w:trHeight w:val="20"/>
        </w:trPr>
        <w:tc>
          <w:tcPr>
            <w:tcW w:w="9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In 2014, we recognized repositioning charges totaling $184 million including severance costs of $156 million related to workforce reductions of 2,975 manufacturing and administrative positions across all of our segments. The workforce reductions were primarily related to cost savings actions taken in connection with our productivity and ongoing functional transformation initiatives, factory transitions in our ACS and Aerospace segments to more cost-effective locations, and site consolidations and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organizational realignments of businesses in our ACS and PMT segments. Also, $38 million of previously established accruals, primarily for severance, mainly in our Aerospace and ACS segment were returned to income in 2014 due principally to the change in scope of a previously announced repositioning action and to fewer employee severance actions caused by higher attrition than originally planned associated with prior severance programs.</w:t>
      </w:r>
    </w:p>
    <w:p>
      <w:pPr>
        <w:spacing w:after="0" w:line="9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In 2013, we recognized repositioning charges totaling $231 million including severance costs of $186 million related to workforce reductions of 3,081 manufacturing and administrative positions across all of our segments. The workforce reductions were primarily related to cost savings actions taken in connection with our productivity and ongoing functional transformation initiatives, achieving acquisition-related synergies in our ACS segment, outsourcing of non-core components in our Aerospace segment, the shutdown of a manufacturing facility in our PMT segment, and factory transitions in our ACS segment to more cost-effective locations. Also, $30 million of previously established accruals, primarily for severance, in our ACS and PMT segments were returned to income in 2013 due to changes in the scope of previously announced repositioning actions, lower than expected costs in completing the exit of a product line and fewer employee severance actions caused by higher attrition than originally planned associated with prior severance programs.</w:t>
      </w:r>
    </w:p>
    <w:p>
      <w:pPr>
        <w:spacing w:after="0" w:line="305"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In 2012, we recognized repositioning charges totaling $119 million including severance costs of $91 million related to workforce reductions of 2,204 manufacturing and administrative positions across all of our segments. The workforce reductions were primarily related to the planned shutdown of a manufacturing facility in our Aerospace segment, the exit from a product line in our PMT segment, and cost savings actions taken in connection with our productivity and ongoing functional transformation initiatives. Also, $66 million of previously established accruals, primarily for severance, in our ACS, Aerospace and PMT segments were returned to income in 2012 due primarily to fewer employee severance actions caused by higher attrition than originally planned associated with prior severance programs and changes in the scope of previously announced repositioning actions.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status of our total repositioning reserves: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w w:val="94"/>
              </w:rPr>
              <w:t>Severance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64"/>
              <w:spacing w:after="0"/>
              <w:rPr>
                <w:sz w:val="20"/>
                <w:szCs w:val="20"/>
                <w:color w:val="auto"/>
              </w:rPr>
            </w:pPr>
            <w:r>
              <w:rPr>
                <w:rFonts w:ascii="Arial" w:cs="Arial" w:eastAsia="Arial" w:hAnsi="Arial"/>
                <w:sz w:val="16"/>
                <w:szCs w:val="16"/>
                <w:b w:val="1"/>
                <w:bCs w:val="1"/>
                <w:color w:val="auto"/>
              </w:rPr>
              <w:t>Asset</w:t>
            </w:r>
          </w:p>
        </w:tc>
        <w:tc>
          <w:tcPr>
            <w:tcW w:w="280" w:type="dxa"/>
            <w:vAlign w:val="bottom"/>
          </w:tcPr>
          <w:p>
            <w:pPr>
              <w:spacing w:after="0"/>
              <w:rPr>
                <w:sz w:val="16"/>
                <w:szCs w:val="16"/>
                <w:color w:val="auto"/>
              </w:rPr>
            </w:pPr>
          </w:p>
        </w:tc>
        <w:tc>
          <w:tcPr>
            <w:tcW w:w="500" w:type="dxa"/>
            <w:vAlign w:val="bottom"/>
          </w:tcPr>
          <w:p>
            <w:pPr>
              <w:jc w:val="right"/>
              <w:ind w:right="6"/>
              <w:spacing w:after="0"/>
              <w:rPr>
                <w:sz w:val="20"/>
                <w:szCs w:val="20"/>
                <w:color w:val="auto"/>
              </w:rPr>
            </w:pPr>
            <w:r>
              <w:rPr>
                <w:rFonts w:ascii="Arial" w:cs="Arial" w:eastAsia="Arial" w:hAnsi="Arial"/>
                <w:sz w:val="16"/>
                <w:szCs w:val="16"/>
                <w:b w:val="1"/>
                <w:bCs w:val="1"/>
                <w:color w:val="auto"/>
              </w:rPr>
              <w:t>Exit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Costs</w:t>
            </w:r>
          </w:p>
        </w:tc>
        <w:tc>
          <w:tcPr>
            <w:tcW w:w="280" w:type="dxa"/>
            <w:vAlign w:val="bottom"/>
          </w:tcPr>
          <w:p>
            <w:pPr>
              <w:spacing w:after="0"/>
              <w:rPr>
                <w:sz w:val="16"/>
                <w:szCs w:val="16"/>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6"/>
              </w:rPr>
              <w:t>Impairments</w:t>
            </w:r>
          </w:p>
        </w:tc>
        <w:tc>
          <w:tcPr>
            <w:tcW w:w="280" w:type="dxa"/>
            <w:vAlign w:val="bottom"/>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Costs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w w:val="88"/>
              </w:rPr>
              <w:t>Total</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90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2011</w:t>
            </w:r>
          </w:p>
        </w:tc>
        <w:tc>
          <w:tcPr>
            <w:tcW w:w="2800" w:type="dxa"/>
            <w:vAlign w:val="bottom"/>
            <w:shd w:val="clear" w:color="auto" w:fill="E5FFFF"/>
          </w:tcPr>
          <w:p>
            <w:pPr>
              <w:spacing w:after="0"/>
              <w:rPr>
                <w:sz w:val="20"/>
                <w:szCs w:val="20"/>
                <w:color w:val="auto"/>
              </w:rPr>
            </w:pPr>
          </w:p>
        </w:tc>
        <w:tc>
          <w:tcPr>
            <w:tcW w:w="14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9"/>
                <w:szCs w:val="19"/>
                <w:color w:val="auto"/>
              </w:rPr>
              <w:t>$</w:t>
            </w:r>
          </w:p>
        </w:tc>
        <w:tc>
          <w:tcPr>
            <w:tcW w:w="64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353</w:t>
            </w:r>
          </w:p>
        </w:tc>
        <w:tc>
          <w:tcPr>
            <w:tcW w:w="280" w:type="dxa"/>
            <w:vAlign w:val="bottom"/>
            <w:shd w:val="clear" w:color="auto" w:fill="E5FFFF"/>
          </w:tcPr>
          <w:p>
            <w:pPr>
              <w:spacing w:after="0"/>
              <w:rPr>
                <w:sz w:val="20"/>
                <w:szCs w:val="20"/>
                <w:color w:val="auto"/>
              </w:rPr>
            </w:pPr>
          </w:p>
        </w:tc>
        <w:tc>
          <w:tcPr>
            <w:tcW w:w="200" w:type="dxa"/>
            <w:vAlign w:val="bottom"/>
            <w:tcBorders>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w:t>
            </w:r>
          </w:p>
        </w:tc>
        <w:tc>
          <w:tcPr>
            <w:tcW w:w="74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0"/>
                <w:szCs w:val="20"/>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$ 59</w:t>
            </w:r>
          </w:p>
        </w:tc>
        <w:tc>
          <w:tcPr>
            <w:tcW w:w="280" w:type="dxa"/>
            <w:vAlign w:val="bottom"/>
            <w:shd w:val="clear" w:color="auto" w:fill="E5FFFF"/>
          </w:tcPr>
          <w:p>
            <w:pPr>
              <w:spacing w:after="0"/>
              <w:rPr>
                <w:sz w:val="20"/>
                <w:szCs w:val="20"/>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412</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9"/>
                <w:szCs w:val="19"/>
                <w:color w:val="auto"/>
              </w:rPr>
              <w:t>2012 charges</w:t>
            </w: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color w:val="auto"/>
              </w:rPr>
              <w:t>91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64"/>
              <w:spacing w:after="0"/>
              <w:rPr>
                <w:sz w:val="20"/>
                <w:szCs w:val="20"/>
                <w:color w:val="auto"/>
              </w:rPr>
            </w:pPr>
            <w:r>
              <w:rPr>
                <w:rFonts w:ascii="Arial" w:cs="Arial" w:eastAsia="Arial" w:hAnsi="Arial"/>
                <w:sz w:val="19"/>
                <w:szCs w:val="19"/>
                <w:color w:val="auto"/>
              </w:rPr>
              <w:t>12</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16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119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2012 usage—cash</w:t>
            </w:r>
          </w:p>
        </w:tc>
        <w:tc>
          <w:tcPr>
            <w:tcW w:w="28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w:t>
            </w: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9"/>
                <w:szCs w:val="19"/>
                <w:color w:val="auto"/>
              </w:rPr>
              <w:t>2012 usage—noncash</w:t>
            </w: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(12)</w:t>
            </w:r>
          </w:p>
        </w:tc>
        <w:tc>
          <w:tcPr>
            <w:tcW w:w="2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Adjustments</w:t>
            </w:r>
          </w:p>
        </w:tc>
        <w:tc>
          <w:tcPr>
            <w:tcW w:w="28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w:t>
            </w: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9"/>
                <w:szCs w:val="19"/>
                <w:color w:val="auto"/>
              </w:rPr>
              <w:t>Foreign currency translation</w:t>
            </w:r>
          </w:p>
        </w:tc>
        <w:tc>
          <w:tcPr>
            <w:tcW w:w="2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6</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2012</w:t>
            </w:r>
          </w:p>
        </w:tc>
        <w:tc>
          <w:tcPr>
            <w:tcW w:w="28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276</w:t>
            </w:r>
          </w:p>
        </w:tc>
        <w:tc>
          <w:tcPr>
            <w:tcW w:w="28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47</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323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9"/>
                <w:szCs w:val="19"/>
                <w:color w:val="auto"/>
              </w:rPr>
              <w:t>2013 charges</w:t>
            </w: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color w:val="auto"/>
              </w:rPr>
              <w:t>186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64"/>
              <w:spacing w:after="0"/>
              <w:rPr>
                <w:sz w:val="20"/>
                <w:szCs w:val="20"/>
                <w:color w:val="auto"/>
              </w:rPr>
            </w:pPr>
            <w:r>
              <w:rPr>
                <w:rFonts w:ascii="Arial" w:cs="Arial" w:eastAsia="Arial" w:hAnsi="Arial"/>
                <w:sz w:val="19"/>
                <w:szCs w:val="19"/>
                <w:color w:val="auto"/>
              </w:rPr>
              <w:t>23</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22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231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2013 usage—cash</w:t>
            </w:r>
          </w:p>
        </w:tc>
        <w:tc>
          <w:tcPr>
            <w:tcW w:w="28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(139)</w:t>
            </w: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9"/>
                <w:szCs w:val="19"/>
                <w:color w:val="auto"/>
              </w:rPr>
              <w:t>2013 usage—noncash</w:t>
            </w: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(23)</w:t>
            </w:r>
          </w:p>
        </w:tc>
        <w:tc>
          <w:tcPr>
            <w:tcW w:w="2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(23)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Adjustments</w:t>
            </w:r>
          </w:p>
        </w:tc>
        <w:tc>
          <w:tcPr>
            <w:tcW w:w="28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w:t>
            </w: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9"/>
                <w:szCs w:val="19"/>
                <w:color w:val="auto"/>
              </w:rPr>
              <w:t>Foreign currency translation</w:t>
            </w:r>
          </w:p>
        </w:tc>
        <w:tc>
          <w:tcPr>
            <w:tcW w:w="2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4"/>
              <w:spacing w:after="0"/>
              <w:rPr>
                <w:sz w:val="20"/>
                <w:szCs w:val="20"/>
                <w:color w:val="auto"/>
              </w:rPr>
            </w:pPr>
            <w:r>
              <w:rPr>
                <w:rFonts w:ascii="Arial" w:cs="Arial" w:eastAsia="Arial" w:hAnsi="Arial"/>
                <w:sz w:val="19"/>
                <w:szCs w:val="19"/>
                <w:color w:val="auto"/>
              </w:rPr>
              <w:t>6</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2013</w:t>
            </w:r>
          </w:p>
        </w:tc>
        <w:tc>
          <w:tcPr>
            <w:tcW w:w="28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ind w:right="24"/>
              <w:spacing w:after="0"/>
              <w:rPr>
                <w:sz w:val="20"/>
                <w:szCs w:val="20"/>
                <w:color w:val="auto"/>
              </w:rPr>
            </w:pPr>
            <w:r>
              <w:rPr>
                <w:rFonts w:ascii="Arial" w:cs="Arial" w:eastAsia="Arial" w:hAnsi="Arial"/>
                <w:sz w:val="19"/>
                <w:szCs w:val="19"/>
                <w:color w:val="auto"/>
              </w:rPr>
              <w:t>302</w:t>
            </w:r>
          </w:p>
        </w:tc>
        <w:tc>
          <w:tcPr>
            <w:tcW w:w="28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45</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347</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9"/>
                <w:szCs w:val="19"/>
                <w:color w:val="auto"/>
              </w:rPr>
              <w:t>2014 charges</w:t>
            </w: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color w:val="auto"/>
              </w:rPr>
              <w:t>156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64"/>
              <w:spacing w:after="0"/>
              <w:rPr>
                <w:sz w:val="20"/>
                <w:szCs w:val="20"/>
                <w:color w:val="auto"/>
              </w:rPr>
            </w:pPr>
            <w:r>
              <w:rPr>
                <w:rFonts w:ascii="Arial" w:cs="Arial" w:eastAsia="Arial" w:hAnsi="Arial"/>
                <w:sz w:val="19"/>
                <w:szCs w:val="19"/>
                <w:color w:val="auto"/>
              </w:rPr>
              <w:t>12</w:t>
            </w: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16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184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2014 usage—cash</w:t>
            </w:r>
          </w:p>
        </w:tc>
        <w:tc>
          <w:tcPr>
            <w:tcW w:w="28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(135)</w:t>
            </w: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9"/>
                <w:szCs w:val="19"/>
                <w:color w:val="auto"/>
              </w:rPr>
              <w:t>2014 usage—noncash</w:t>
            </w:r>
          </w:p>
        </w:tc>
        <w:tc>
          <w:tcPr>
            <w:tcW w:w="2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4"/>
              <w:spacing w:after="0"/>
              <w:rPr>
                <w:sz w:val="20"/>
                <w:szCs w:val="20"/>
                <w:color w:val="auto"/>
              </w:rPr>
            </w:pPr>
            <w:r>
              <w:rPr>
                <w:rFonts w:ascii="Arial" w:cs="Arial" w:eastAsia="Arial" w:hAnsi="Arial"/>
                <w:sz w:val="19"/>
                <w:szCs w:val="19"/>
                <w:color w:val="auto"/>
              </w:rPr>
              <w:t>(12)</w:t>
            </w:r>
          </w:p>
        </w:tc>
        <w:tc>
          <w:tcPr>
            <w:tcW w:w="2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(12)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Adjustments</w:t>
            </w:r>
          </w:p>
        </w:tc>
        <w:tc>
          <w:tcPr>
            <w:tcW w:w="28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w:t>
            </w: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4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00" w:type="dxa"/>
            <w:vAlign w:val="bottom"/>
          </w:tcPr>
          <w:p>
            <w:pPr>
              <w:ind w:left="180"/>
              <w:spacing w:after="0"/>
              <w:rPr>
                <w:sz w:val="20"/>
                <w:szCs w:val="20"/>
                <w:color w:val="auto"/>
              </w:rPr>
            </w:pPr>
            <w:r>
              <w:rPr>
                <w:rFonts w:ascii="Arial" w:cs="Arial" w:eastAsia="Arial" w:hAnsi="Arial"/>
                <w:sz w:val="19"/>
                <w:szCs w:val="19"/>
                <w:color w:val="auto"/>
              </w:rPr>
              <w:t>Foreign currency translation</w:t>
            </w:r>
          </w:p>
        </w:tc>
        <w:tc>
          <w:tcPr>
            <w:tcW w:w="28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0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2014</w:t>
            </w:r>
          </w:p>
        </w:tc>
        <w:tc>
          <w:tcPr>
            <w:tcW w:w="2940" w:type="dxa"/>
            <w:vAlign w:val="bottom"/>
            <w:gridSpan w:val="2"/>
            <w:shd w:val="clear" w:color="auto" w:fill="E5FFFF"/>
          </w:tcPr>
          <w:p>
            <w:pPr>
              <w:ind w:left="280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ind w:right="24"/>
              <w:spacing w:after="0"/>
              <w:rPr>
                <w:sz w:val="20"/>
                <w:szCs w:val="20"/>
                <w:color w:val="auto"/>
              </w:rPr>
            </w:pPr>
            <w:r>
              <w:rPr>
                <w:rFonts w:ascii="Arial" w:cs="Arial" w:eastAsia="Arial" w:hAnsi="Arial"/>
                <w:sz w:val="19"/>
                <w:szCs w:val="19"/>
                <w:color w:val="auto"/>
              </w:rPr>
              <w:t>285</w:t>
            </w:r>
          </w:p>
        </w:tc>
        <w:tc>
          <w:tcPr>
            <w:tcW w:w="480" w:type="dxa"/>
            <w:vAlign w:val="bottom"/>
            <w:gridSpan w:val="2"/>
            <w:shd w:val="clear" w:color="auto" w:fill="E5FFFF"/>
          </w:tcPr>
          <w:p>
            <w:pPr>
              <w:ind w:left="30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ind w:right="64"/>
              <w:spacing w:after="0"/>
              <w:rPr>
                <w:sz w:val="20"/>
                <w:szCs w:val="20"/>
                <w:color w:val="auto"/>
              </w:rPr>
            </w:pPr>
            <w:r>
              <w:rPr>
                <w:rFonts w:ascii="Arial" w:cs="Arial" w:eastAsia="Arial" w:hAnsi="Arial"/>
                <w:sz w:val="19"/>
                <w:szCs w:val="19"/>
                <w:color w:val="auto"/>
              </w:rPr>
              <w:t>—</w:t>
            </w: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$ 30</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800" w:type="dxa"/>
            <w:vAlign w:val="bottom"/>
            <w:vMerge w:val="restart"/>
          </w:tcPr>
          <w:p>
            <w:pPr>
              <w:jc w:val="right"/>
              <w:ind w:right="1283"/>
              <w:spacing w:after="0"/>
              <w:rPr>
                <w:sz w:val="20"/>
                <w:szCs w:val="20"/>
                <w:color w:val="auto"/>
              </w:rPr>
            </w:pPr>
            <w:r>
              <w:rPr>
                <w:rFonts w:ascii="Arial" w:cs="Arial" w:eastAsia="Arial" w:hAnsi="Arial"/>
                <w:sz w:val="19"/>
                <w:szCs w:val="19"/>
                <w:color w:val="auto"/>
              </w:rPr>
              <w:t>42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Certain repositioning projects in our Aerospace, ACS and PMT segments in 2014, 2013 and 2012 included exit or disposal activities, the costs related to which will be recognized in future periods when the actual liability is incurred. Such exit and disposal costs were not significant.</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Other (income) expense</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189"/>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6"/>
                <w:szCs w:val="16"/>
                <w:b w:val="1"/>
                <w:bCs w:val="1"/>
                <w:color w:val="auto"/>
                <w:w w:val="95"/>
              </w:rPr>
              <w:t>2014</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5"/>
              <w:spacing w:after="0" w:line="169" w:lineRule="exact"/>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29"/>
              <w:spacing w:after="0" w:line="169" w:lineRule="exact"/>
              <w:rPr>
                <w:sz w:val="20"/>
                <w:szCs w:val="20"/>
                <w:color w:val="auto"/>
              </w:rPr>
            </w:pPr>
            <w:r>
              <w:rPr>
                <w:rFonts w:ascii="Arial" w:cs="Arial" w:eastAsia="Arial" w:hAnsi="Arial"/>
                <w:sz w:val="16"/>
                <w:szCs w:val="16"/>
                <w:b w:val="1"/>
                <w:bCs w:val="1"/>
                <w:color w:val="auto"/>
              </w:rPr>
              <w:t>2012</w:t>
            </w:r>
          </w:p>
        </w:tc>
      </w:tr>
      <w:tr>
        <w:trPr>
          <w:trHeight w:val="210"/>
        </w:trPr>
        <w:tc>
          <w:tcPr>
            <w:tcW w:w="78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Equity (income) loss of affiliated companies</w:t>
            </w:r>
          </w:p>
        </w:tc>
        <w:tc>
          <w:tcPr>
            <w:tcW w:w="14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w w:val="94"/>
              </w:rPr>
              <w:t>$</w:t>
            </w:r>
          </w:p>
        </w:tc>
        <w:tc>
          <w:tcPr>
            <w:tcW w:w="52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(36)</w:t>
            </w:r>
          </w:p>
        </w:tc>
        <w:tc>
          <w:tcPr>
            <w:tcW w:w="460" w:type="dxa"/>
            <w:vAlign w:val="bottom"/>
            <w:gridSpan w:val="2"/>
            <w:shd w:val="clear" w:color="auto" w:fill="E5FFFF"/>
          </w:tcPr>
          <w:p>
            <w:pPr>
              <w:jc w:val="right"/>
              <w:ind w:right="20"/>
              <w:spacing w:after="0" w:line="210" w:lineRule="exact"/>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(36)</w:t>
            </w:r>
          </w:p>
        </w:tc>
        <w:tc>
          <w:tcPr>
            <w:tcW w:w="920" w:type="dxa"/>
            <w:vAlign w:val="bottom"/>
            <w:gridSpan w:val="2"/>
            <w:shd w:val="clear" w:color="auto" w:fill="E5FFFF"/>
          </w:tcPr>
          <w:p>
            <w:pPr>
              <w:jc w:val="right"/>
              <w:spacing w:after="0" w:line="210" w:lineRule="exact"/>
              <w:rPr>
                <w:sz w:val="20"/>
                <w:szCs w:val="20"/>
                <w:color w:val="auto"/>
              </w:rPr>
            </w:pPr>
            <w:r>
              <w:rPr>
                <w:rFonts w:ascii="Arial" w:cs="Arial" w:eastAsia="Arial" w:hAnsi="Arial"/>
                <w:sz w:val="19"/>
                <w:szCs w:val="19"/>
                <w:color w:val="auto"/>
              </w:rPr>
              <w:t>$ (45)</w:t>
            </w:r>
          </w:p>
        </w:tc>
      </w:tr>
      <w:tr>
        <w:trPr>
          <w:trHeight w:val="243"/>
        </w:trPr>
        <w:tc>
          <w:tcPr>
            <w:tcW w:w="7820" w:type="dxa"/>
            <w:vAlign w:val="bottom"/>
          </w:tcPr>
          <w:p>
            <w:pPr>
              <w:spacing w:after="0"/>
              <w:rPr>
                <w:sz w:val="20"/>
                <w:szCs w:val="20"/>
                <w:color w:val="auto"/>
              </w:rPr>
            </w:pPr>
            <w:r>
              <w:rPr>
                <w:rFonts w:ascii="Arial" w:cs="Arial" w:eastAsia="Arial" w:hAnsi="Arial"/>
                <w:sz w:val="19"/>
                <w:szCs w:val="19"/>
                <w:color w:val="auto"/>
              </w:rPr>
              <w:t>Gain on sale of available for sale investments</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(221)</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(195)</w:t>
            </w:r>
          </w:p>
        </w:tc>
        <w:tc>
          <w:tcPr>
            <w:tcW w:w="340" w:type="dxa"/>
            <w:vAlign w:val="bottom"/>
          </w:tcPr>
          <w:p>
            <w:pPr>
              <w:spacing w:after="0"/>
              <w:rPr>
                <w:sz w:val="21"/>
                <w:szCs w:val="21"/>
                <w:color w:val="auto"/>
              </w:rPr>
            </w:pPr>
          </w:p>
        </w:tc>
        <w:tc>
          <w:tcPr>
            <w:tcW w:w="580" w:type="dxa"/>
            <w:vAlign w:val="bottom"/>
          </w:tcPr>
          <w:p>
            <w:pPr>
              <w:jc w:val="right"/>
              <w:ind w:right="9"/>
              <w:spacing w:after="0"/>
              <w:rPr>
                <w:sz w:val="20"/>
                <w:szCs w:val="20"/>
                <w:color w:val="auto"/>
              </w:rPr>
            </w:pPr>
            <w:r>
              <w:rPr>
                <w:rFonts w:ascii="Arial" w:cs="Arial" w:eastAsia="Arial" w:hAnsi="Arial"/>
                <w:sz w:val="19"/>
                <w:szCs w:val="19"/>
                <w:color w:val="auto"/>
              </w:rPr>
              <w:t>—</w:t>
            </w:r>
          </w:p>
        </w:tc>
      </w:tr>
      <w:tr>
        <w:trPr>
          <w:trHeight w:val="243"/>
        </w:trPr>
        <w:tc>
          <w:tcPr>
            <w:tcW w:w="7820" w:type="dxa"/>
            <w:vAlign w:val="bottom"/>
            <w:shd w:val="clear" w:color="auto" w:fill="E5FFFF"/>
          </w:tcPr>
          <w:p>
            <w:pPr>
              <w:spacing w:after="0"/>
              <w:rPr>
                <w:sz w:val="20"/>
                <w:szCs w:val="20"/>
                <w:color w:val="auto"/>
              </w:rPr>
            </w:pPr>
            <w:r>
              <w:rPr>
                <w:rFonts w:ascii="Arial" w:cs="Arial" w:eastAsia="Arial" w:hAnsi="Arial"/>
                <w:sz w:val="19"/>
                <w:szCs w:val="19"/>
                <w:color w:val="auto"/>
              </w:rPr>
              <w:t>Loss (gain) on sale of non-strategic businesses and assets</w:t>
            </w: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w:t>
            </w:r>
          </w:p>
        </w:tc>
      </w:tr>
      <w:tr>
        <w:trPr>
          <w:trHeight w:val="243"/>
        </w:trPr>
        <w:tc>
          <w:tcPr>
            <w:tcW w:w="7820" w:type="dxa"/>
            <w:vAlign w:val="bottom"/>
          </w:tcPr>
          <w:p>
            <w:pPr>
              <w:spacing w:after="0"/>
              <w:rPr>
                <w:sz w:val="20"/>
                <w:szCs w:val="20"/>
                <w:color w:val="auto"/>
              </w:rPr>
            </w:pPr>
            <w:r>
              <w:rPr>
                <w:rFonts w:ascii="Arial" w:cs="Arial" w:eastAsia="Arial" w:hAnsi="Arial"/>
                <w:sz w:val="19"/>
                <w:szCs w:val="19"/>
                <w:color w:val="auto"/>
              </w:rPr>
              <w:t>Interest income</w:t>
            </w: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(102)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(69)</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(58)</w:t>
            </w:r>
          </w:p>
        </w:tc>
      </w:tr>
      <w:tr>
        <w:trPr>
          <w:trHeight w:val="243"/>
        </w:trPr>
        <w:tc>
          <w:tcPr>
            <w:tcW w:w="7820" w:type="dxa"/>
            <w:vAlign w:val="bottom"/>
            <w:shd w:val="clear" w:color="auto" w:fill="E5FFFF"/>
          </w:tcPr>
          <w:p>
            <w:pPr>
              <w:spacing w:after="0"/>
              <w:rPr>
                <w:sz w:val="20"/>
                <w:szCs w:val="20"/>
                <w:color w:val="auto"/>
              </w:rPr>
            </w:pPr>
            <w:r>
              <w:rPr>
                <w:rFonts w:ascii="Arial" w:cs="Arial" w:eastAsia="Arial" w:hAnsi="Arial"/>
                <w:sz w:val="19"/>
                <w:szCs w:val="19"/>
                <w:color w:val="auto"/>
              </w:rPr>
              <w:t>Foreign exchange</w:t>
            </w:r>
          </w:p>
        </w:tc>
        <w:tc>
          <w:tcPr>
            <w:tcW w:w="14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w:t>
            </w:r>
          </w:p>
        </w:tc>
        <w:tc>
          <w:tcPr>
            <w:tcW w:w="920" w:type="dxa"/>
            <w:vAlign w:val="bottom"/>
            <w:gridSpan w:val="2"/>
            <w:shd w:val="clear" w:color="auto" w:fill="E5FFFF"/>
          </w:tcPr>
          <w:p>
            <w:pPr>
              <w:jc w:val="right"/>
              <w:ind w:right="9"/>
              <w:spacing w:after="0"/>
              <w:rPr>
                <w:sz w:val="20"/>
                <w:szCs w:val="20"/>
                <w:color w:val="auto"/>
              </w:rPr>
            </w:pPr>
            <w:r>
              <w:rPr>
                <w:rFonts w:ascii="Arial" w:cs="Arial" w:eastAsia="Arial" w:hAnsi="Arial"/>
                <w:sz w:val="19"/>
                <w:szCs w:val="19"/>
                <w:color w:val="auto"/>
              </w:rPr>
              <w:t>36</w:t>
            </w:r>
          </w:p>
        </w:tc>
      </w:tr>
      <w:tr>
        <w:trPr>
          <w:trHeight w:val="250"/>
        </w:trPr>
        <w:tc>
          <w:tcPr>
            <w:tcW w:w="7820" w:type="dxa"/>
            <w:vAlign w:val="bottom"/>
          </w:tcPr>
          <w:p>
            <w:pPr>
              <w:spacing w:after="0"/>
              <w:rPr>
                <w:sz w:val="20"/>
                <w:szCs w:val="20"/>
                <w:color w:val="auto"/>
              </w:rPr>
            </w:pPr>
            <w:r>
              <w:rPr>
                <w:rFonts w:ascii="Arial" w:cs="Arial" w:eastAsia="Arial" w:hAnsi="Arial"/>
                <w:sz w:val="19"/>
                <w:szCs w:val="19"/>
                <w:color w:val="auto"/>
              </w:rPr>
              <w:t>Other, net</w:t>
            </w: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w:t>
            </w:r>
          </w:p>
        </w:tc>
        <w:tc>
          <w:tcPr>
            <w:tcW w:w="340" w:type="dxa"/>
            <w:vAlign w:val="bottom"/>
          </w:tcPr>
          <w:p>
            <w:pPr>
              <w:spacing w:after="0"/>
              <w:rPr>
                <w:sz w:val="21"/>
                <w:szCs w:val="21"/>
                <w:color w:val="auto"/>
              </w:rPr>
            </w:pP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9"/>
                <w:szCs w:val="19"/>
                <w:color w:val="auto"/>
              </w:rPr>
              <w:t>2</w:t>
            </w:r>
          </w:p>
        </w:tc>
      </w:tr>
      <w:tr>
        <w:trPr>
          <w:trHeight w:val="216"/>
        </w:trPr>
        <w:tc>
          <w:tcPr>
            <w:tcW w:w="7820" w:type="dxa"/>
            <w:vAlign w:val="bottom"/>
            <w:shd w:val="clear" w:color="auto" w:fill="E5FFFF"/>
          </w:tcPr>
          <w:p>
            <w:pPr>
              <w:spacing w:after="0"/>
              <w:rPr>
                <w:sz w:val="18"/>
                <w:szCs w:val="18"/>
                <w:color w:val="auto"/>
              </w:rPr>
            </w:pPr>
          </w:p>
        </w:tc>
        <w:tc>
          <w:tcPr>
            <w:tcW w:w="1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52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(305)</w:t>
            </w:r>
          </w:p>
        </w:tc>
        <w:tc>
          <w:tcPr>
            <w:tcW w:w="460" w:type="dxa"/>
            <w:vAlign w:val="bottom"/>
            <w:gridSpan w:val="2"/>
            <w:shd w:val="clear" w:color="auto" w:fill="E5FFFF"/>
          </w:tcPr>
          <w:p>
            <w:pPr>
              <w:jc w:val="right"/>
              <w:ind w:right="20"/>
              <w:spacing w:after="0" w:line="216" w:lineRule="exact"/>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(238)</w:t>
            </w:r>
          </w:p>
        </w:tc>
        <w:tc>
          <w:tcPr>
            <w:tcW w:w="92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 (70)</w:t>
            </w:r>
          </w:p>
        </w:tc>
      </w:tr>
      <w:tr>
        <w:trPr>
          <w:trHeight w:val="20"/>
        </w:trPr>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Gain on sale of available for sale investments of $221 million and $195 million for 2014 and 2013, respectively, are due to realized gain related to the sale of marketable equity securities. These securities (B/E Aerospace common stock), designated as available for sale, were obtained in conjunction with the sale of the Consumables Solutions business in July 2008.</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Income from continuing operations before taxes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10"/>
          </w:tcPr>
          <w:p>
            <w:pPr>
              <w:jc w:val="right"/>
              <w:ind w:right="366"/>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60" w:type="dxa"/>
            <w:vAlign w:val="bottom"/>
            <w:tcBorders>
              <w:bottom w:val="single" w:sz="8" w:color="auto"/>
            </w:tcBorders>
            <w:gridSpan w:val="3"/>
          </w:tcPr>
          <w:p>
            <w:pPr>
              <w:ind w:left="200"/>
              <w:spacing w:after="0" w:line="169" w:lineRule="exact"/>
              <w:rPr>
                <w:sz w:val="20"/>
                <w:szCs w:val="20"/>
                <w:color w:val="auto"/>
              </w:rPr>
            </w:pPr>
            <w:r>
              <w:rPr>
                <w:rFonts w:ascii="Arial" w:cs="Arial" w:eastAsia="Arial" w:hAnsi="Arial"/>
                <w:sz w:val="16"/>
                <w:szCs w:val="16"/>
                <w:b w:val="1"/>
                <w:bCs w:val="1"/>
                <w:color w:val="auto"/>
              </w:rPr>
              <w:t>2014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gridSpan w:val="3"/>
          </w:tcPr>
          <w:p>
            <w:pPr>
              <w:ind w:left="220"/>
              <w:spacing w:after="0" w:line="169" w:lineRule="exact"/>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960" w:type="dxa"/>
            <w:vAlign w:val="bottom"/>
            <w:shd w:val="clear" w:color="auto" w:fill="E5FFFF"/>
          </w:tcPr>
          <w:p>
            <w:pPr>
              <w:spacing w:after="0"/>
              <w:rPr>
                <w:sz w:val="20"/>
                <w:szCs w:val="20"/>
                <w:color w:val="auto"/>
              </w:rPr>
            </w:pPr>
            <w:r>
              <w:rPr>
                <w:rFonts w:ascii="Arial" w:cs="Arial" w:eastAsia="Arial" w:hAnsi="Arial"/>
                <w:sz w:val="19"/>
                <w:szCs w:val="19"/>
                <w:color w:val="auto"/>
              </w:rPr>
              <w:t>U.S.</w:t>
            </w:r>
          </w:p>
        </w:tc>
        <w:tc>
          <w:tcPr>
            <w:tcW w:w="42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$ 3,340</w:t>
            </w:r>
          </w:p>
        </w:tc>
        <w:tc>
          <w:tcPr>
            <w:tcW w:w="1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$ 3,002</w:t>
            </w:r>
          </w:p>
        </w:tc>
        <w:tc>
          <w:tcPr>
            <w:tcW w:w="2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1,761</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Arial" w:cs="Arial" w:eastAsia="Arial" w:hAnsi="Arial"/>
                <w:sz w:val="19"/>
                <w:szCs w:val="19"/>
                <w:color w:val="auto"/>
              </w:rPr>
              <w:t>Non-U.S.</w:t>
            </w:r>
          </w:p>
        </w:tc>
        <w:tc>
          <w:tcPr>
            <w:tcW w:w="3500" w:type="dxa"/>
            <w:vAlign w:val="bottom"/>
          </w:tcPr>
          <w:p>
            <w:pPr>
              <w:spacing w:after="0"/>
              <w:rPr>
                <w:sz w:val="21"/>
                <w:szCs w:val="21"/>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2,478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2,410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2,114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spacing w:after="0"/>
              <w:rPr>
                <w:sz w:val="21"/>
                <w:szCs w:val="21"/>
                <w:color w:val="auto"/>
              </w:rPr>
            </w:pPr>
          </w:p>
        </w:tc>
        <w:tc>
          <w:tcPr>
            <w:tcW w:w="426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$ 5,818</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$ 5,412</w:t>
            </w:r>
          </w:p>
        </w:tc>
        <w:tc>
          <w:tcPr>
            <w:tcW w:w="2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3,875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9"/>
                <w:szCs w:val="19"/>
                <w:b w:val="1"/>
                <w:bCs w:val="1"/>
                <w:color w:val="auto"/>
              </w:rPr>
              <w:t>Tax expense (benefit)</w:t>
            </w:r>
          </w:p>
        </w:tc>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460" w:type="dxa"/>
            <w:vAlign w:val="bottom"/>
            <w:gridSpan w:val="2"/>
            <w:vMerge w:val="continue"/>
          </w:tcPr>
          <w:p>
            <w:pPr>
              <w:spacing w:after="0"/>
              <w:rPr>
                <w:sz w:val="24"/>
                <w:szCs w:val="24"/>
                <w:color w:val="auto"/>
              </w:rPr>
            </w:pPr>
          </w:p>
        </w:tc>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10"/>
            <w:vMerge w:val="restart"/>
          </w:tcPr>
          <w:p>
            <w:pPr>
              <w:jc w:val="right"/>
              <w:ind w:right="266"/>
              <w:spacing w:after="0"/>
              <w:rPr>
                <w:sz w:val="20"/>
                <w:szCs w:val="20"/>
                <w:color w:val="auto"/>
              </w:rPr>
            </w:pPr>
            <w:r>
              <w:rPr>
                <w:rFonts w:ascii="Arial" w:cs="Arial" w:eastAsia="Arial" w:hAnsi="Arial"/>
                <w:sz w:val="16"/>
                <w:szCs w:val="16"/>
                <w:b w:val="1"/>
                <w:bCs w:val="1"/>
                <w:color w:val="auto"/>
              </w:rPr>
              <w:t>Years Ended December 31,</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10"/>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2013</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rPr>
              <w:t>2012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96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Tax expense (benefit) consists of</w:t>
            </w:r>
          </w:p>
        </w:tc>
        <w:tc>
          <w:tcPr>
            <w:tcW w:w="35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tcPr>
          <w:p>
            <w:pPr>
              <w:ind w:left="180"/>
              <w:spacing w:after="0" w:line="216" w:lineRule="exact"/>
              <w:rPr>
                <w:sz w:val="20"/>
                <w:szCs w:val="20"/>
                <w:color w:val="auto"/>
              </w:rPr>
            </w:pPr>
            <w:r>
              <w:rPr>
                <w:rFonts w:ascii="Arial" w:cs="Arial" w:eastAsia="Arial" w:hAnsi="Arial"/>
                <w:sz w:val="19"/>
                <w:szCs w:val="19"/>
                <w:color w:val="auto"/>
              </w:rPr>
              <w:t>Current:</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U.S. Federal</w:t>
            </w:r>
          </w:p>
        </w:tc>
        <w:tc>
          <w:tcPr>
            <w:tcW w:w="3840" w:type="dxa"/>
            <w:vAlign w:val="bottom"/>
            <w:gridSpan w:val="3"/>
            <w:shd w:val="clear" w:color="auto" w:fill="E5FFFF"/>
          </w:tcPr>
          <w:p>
            <w:pPr>
              <w:ind w:left="370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746</w:t>
            </w:r>
          </w:p>
        </w:tc>
        <w:tc>
          <w:tcPr>
            <w:tcW w:w="120" w:type="dxa"/>
            <w:vAlign w:val="bottom"/>
            <w:shd w:val="clear" w:color="auto" w:fill="E5FFFF"/>
          </w:tcPr>
          <w:p>
            <w:pPr>
              <w:spacing w:after="0"/>
              <w:rPr>
                <w:sz w:val="21"/>
                <w:szCs w:val="21"/>
                <w:color w:val="auto"/>
              </w:rPr>
            </w:pPr>
          </w:p>
        </w:tc>
        <w:tc>
          <w:tcPr>
            <w:tcW w:w="360" w:type="dxa"/>
            <w:vAlign w:val="bottom"/>
            <w:gridSpan w:val="2"/>
            <w:shd w:val="clear" w:color="auto" w:fill="E5FFFF"/>
          </w:tcPr>
          <w:p>
            <w:pPr>
              <w:ind w:left="200"/>
              <w:spacing w:after="0"/>
              <w:rPr>
                <w:sz w:val="20"/>
                <w:szCs w:val="20"/>
                <w:color w:val="auto"/>
              </w:rPr>
            </w:pPr>
            <w:r>
              <w:rPr>
                <w:rFonts w:ascii="Arial" w:cs="Arial" w:eastAsia="Arial" w:hAnsi="Arial"/>
                <w:sz w:val="19"/>
                <w:szCs w:val="19"/>
                <w:color w:val="auto"/>
              </w:rPr>
              <w:t>$</w:t>
            </w: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663</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$ 470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tcPr>
          <w:p>
            <w:pPr>
              <w:ind w:left="180"/>
              <w:spacing w:after="0"/>
              <w:rPr>
                <w:sz w:val="20"/>
                <w:szCs w:val="20"/>
                <w:color w:val="auto"/>
              </w:rPr>
            </w:pPr>
            <w:r>
              <w:rPr>
                <w:rFonts w:ascii="Arial" w:cs="Arial" w:eastAsia="Arial" w:hAnsi="Arial"/>
                <w:sz w:val="19"/>
                <w:szCs w:val="19"/>
                <w:color w:val="auto"/>
              </w:rPr>
              <w:t>U.S. State</w:t>
            </w:r>
          </w:p>
        </w:tc>
        <w:tc>
          <w:tcPr>
            <w:tcW w:w="3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9"/>
                <w:szCs w:val="19"/>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9"/>
                <w:szCs w:val="19"/>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10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Non-U.S.</w:t>
            </w:r>
          </w:p>
        </w:tc>
        <w:tc>
          <w:tcPr>
            <w:tcW w:w="35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572</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428</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380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4440" w:type="dxa"/>
            <w:vAlign w:val="bottom"/>
            <w:gridSpan w:val="5"/>
          </w:tcPr>
          <w:p>
            <w:pPr>
              <w:jc w:val="right"/>
              <w:ind w:right="80"/>
              <w:spacing w:after="0"/>
              <w:rPr>
                <w:sz w:val="20"/>
                <w:szCs w:val="20"/>
                <w:color w:val="auto"/>
              </w:rPr>
            </w:pPr>
            <w:r>
              <w:rPr>
                <w:rFonts w:ascii="Arial" w:cs="Arial" w:eastAsia="Arial" w:hAnsi="Arial"/>
                <w:sz w:val="19"/>
                <w:szCs w:val="19"/>
                <w:color w:val="auto"/>
              </w:rPr>
              <w:t>$ 1,357</w:t>
            </w:r>
          </w:p>
        </w:tc>
        <w:tc>
          <w:tcPr>
            <w:tcW w:w="120" w:type="dxa"/>
            <w:vAlign w:val="bottom"/>
          </w:tcPr>
          <w:p>
            <w:pPr>
              <w:spacing w:after="0"/>
              <w:rPr>
                <w:sz w:val="22"/>
                <w:szCs w:val="22"/>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9"/>
                <w:szCs w:val="19"/>
                <w:color w:val="auto"/>
              </w:rPr>
              <w:t>$ 1,188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$ 860</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96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Deferred:</w:t>
            </w:r>
          </w:p>
        </w:tc>
        <w:tc>
          <w:tcPr>
            <w:tcW w:w="35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420" w:type="dxa"/>
            <w:vAlign w:val="bottom"/>
            <w:tcBorders>
              <w:top w:val="single" w:sz="8" w:color="auto"/>
            </w:tcBorders>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40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tcPr>
          <w:p>
            <w:pPr>
              <w:ind w:left="180"/>
              <w:spacing w:after="0"/>
              <w:rPr>
                <w:sz w:val="20"/>
                <w:szCs w:val="20"/>
                <w:color w:val="auto"/>
              </w:rPr>
            </w:pPr>
            <w:r>
              <w:rPr>
                <w:rFonts w:ascii="Arial" w:cs="Arial" w:eastAsia="Arial" w:hAnsi="Arial"/>
                <w:sz w:val="19"/>
                <w:szCs w:val="19"/>
                <w:color w:val="auto"/>
              </w:rPr>
              <w:t>U.S. Federal</w:t>
            </w:r>
          </w:p>
        </w:tc>
        <w:tc>
          <w:tcPr>
            <w:tcW w:w="3840" w:type="dxa"/>
            <w:vAlign w:val="bottom"/>
            <w:gridSpan w:val="3"/>
          </w:tcPr>
          <w:p>
            <w:pPr>
              <w:ind w:left="3700"/>
              <w:spacing w:after="0"/>
              <w:rPr>
                <w:sz w:val="20"/>
                <w:szCs w:val="20"/>
                <w:color w:val="auto"/>
              </w:rPr>
            </w:pPr>
            <w:r>
              <w:rPr>
                <w:rFonts w:ascii="Arial" w:cs="Arial" w:eastAsia="Arial" w:hAnsi="Arial"/>
                <w:sz w:val="19"/>
                <w:szCs w:val="19"/>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9"/>
                <w:szCs w:val="19"/>
                <w:color w:val="auto"/>
              </w:rPr>
              <w:t>114</w:t>
            </w:r>
          </w:p>
        </w:tc>
        <w:tc>
          <w:tcPr>
            <w:tcW w:w="120" w:type="dxa"/>
            <w:vAlign w:val="bottom"/>
          </w:tcPr>
          <w:p>
            <w:pPr>
              <w:spacing w:after="0"/>
              <w:rPr>
                <w:sz w:val="21"/>
                <w:szCs w:val="21"/>
                <w:color w:val="auto"/>
              </w:rPr>
            </w:pPr>
          </w:p>
        </w:tc>
        <w:tc>
          <w:tcPr>
            <w:tcW w:w="360" w:type="dxa"/>
            <w:vAlign w:val="bottom"/>
            <w:gridSpan w:val="2"/>
          </w:tcPr>
          <w:p>
            <w:pPr>
              <w:ind w:left="200"/>
              <w:spacing w:after="0"/>
              <w:rPr>
                <w:sz w:val="20"/>
                <w:szCs w:val="20"/>
                <w:color w:val="auto"/>
              </w:rPr>
            </w:pPr>
            <w:r>
              <w:rPr>
                <w:rFonts w:ascii="Arial" w:cs="Arial" w:eastAsia="Arial" w:hAnsi="Arial"/>
                <w:sz w:val="19"/>
                <w:szCs w:val="19"/>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9"/>
                <w:szCs w:val="19"/>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  85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ind w:left="180"/>
              <w:spacing w:after="0"/>
              <w:rPr>
                <w:sz w:val="20"/>
                <w:szCs w:val="20"/>
                <w:color w:val="auto"/>
              </w:rPr>
            </w:pPr>
            <w:r>
              <w:rPr>
                <w:rFonts w:ascii="Arial" w:cs="Arial" w:eastAsia="Arial" w:hAnsi="Arial"/>
                <w:sz w:val="19"/>
                <w:szCs w:val="19"/>
                <w:color w:val="auto"/>
              </w:rPr>
              <w:t>U.S. State</w:t>
            </w:r>
          </w:p>
        </w:tc>
        <w:tc>
          <w:tcPr>
            <w:tcW w:w="35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63</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72</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tcPr>
          <w:p>
            <w:pPr>
              <w:ind w:left="180"/>
              <w:spacing w:after="0"/>
              <w:rPr>
                <w:sz w:val="20"/>
                <w:szCs w:val="20"/>
                <w:color w:val="auto"/>
              </w:rPr>
            </w:pPr>
            <w:r>
              <w:rPr>
                <w:rFonts w:ascii="Arial" w:cs="Arial" w:eastAsia="Arial" w:hAnsi="Arial"/>
                <w:sz w:val="19"/>
                <w:szCs w:val="19"/>
                <w:color w:val="auto"/>
              </w:rPr>
              <w:t>Non-U.S.</w:t>
            </w:r>
          </w:p>
        </w:tc>
        <w:tc>
          <w:tcPr>
            <w:tcW w:w="3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960" w:type="dxa"/>
            <w:vAlign w:val="bottom"/>
            <w:shd w:val="clear" w:color="auto" w:fill="E5FFFF"/>
          </w:tcPr>
          <w:p>
            <w:pPr>
              <w:spacing w:after="0"/>
              <w:rPr>
                <w:sz w:val="21"/>
                <w:szCs w:val="21"/>
                <w:color w:val="auto"/>
              </w:rPr>
            </w:pPr>
          </w:p>
        </w:tc>
        <w:tc>
          <w:tcPr>
            <w:tcW w:w="35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132</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262</w:t>
            </w:r>
          </w:p>
        </w:tc>
        <w:tc>
          <w:tcPr>
            <w:tcW w:w="1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4440" w:type="dxa"/>
            <w:vAlign w:val="bottom"/>
            <w:gridSpan w:val="5"/>
          </w:tcPr>
          <w:p>
            <w:pPr>
              <w:jc w:val="right"/>
              <w:ind w:right="80"/>
              <w:spacing w:after="0"/>
              <w:rPr>
                <w:sz w:val="20"/>
                <w:szCs w:val="20"/>
                <w:color w:val="auto"/>
              </w:rPr>
            </w:pPr>
            <w:r>
              <w:rPr>
                <w:rFonts w:ascii="Arial" w:cs="Arial" w:eastAsia="Arial" w:hAnsi="Arial"/>
                <w:sz w:val="19"/>
                <w:szCs w:val="19"/>
                <w:color w:val="auto"/>
              </w:rPr>
              <w:t>$ 1,489</w:t>
            </w:r>
          </w:p>
        </w:tc>
        <w:tc>
          <w:tcPr>
            <w:tcW w:w="120" w:type="dxa"/>
            <w:vAlign w:val="bottom"/>
          </w:tcPr>
          <w:p>
            <w:pPr>
              <w:spacing w:after="0"/>
              <w:rPr>
                <w:sz w:val="21"/>
                <w:szCs w:val="21"/>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9"/>
                <w:szCs w:val="19"/>
                <w:color w:val="auto"/>
              </w:rPr>
              <w:t>$ 1,450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$ 944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500" w:type="dxa"/>
            <w:vAlign w:val="bottom"/>
            <w:vMerge w:val="restart"/>
          </w:tcPr>
          <w:p>
            <w:pPr>
              <w:jc w:val="right"/>
              <w:ind w:right="2043"/>
              <w:spacing w:after="0"/>
              <w:rPr>
                <w:sz w:val="20"/>
                <w:szCs w:val="20"/>
                <w:color w:val="auto"/>
              </w:rPr>
            </w:pPr>
            <w:r>
              <w:rPr>
                <w:rFonts w:ascii="Arial" w:cs="Arial" w:eastAsia="Arial" w:hAnsi="Arial"/>
                <w:sz w:val="19"/>
                <w:szCs w:val="19"/>
                <w:color w:val="auto"/>
              </w:rPr>
              <w:t>43</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42"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720" w:type="dxa"/>
            <w:vAlign w:val="bottom"/>
            <w:tcBorders>
              <w:bottom w:val="single" w:sz="8" w:color="auto"/>
            </w:tcBorders>
            <w:gridSpan w:val="5"/>
          </w:tcPr>
          <w:p>
            <w:pPr>
              <w:jc w:val="right"/>
              <w:ind w:right="243"/>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680" w:type="dxa"/>
            <w:vAlign w:val="bottom"/>
          </w:tcPr>
          <w:p>
            <w:pPr>
              <w:spacing w:after="0"/>
              <w:rPr>
                <w:sz w:val="14"/>
                <w:szCs w:val="14"/>
                <w:color w:val="auto"/>
              </w:rPr>
            </w:pPr>
          </w:p>
        </w:tc>
        <w:tc>
          <w:tcPr>
            <w:tcW w:w="680" w:type="dxa"/>
            <w:vAlign w:val="bottom"/>
          </w:tcPr>
          <w:p>
            <w:pPr>
              <w:jc w:val="right"/>
              <w:ind w:right="66"/>
              <w:spacing w:after="0" w:line="169" w:lineRule="exact"/>
              <w:rPr>
                <w:sz w:val="20"/>
                <w:szCs w:val="20"/>
                <w:color w:val="auto"/>
              </w:rPr>
            </w:pPr>
            <w:r>
              <w:rPr>
                <w:rFonts w:ascii="Arial" w:cs="Arial" w:eastAsia="Arial" w:hAnsi="Arial"/>
                <w:sz w:val="16"/>
                <w:szCs w:val="16"/>
                <w:b w:val="1"/>
                <w:bCs w:val="1"/>
                <w:color w:val="auto"/>
              </w:rPr>
              <w:t>2014</w:t>
            </w:r>
          </w:p>
        </w:tc>
        <w:tc>
          <w:tcPr>
            <w:tcW w:w="1000" w:type="dxa"/>
            <w:vAlign w:val="bottom"/>
            <w:gridSpan w:val="2"/>
          </w:tcPr>
          <w:p>
            <w:pPr>
              <w:jc w:val="right"/>
              <w:ind w:right="63"/>
              <w:spacing w:after="0" w:line="169" w:lineRule="exact"/>
              <w:rPr>
                <w:sz w:val="20"/>
                <w:szCs w:val="20"/>
                <w:color w:val="auto"/>
              </w:rPr>
            </w:pPr>
            <w:r>
              <w:rPr>
                <w:rFonts w:ascii="Arial" w:cs="Arial" w:eastAsia="Arial" w:hAnsi="Arial"/>
                <w:sz w:val="16"/>
                <w:szCs w:val="16"/>
                <w:b w:val="1"/>
                <w:bCs w:val="1"/>
                <w:color w:val="auto"/>
              </w:rPr>
              <w:t>2013</w:t>
            </w:r>
          </w:p>
        </w:tc>
        <w:tc>
          <w:tcPr>
            <w:tcW w:w="1040" w:type="dxa"/>
            <w:vAlign w:val="bottom"/>
            <w:gridSpan w:val="2"/>
          </w:tcPr>
          <w:p>
            <w:pPr>
              <w:jc w:val="right"/>
              <w:ind w:right="83"/>
              <w:spacing w:after="0" w:line="169" w:lineRule="exact"/>
              <w:rPr>
                <w:sz w:val="20"/>
                <w:szCs w:val="20"/>
                <w:color w:val="auto"/>
              </w:rPr>
            </w:pPr>
            <w:r>
              <w:rPr>
                <w:rFonts w:ascii="Arial" w:cs="Arial" w:eastAsia="Arial" w:hAnsi="Arial"/>
                <w:sz w:val="16"/>
                <w:szCs w:val="16"/>
                <w:b w:val="1"/>
                <w:bCs w:val="1"/>
                <w:color w:val="auto"/>
              </w:rPr>
              <w:t>2012</w:t>
            </w:r>
          </w:p>
        </w:tc>
      </w:tr>
      <w:tr>
        <w:trPr>
          <w:trHeight w:val="210"/>
        </w:trPr>
        <w:tc>
          <w:tcPr>
            <w:tcW w:w="76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The U.S. federal statutory income tax rate is reconciled to our effective income tax</w:t>
            </w:r>
          </w:p>
        </w:tc>
        <w:tc>
          <w:tcPr>
            <w:tcW w:w="68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8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r>
      <w:tr>
        <w:trPr>
          <w:trHeight w:val="216"/>
        </w:trPr>
        <w:tc>
          <w:tcPr>
            <w:tcW w:w="768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rate as follows:</w:t>
            </w: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r>
      <w:tr>
        <w:trPr>
          <w:trHeight w:val="243"/>
        </w:trPr>
        <w:tc>
          <w:tcPr>
            <w:tcW w:w="7680" w:type="dxa"/>
            <w:vAlign w:val="bottom"/>
          </w:tcPr>
          <w:p>
            <w:pPr>
              <w:ind w:left="360"/>
              <w:spacing w:after="0"/>
              <w:rPr>
                <w:sz w:val="20"/>
                <w:szCs w:val="20"/>
                <w:color w:val="auto"/>
              </w:rPr>
            </w:pPr>
            <w:r>
              <w:rPr>
                <w:rFonts w:ascii="Arial" w:cs="Arial" w:eastAsia="Arial" w:hAnsi="Arial"/>
                <w:sz w:val="19"/>
                <w:szCs w:val="19"/>
                <w:color w:val="auto"/>
              </w:rPr>
              <w:t>U.S. federal statutory income tax rate</w:t>
            </w:r>
          </w:p>
        </w:tc>
        <w:tc>
          <w:tcPr>
            <w:tcW w:w="680" w:type="dxa"/>
            <w:vAlign w:val="bottom"/>
          </w:tcPr>
          <w:p>
            <w:pPr>
              <w:jc w:val="right"/>
              <w:spacing w:after="0"/>
              <w:rPr>
                <w:sz w:val="20"/>
                <w:szCs w:val="20"/>
                <w:color w:val="auto"/>
              </w:rPr>
            </w:pPr>
            <w:r>
              <w:rPr>
                <w:rFonts w:ascii="Arial" w:cs="Arial" w:eastAsia="Arial" w:hAnsi="Arial"/>
                <w:sz w:val="19"/>
                <w:szCs w:val="19"/>
                <w:color w:val="auto"/>
              </w:rPr>
              <w:t>35.0%</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35.0%</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35.0%</w:t>
            </w:r>
          </w:p>
        </w:tc>
      </w:tr>
      <w:tr>
        <w:trPr>
          <w:trHeight w:val="243"/>
        </w:trPr>
        <w:tc>
          <w:tcPr>
            <w:tcW w:w="76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Taxes on non-U.S. earnings below U.S. tax rate(1)</w:t>
            </w:r>
          </w:p>
        </w:tc>
        <w:tc>
          <w:tcPr>
            <w:tcW w:w="6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(7.0)</w:t>
            </w:r>
          </w:p>
        </w:tc>
        <w:tc>
          <w:tcPr>
            <w:tcW w:w="1000" w:type="dxa"/>
            <w:vAlign w:val="bottom"/>
            <w:gridSpan w:val="2"/>
            <w:shd w:val="clear" w:color="auto" w:fill="E5FFFF"/>
          </w:tcPr>
          <w:p>
            <w:pPr>
              <w:jc w:val="right"/>
              <w:ind w:right="23"/>
              <w:spacing w:after="0"/>
              <w:rPr>
                <w:sz w:val="20"/>
                <w:szCs w:val="20"/>
                <w:color w:val="auto"/>
              </w:rPr>
            </w:pPr>
            <w:r>
              <w:rPr>
                <w:rFonts w:ascii="Arial" w:cs="Arial" w:eastAsia="Arial" w:hAnsi="Arial"/>
                <w:sz w:val="19"/>
                <w:szCs w:val="19"/>
                <w:color w:val="auto"/>
              </w:rPr>
              <w:t>(7.2)</w:t>
            </w:r>
          </w:p>
        </w:tc>
        <w:tc>
          <w:tcPr>
            <w:tcW w:w="104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(7.1)</w:t>
            </w:r>
          </w:p>
        </w:tc>
      </w:tr>
      <w:tr>
        <w:trPr>
          <w:trHeight w:val="243"/>
        </w:trPr>
        <w:tc>
          <w:tcPr>
            <w:tcW w:w="7680" w:type="dxa"/>
            <w:vAlign w:val="bottom"/>
          </w:tcPr>
          <w:p>
            <w:pPr>
              <w:ind w:left="360"/>
              <w:spacing w:after="0"/>
              <w:rPr>
                <w:sz w:val="20"/>
                <w:szCs w:val="20"/>
                <w:color w:val="auto"/>
              </w:rPr>
            </w:pPr>
            <w:r>
              <w:rPr>
                <w:rFonts w:ascii="Arial" w:cs="Arial" w:eastAsia="Arial" w:hAnsi="Arial"/>
                <w:sz w:val="19"/>
                <w:szCs w:val="19"/>
                <w:color w:val="auto"/>
              </w:rPr>
              <w:t>U.S. state income taxes(1)</w:t>
            </w:r>
          </w:p>
        </w:tc>
        <w:tc>
          <w:tcPr>
            <w:tcW w:w="680" w:type="dxa"/>
            <w:vAlign w:val="bottom"/>
          </w:tcPr>
          <w:p>
            <w:pPr>
              <w:jc w:val="right"/>
              <w:ind w:right="106"/>
              <w:spacing w:after="0"/>
              <w:rPr>
                <w:sz w:val="20"/>
                <w:szCs w:val="20"/>
                <w:color w:val="auto"/>
              </w:rPr>
            </w:pPr>
            <w:r>
              <w:rPr>
                <w:rFonts w:ascii="Arial" w:cs="Arial" w:eastAsia="Arial" w:hAnsi="Arial"/>
                <w:sz w:val="19"/>
                <w:szCs w:val="19"/>
                <w:color w:val="auto"/>
              </w:rPr>
              <w:t>1.2</w:t>
            </w:r>
          </w:p>
        </w:tc>
        <w:tc>
          <w:tcPr>
            <w:tcW w:w="1000" w:type="dxa"/>
            <w:vAlign w:val="bottom"/>
            <w:gridSpan w:val="2"/>
          </w:tcPr>
          <w:p>
            <w:pPr>
              <w:jc w:val="right"/>
              <w:ind w:right="103"/>
              <w:spacing w:after="0"/>
              <w:rPr>
                <w:sz w:val="20"/>
                <w:szCs w:val="20"/>
                <w:color w:val="auto"/>
              </w:rPr>
            </w:pPr>
            <w:r>
              <w:rPr>
                <w:rFonts w:ascii="Arial" w:cs="Arial" w:eastAsia="Arial" w:hAnsi="Arial"/>
                <w:sz w:val="19"/>
                <w:szCs w:val="19"/>
                <w:color w:val="auto"/>
              </w:rPr>
              <w:t>1.8</w:t>
            </w:r>
          </w:p>
        </w:tc>
        <w:tc>
          <w:tcPr>
            <w:tcW w:w="1040" w:type="dxa"/>
            <w:vAlign w:val="bottom"/>
            <w:gridSpan w:val="2"/>
          </w:tcPr>
          <w:p>
            <w:pPr>
              <w:jc w:val="right"/>
              <w:ind w:right="123"/>
              <w:spacing w:after="0"/>
              <w:rPr>
                <w:sz w:val="20"/>
                <w:szCs w:val="20"/>
                <w:color w:val="auto"/>
              </w:rPr>
            </w:pPr>
            <w:r>
              <w:rPr>
                <w:rFonts w:ascii="Arial" w:cs="Arial" w:eastAsia="Arial" w:hAnsi="Arial"/>
                <w:sz w:val="19"/>
                <w:szCs w:val="19"/>
                <w:color w:val="auto"/>
              </w:rPr>
              <w:t>0.8</w:t>
            </w:r>
          </w:p>
        </w:tc>
      </w:tr>
      <w:tr>
        <w:trPr>
          <w:trHeight w:val="243"/>
        </w:trPr>
        <w:tc>
          <w:tcPr>
            <w:tcW w:w="76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Manufacturing incentives</w:t>
            </w:r>
          </w:p>
        </w:tc>
        <w:tc>
          <w:tcPr>
            <w:tcW w:w="6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(1.0)</w:t>
            </w:r>
          </w:p>
        </w:tc>
        <w:tc>
          <w:tcPr>
            <w:tcW w:w="1000" w:type="dxa"/>
            <w:vAlign w:val="bottom"/>
            <w:gridSpan w:val="2"/>
            <w:shd w:val="clear" w:color="auto" w:fill="E5FFFF"/>
          </w:tcPr>
          <w:p>
            <w:pPr>
              <w:jc w:val="right"/>
              <w:ind w:right="23"/>
              <w:spacing w:after="0"/>
              <w:rPr>
                <w:sz w:val="20"/>
                <w:szCs w:val="20"/>
                <w:color w:val="auto"/>
              </w:rPr>
            </w:pPr>
            <w:r>
              <w:rPr>
                <w:rFonts w:ascii="Arial" w:cs="Arial" w:eastAsia="Arial" w:hAnsi="Arial"/>
                <w:sz w:val="19"/>
                <w:szCs w:val="19"/>
                <w:color w:val="auto"/>
              </w:rPr>
              <w:t>(0.9)</w:t>
            </w:r>
          </w:p>
        </w:tc>
        <w:tc>
          <w:tcPr>
            <w:tcW w:w="104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(1.7)</w:t>
            </w:r>
          </w:p>
        </w:tc>
      </w:tr>
      <w:tr>
        <w:trPr>
          <w:trHeight w:val="243"/>
        </w:trPr>
        <w:tc>
          <w:tcPr>
            <w:tcW w:w="7680" w:type="dxa"/>
            <w:vAlign w:val="bottom"/>
          </w:tcPr>
          <w:p>
            <w:pPr>
              <w:ind w:left="360"/>
              <w:spacing w:after="0"/>
              <w:rPr>
                <w:sz w:val="20"/>
                <w:szCs w:val="20"/>
                <w:color w:val="auto"/>
              </w:rPr>
            </w:pPr>
            <w:r>
              <w:rPr>
                <w:rFonts w:ascii="Arial" w:cs="Arial" w:eastAsia="Arial" w:hAnsi="Arial"/>
                <w:sz w:val="19"/>
                <w:szCs w:val="19"/>
                <w:color w:val="auto"/>
              </w:rPr>
              <w:t>ESOP dividend tax benefit</w:t>
            </w:r>
          </w:p>
        </w:tc>
        <w:tc>
          <w:tcPr>
            <w:tcW w:w="680" w:type="dxa"/>
            <w:vAlign w:val="bottom"/>
          </w:tcPr>
          <w:p>
            <w:pPr>
              <w:jc w:val="right"/>
              <w:ind w:right="26"/>
              <w:spacing w:after="0"/>
              <w:rPr>
                <w:sz w:val="20"/>
                <w:szCs w:val="20"/>
                <w:color w:val="auto"/>
              </w:rPr>
            </w:pPr>
            <w:r>
              <w:rPr>
                <w:rFonts w:ascii="Arial" w:cs="Arial" w:eastAsia="Arial" w:hAnsi="Arial"/>
                <w:sz w:val="19"/>
                <w:szCs w:val="19"/>
                <w:color w:val="auto"/>
              </w:rPr>
              <w:t>(0.4)</w:t>
            </w:r>
          </w:p>
        </w:tc>
        <w:tc>
          <w:tcPr>
            <w:tcW w:w="1000" w:type="dxa"/>
            <w:vAlign w:val="bottom"/>
            <w:gridSpan w:val="2"/>
          </w:tcPr>
          <w:p>
            <w:pPr>
              <w:jc w:val="right"/>
              <w:ind w:right="23"/>
              <w:spacing w:after="0"/>
              <w:rPr>
                <w:sz w:val="20"/>
                <w:szCs w:val="20"/>
                <w:color w:val="auto"/>
              </w:rPr>
            </w:pPr>
            <w:r>
              <w:rPr>
                <w:rFonts w:ascii="Arial" w:cs="Arial" w:eastAsia="Arial" w:hAnsi="Arial"/>
                <w:sz w:val="19"/>
                <w:szCs w:val="19"/>
                <w:color w:val="auto"/>
              </w:rPr>
              <w:t>(0.5)</w:t>
            </w:r>
          </w:p>
        </w:tc>
        <w:tc>
          <w:tcPr>
            <w:tcW w:w="1040" w:type="dxa"/>
            <w:vAlign w:val="bottom"/>
            <w:gridSpan w:val="2"/>
          </w:tcPr>
          <w:p>
            <w:pPr>
              <w:jc w:val="right"/>
              <w:ind w:right="63"/>
              <w:spacing w:after="0"/>
              <w:rPr>
                <w:sz w:val="20"/>
                <w:szCs w:val="20"/>
                <w:color w:val="auto"/>
              </w:rPr>
            </w:pPr>
            <w:r>
              <w:rPr>
                <w:rFonts w:ascii="Arial" w:cs="Arial" w:eastAsia="Arial" w:hAnsi="Arial"/>
                <w:sz w:val="19"/>
                <w:szCs w:val="19"/>
                <w:color w:val="auto"/>
              </w:rPr>
              <w:t>(0.6)</w:t>
            </w:r>
          </w:p>
        </w:tc>
      </w:tr>
      <w:tr>
        <w:trPr>
          <w:trHeight w:val="243"/>
        </w:trPr>
        <w:tc>
          <w:tcPr>
            <w:tcW w:w="76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Tax credits</w:t>
            </w:r>
          </w:p>
        </w:tc>
        <w:tc>
          <w:tcPr>
            <w:tcW w:w="6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(1.0)</w:t>
            </w:r>
          </w:p>
        </w:tc>
        <w:tc>
          <w:tcPr>
            <w:tcW w:w="1000" w:type="dxa"/>
            <w:vAlign w:val="bottom"/>
            <w:gridSpan w:val="2"/>
            <w:shd w:val="clear" w:color="auto" w:fill="E5FFFF"/>
          </w:tcPr>
          <w:p>
            <w:pPr>
              <w:jc w:val="right"/>
              <w:ind w:right="23"/>
              <w:spacing w:after="0"/>
              <w:rPr>
                <w:sz w:val="20"/>
                <w:szCs w:val="20"/>
                <w:color w:val="auto"/>
              </w:rPr>
            </w:pPr>
            <w:r>
              <w:rPr>
                <w:rFonts w:ascii="Arial" w:cs="Arial" w:eastAsia="Arial" w:hAnsi="Arial"/>
                <w:sz w:val="19"/>
                <w:szCs w:val="19"/>
                <w:color w:val="auto"/>
              </w:rPr>
              <w:t>(1.8)</w:t>
            </w:r>
          </w:p>
        </w:tc>
        <w:tc>
          <w:tcPr>
            <w:tcW w:w="1040" w:type="dxa"/>
            <w:vAlign w:val="bottom"/>
            <w:gridSpan w:val="2"/>
            <w:shd w:val="clear" w:color="auto" w:fill="E5FFFF"/>
          </w:tcPr>
          <w:p>
            <w:pPr>
              <w:jc w:val="right"/>
              <w:ind w:right="63"/>
              <w:spacing w:after="0"/>
              <w:rPr>
                <w:sz w:val="20"/>
                <w:szCs w:val="20"/>
                <w:color w:val="auto"/>
              </w:rPr>
            </w:pPr>
            <w:r>
              <w:rPr>
                <w:rFonts w:ascii="Arial" w:cs="Arial" w:eastAsia="Arial" w:hAnsi="Arial"/>
                <w:sz w:val="19"/>
                <w:szCs w:val="19"/>
                <w:color w:val="auto"/>
              </w:rPr>
              <w:t>(0.4)</w:t>
            </w:r>
          </w:p>
        </w:tc>
      </w:tr>
      <w:tr>
        <w:trPr>
          <w:trHeight w:val="243"/>
        </w:trPr>
        <w:tc>
          <w:tcPr>
            <w:tcW w:w="7680" w:type="dxa"/>
            <w:vAlign w:val="bottom"/>
          </w:tcPr>
          <w:p>
            <w:pPr>
              <w:ind w:left="360"/>
              <w:spacing w:after="0"/>
              <w:rPr>
                <w:sz w:val="20"/>
                <w:szCs w:val="20"/>
                <w:color w:val="auto"/>
              </w:rPr>
            </w:pPr>
            <w:r>
              <w:rPr>
                <w:rFonts w:ascii="Arial" w:cs="Arial" w:eastAsia="Arial" w:hAnsi="Arial"/>
                <w:sz w:val="19"/>
                <w:szCs w:val="19"/>
                <w:color w:val="auto"/>
              </w:rPr>
              <w:t>Reserves for tax contingencies</w:t>
            </w:r>
          </w:p>
        </w:tc>
        <w:tc>
          <w:tcPr>
            <w:tcW w:w="680" w:type="dxa"/>
            <w:vAlign w:val="bottom"/>
          </w:tcPr>
          <w:p>
            <w:pPr>
              <w:jc w:val="right"/>
              <w:ind w:right="26"/>
              <w:spacing w:after="0"/>
              <w:rPr>
                <w:sz w:val="20"/>
                <w:szCs w:val="20"/>
                <w:color w:val="auto"/>
              </w:rPr>
            </w:pPr>
            <w:r>
              <w:rPr>
                <w:rFonts w:ascii="Arial" w:cs="Arial" w:eastAsia="Arial" w:hAnsi="Arial"/>
                <w:sz w:val="19"/>
                <w:szCs w:val="19"/>
                <w:color w:val="auto"/>
              </w:rPr>
              <w:t>(0.2)</w:t>
            </w:r>
          </w:p>
        </w:tc>
        <w:tc>
          <w:tcPr>
            <w:tcW w:w="1000" w:type="dxa"/>
            <w:vAlign w:val="bottom"/>
            <w:gridSpan w:val="2"/>
          </w:tcPr>
          <w:p>
            <w:pPr>
              <w:jc w:val="right"/>
              <w:ind w:right="103"/>
              <w:spacing w:after="0"/>
              <w:rPr>
                <w:sz w:val="20"/>
                <w:szCs w:val="20"/>
                <w:color w:val="auto"/>
              </w:rPr>
            </w:pPr>
            <w:r>
              <w:rPr>
                <w:rFonts w:ascii="Arial" w:cs="Arial" w:eastAsia="Arial" w:hAnsi="Arial"/>
                <w:sz w:val="19"/>
                <w:szCs w:val="19"/>
                <w:color w:val="auto"/>
              </w:rPr>
              <w:t>0.6</w:t>
            </w:r>
          </w:p>
        </w:tc>
        <w:tc>
          <w:tcPr>
            <w:tcW w:w="1040" w:type="dxa"/>
            <w:vAlign w:val="bottom"/>
            <w:gridSpan w:val="2"/>
          </w:tcPr>
          <w:p>
            <w:pPr>
              <w:jc w:val="right"/>
              <w:ind w:right="63"/>
              <w:spacing w:after="0"/>
              <w:rPr>
                <w:sz w:val="20"/>
                <w:szCs w:val="20"/>
                <w:color w:val="auto"/>
              </w:rPr>
            </w:pPr>
            <w:r>
              <w:rPr>
                <w:rFonts w:ascii="Arial" w:cs="Arial" w:eastAsia="Arial" w:hAnsi="Arial"/>
                <w:sz w:val="19"/>
                <w:szCs w:val="19"/>
                <w:color w:val="auto"/>
              </w:rPr>
              <w:t>(0.4)</w:t>
            </w:r>
          </w:p>
        </w:tc>
      </w:tr>
      <w:tr>
        <w:trPr>
          <w:trHeight w:val="243"/>
        </w:trPr>
        <w:tc>
          <w:tcPr>
            <w:tcW w:w="76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All other items—net</w:t>
            </w:r>
          </w:p>
        </w:tc>
        <w:tc>
          <w:tcPr>
            <w:tcW w:w="680" w:type="dxa"/>
            <w:vAlign w:val="bottom"/>
            <w:tcBorders>
              <w:bottom w:val="single" w:sz="8" w:color="auto"/>
            </w:tcBorders>
            <w:shd w:val="clear" w:color="auto" w:fill="E5FFFF"/>
          </w:tcPr>
          <w:p>
            <w:pPr>
              <w:jc w:val="right"/>
              <w:ind w:right="26"/>
              <w:spacing w:after="0"/>
              <w:rPr>
                <w:sz w:val="20"/>
                <w:szCs w:val="20"/>
                <w:color w:val="auto"/>
              </w:rPr>
            </w:pPr>
            <w:r>
              <w:rPr>
                <w:rFonts w:ascii="Arial" w:cs="Arial" w:eastAsia="Arial" w:hAnsi="Arial"/>
                <w:sz w:val="19"/>
                <w:szCs w:val="19"/>
                <w:color w:val="auto"/>
              </w:rPr>
              <w:t>(1.0)</w:t>
            </w:r>
          </w:p>
        </w:tc>
        <w:tc>
          <w:tcPr>
            <w:tcW w:w="32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ind w:right="23"/>
              <w:spacing w:after="0"/>
              <w:rPr>
                <w:sz w:val="20"/>
                <w:szCs w:val="20"/>
                <w:color w:val="auto"/>
              </w:rPr>
            </w:pPr>
            <w:r>
              <w:rPr>
                <w:rFonts w:ascii="Arial" w:cs="Arial" w:eastAsia="Arial" w:hAnsi="Arial"/>
                <w:sz w:val="19"/>
                <w:szCs w:val="19"/>
                <w:color w:val="auto"/>
              </w:rPr>
              <w:t>(0.2)</w:t>
            </w:r>
          </w:p>
        </w:tc>
        <w:tc>
          <w:tcPr>
            <w:tcW w:w="320" w:type="dxa"/>
            <w:vAlign w:val="bottom"/>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rPr>
              <w:t>(1.2)</w:t>
            </w:r>
          </w:p>
        </w:tc>
      </w:tr>
      <w:tr>
        <w:trPr>
          <w:trHeight w:val="250"/>
        </w:trPr>
        <w:tc>
          <w:tcPr>
            <w:tcW w:w="7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25.6%</w:t>
            </w:r>
          </w:p>
        </w:tc>
        <w:tc>
          <w:tcPr>
            <w:tcW w:w="1000" w:type="dxa"/>
            <w:vAlign w:val="bottom"/>
            <w:gridSpan w:val="2"/>
          </w:tcPr>
          <w:p>
            <w:pPr>
              <w:jc w:val="right"/>
              <w:spacing w:after="0"/>
              <w:rPr>
                <w:sz w:val="20"/>
                <w:szCs w:val="20"/>
                <w:color w:val="auto"/>
              </w:rPr>
            </w:pPr>
            <w:r>
              <w:rPr>
                <w:rFonts w:ascii="Arial" w:cs="Arial" w:eastAsia="Arial" w:hAnsi="Arial"/>
                <w:sz w:val="19"/>
                <w:szCs w:val="19"/>
                <w:color w:val="auto"/>
              </w:rPr>
              <w:t>26.8%</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24.4%</w:t>
            </w:r>
          </w:p>
        </w:tc>
      </w:tr>
      <w:tr>
        <w:trPr>
          <w:trHeight w:val="20"/>
        </w:trPr>
        <w:tc>
          <w:tcPr>
            <w:tcW w:w="7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Net of changes in valuation allowance</w:t>
      </w:r>
    </w:p>
    <w:p>
      <w:pPr>
        <w:spacing w:after="0" w:line="106"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The effective tax rate decreased by 1.2 percentage points in 2014 compared to 2013. The decrease was primarily attributable to lower tax expense from the resolution of audits, partially offset by the impact of more income in jurisdictions with higher tax rates and additional reserves. The Company’s non-U.S. effective tax rate for 2014 was 21.3%, an increase of approximately 2.3 percentage points compared to 2013. The increase in the non-U.S. effective tax rate was primarily attributable to additional reserves and the impact of more income in jurisdictions with higher tax rates, partially offset by the tax impact of dispositions. The effective tax rate was lower than the U.S. federal statutory rate of 35% primarily due to overall non-U.S. earnings taxed at lower rates.</w:t>
      </w:r>
    </w:p>
    <w:p>
      <w:pPr>
        <w:spacing w:after="0" w:line="94"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The effective tax rate increased by 2.4 percentage points in 2013 compared to 2012. The increase was primarily attributable to lower mark-to-market pension expense in the U.S. Other factors causing an increase in the effective tax rate include higher tax expense related to an increase in tax reserves and higher state tax expense. These increases in the effective tax rate were partially offset by tax benefits from retroactive law changes in the U.S. The Company’s non-U.S. effective tax rate for 2013 was 19.0%, an increase of approximately 2.0 percentage points compared to 2012. The increase in the non-U.S. effective tax rate was primarily attributable to higher expense related to retroactive tax law changes in Germany and additional reserves in various jurisdictions, coupled with higher earnings in higher tax rate jurisdictions. The effective tax rate was lower than the U.S. federal statutory rate of 35% primarily due to overall non-U.S. earnings taxed at lower rates.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Deferred tax assets (liabilities)</w:t>
      </w:r>
    </w:p>
    <w:p>
      <w:pPr>
        <w:spacing w:after="0" w:line="130"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The tax effects of temporary differences and tax carryforwards which give rise to future income tax benefits and payables are as follows:</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8340" w:type="dxa"/>
            <w:vAlign w:val="bottom"/>
            <w:vMerge w:val="restart"/>
          </w:tcPr>
          <w:p>
            <w:pPr>
              <w:spacing w:after="0"/>
              <w:rPr>
                <w:sz w:val="20"/>
                <w:szCs w:val="20"/>
                <w:color w:val="auto"/>
              </w:rPr>
            </w:pPr>
            <w:r>
              <w:rPr>
                <w:rFonts w:ascii="Arial" w:cs="Arial" w:eastAsia="Arial" w:hAnsi="Arial"/>
                <w:sz w:val="19"/>
                <w:szCs w:val="19"/>
                <w:b w:val="1"/>
                <w:bCs w:val="1"/>
                <w:color w:val="auto"/>
              </w:rPr>
              <w:t>Deferred tax assets:</w:t>
            </w: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834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37"/>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Pension</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573</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Postretirement benefits other than pensions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441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499</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Asbestos and environmental</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477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437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Employee compensation and benefits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387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382</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Other accruals and reserves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702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Net operating and capital losses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639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838</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Tax credit carryforwards</w:t>
            </w:r>
          </w:p>
        </w:tc>
        <w:tc>
          <w:tcPr>
            <w:tcW w:w="1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199</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266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0"/>
                <w:szCs w:val="20"/>
                <w:color w:val="auto"/>
              </w:rPr>
            </w:pPr>
            <w:r>
              <w:rPr>
                <w:rFonts w:ascii="Arial" w:cs="Arial" w:eastAsia="Arial" w:hAnsi="Arial"/>
                <w:sz w:val="19"/>
                <w:szCs w:val="19"/>
                <w:color w:val="auto"/>
              </w:rPr>
              <w:t>Gross deferred tax assets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3,388</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3,156</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spacing w:after="0"/>
              <w:rPr>
                <w:sz w:val="20"/>
                <w:szCs w:val="20"/>
                <w:color w:val="auto"/>
              </w:rPr>
            </w:pPr>
            <w:r>
              <w:rPr>
                <w:rFonts w:ascii="Arial" w:cs="Arial" w:eastAsia="Arial" w:hAnsi="Arial"/>
                <w:sz w:val="19"/>
                <w:szCs w:val="19"/>
                <w:color w:val="auto"/>
              </w:rPr>
              <w:t>Valuation allowance</w:t>
            </w:r>
          </w:p>
        </w:tc>
        <w:tc>
          <w:tcPr>
            <w:tcW w:w="1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(560)</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(614)</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0"/>
                <w:szCs w:val="20"/>
                <w:color w:val="auto"/>
              </w:rPr>
            </w:pPr>
            <w:r>
              <w:rPr>
                <w:rFonts w:ascii="Arial" w:cs="Arial" w:eastAsia="Arial" w:hAnsi="Arial"/>
                <w:sz w:val="19"/>
                <w:szCs w:val="19"/>
                <w:color w:val="auto"/>
              </w:rPr>
              <w:t>Total deferred tax assets</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2,828</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2,542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Deferred tax liabilities:</w:t>
            </w:r>
          </w:p>
        </w:tc>
        <w:tc>
          <w:tcPr>
            <w:tcW w:w="18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line="216" w:lineRule="exact"/>
              <w:rPr>
                <w:sz w:val="20"/>
                <w:szCs w:val="20"/>
                <w:color w:val="auto"/>
              </w:rPr>
            </w:pPr>
            <w:r>
              <w:rPr>
                <w:rFonts w:ascii="Arial" w:cs="Arial" w:eastAsia="Arial" w:hAnsi="Arial"/>
                <w:sz w:val="19"/>
                <w:szCs w:val="19"/>
                <w:color w:val="auto"/>
              </w:rPr>
              <w:t>Property, plant and equipment</w:t>
            </w:r>
          </w:p>
        </w:tc>
        <w:tc>
          <w:tcPr>
            <w:tcW w:w="180" w:type="dxa"/>
            <w:vAlign w:val="bottom"/>
          </w:tcPr>
          <w:p>
            <w:pPr>
              <w:jc w:val="right"/>
              <w:spacing w:after="0" w:line="216" w:lineRule="exact"/>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line="216" w:lineRule="exact"/>
              <w:rPr>
                <w:sz w:val="20"/>
                <w:szCs w:val="20"/>
                <w:color w:val="auto"/>
              </w:rPr>
            </w:pPr>
            <w:r>
              <w:rPr>
                <w:rFonts w:ascii="Arial" w:cs="Arial" w:eastAsia="Arial" w:hAnsi="Arial"/>
                <w:sz w:val="19"/>
                <w:szCs w:val="19"/>
                <w:color w:val="auto"/>
              </w:rPr>
              <w:t>(612)</w:t>
            </w:r>
          </w:p>
        </w:tc>
        <w:tc>
          <w:tcPr>
            <w:tcW w:w="480" w:type="dxa"/>
            <w:vAlign w:val="bottom"/>
            <w:gridSpan w:val="2"/>
          </w:tcPr>
          <w:p>
            <w:pPr>
              <w:jc w:val="right"/>
              <w:ind w:right="60"/>
              <w:spacing w:after="0" w:line="216" w:lineRule="exact"/>
              <w:rPr>
                <w:sz w:val="20"/>
                <w:szCs w:val="20"/>
                <w:color w:val="auto"/>
              </w:rPr>
            </w:pPr>
            <w:r>
              <w:rPr>
                <w:rFonts w:ascii="Arial" w:cs="Arial" w:eastAsia="Arial" w:hAnsi="Arial"/>
                <w:sz w:val="19"/>
                <w:szCs w:val="19"/>
                <w:color w:val="auto"/>
              </w:rPr>
              <w:t>$</w:t>
            </w:r>
          </w:p>
        </w:tc>
        <w:tc>
          <w:tcPr>
            <w:tcW w:w="720" w:type="dxa"/>
            <w:vAlign w:val="bottom"/>
          </w:tcPr>
          <w:p>
            <w:pPr>
              <w:jc w:val="right"/>
              <w:spacing w:after="0" w:line="216" w:lineRule="exact"/>
              <w:rPr>
                <w:sz w:val="20"/>
                <w:szCs w:val="20"/>
                <w:color w:val="auto"/>
              </w:rPr>
            </w:pPr>
            <w:r>
              <w:rPr>
                <w:rFonts w:ascii="Arial" w:cs="Arial" w:eastAsia="Arial" w:hAnsi="Arial"/>
                <w:sz w:val="19"/>
                <w:szCs w:val="19"/>
                <w:color w:val="auto"/>
              </w:rPr>
              <w:t>(654)</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Intangibles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(1,060)</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(1,126)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9"/>
                <w:szCs w:val="19"/>
                <w:color w:val="auto"/>
              </w:rPr>
              <w:t>Other asset basis differences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(286)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(350)</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ind w:left="180"/>
              <w:spacing w:after="0"/>
              <w:rPr>
                <w:sz w:val="20"/>
                <w:szCs w:val="20"/>
                <w:color w:val="auto"/>
              </w:rPr>
            </w:pPr>
            <w:r>
              <w:rPr>
                <w:rFonts w:ascii="Arial" w:cs="Arial" w:eastAsia="Arial" w:hAnsi="Arial"/>
                <w:sz w:val="19"/>
                <w:szCs w:val="19"/>
                <w:color w:val="auto"/>
              </w:rPr>
              <w:t>Other</w:t>
            </w:r>
          </w:p>
        </w:tc>
        <w:tc>
          <w:tcPr>
            <w:tcW w:w="1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w:t>
            </w: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0"/>
                <w:szCs w:val="20"/>
                <w:color w:val="auto"/>
              </w:rPr>
            </w:pPr>
            <w:r>
              <w:rPr>
                <w:rFonts w:ascii="Arial" w:cs="Arial" w:eastAsia="Arial" w:hAnsi="Arial"/>
                <w:sz w:val="19"/>
                <w:szCs w:val="19"/>
                <w:color w:val="auto"/>
              </w:rPr>
              <w:t>Total deferred tax liabilities</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(1,965)</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(2,152)</w:t>
            </w:r>
          </w:p>
        </w:tc>
        <w:tc>
          <w:tcPr>
            <w:tcW w:w="0" w:type="dxa"/>
            <w:vAlign w:val="bottom"/>
          </w:tcPr>
          <w:p>
            <w:pPr>
              <w:spacing w:after="0"/>
              <w:rPr>
                <w:sz w:val="1"/>
                <w:szCs w:val="1"/>
                <w:color w:val="auto"/>
              </w:rPr>
            </w:pPr>
          </w:p>
        </w:tc>
      </w:tr>
      <w:tr>
        <w:trPr>
          <w:trHeight w:val="243"/>
        </w:trPr>
        <w:tc>
          <w:tcPr>
            <w:tcW w:w="8340" w:type="dxa"/>
            <w:vAlign w:val="bottom"/>
            <w:shd w:val="clear" w:color="auto" w:fill="E5FFFF"/>
          </w:tcPr>
          <w:p>
            <w:pPr>
              <w:spacing w:after="0"/>
              <w:rPr>
                <w:sz w:val="20"/>
                <w:szCs w:val="20"/>
                <w:color w:val="auto"/>
              </w:rPr>
            </w:pPr>
            <w:r>
              <w:rPr>
                <w:rFonts w:ascii="Arial" w:cs="Arial" w:eastAsia="Arial" w:hAnsi="Arial"/>
                <w:sz w:val="19"/>
                <w:szCs w:val="19"/>
                <w:color w:val="auto"/>
              </w:rPr>
              <w:t>Net deferred taxes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863</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390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The net deferred tax assets are included as components of Current and Non-Current Deferred Income Taxes and Accrued Liabilities within the Consolidated Balance Sheet.</w:t>
      </w:r>
    </w:p>
    <w:p>
      <w:pPr>
        <w:spacing w:after="0" w:line="80"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Our net deferred tax asset of $863 million consists of $305 million related to non-U.S. operations which are comprised principally of net deductible temporary differences and net operating loss, capital loss and tax credit carryforwards (mainly in Canada and the United Kingdom). We maintain a valuation allowance of $557 million against a portion of the non-U.S. gross deferred tax assets. Our valuation allowance decreased by $54 million in 2014, increased by $16 million in 2013 and increased by $7 million in 2012. The amount of the change in the valuation allowance that was credited to income tax expense for 2014 was $10 million and the amounts charged to income tax expense for 2013 and 2012 were $49 million and $18 million, respectively. In the event we determine that we will not be able to realize our net deferred tax assets in the future, we will reduce such amounts through a charge to income in the period such determination is made. Conversely, if we determine that we will be able to realize net deferred tax assets in excess of the carrying amounts, we will decrease the recorded valuation allowance through a credit to income tax expense in the period that such determination is made.</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2014, our net operating loss, capital loss and tax credit carryforwards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71"/>
              <w:spacing w:after="0"/>
              <w:rPr>
                <w:sz w:val="20"/>
                <w:szCs w:val="20"/>
                <w:color w:val="auto"/>
              </w:rPr>
            </w:pPr>
            <w:r>
              <w:rPr>
                <w:rFonts w:ascii="Arial" w:cs="Arial" w:eastAsia="Arial" w:hAnsi="Arial"/>
                <w:sz w:val="16"/>
                <w:szCs w:val="16"/>
                <w:b w:val="1"/>
                <w:bCs w:val="1"/>
                <w:color w:val="auto"/>
                <w:w w:val="98"/>
              </w:rPr>
              <w:t>Net Operating</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1"/>
              <w:spacing w:after="0" w:line="176" w:lineRule="exact"/>
              <w:rPr>
                <w:sz w:val="20"/>
                <w:szCs w:val="20"/>
                <w:color w:val="auto"/>
              </w:rPr>
            </w:pPr>
            <w:r>
              <w:rPr>
                <w:rFonts w:ascii="Arial" w:cs="Arial" w:eastAsia="Arial" w:hAnsi="Arial"/>
                <w:sz w:val="16"/>
                <w:szCs w:val="16"/>
                <w:b w:val="1"/>
                <w:bCs w:val="1"/>
                <w:color w:val="auto"/>
              </w:rPr>
              <w:t>Expiration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1"/>
              <w:spacing w:after="0" w:line="176" w:lineRule="exact"/>
              <w:rPr>
                <w:sz w:val="20"/>
                <w:szCs w:val="20"/>
                <w:color w:val="auto"/>
              </w:rPr>
            </w:pPr>
            <w:r>
              <w:rPr>
                <w:rFonts w:ascii="Arial" w:cs="Arial" w:eastAsia="Arial" w:hAnsi="Arial"/>
                <w:sz w:val="16"/>
                <w:szCs w:val="16"/>
                <w:b w:val="1"/>
                <w:bCs w:val="1"/>
                <w:color w:val="auto"/>
                <w:w w:val="98"/>
              </w:rPr>
              <w:t>and Capital Loss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209"/>
              <w:spacing w:after="0" w:line="176" w:lineRule="exact"/>
              <w:rPr>
                <w:sz w:val="20"/>
                <w:szCs w:val="20"/>
                <w:color w:val="auto"/>
              </w:rPr>
            </w:pPr>
            <w:r>
              <w:rPr>
                <w:rFonts w:ascii="Arial" w:cs="Arial" w:eastAsia="Arial" w:hAnsi="Arial"/>
                <w:sz w:val="16"/>
                <w:szCs w:val="16"/>
                <w:b w:val="1"/>
                <w:bCs w:val="1"/>
                <w:color w:val="auto"/>
              </w:rPr>
              <w:t>Tax Credit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4180" w:type="dxa"/>
            <w:vAlign w:val="bottom"/>
            <w:tcBorders>
              <w:bottom w:val="single" w:sz="8" w:color="auto"/>
            </w:tcBorders>
          </w:tcPr>
          <w:p>
            <w:pPr>
              <w:ind w:left="2340"/>
              <w:spacing w:after="0"/>
              <w:rPr>
                <w:sz w:val="20"/>
                <w:szCs w:val="20"/>
                <w:color w:val="auto"/>
              </w:rPr>
            </w:pPr>
            <w:r>
              <w:rPr>
                <w:rFonts w:ascii="Arial" w:cs="Arial" w:eastAsia="Arial" w:hAnsi="Arial"/>
                <w:sz w:val="16"/>
                <w:szCs w:val="16"/>
                <w:b w:val="1"/>
                <w:bCs w:val="1"/>
                <w:color w:val="auto"/>
              </w:rPr>
              <w:t>Jurisdiction</w:t>
            </w:r>
          </w:p>
        </w:tc>
        <w:tc>
          <w:tcPr>
            <w:tcW w:w="1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Period</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98"/>
              </w:rPr>
              <w:t>Carryforwards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
              <w:spacing w:after="0"/>
              <w:rPr>
                <w:sz w:val="20"/>
                <w:szCs w:val="20"/>
                <w:color w:val="auto"/>
              </w:rPr>
            </w:pPr>
            <w:r>
              <w:rPr>
                <w:rFonts w:ascii="Arial" w:cs="Arial" w:eastAsia="Arial" w:hAnsi="Arial"/>
                <w:sz w:val="16"/>
                <w:szCs w:val="16"/>
                <w:b w:val="1"/>
                <w:bCs w:val="1"/>
                <w:color w:val="auto"/>
                <w:w w:val="96"/>
              </w:rPr>
              <w:t>Carryforwards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180" w:type="dxa"/>
            <w:vAlign w:val="bottom"/>
            <w:shd w:val="clear" w:color="auto" w:fill="E5FFFF"/>
          </w:tcPr>
          <w:p>
            <w:pPr>
              <w:spacing w:after="0"/>
              <w:rPr>
                <w:sz w:val="20"/>
                <w:szCs w:val="20"/>
                <w:color w:val="auto"/>
              </w:rPr>
            </w:pPr>
            <w:r>
              <w:rPr>
                <w:rFonts w:ascii="Arial" w:cs="Arial" w:eastAsia="Arial" w:hAnsi="Arial"/>
                <w:sz w:val="19"/>
                <w:szCs w:val="19"/>
                <w:color w:val="auto"/>
              </w:rPr>
              <w:t>U.S. Federal</w:t>
            </w:r>
          </w:p>
        </w:tc>
        <w:tc>
          <w:tcPr>
            <w:tcW w:w="262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2032</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480" w:type="dxa"/>
            <w:vAlign w:val="bottom"/>
            <w:shd w:val="clear" w:color="auto" w:fill="E5FFFF"/>
          </w:tcPr>
          <w:p>
            <w:pPr>
              <w:jc w:val="right"/>
              <w:ind w:right="31"/>
              <w:spacing w:after="0"/>
              <w:rPr>
                <w:sz w:val="20"/>
                <w:szCs w:val="20"/>
                <w:color w:val="auto"/>
              </w:rPr>
            </w:pPr>
            <w:r>
              <w:rPr>
                <w:rFonts w:ascii="Arial" w:cs="Arial" w:eastAsia="Arial" w:hAnsi="Arial"/>
                <w:sz w:val="19"/>
                <w:szCs w:val="19"/>
                <w:color w:val="auto"/>
              </w:rPr>
              <w:t>1</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20" w:type="dxa"/>
            <w:vAlign w:val="bottom"/>
            <w:shd w:val="clear" w:color="auto" w:fill="E5FFFF"/>
          </w:tcPr>
          <w:p>
            <w:pPr>
              <w:jc w:val="right"/>
              <w:ind w:right="49"/>
              <w:spacing w:after="0"/>
              <w:rPr>
                <w:sz w:val="20"/>
                <w:szCs w:val="20"/>
                <w:color w:val="auto"/>
              </w:rPr>
            </w:pPr>
            <w:r>
              <w:rPr>
                <w:rFonts w:ascii="Arial" w:cs="Arial" w:eastAsia="Arial" w:hAnsi="Arial"/>
                <w:sz w:val="19"/>
                <w:szCs w:val="19"/>
                <w:color w:val="auto"/>
              </w:rPr>
              <w:t>51</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9"/>
                <w:szCs w:val="19"/>
                <w:color w:val="auto"/>
              </w:rPr>
              <w:t>U.S. State</w:t>
            </w:r>
          </w:p>
        </w:tc>
        <w:tc>
          <w:tcPr>
            <w:tcW w:w="2620" w:type="dxa"/>
            <w:vAlign w:val="bottom"/>
            <w:gridSpan w:val="3"/>
          </w:tcPr>
          <w:p>
            <w:pPr>
              <w:jc w:val="right"/>
              <w:ind w:right="1"/>
              <w:spacing w:after="0"/>
              <w:rPr>
                <w:sz w:val="20"/>
                <w:szCs w:val="20"/>
                <w:color w:val="auto"/>
              </w:rPr>
            </w:pPr>
            <w:r>
              <w:rPr>
                <w:rFonts w:ascii="Arial" w:cs="Arial" w:eastAsia="Arial" w:hAnsi="Arial"/>
                <w:sz w:val="19"/>
                <w:szCs w:val="19"/>
                <w:color w:val="auto"/>
              </w:rPr>
              <w:t>2034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9"/>
                <w:szCs w:val="19"/>
                <w:color w:val="auto"/>
              </w:rPr>
              <w:t>2,200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49"/>
              <w:spacing w:after="0"/>
              <w:rPr>
                <w:sz w:val="20"/>
                <w:szCs w:val="20"/>
                <w:color w:val="auto"/>
              </w:rPr>
            </w:pPr>
            <w:r>
              <w:rPr>
                <w:rFonts w:ascii="Arial" w:cs="Arial" w:eastAsia="Arial" w:hAnsi="Arial"/>
                <w:sz w:val="19"/>
                <w:szCs w:val="19"/>
                <w:color w:val="auto"/>
              </w:rPr>
              <w:t>35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80" w:type="dxa"/>
            <w:vAlign w:val="bottom"/>
            <w:shd w:val="clear" w:color="auto" w:fill="E5FFFF"/>
          </w:tcPr>
          <w:p>
            <w:pPr>
              <w:spacing w:after="0"/>
              <w:rPr>
                <w:sz w:val="20"/>
                <w:szCs w:val="20"/>
                <w:color w:val="auto"/>
              </w:rPr>
            </w:pPr>
            <w:r>
              <w:rPr>
                <w:rFonts w:ascii="Arial" w:cs="Arial" w:eastAsia="Arial" w:hAnsi="Arial"/>
                <w:sz w:val="19"/>
                <w:szCs w:val="19"/>
                <w:color w:val="auto"/>
              </w:rPr>
              <w:t>Non-U.S.</w:t>
            </w:r>
          </w:p>
        </w:tc>
        <w:tc>
          <w:tcPr>
            <w:tcW w:w="262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2034</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148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9"/>
                <w:szCs w:val="19"/>
                <w:color w:val="auto"/>
              </w:rPr>
              <w:t>2,463</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220" w:type="dxa"/>
            <w:vAlign w:val="bottom"/>
            <w:tcBorders>
              <w:bottom w:val="single" w:sz="8" w:color="auto"/>
            </w:tcBorders>
            <w:shd w:val="clear" w:color="auto" w:fill="E5FFFF"/>
          </w:tcPr>
          <w:p>
            <w:pPr>
              <w:jc w:val="right"/>
              <w:ind w:right="49"/>
              <w:spacing w:after="0"/>
              <w:rPr>
                <w:sz w:val="20"/>
                <w:szCs w:val="20"/>
                <w:color w:val="auto"/>
              </w:rPr>
            </w:pPr>
            <w:r>
              <w:rPr>
                <w:rFonts w:ascii="Arial" w:cs="Arial" w:eastAsia="Arial" w:hAnsi="Arial"/>
                <w:sz w:val="19"/>
                <w:szCs w:val="19"/>
                <w:color w:val="auto"/>
              </w:rPr>
              <w:t>148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9"/>
                <w:szCs w:val="19"/>
                <w:color w:val="auto"/>
              </w:rPr>
              <w:t>Total</w:t>
            </w: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480" w:type="dxa"/>
            <w:vAlign w:val="bottom"/>
          </w:tcPr>
          <w:p>
            <w:pPr>
              <w:jc w:val="right"/>
              <w:ind w:right="31"/>
              <w:spacing w:after="0"/>
              <w:rPr>
                <w:sz w:val="20"/>
                <w:szCs w:val="20"/>
                <w:color w:val="auto"/>
              </w:rPr>
            </w:pPr>
            <w:r>
              <w:rPr>
                <w:rFonts w:ascii="Arial" w:cs="Arial" w:eastAsia="Arial" w:hAnsi="Arial"/>
                <w:sz w:val="19"/>
                <w:szCs w:val="19"/>
                <w:color w:val="auto"/>
              </w:rPr>
              <w:t>4,664</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20" w:type="dxa"/>
            <w:vAlign w:val="bottom"/>
          </w:tcPr>
          <w:p>
            <w:pPr>
              <w:jc w:val="right"/>
              <w:ind w:right="49"/>
              <w:spacing w:after="0"/>
              <w:rPr>
                <w:sz w:val="20"/>
                <w:szCs w:val="20"/>
                <w:color w:val="auto"/>
              </w:rPr>
            </w:pPr>
            <w:r>
              <w:rPr>
                <w:rFonts w:ascii="Arial" w:cs="Arial" w:eastAsia="Arial" w:hAnsi="Arial"/>
                <w:sz w:val="19"/>
                <w:szCs w:val="19"/>
                <w:color w:val="auto"/>
              </w:rPr>
              <w:t>234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0" w:type="dxa"/>
            <w:vAlign w:val="bottom"/>
            <w:vMerge w:val="restart"/>
          </w:tcPr>
          <w:p>
            <w:pPr>
              <w:jc w:val="right"/>
              <w:ind w:right="163"/>
              <w:spacing w:after="0"/>
              <w:rPr>
                <w:sz w:val="20"/>
                <w:szCs w:val="20"/>
                <w:color w:val="auto"/>
              </w:rPr>
            </w:pPr>
            <w:r>
              <w:rPr>
                <w:rFonts w:ascii="Arial" w:cs="Arial" w:eastAsia="Arial" w:hAnsi="Arial"/>
                <w:sz w:val="19"/>
                <w:szCs w:val="19"/>
                <w:color w:val="auto"/>
              </w:rPr>
              <w:t>45</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Many jurisdictions impose limitations on the timing and utilization of net operating loss and tax credit carryforwards. In those instances whereby there is an expected permanent limitation on the utilization of the net operating loss or tax credit carryforward the deferred tax asset and amount of the carryforward have been reduced.</w:t>
      </w:r>
    </w:p>
    <w:p>
      <w:pPr>
        <w:spacing w:after="0" w:line="8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U.S. federal income taxes have not been provided on undistributed earnings of the vast majority of our international subsidiaries as it is our intention to reinvest these earnings into the respective subsidiaries. At December 31, 2014 Honeywell has not provided for U.S. federal income and non-U.S. withholding taxes on approximately $15.0 billion of such earnings of our non-U.S. operations. It is not practicable to estimate the amount of tax that might be payable if some or all of such earnings were to be repatriated, and the amount of foreign tax credits that would be available to reduce or eliminate the resulting U.S. income tax liability.</w:t>
      </w:r>
    </w:p>
    <w:p>
      <w:pPr>
        <w:spacing w:after="0" w:line="239"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45"/>
              <w:spacing w:after="0"/>
              <w:rPr>
                <w:sz w:val="20"/>
                <w:szCs w:val="20"/>
                <w:color w:val="auto"/>
              </w:rPr>
            </w:pPr>
            <w:r>
              <w:rPr>
                <w:rFonts w:ascii="Arial" w:cs="Arial" w:eastAsia="Arial" w:hAnsi="Arial"/>
                <w:sz w:val="16"/>
                <w:szCs w:val="16"/>
                <w:b w:val="1"/>
                <w:bCs w:val="1"/>
                <w:color w:val="auto"/>
                <w:w w:val="95"/>
              </w:rPr>
              <w:t>2014</w:t>
            </w:r>
          </w:p>
        </w:tc>
        <w:tc>
          <w:tcPr>
            <w:tcW w:w="86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2013</w:t>
            </w:r>
          </w:p>
        </w:tc>
        <w:tc>
          <w:tcPr>
            <w:tcW w:w="920" w:type="dxa"/>
            <w:vAlign w:val="bottom"/>
            <w:gridSpan w:val="2"/>
          </w:tcPr>
          <w:p>
            <w:pPr>
              <w:jc w:val="right"/>
              <w:ind w:right="23"/>
              <w:spacing w:after="0"/>
              <w:rPr>
                <w:sz w:val="20"/>
                <w:szCs w:val="20"/>
                <w:color w:val="auto"/>
              </w:rPr>
            </w:pPr>
            <w:r>
              <w:rPr>
                <w:rFonts w:ascii="Arial" w:cs="Arial" w:eastAsia="Arial" w:hAnsi="Arial"/>
                <w:sz w:val="16"/>
                <w:szCs w:val="16"/>
                <w:b w:val="1"/>
                <w:bCs w:val="1"/>
                <w:color w:val="auto"/>
              </w:rPr>
              <w:t>2012</w:t>
            </w:r>
          </w:p>
        </w:tc>
      </w:tr>
      <w:tr>
        <w:trPr>
          <w:trHeight w:val="210"/>
        </w:trPr>
        <w:tc>
          <w:tcPr>
            <w:tcW w:w="79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Change in unrecognized tax benefits:</w:t>
            </w:r>
          </w:p>
        </w:tc>
        <w:tc>
          <w:tcPr>
            <w:tcW w:w="140" w:type="dxa"/>
            <w:vAlign w:val="bottom"/>
            <w:tcBorders>
              <w:top w:val="single" w:sz="8" w:color="auto"/>
            </w:tcBorders>
            <w:shd w:val="clear" w:color="auto" w:fill="E5FFFF"/>
          </w:tcPr>
          <w:p>
            <w:pPr>
              <w:spacing w:after="0"/>
              <w:rPr>
                <w:sz w:val="18"/>
                <w:szCs w:val="18"/>
                <w:color w:val="auto"/>
              </w:rPr>
            </w:pPr>
          </w:p>
        </w:tc>
        <w:tc>
          <w:tcPr>
            <w:tcW w:w="50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6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9"/>
                <w:szCs w:val="19"/>
                <w:color w:val="auto"/>
              </w:rPr>
              <w:t>Balance at beginning of year</w:t>
            </w:r>
          </w:p>
        </w:tc>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500" w:type="dxa"/>
            <w:vAlign w:val="bottom"/>
          </w:tcPr>
          <w:p>
            <w:pPr>
              <w:jc w:val="right"/>
              <w:spacing w:after="0"/>
              <w:rPr>
                <w:sz w:val="20"/>
                <w:szCs w:val="20"/>
                <w:color w:val="auto"/>
              </w:rPr>
            </w:pPr>
            <w:r>
              <w:rPr>
                <w:rFonts w:ascii="Arial" w:cs="Arial" w:eastAsia="Arial" w:hAnsi="Arial"/>
                <w:sz w:val="19"/>
                <w:szCs w:val="19"/>
                <w:color w:val="auto"/>
              </w:rPr>
              <w:t>729</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$ 722</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$ 815</w:t>
            </w:r>
          </w:p>
        </w:tc>
      </w:tr>
      <w:tr>
        <w:trPr>
          <w:trHeight w:val="243"/>
        </w:trPr>
        <w:tc>
          <w:tcPr>
            <w:tcW w:w="79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Gross increases related to current period tax positions</w:t>
            </w: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w:t>
            </w:r>
          </w:p>
        </w:tc>
      </w:tr>
      <w:tr>
        <w:trPr>
          <w:trHeight w:val="243"/>
        </w:trPr>
        <w:tc>
          <w:tcPr>
            <w:tcW w:w="7980" w:type="dxa"/>
            <w:vAlign w:val="bottom"/>
          </w:tcPr>
          <w:p>
            <w:pPr>
              <w:ind w:left="180"/>
              <w:spacing w:after="0"/>
              <w:rPr>
                <w:sz w:val="20"/>
                <w:szCs w:val="20"/>
                <w:color w:val="auto"/>
              </w:rPr>
            </w:pPr>
            <w:r>
              <w:rPr>
                <w:rFonts w:ascii="Arial" w:cs="Arial" w:eastAsia="Arial" w:hAnsi="Arial"/>
                <w:sz w:val="19"/>
                <w:szCs w:val="19"/>
                <w:color w:val="auto"/>
              </w:rPr>
              <w:t>Gross increases related to prior periods tax positions</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204</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118</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44</w:t>
            </w:r>
          </w:p>
        </w:tc>
      </w:tr>
      <w:tr>
        <w:trPr>
          <w:trHeight w:val="243"/>
        </w:trPr>
        <w:tc>
          <w:tcPr>
            <w:tcW w:w="79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Gross decreases related to prior periods tax positions</w:t>
            </w: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(277)</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(62)</w:t>
            </w:r>
          </w:p>
        </w:tc>
      </w:tr>
      <w:tr>
        <w:trPr>
          <w:trHeight w:val="243"/>
        </w:trPr>
        <w:tc>
          <w:tcPr>
            <w:tcW w:w="7980" w:type="dxa"/>
            <w:vAlign w:val="bottom"/>
          </w:tcPr>
          <w:p>
            <w:pPr>
              <w:ind w:left="180"/>
              <w:spacing w:after="0"/>
              <w:rPr>
                <w:sz w:val="20"/>
                <w:szCs w:val="20"/>
                <w:color w:val="auto"/>
              </w:rPr>
            </w:pPr>
            <w:r>
              <w:rPr>
                <w:rFonts w:ascii="Arial" w:cs="Arial" w:eastAsia="Arial" w:hAnsi="Arial"/>
                <w:sz w:val="19"/>
                <w:szCs w:val="19"/>
                <w:color w:val="auto"/>
              </w:rPr>
              <w:t>Decrease related to resolutions of audits with tax authorities</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(32)</w:t>
            </w:r>
          </w:p>
        </w:tc>
        <w:tc>
          <w:tcPr>
            <w:tcW w:w="860" w:type="dxa"/>
            <w:vAlign w:val="bottom"/>
            <w:gridSpan w:val="2"/>
          </w:tcPr>
          <w:p>
            <w:pPr>
              <w:jc w:val="right"/>
              <w:spacing w:after="0"/>
              <w:rPr>
                <w:sz w:val="20"/>
                <w:szCs w:val="20"/>
                <w:color w:val="auto"/>
              </w:rPr>
            </w:pPr>
            <w:r>
              <w:rPr>
                <w:rFonts w:ascii="Arial" w:cs="Arial" w:eastAsia="Arial" w:hAnsi="Arial"/>
                <w:sz w:val="19"/>
                <w:szCs w:val="19"/>
                <w:color w:val="auto"/>
              </w:rPr>
              <w:t>(92)</w:t>
            </w:r>
          </w:p>
        </w:tc>
        <w:tc>
          <w:tcPr>
            <w:tcW w:w="920" w:type="dxa"/>
            <w:vAlign w:val="bottom"/>
            <w:gridSpan w:val="2"/>
          </w:tcPr>
          <w:p>
            <w:pPr>
              <w:jc w:val="right"/>
              <w:spacing w:after="0"/>
              <w:rPr>
                <w:sz w:val="20"/>
                <w:szCs w:val="20"/>
                <w:color w:val="auto"/>
              </w:rPr>
            </w:pPr>
            <w:r>
              <w:rPr>
                <w:rFonts w:ascii="Arial" w:cs="Arial" w:eastAsia="Arial" w:hAnsi="Arial"/>
                <w:sz w:val="19"/>
                <w:szCs w:val="19"/>
                <w:color w:val="auto"/>
              </w:rPr>
              <w:t>(40)</w:t>
            </w:r>
          </w:p>
        </w:tc>
      </w:tr>
      <w:tr>
        <w:trPr>
          <w:trHeight w:val="243"/>
        </w:trPr>
        <w:tc>
          <w:tcPr>
            <w:tcW w:w="7980" w:type="dxa"/>
            <w:vAlign w:val="bottom"/>
            <w:shd w:val="clear" w:color="auto" w:fill="E5FFFF"/>
          </w:tcPr>
          <w:p>
            <w:pPr>
              <w:ind w:left="180"/>
              <w:spacing w:after="0"/>
              <w:rPr>
                <w:sz w:val="20"/>
                <w:szCs w:val="20"/>
                <w:color w:val="auto"/>
              </w:rPr>
            </w:pPr>
            <w:r>
              <w:rPr>
                <w:rFonts w:ascii="Arial" w:cs="Arial" w:eastAsia="Arial" w:hAnsi="Arial"/>
                <w:sz w:val="19"/>
                <w:szCs w:val="19"/>
                <w:color w:val="auto"/>
              </w:rPr>
              <w:t>Expiration of the statute of limitations for the assessment of taxes</w:t>
            </w: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(64)</w:t>
            </w:r>
          </w:p>
        </w:tc>
      </w:tr>
      <w:tr>
        <w:trPr>
          <w:trHeight w:val="250"/>
        </w:trPr>
        <w:tc>
          <w:tcPr>
            <w:tcW w:w="7980" w:type="dxa"/>
            <w:vAlign w:val="bottom"/>
          </w:tcPr>
          <w:p>
            <w:pPr>
              <w:ind w:left="180"/>
              <w:spacing w:after="0"/>
              <w:rPr>
                <w:sz w:val="20"/>
                <w:szCs w:val="20"/>
                <w:color w:val="auto"/>
              </w:rPr>
            </w:pPr>
            <w:r>
              <w:rPr>
                <w:rFonts w:ascii="Arial" w:cs="Arial" w:eastAsia="Arial" w:hAnsi="Arial"/>
                <w:sz w:val="19"/>
                <w:szCs w:val="19"/>
                <w:color w:val="auto"/>
              </w:rPr>
              <w:t>Foreign currency translation</w:t>
            </w: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w:t>
            </w:r>
          </w:p>
        </w:tc>
        <w:tc>
          <w:tcPr>
            <w:tcW w:w="30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2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Balance at end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659</w:t>
            </w:r>
          </w:p>
        </w:tc>
        <w:tc>
          <w:tcPr>
            <w:tcW w:w="8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$ 729</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$ 722</w:t>
            </w:r>
          </w:p>
        </w:tc>
      </w:tr>
      <w:tr>
        <w:trPr>
          <w:trHeight w:val="20"/>
        </w:trPr>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As of December 31, 2014, 2013, and 2012 there were $659 million, $729 million and $722 million of unrecognized tax benefits that if recognized would be recorded as a component of income tax expense.</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Generally, our uncertain tax positions are related to tax years that remain subject to examination by the relevant tax authorities.</w:t>
      </w:r>
    </w:p>
    <w:p>
      <w:pPr>
        <w:spacing w:after="0"/>
        <w:rPr>
          <w:sz w:val="20"/>
          <w:szCs w:val="20"/>
          <w:color w:val="auto"/>
        </w:rPr>
      </w:pPr>
      <w:r>
        <w:rPr>
          <w:rFonts w:ascii="Arial" w:cs="Arial" w:eastAsia="Arial" w:hAnsi="Arial"/>
          <w:sz w:val="19"/>
          <w:szCs w:val="19"/>
          <w:color w:val="auto"/>
        </w:rPr>
        <w:t>The following table summarizes these open tax years by major jurisdiction as of December 31, 2014: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60" w:type="dxa"/>
            <w:vAlign w:val="bottom"/>
            <w:gridSpan w:val="3"/>
          </w:tcPr>
          <w:p>
            <w:pPr>
              <w:jc w:val="center"/>
              <w:ind w:right="1286"/>
              <w:spacing w:after="0"/>
              <w:rPr>
                <w:sz w:val="20"/>
                <w:szCs w:val="20"/>
                <w:color w:val="auto"/>
              </w:rPr>
            </w:pPr>
            <w:r>
              <w:rPr>
                <w:rFonts w:ascii="Arial" w:cs="Arial" w:eastAsia="Arial" w:hAnsi="Arial"/>
                <w:sz w:val="16"/>
                <w:szCs w:val="16"/>
                <w:b w:val="1"/>
                <w:bCs w:val="1"/>
                <w:color w:val="auto"/>
                <w:w w:val="95"/>
              </w:rPr>
              <w:t>Open Tax Years</w:t>
            </w:r>
          </w:p>
        </w:tc>
      </w:tr>
      <w:tr>
        <w:trPr>
          <w:trHeight w:val="190"/>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Based on Originally Filed Returns</w:t>
            </w:r>
          </w:p>
        </w:tc>
      </w:tr>
      <w:tr>
        <w:trPr>
          <w:trHeight w:val="155"/>
        </w:trPr>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center"/>
              <w:ind w:left="47"/>
              <w:spacing w:after="0" w:line="155" w:lineRule="exact"/>
              <w:rPr>
                <w:sz w:val="20"/>
                <w:szCs w:val="20"/>
                <w:color w:val="auto"/>
              </w:rPr>
            </w:pPr>
            <w:r>
              <w:rPr>
                <w:rFonts w:ascii="Arial" w:cs="Arial" w:eastAsia="Arial" w:hAnsi="Arial"/>
                <w:sz w:val="16"/>
                <w:szCs w:val="16"/>
                <w:b w:val="1"/>
                <w:bCs w:val="1"/>
                <w:color w:val="auto"/>
                <w:w w:val="98"/>
              </w:rPr>
              <w:t>Examination in</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Examination not yet</w:t>
            </w:r>
          </w:p>
        </w:tc>
      </w:tr>
      <w:tr>
        <w:trPr>
          <w:trHeight w:val="190"/>
        </w:trPr>
        <w:tc>
          <w:tcPr>
            <w:tcW w:w="5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280" w:type="dxa"/>
            <w:vAlign w:val="bottom"/>
            <w:tcBorders>
              <w:bottom w:val="single" w:sz="8" w:color="auto"/>
            </w:tcBorders>
          </w:tcPr>
          <w:p>
            <w:pPr>
              <w:ind w:left="1820"/>
              <w:spacing w:after="0"/>
              <w:rPr>
                <w:sz w:val="20"/>
                <w:szCs w:val="20"/>
                <w:color w:val="auto"/>
              </w:rPr>
            </w:pPr>
            <w:r>
              <w:rPr>
                <w:rFonts w:ascii="Arial" w:cs="Arial" w:eastAsia="Arial" w:hAnsi="Arial"/>
                <w:sz w:val="16"/>
                <w:szCs w:val="16"/>
                <w:b w:val="1"/>
                <w:bCs w:val="1"/>
                <w:color w:val="auto"/>
              </w:rPr>
              <w:t>Jurisdiction</w:t>
            </w:r>
          </w:p>
        </w:tc>
        <w:tc>
          <w:tcPr>
            <w:tcW w:w="320" w:type="dxa"/>
            <w:vAlign w:val="bottom"/>
          </w:tcPr>
          <w:p>
            <w:pPr>
              <w:spacing w:after="0"/>
              <w:rPr>
                <w:sz w:val="16"/>
                <w:szCs w:val="16"/>
                <w:color w:val="auto"/>
              </w:rPr>
            </w:pPr>
          </w:p>
        </w:tc>
        <w:tc>
          <w:tcPr>
            <w:tcW w:w="1380" w:type="dxa"/>
            <w:vAlign w:val="bottom"/>
            <w:tcBorders>
              <w:bottom w:val="single" w:sz="8" w:color="auto"/>
            </w:tcBorders>
          </w:tcPr>
          <w:p>
            <w:pPr>
              <w:jc w:val="center"/>
              <w:ind w:left="47"/>
              <w:spacing w:after="0"/>
              <w:rPr>
                <w:sz w:val="20"/>
                <w:szCs w:val="20"/>
                <w:color w:val="auto"/>
              </w:rPr>
            </w:pPr>
            <w:r>
              <w:rPr>
                <w:rFonts w:ascii="Arial" w:cs="Arial" w:eastAsia="Arial" w:hAnsi="Arial"/>
                <w:sz w:val="16"/>
                <w:szCs w:val="16"/>
                <w:b w:val="1"/>
                <w:bCs w:val="1"/>
                <w:color w:val="auto"/>
                <w:w w:val="99"/>
              </w:rPr>
              <w:t>progress</w:t>
            </w:r>
          </w:p>
        </w:tc>
        <w:tc>
          <w:tcPr>
            <w:tcW w:w="1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initiated</w:t>
            </w:r>
          </w:p>
        </w:tc>
      </w:tr>
      <w:tr>
        <w:trPr>
          <w:trHeight w:val="237"/>
        </w:trPr>
        <w:tc>
          <w:tcPr>
            <w:tcW w:w="500" w:type="dxa"/>
            <w:vAlign w:val="bottom"/>
          </w:tcPr>
          <w:p>
            <w:pPr>
              <w:spacing w:after="0"/>
              <w:rPr>
                <w:sz w:val="20"/>
                <w:szCs w:val="20"/>
                <w:color w:val="auto"/>
              </w:rPr>
            </w:pPr>
          </w:p>
        </w:tc>
        <w:tc>
          <w:tcPr>
            <w:tcW w:w="60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U.S. Federal</w:t>
            </w:r>
          </w:p>
        </w:tc>
        <w:tc>
          <w:tcPr>
            <w:tcW w:w="320" w:type="dxa"/>
            <w:vAlign w:val="bottom"/>
            <w:shd w:val="clear" w:color="auto" w:fill="E5FFFF"/>
          </w:tcPr>
          <w:p>
            <w:pPr>
              <w:spacing w:after="0"/>
              <w:rPr>
                <w:sz w:val="20"/>
                <w:szCs w:val="20"/>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2010 – 2013</w:t>
            </w:r>
          </w:p>
        </w:tc>
        <w:tc>
          <w:tcPr>
            <w:tcW w:w="140" w:type="dxa"/>
            <w:vAlign w:val="bottom"/>
            <w:shd w:val="clear" w:color="auto" w:fill="E5FFFF"/>
          </w:tcPr>
          <w:p>
            <w:pPr>
              <w:spacing w:after="0"/>
              <w:rPr>
                <w:sz w:val="20"/>
                <w:szCs w:val="20"/>
                <w:color w:val="auto"/>
              </w:rPr>
            </w:pPr>
          </w:p>
        </w:tc>
        <w:tc>
          <w:tcPr>
            <w:tcW w:w="320" w:type="dxa"/>
            <w:vAlign w:val="bottom"/>
            <w:shd w:val="clear" w:color="auto" w:fill="E5FFFF"/>
          </w:tcPr>
          <w:p>
            <w:pPr>
              <w:spacing w:after="0"/>
              <w:rPr>
                <w:sz w:val="20"/>
                <w:szCs w:val="20"/>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2013 – 2014</w:t>
            </w:r>
          </w:p>
        </w:tc>
      </w:tr>
      <w:tr>
        <w:trPr>
          <w:trHeight w:val="243"/>
        </w:trPr>
        <w:tc>
          <w:tcPr>
            <w:tcW w:w="50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9"/>
                <w:szCs w:val="19"/>
                <w:color w:val="auto"/>
              </w:rPr>
              <w:t>U.S. State</w:t>
            </w:r>
          </w:p>
        </w:tc>
        <w:tc>
          <w:tcPr>
            <w:tcW w:w="320" w:type="dxa"/>
            <w:vAlign w:val="bottom"/>
          </w:tcPr>
          <w:p>
            <w:pPr>
              <w:spacing w:after="0"/>
              <w:rPr>
                <w:sz w:val="21"/>
                <w:szCs w:val="21"/>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2007 – 2013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2006 – 2014</w:t>
            </w:r>
          </w:p>
        </w:tc>
      </w:tr>
      <w:tr>
        <w:trPr>
          <w:trHeight w:val="243"/>
        </w:trPr>
        <w:tc>
          <w:tcPr>
            <w:tcW w:w="500" w:type="dxa"/>
            <w:vAlign w:val="bottom"/>
          </w:tcPr>
          <w:p>
            <w:pPr>
              <w:spacing w:after="0"/>
              <w:rPr>
                <w:sz w:val="21"/>
                <w:szCs w:val="21"/>
                <w:color w:val="auto"/>
              </w:rPr>
            </w:pPr>
          </w:p>
        </w:tc>
        <w:tc>
          <w:tcPr>
            <w:tcW w:w="60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United Kingdom</w:t>
            </w:r>
          </w:p>
        </w:tc>
        <w:tc>
          <w:tcPr>
            <w:tcW w:w="320" w:type="dxa"/>
            <w:vAlign w:val="bottom"/>
            <w:shd w:val="clear" w:color="auto" w:fill="E5FFFF"/>
          </w:tcPr>
          <w:p>
            <w:pPr>
              <w:spacing w:after="0"/>
              <w:rPr>
                <w:sz w:val="21"/>
                <w:szCs w:val="21"/>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N/A</w:t>
            </w: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2012 – 2014</w:t>
            </w:r>
          </w:p>
        </w:tc>
      </w:tr>
      <w:tr>
        <w:trPr>
          <w:trHeight w:val="243"/>
        </w:trPr>
        <w:tc>
          <w:tcPr>
            <w:tcW w:w="50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9"/>
                <w:szCs w:val="19"/>
                <w:color w:val="auto"/>
              </w:rPr>
              <w:t>Canada(1)</w:t>
            </w:r>
          </w:p>
        </w:tc>
        <w:tc>
          <w:tcPr>
            <w:tcW w:w="320" w:type="dxa"/>
            <w:vAlign w:val="bottom"/>
          </w:tcPr>
          <w:p>
            <w:pPr>
              <w:spacing w:after="0"/>
              <w:rPr>
                <w:sz w:val="21"/>
                <w:szCs w:val="21"/>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2007 – 2013</w:t>
            </w:r>
          </w:p>
        </w:tc>
        <w:tc>
          <w:tcPr>
            <w:tcW w:w="2660" w:type="dxa"/>
            <w:vAlign w:val="bottom"/>
            <w:gridSpan w:val="3"/>
          </w:tcPr>
          <w:p>
            <w:pPr>
              <w:jc w:val="center"/>
              <w:ind w:left="369"/>
              <w:spacing w:after="0"/>
              <w:rPr>
                <w:sz w:val="20"/>
                <w:szCs w:val="20"/>
                <w:color w:val="auto"/>
              </w:rPr>
            </w:pPr>
            <w:r>
              <w:rPr>
                <w:rFonts w:ascii="Arial" w:cs="Arial" w:eastAsia="Arial" w:hAnsi="Arial"/>
                <w:sz w:val="19"/>
                <w:szCs w:val="19"/>
                <w:color w:val="auto"/>
              </w:rPr>
              <w:t>2014</w:t>
            </w:r>
          </w:p>
        </w:tc>
      </w:tr>
      <w:tr>
        <w:trPr>
          <w:trHeight w:val="243"/>
        </w:trPr>
        <w:tc>
          <w:tcPr>
            <w:tcW w:w="500" w:type="dxa"/>
            <w:vAlign w:val="bottom"/>
          </w:tcPr>
          <w:p>
            <w:pPr>
              <w:spacing w:after="0"/>
              <w:rPr>
                <w:sz w:val="21"/>
                <w:szCs w:val="21"/>
                <w:color w:val="auto"/>
              </w:rPr>
            </w:pPr>
          </w:p>
        </w:tc>
        <w:tc>
          <w:tcPr>
            <w:tcW w:w="60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Germany(1)</w:t>
            </w:r>
          </w:p>
        </w:tc>
        <w:tc>
          <w:tcPr>
            <w:tcW w:w="320" w:type="dxa"/>
            <w:vAlign w:val="bottom"/>
            <w:shd w:val="clear" w:color="auto" w:fill="E5FFFF"/>
          </w:tcPr>
          <w:p>
            <w:pPr>
              <w:spacing w:after="0"/>
              <w:rPr>
                <w:sz w:val="21"/>
                <w:szCs w:val="21"/>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2006 – 2012</w:t>
            </w: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2013 – 2014</w:t>
            </w:r>
          </w:p>
        </w:tc>
      </w:tr>
      <w:tr>
        <w:trPr>
          <w:trHeight w:val="243"/>
        </w:trPr>
        <w:tc>
          <w:tcPr>
            <w:tcW w:w="50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9"/>
                <w:szCs w:val="19"/>
                <w:color w:val="auto"/>
              </w:rPr>
              <w:t>France</w:t>
            </w:r>
          </w:p>
        </w:tc>
        <w:tc>
          <w:tcPr>
            <w:tcW w:w="320" w:type="dxa"/>
            <w:vAlign w:val="bottom"/>
          </w:tcPr>
          <w:p>
            <w:pPr>
              <w:spacing w:after="0"/>
              <w:rPr>
                <w:sz w:val="21"/>
                <w:szCs w:val="21"/>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2008 – 2013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2004 – 2007, 2014</w:t>
            </w:r>
          </w:p>
        </w:tc>
      </w:tr>
      <w:tr>
        <w:trPr>
          <w:trHeight w:val="243"/>
        </w:trPr>
        <w:tc>
          <w:tcPr>
            <w:tcW w:w="500" w:type="dxa"/>
            <w:vAlign w:val="bottom"/>
          </w:tcPr>
          <w:p>
            <w:pPr>
              <w:spacing w:after="0"/>
              <w:rPr>
                <w:sz w:val="21"/>
                <w:szCs w:val="21"/>
                <w:color w:val="auto"/>
              </w:rPr>
            </w:pPr>
          </w:p>
        </w:tc>
        <w:tc>
          <w:tcPr>
            <w:tcW w:w="60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Netherlands</w:t>
            </w:r>
          </w:p>
        </w:tc>
        <w:tc>
          <w:tcPr>
            <w:tcW w:w="1700" w:type="dxa"/>
            <w:vAlign w:val="bottom"/>
            <w:gridSpan w:val="2"/>
            <w:shd w:val="clear" w:color="auto" w:fill="E5FFFF"/>
          </w:tcPr>
          <w:p>
            <w:pPr>
              <w:jc w:val="center"/>
              <w:ind w:left="363"/>
              <w:spacing w:after="0"/>
              <w:rPr>
                <w:sz w:val="20"/>
                <w:szCs w:val="20"/>
                <w:color w:val="auto"/>
              </w:rPr>
            </w:pPr>
            <w:r>
              <w:rPr>
                <w:rFonts w:ascii="Arial" w:cs="Arial" w:eastAsia="Arial" w:hAnsi="Arial"/>
                <w:sz w:val="19"/>
                <w:szCs w:val="19"/>
                <w:color w:val="auto"/>
              </w:rPr>
              <w:t>2009</w:t>
            </w: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2010 – 2014</w:t>
            </w:r>
          </w:p>
        </w:tc>
      </w:tr>
      <w:tr>
        <w:trPr>
          <w:trHeight w:val="243"/>
        </w:trPr>
        <w:tc>
          <w:tcPr>
            <w:tcW w:w="50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9"/>
                <w:szCs w:val="19"/>
                <w:color w:val="auto"/>
              </w:rPr>
              <w:t>Australia</w:t>
            </w:r>
          </w:p>
        </w:tc>
        <w:tc>
          <w:tcPr>
            <w:tcW w:w="320" w:type="dxa"/>
            <w:vAlign w:val="bottom"/>
          </w:tcPr>
          <w:p>
            <w:pPr>
              <w:spacing w:after="0"/>
              <w:rPr>
                <w:sz w:val="21"/>
                <w:szCs w:val="21"/>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N/A</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2009 – 2014</w:t>
            </w:r>
          </w:p>
        </w:tc>
      </w:tr>
      <w:tr>
        <w:trPr>
          <w:trHeight w:val="243"/>
        </w:trPr>
        <w:tc>
          <w:tcPr>
            <w:tcW w:w="500" w:type="dxa"/>
            <w:vAlign w:val="bottom"/>
          </w:tcPr>
          <w:p>
            <w:pPr>
              <w:spacing w:after="0"/>
              <w:rPr>
                <w:sz w:val="21"/>
                <w:szCs w:val="21"/>
                <w:color w:val="auto"/>
              </w:rPr>
            </w:pPr>
          </w:p>
        </w:tc>
        <w:tc>
          <w:tcPr>
            <w:tcW w:w="60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China</w:t>
            </w:r>
          </w:p>
        </w:tc>
        <w:tc>
          <w:tcPr>
            <w:tcW w:w="320" w:type="dxa"/>
            <w:vAlign w:val="bottom"/>
            <w:shd w:val="clear" w:color="auto" w:fill="E5FFFF"/>
          </w:tcPr>
          <w:p>
            <w:pPr>
              <w:spacing w:after="0"/>
              <w:rPr>
                <w:sz w:val="21"/>
                <w:szCs w:val="21"/>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2003 – 2012</w:t>
            </w:r>
          </w:p>
        </w:tc>
        <w:tc>
          <w:tcPr>
            <w:tcW w:w="1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2013 – 2014</w:t>
            </w:r>
          </w:p>
        </w:tc>
      </w:tr>
      <w:tr>
        <w:trPr>
          <w:trHeight w:val="243"/>
        </w:trPr>
        <w:tc>
          <w:tcPr>
            <w:tcW w:w="500" w:type="dxa"/>
            <w:vAlign w:val="bottom"/>
          </w:tcPr>
          <w:p>
            <w:pPr>
              <w:spacing w:after="0"/>
              <w:rPr>
                <w:sz w:val="21"/>
                <w:szCs w:val="21"/>
                <w:color w:val="auto"/>
              </w:rPr>
            </w:pPr>
          </w:p>
        </w:tc>
        <w:tc>
          <w:tcPr>
            <w:tcW w:w="6040" w:type="dxa"/>
            <w:vAlign w:val="bottom"/>
            <w:gridSpan w:val="2"/>
          </w:tcPr>
          <w:p>
            <w:pPr>
              <w:spacing w:after="0"/>
              <w:rPr>
                <w:sz w:val="20"/>
                <w:szCs w:val="20"/>
                <w:color w:val="auto"/>
              </w:rPr>
            </w:pPr>
            <w:r>
              <w:rPr>
                <w:rFonts w:ascii="Arial" w:cs="Arial" w:eastAsia="Arial" w:hAnsi="Arial"/>
                <w:sz w:val="19"/>
                <w:szCs w:val="19"/>
                <w:color w:val="auto"/>
              </w:rPr>
              <w:t>India</w:t>
            </w:r>
          </w:p>
        </w:tc>
        <w:tc>
          <w:tcPr>
            <w:tcW w:w="320" w:type="dxa"/>
            <w:vAlign w:val="bottom"/>
          </w:tcPr>
          <w:p>
            <w:pPr>
              <w:spacing w:after="0"/>
              <w:rPr>
                <w:sz w:val="21"/>
                <w:szCs w:val="21"/>
                <w:color w:val="auto"/>
              </w:rPr>
            </w:pPr>
          </w:p>
        </w:tc>
        <w:tc>
          <w:tcPr>
            <w:tcW w:w="1380" w:type="dxa"/>
            <w:vAlign w:val="bottom"/>
          </w:tcPr>
          <w:p>
            <w:pPr>
              <w:jc w:val="center"/>
              <w:ind w:left="47"/>
              <w:spacing w:after="0"/>
              <w:rPr>
                <w:sz w:val="20"/>
                <w:szCs w:val="20"/>
                <w:color w:val="auto"/>
              </w:rPr>
            </w:pPr>
            <w:r>
              <w:rPr>
                <w:rFonts w:ascii="Arial" w:cs="Arial" w:eastAsia="Arial" w:hAnsi="Arial"/>
                <w:sz w:val="19"/>
                <w:szCs w:val="19"/>
                <w:color w:val="auto"/>
              </w:rPr>
              <w:t>1999 – 2012</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9"/>
                <w:szCs w:val="19"/>
                <w:color w:val="auto"/>
              </w:rPr>
              <w:t>2013 – 2014</w:t>
            </w:r>
          </w:p>
        </w:tc>
      </w:tr>
      <w:tr>
        <w:trPr>
          <w:trHeight w:val="243"/>
        </w:trPr>
        <w:tc>
          <w:tcPr>
            <w:tcW w:w="500" w:type="dxa"/>
            <w:vAlign w:val="bottom"/>
          </w:tcPr>
          <w:p>
            <w:pPr>
              <w:spacing w:after="0"/>
              <w:rPr>
                <w:sz w:val="21"/>
                <w:szCs w:val="21"/>
                <w:color w:val="auto"/>
              </w:rPr>
            </w:pPr>
          </w:p>
        </w:tc>
        <w:tc>
          <w:tcPr>
            <w:tcW w:w="604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Italy</w:t>
            </w:r>
          </w:p>
        </w:tc>
        <w:tc>
          <w:tcPr>
            <w:tcW w:w="320" w:type="dxa"/>
            <w:vAlign w:val="bottom"/>
            <w:shd w:val="clear" w:color="auto" w:fill="E5FFFF"/>
          </w:tcPr>
          <w:p>
            <w:pPr>
              <w:spacing w:after="0"/>
              <w:rPr>
                <w:sz w:val="21"/>
                <w:szCs w:val="21"/>
                <w:color w:val="auto"/>
              </w:rPr>
            </w:pPr>
          </w:p>
        </w:tc>
        <w:tc>
          <w:tcPr>
            <w:tcW w:w="1380" w:type="dxa"/>
            <w:vAlign w:val="bottom"/>
            <w:shd w:val="clear" w:color="auto" w:fill="E5FFFF"/>
          </w:tcPr>
          <w:p>
            <w:pPr>
              <w:jc w:val="center"/>
              <w:ind w:left="47"/>
              <w:spacing w:after="0"/>
              <w:rPr>
                <w:sz w:val="20"/>
                <w:szCs w:val="20"/>
                <w:color w:val="auto"/>
              </w:rPr>
            </w:pPr>
            <w:r>
              <w:rPr>
                <w:rFonts w:ascii="Arial" w:cs="Arial" w:eastAsia="Arial" w:hAnsi="Arial"/>
                <w:sz w:val="19"/>
                <w:szCs w:val="19"/>
                <w:color w:val="auto"/>
              </w:rPr>
              <w:t>2008 – 2013</w:t>
            </w:r>
          </w:p>
        </w:tc>
        <w:tc>
          <w:tcPr>
            <w:tcW w:w="2660" w:type="dxa"/>
            <w:vAlign w:val="bottom"/>
            <w:gridSpan w:val="3"/>
            <w:shd w:val="clear" w:color="auto" w:fill="E5FFFF"/>
          </w:tcPr>
          <w:p>
            <w:pPr>
              <w:jc w:val="center"/>
              <w:ind w:left="369"/>
              <w:spacing w:after="0"/>
              <w:rPr>
                <w:sz w:val="20"/>
                <w:szCs w:val="20"/>
                <w:color w:val="auto"/>
              </w:rPr>
            </w:pPr>
            <w:r>
              <w:rPr>
                <w:rFonts w:ascii="Arial" w:cs="Arial" w:eastAsia="Arial" w:hAnsi="Arial"/>
                <w:sz w:val="19"/>
                <w:szCs w:val="19"/>
                <w:color w:val="auto"/>
              </w:rPr>
              <w:t>2014</w:t>
            </w:r>
          </w:p>
        </w:tc>
      </w:tr>
      <w:tr>
        <w:trPr>
          <w:trHeight w:val="149"/>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0" w:type="dxa"/>
            <w:vAlign w:val="bottom"/>
          </w:tcPr>
          <w:p>
            <w:pPr>
              <w:spacing w:after="0"/>
              <w:rPr>
                <w:sz w:val="12"/>
                <w:szCs w:val="12"/>
                <w:color w:val="auto"/>
              </w:rPr>
            </w:pPr>
          </w:p>
        </w:tc>
      </w:tr>
    </w:tbl>
    <w:p>
      <w:pPr>
        <w:spacing w:after="0" w:line="162"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Includes provincial or similar local jurisdictions, as applicable.</w:t>
      </w:r>
    </w:p>
    <w:p>
      <w:pPr>
        <w:spacing w:after="0" w:line="106"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for uncertain tax positions in our financial statements. In addition, the outcome of these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examinations may impact the valuation of certain deferred tax assets (such as net operating losses) in future periods.</w:t>
      </w:r>
    </w:p>
    <w:p>
      <w:pPr>
        <w:spacing w:after="0" w:line="106"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Unrecognized tax benefits for examinations in progress were $403 million, $431 million and $443 million, as of December 31, 2014, 2013, and 2012, respectively. Estimated interest and penalties related to the underpayment of income taxes are classified as a component of Tax Expense in the Consolidated Statement of Operations and totaled $24 million, $17 million and $ 37 million for the years ended December 31, 2014, 2013, and 2012, respectively. Accrued interest and penalties were $325 million, $301 million and $284 million, as of December 31, 2014, 2013, and 2012,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Earnings Per Share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details of the earnings per share calculations for the years ended December 31, 2014, 2013 and 2012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Basic</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center"/>
              <w:ind w:right="67"/>
              <w:spacing w:after="0"/>
              <w:rPr>
                <w:sz w:val="20"/>
                <w:szCs w:val="20"/>
                <w:color w:val="auto"/>
              </w:rPr>
            </w:pPr>
            <w:r>
              <w:rPr>
                <w:rFonts w:ascii="Arial" w:cs="Arial" w:eastAsia="Arial" w:hAnsi="Arial"/>
                <w:sz w:val="16"/>
                <w:szCs w:val="16"/>
                <w:b w:val="1"/>
                <w:bCs w:val="1"/>
                <w:color w:val="auto"/>
                <w:w w:val="98"/>
              </w:rPr>
              <w:t>Years Ended December 31,</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auto"/>
            </w:tcBorders>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9"/>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7"/>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82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4,239</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3,924</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2,926</w:t>
            </w:r>
          </w:p>
        </w:tc>
        <w:tc>
          <w:tcPr>
            <w:tcW w:w="0" w:type="dxa"/>
            <w:vAlign w:val="bottom"/>
          </w:tcPr>
          <w:p>
            <w:pPr>
              <w:spacing w:after="0"/>
              <w:rPr>
                <w:sz w:val="1"/>
                <w:szCs w:val="1"/>
                <w:color w:val="auto"/>
              </w:rPr>
            </w:pPr>
          </w:p>
        </w:tc>
      </w:tr>
      <w:tr>
        <w:trPr>
          <w:trHeight w:val="243"/>
        </w:trPr>
        <w:tc>
          <w:tcPr>
            <w:tcW w:w="8280" w:type="dxa"/>
            <w:vAlign w:val="bottom"/>
            <w:gridSpan w:val="2"/>
          </w:tcPr>
          <w:p>
            <w:pPr>
              <w:spacing w:after="0"/>
              <w:rPr>
                <w:sz w:val="20"/>
                <w:szCs w:val="20"/>
                <w:color w:val="auto"/>
              </w:rPr>
            </w:pPr>
            <w:r>
              <w:rPr>
                <w:rFonts w:ascii="Arial" w:cs="Arial" w:eastAsia="Arial" w:hAnsi="Arial"/>
                <w:sz w:val="19"/>
                <w:szCs w:val="19"/>
                <w:color w:val="auto"/>
              </w:rPr>
              <w:t>Weighted average shares outstanding</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784.4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786.4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782.4</w:t>
            </w:r>
          </w:p>
        </w:tc>
        <w:tc>
          <w:tcPr>
            <w:tcW w:w="0" w:type="dxa"/>
            <w:vAlign w:val="bottom"/>
          </w:tcPr>
          <w:p>
            <w:pPr>
              <w:spacing w:after="0"/>
              <w:rPr>
                <w:sz w:val="1"/>
                <w:szCs w:val="1"/>
                <w:color w:val="auto"/>
              </w:rPr>
            </w:pPr>
          </w:p>
        </w:tc>
      </w:tr>
      <w:tr>
        <w:trPr>
          <w:trHeight w:val="243"/>
        </w:trPr>
        <w:tc>
          <w:tcPr>
            <w:tcW w:w="82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Earnings per share of common stock</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5.40</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3.74</w:t>
            </w:r>
          </w:p>
        </w:tc>
        <w:tc>
          <w:tcPr>
            <w:tcW w:w="0" w:type="dxa"/>
            <w:vAlign w:val="bottom"/>
          </w:tcPr>
          <w:p>
            <w:pPr>
              <w:spacing w:after="0"/>
              <w:rPr>
                <w:sz w:val="1"/>
                <w:szCs w:val="1"/>
                <w:color w:val="auto"/>
              </w:rPr>
            </w:pPr>
          </w:p>
        </w:tc>
      </w:tr>
      <w:tr>
        <w:trPr>
          <w:trHeight w:val="446"/>
        </w:trPr>
        <w:tc>
          <w:tcPr>
            <w:tcW w:w="8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Assuming Dilution</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67"/>
              <w:spacing w:after="0"/>
              <w:rPr>
                <w:sz w:val="20"/>
                <w:szCs w:val="20"/>
                <w:color w:val="auto"/>
              </w:rPr>
            </w:pPr>
            <w:r>
              <w:rPr>
                <w:rFonts w:ascii="Arial" w:cs="Arial" w:eastAsia="Arial" w:hAnsi="Arial"/>
                <w:sz w:val="16"/>
                <w:szCs w:val="16"/>
                <w:b w:val="1"/>
                <w:bCs w:val="1"/>
                <w:color w:val="auto"/>
                <w:w w:val="98"/>
              </w:rPr>
              <w:t>Years Ended December 31,</w:t>
            </w:r>
          </w:p>
        </w:tc>
        <w:tc>
          <w:tcPr>
            <w:tcW w:w="0" w:type="dxa"/>
            <w:vAlign w:val="bottom"/>
          </w:tcPr>
          <w:p>
            <w:pPr>
              <w:spacing w:after="0"/>
              <w:rPr>
                <w:sz w:val="1"/>
                <w:szCs w:val="1"/>
                <w:color w:val="auto"/>
              </w:rPr>
            </w:pPr>
          </w:p>
        </w:tc>
      </w:tr>
      <w:tr>
        <w:trPr>
          <w:trHeight w:val="169"/>
        </w:trPr>
        <w:tc>
          <w:tcPr>
            <w:tcW w:w="8280" w:type="dxa"/>
            <w:vAlign w:val="bottom"/>
            <w:tcBorders>
              <w:bottom w:val="single" w:sz="8" w:color="auto"/>
            </w:tcBorders>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9"/>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67"/>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82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income attributable to Honeywell</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4,239</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3,924</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2,926</w:t>
            </w:r>
          </w:p>
        </w:tc>
        <w:tc>
          <w:tcPr>
            <w:tcW w:w="0" w:type="dxa"/>
            <w:vAlign w:val="bottom"/>
          </w:tcPr>
          <w:p>
            <w:pPr>
              <w:spacing w:after="0"/>
              <w:rPr>
                <w:sz w:val="1"/>
                <w:szCs w:val="1"/>
                <w:color w:val="auto"/>
              </w:rPr>
            </w:pPr>
          </w:p>
        </w:tc>
      </w:tr>
      <w:tr>
        <w:trPr>
          <w:trHeight w:val="162"/>
        </w:trPr>
        <w:tc>
          <w:tcPr>
            <w:tcW w:w="1200" w:type="dxa"/>
            <w:vAlign w:val="bottom"/>
            <w:tcBorders>
              <w:bottom w:val="single" w:sz="8" w:color="auto"/>
            </w:tcBorders>
          </w:tcPr>
          <w:p>
            <w:pPr>
              <w:spacing w:after="0" w:line="162" w:lineRule="exact"/>
              <w:rPr>
                <w:sz w:val="20"/>
                <w:szCs w:val="20"/>
                <w:color w:val="auto"/>
              </w:rPr>
            </w:pPr>
            <w:r>
              <w:rPr>
                <w:rFonts w:ascii="Arial" w:cs="Arial" w:eastAsia="Arial" w:hAnsi="Arial"/>
                <w:sz w:val="16"/>
                <w:szCs w:val="16"/>
                <w:b w:val="1"/>
                <w:bCs w:val="1"/>
                <w:color w:val="auto"/>
                <w:w w:val="97"/>
              </w:rPr>
              <w:t>Average Shares</w:t>
            </w:r>
          </w:p>
        </w:tc>
        <w:tc>
          <w:tcPr>
            <w:tcW w:w="7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2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Weighted average shares outstanding</w:t>
            </w: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784.4</w:t>
            </w: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786.4</w:t>
            </w: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782.4</w:t>
            </w:r>
          </w:p>
        </w:tc>
        <w:tc>
          <w:tcPr>
            <w:tcW w:w="0" w:type="dxa"/>
            <w:vAlign w:val="bottom"/>
          </w:tcPr>
          <w:p>
            <w:pPr>
              <w:spacing w:after="0"/>
              <w:rPr>
                <w:sz w:val="1"/>
                <w:szCs w:val="1"/>
                <w:color w:val="auto"/>
              </w:rPr>
            </w:pPr>
          </w:p>
        </w:tc>
      </w:tr>
      <w:tr>
        <w:trPr>
          <w:trHeight w:val="250"/>
        </w:trPr>
        <w:tc>
          <w:tcPr>
            <w:tcW w:w="8280" w:type="dxa"/>
            <w:vAlign w:val="bottom"/>
            <w:gridSpan w:val="2"/>
          </w:tcPr>
          <w:p>
            <w:pPr>
              <w:spacing w:after="0"/>
              <w:rPr>
                <w:sz w:val="20"/>
                <w:szCs w:val="20"/>
                <w:color w:val="auto"/>
              </w:rPr>
            </w:pPr>
            <w:r>
              <w:rPr>
                <w:rFonts w:ascii="Arial" w:cs="Arial" w:eastAsia="Arial" w:hAnsi="Arial"/>
                <w:sz w:val="19"/>
                <w:szCs w:val="19"/>
                <w:color w:val="auto"/>
              </w:rPr>
              <w:t>Dilutive securities issuable—stock plans</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10.8</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9.5</w:t>
            </w:r>
          </w:p>
        </w:tc>
        <w:tc>
          <w:tcPr>
            <w:tcW w:w="0" w:type="dxa"/>
            <w:vAlign w:val="bottom"/>
          </w:tcPr>
          <w:p>
            <w:pPr>
              <w:spacing w:after="0"/>
              <w:rPr>
                <w:sz w:val="1"/>
                <w:szCs w:val="1"/>
                <w:color w:val="auto"/>
              </w:rPr>
            </w:pPr>
          </w:p>
        </w:tc>
      </w:tr>
      <w:tr>
        <w:trPr>
          <w:trHeight w:val="243"/>
        </w:trPr>
        <w:tc>
          <w:tcPr>
            <w:tcW w:w="82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Total weighted average diluted shares outstanding</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795.2</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797.3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791.9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280" w:type="dxa"/>
            <w:vAlign w:val="bottom"/>
            <w:gridSpan w:val="2"/>
          </w:tcPr>
          <w:p>
            <w:pPr>
              <w:spacing w:after="0"/>
              <w:rPr>
                <w:sz w:val="20"/>
                <w:szCs w:val="20"/>
                <w:color w:val="auto"/>
              </w:rPr>
            </w:pPr>
            <w:r>
              <w:rPr>
                <w:rFonts w:ascii="Arial" w:cs="Arial" w:eastAsia="Arial" w:hAnsi="Arial"/>
                <w:sz w:val="19"/>
                <w:szCs w:val="19"/>
                <w:color w:val="auto"/>
              </w:rPr>
              <w:t>Earnings per share of common stock—assuming dilution</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5.33</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4.92</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3.69</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The diluted earnings per share calculations exclude the effect of stock options when the options’ assumed proceeds exceed the average market price of the common shares during the period. In 2014, 2013, and 2012 the weighted number of stock options excluded from the computations were 4.7 million, 2.2 million, and 12.5 million, respectively. These stock options were outstanding at the end of each of the respective periods.</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Accounts, Notes and Other Receivables</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192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480" w:type="dxa"/>
            <w:vAlign w:val="bottom"/>
          </w:tcPr>
          <w:p>
            <w:pPr>
              <w:spacing w:after="0"/>
              <w:rPr>
                <w:sz w:val="14"/>
                <w:szCs w:val="14"/>
                <w:color w:val="auto"/>
              </w:rPr>
            </w:pPr>
          </w:p>
        </w:tc>
        <w:tc>
          <w:tcPr>
            <w:tcW w:w="800" w:type="dxa"/>
            <w:vAlign w:val="bottom"/>
            <w:tcBorders>
              <w:bottom w:val="single" w:sz="8" w:color="auto"/>
            </w:tcBorders>
          </w:tcPr>
          <w:p>
            <w:pPr>
              <w:jc w:val="right"/>
              <w:ind w:right="128"/>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2013</w:t>
            </w:r>
          </w:p>
        </w:tc>
      </w:tr>
      <w:tr>
        <w:trPr>
          <w:trHeight w:val="237"/>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Trade</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$ 7,788</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7,530</w:t>
            </w:r>
          </w:p>
        </w:tc>
      </w:tr>
      <w:tr>
        <w:trPr>
          <w:trHeight w:val="250"/>
        </w:trPr>
        <w:tc>
          <w:tcPr>
            <w:tcW w:w="8480" w:type="dxa"/>
            <w:vAlign w:val="bottom"/>
          </w:tcPr>
          <w:p>
            <w:pPr>
              <w:spacing w:after="0"/>
              <w:rPr>
                <w:sz w:val="20"/>
                <w:szCs w:val="20"/>
                <w:color w:val="auto"/>
              </w:rPr>
            </w:pPr>
            <w:r>
              <w:rPr>
                <w:rFonts w:ascii="Arial" w:cs="Arial" w:eastAsia="Arial" w:hAnsi="Arial"/>
                <w:sz w:val="19"/>
                <w:szCs w:val="19"/>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445</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646</w:t>
            </w:r>
          </w:p>
        </w:tc>
      </w:tr>
      <w:tr>
        <w:trPr>
          <w:trHeight w:val="243"/>
        </w:trPr>
        <w:tc>
          <w:tcPr>
            <w:tcW w:w="84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8,233</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8,176</w:t>
            </w:r>
          </w:p>
        </w:tc>
      </w:tr>
      <w:tr>
        <w:trPr>
          <w:trHeight w:val="250"/>
        </w:trPr>
        <w:tc>
          <w:tcPr>
            <w:tcW w:w="8480" w:type="dxa"/>
            <w:vAlign w:val="bottom"/>
          </w:tcPr>
          <w:p>
            <w:pPr>
              <w:spacing w:after="0"/>
              <w:rPr>
                <w:sz w:val="20"/>
                <w:szCs w:val="20"/>
                <w:color w:val="auto"/>
              </w:rPr>
            </w:pPr>
            <w:r>
              <w:rPr>
                <w:rFonts w:ascii="Arial" w:cs="Arial" w:eastAsia="Arial" w:hAnsi="Arial"/>
                <w:sz w:val="19"/>
                <w:szCs w:val="19"/>
                <w:color w:val="auto"/>
              </w:rPr>
              <w:t>Less—Allowance for doubtful accounts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(273)</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w:t>
            </w:r>
          </w:p>
        </w:tc>
      </w:tr>
      <w:tr>
        <w:trPr>
          <w:trHeight w:val="243"/>
        </w:trPr>
        <w:tc>
          <w:tcPr>
            <w:tcW w:w="848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$ 7,960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7,929</w:t>
            </w:r>
          </w:p>
        </w:tc>
      </w:tr>
      <w:tr>
        <w:trPr>
          <w:trHeight w:val="20"/>
        </w:trPr>
        <w:tc>
          <w:tcPr>
            <w:tcW w:w="8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Trade Receivables includes $1,636 million and $1,609 million of unbilled balances under long-term contracts as of December 31, 2014 and December 31, 2013, respectively. These amounts are billed in accordance with the terms of customer contracts to which they relate.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8. Inventories</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192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480" w:type="dxa"/>
            <w:vAlign w:val="bottom"/>
          </w:tcPr>
          <w:p>
            <w:pPr>
              <w:spacing w:after="0"/>
              <w:rPr>
                <w:sz w:val="14"/>
                <w:szCs w:val="14"/>
                <w:color w:val="auto"/>
              </w:rPr>
            </w:pPr>
          </w:p>
        </w:tc>
        <w:tc>
          <w:tcPr>
            <w:tcW w:w="800" w:type="dxa"/>
            <w:vAlign w:val="bottom"/>
            <w:tcBorders>
              <w:bottom w:val="single" w:sz="8" w:color="auto"/>
            </w:tcBorders>
          </w:tcPr>
          <w:p>
            <w:pPr>
              <w:jc w:val="right"/>
              <w:ind w:right="128"/>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2013</w:t>
            </w:r>
          </w:p>
        </w:tc>
      </w:tr>
      <w:tr>
        <w:trPr>
          <w:trHeight w:val="237"/>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Raw materials</w:t>
            </w: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$ 1,124</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1,121</w:t>
            </w:r>
          </w:p>
        </w:tc>
      </w:tr>
      <w:tr>
        <w:trPr>
          <w:trHeight w:val="243"/>
        </w:trPr>
        <w:tc>
          <w:tcPr>
            <w:tcW w:w="8480" w:type="dxa"/>
            <w:vAlign w:val="bottom"/>
          </w:tcPr>
          <w:p>
            <w:pPr>
              <w:spacing w:after="0"/>
              <w:rPr>
                <w:sz w:val="20"/>
                <w:szCs w:val="20"/>
                <w:color w:val="auto"/>
              </w:rPr>
            </w:pPr>
            <w:r>
              <w:rPr>
                <w:rFonts w:ascii="Arial" w:cs="Arial" w:eastAsia="Arial" w:hAnsi="Arial"/>
                <w:sz w:val="19"/>
                <w:szCs w:val="19"/>
                <w:color w:val="auto"/>
              </w:rPr>
              <w:t>Work in process</w:t>
            </w:r>
          </w:p>
        </w:tc>
        <w:tc>
          <w:tcPr>
            <w:tcW w:w="800" w:type="dxa"/>
            <w:vAlign w:val="bottom"/>
          </w:tcPr>
          <w:p>
            <w:pPr>
              <w:jc w:val="right"/>
              <w:spacing w:after="0"/>
              <w:rPr>
                <w:sz w:val="20"/>
                <w:szCs w:val="20"/>
                <w:color w:val="auto"/>
              </w:rPr>
            </w:pPr>
            <w:r>
              <w:rPr>
                <w:rFonts w:ascii="Arial" w:cs="Arial" w:eastAsia="Arial" w:hAnsi="Arial"/>
                <w:sz w:val="19"/>
                <w:szCs w:val="19"/>
                <w:color w:val="auto"/>
              </w:rPr>
              <w:t>815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841</w:t>
            </w:r>
          </w:p>
        </w:tc>
      </w:tr>
      <w:tr>
        <w:trPr>
          <w:trHeight w:val="243"/>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Finished products</w:t>
            </w: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2,634</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2,497</w:t>
            </w:r>
          </w:p>
        </w:tc>
      </w:tr>
      <w:tr>
        <w:trPr>
          <w:trHeight w:val="250"/>
        </w:trPr>
        <w:tc>
          <w:tcPr>
            <w:tcW w:w="8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4,573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4,459</w:t>
            </w:r>
          </w:p>
        </w:tc>
      </w:tr>
      <w:tr>
        <w:trPr>
          <w:trHeight w:val="243"/>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Reduction to LIFO cost basis</w:t>
            </w: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(166)</w:t>
            </w:r>
          </w:p>
        </w:tc>
      </w:tr>
      <w:tr>
        <w:trPr>
          <w:trHeight w:val="250"/>
        </w:trPr>
        <w:tc>
          <w:tcPr>
            <w:tcW w:w="8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$ 4,405</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4,293</w:t>
            </w:r>
          </w:p>
        </w:tc>
      </w:tr>
      <w:tr>
        <w:trPr>
          <w:trHeight w:val="20"/>
        </w:trPr>
        <w:tc>
          <w:tcPr>
            <w:tcW w:w="8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Inventories valued at LIFO amounted to $434 million and $405 million at December 31, 2014 and 2013, respectively. Had such LIFO inventories been valued at current costs, their carrying values would have been approximately $168 million and $166 million higher at December 31, 2014 and 2013,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Property, Plant and Equipment—Net</w:t>
      </w:r>
    </w:p>
    <w:p>
      <w:pPr>
        <w:spacing w:after="0" w:line="39"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7"/>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5"/>
              <w:spacing w:after="0" w:line="169" w:lineRule="exact"/>
              <w:rPr>
                <w:sz w:val="20"/>
                <w:szCs w:val="20"/>
                <w:color w:val="auto"/>
              </w:rPr>
            </w:pPr>
            <w:r>
              <w:rPr>
                <w:rFonts w:ascii="Arial" w:cs="Arial" w:eastAsia="Arial" w:hAnsi="Arial"/>
                <w:sz w:val="16"/>
                <w:szCs w:val="16"/>
                <w:b w:val="1"/>
                <w:bCs w:val="1"/>
                <w:color w:val="auto"/>
              </w:rPr>
              <w:t>2013</w:t>
            </w:r>
          </w:p>
        </w:tc>
      </w:tr>
      <w:tr>
        <w:trPr>
          <w:trHeight w:val="237"/>
        </w:trPr>
        <w:tc>
          <w:tcPr>
            <w:tcW w:w="8240" w:type="dxa"/>
            <w:vAlign w:val="bottom"/>
            <w:shd w:val="clear" w:color="auto" w:fill="E5FFFF"/>
          </w:tcPr>
          <w:p>
            <w:pPr>
              <w:spacing w:after="0"/>
              <w:rPr>
                <w:sz w:val="20"/>
                <w:szCs w:val="20"/>
                <w:color w:val="auto"/>
              </w:rPr>
            </w:pPr>
            <w:r>
              <w:rPr>
                <w:rFonts w:ascii="Arial" w:cs="Arial" w:eastAsia="Arial" w:hAnsi="Arial"/>
                <w:sz w:val="19"/>
                <w:szCs w:val="19"/>
                <w:color w:val="auto"/>
              </w:rPr>
              <w:t>Land and improvements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343</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376</w:t>
            </w:r>
          </w:p>
        </w:tc>
      </w:tr>
      <w:tr>
        <w:trPr>
          <w:trHeight w:val="243"/>
        </w:trPr>
        <w:tc>
          <w:tcPr>
            <w:tcW w:w="8240" w:type="dxa"/>
            <w:vAlign w:val="bottom"/>
          </w:tcPr>
          <w:p>
            <w:pPr>
              <w:spacing w:after="0"/>
              <w:rPr>
                <w:sz w:val="20"/>
                <w:szCs w:val="20"/>
                <w:color w:val="auto"/>
              </w:rPr>
            </w:pPr>
            <w:r>
              <w:rPr>
                <w:rFonts w:ascii="Arial" w:cs="Arial" w:eastAsia="Arial" w:hAnsi="Arial"/>
                <w:sz w:val="19"/>
                <w:szCs w:val="19"/>
                <w:color w:val="auto"/>
              </w:rPr>
              <w:t>Machinery and equipment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10,313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
              <w:spacing w:after="0"/>
              <w:rPr>
                <w:sz w:val="20"/>
                <w:szCs w:val="20"/>
                <w:color w:val="auto"/>
              </w:rPr>
            </w:pPr>
            <w:r>
              <w:rPr>
                <w:rFonts w:ascii="Arial" w:cs="Arial" w:eastAsia="Arial" w:hAnsi="Arial"/>
                <w:sz w:val="19"/>
                <w:szCs w:val="19"/>
                <w:color w:val="auto"/>
              </w:rPr>
              <w:t>10,437</w:t>
            </w:r>
          </w:p>
        </w:tc>
      </w:tr>
      <w:tr>
        <w:trPr>
          <w:trHeight w:val="243"/>
        </w:trPr>
        <w:tc>
          <w:tcPr>
            <w:tcW w:w="8240" w:type="dxa"/>
            <w:vAlign w:val="bottom"/>
            <w:shd w:val="clear" w:color="auto" w:fill="E5FFFF"/>
          </w:tcPr>
          <w:p>
            <w:pPr>
              <w:spacing w:after="0"/>
              <w:rPr>
                <w:sz w:val="20"/>
                <w:szCs w:val="20"/>
                <w:color w:val="auto"/>
              </w:rPr>
            </w:pPr>
            <w:r>
              <w:rPr>
                <w:rFonts w:ascii="Arial" w:cs="Arial" w:eastAsia="Arial" w:hAnsi="Arial"/>
                <w:sz w:val="19"/>
                <w:szCs w:val="19"/>
                <w:color w:val="auto"/>
              </w:rPr>
              <w:t>Buildings and improvements</w:t>
            </w: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3,119</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3,157</w:t>
            </w:r>
          </w:p>
        </w:tc>
      </w:tr>
      <w:tr>
        <w:trPr>
          <w:trHeight w:val="250"/>
        </w:trPr>
        <w:tc>
          <w:tcPr>
            <w:tcW w:w="8240" w:type="dxa"/>
            <w:vAlign w:val="bottom"/>
          </w:tcPr>
          <w:p>
            <w:pPr>
              <w:spacing w:after="0"/>
              <w:rPr>
                <w:sz w:val="20"/>
                <w:szCs w:val="20"/>
                <w:color w:val="auto"/>
              </w:rPr>
            </w:pPr>
            <w:r>
              <w:rPr>
                <w:rFonts w:ascii="Arial" w:cs="Arial" w:eastAsia="Arial" w:hAnsi="Arial"/>
                <w:sz w:val="19"/>
                <w:szCs w:val="19"/>
                <w:color w:val="auto"/>
              </w:rPr>
              <w:t>Construction in progress</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727</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9"/>
                <w:szCs w:val="19"/>
                <w:color w:val="auto"/>
              </w:rPr>
              <w:t>647</w:t>
            </w:r>
          </w:p>
        </w:tc>
      </w:tr>
      <w:tr>
        <w:trPr>
          <w:trHeight w:val="243"/>
        </w:trPr>
        <w:tc>
          <w:tcPr>
            <w:tcW w:w="82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14,502</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14,617</w:t>
            </w:r>
          </w:p>
        </w:tc>
      </w:tr>
      <w:tr>
        <w:trPr>
          <w:trHeight w:val="250"/>
        </w:trPr>
        <w:tc>
          <w:tcPr>
            <w:tcW w:w="8240" w:type="dxa"/>
            <w:vAlign w:val="bottom"/>
          </w:tcPr>
          <w:p>
            <w:pPr>
              <w:spacing w:after="0"/>
              <w:rPr>
                <w:sz w:val="20"/>
                <w:szCs w:val="20"/>
                <w:color w:val="auto"/>
              </w:rPr>
            </w:pPr>
            <w:r>
              <w:rPr>
                <w:rFonts w:ascii="Arial" w:cs="Arial" w:eastAsia="Arial" w:hAnsi="Arial"/>
                <w:sz w:val="19"/>
                <w:szCs w:val="19"/>
                <w:color w:val="auto"/>
              </w:rPr>
              <w:t>Less—Accumulated depreciation</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(9,119)</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(9,339)</w:t>
            </w:r>
          </w:p>
        </w:tc>
      </w:tr>
      <w:tr>
        <w:trPr>
          <w:trHeight w:val="243"/>
        </w:trPr>
        <w:tc>
          <w:tcPr>
            <w:tcW w:w="824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5,383</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5,278</w:t>
            </w:r>
          </w:p>
        </w:tc>
      </w:tr>
      <w:tr>
        <w:trPr>
          <w:trHeight w:val="20"/>
        </w:trPr>
        <w:tc>
          <w:tcPr>
            <w:tcW w:w="8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Depreciation expense was $667 million, $670 million and $660 million in 2014, 2013 and 2012,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 Goodwill and Other Intangible Assets—Net</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change in the carrying amount of goodwill for the years ended December 31, 2014 and 2013 by segment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67"/>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76"/>
        </w:trPr>
        <w:tc>
          <w:tcPr>
            <w:tcW w:w="5580" w:type="dxa"/>
            <w:vAlign w:val="bottom"/>
          </w:tcPr>
          <w:p>
            <w:pPr>
              <w:spacing w:after="0"/>
              <w:rPr>
                <w:sz w:val="15"/>
                <w:szCs w:val="15"/>
                <w:color w:val="auto"/>
              </w:rPr>
            </w:pPr>
          </w:p>
        </w:tc>
        <w:tc>
          <w:tcPr>
            <w:tcW w:w="1300" w:type="dxa"/>
            <w:vAlign w:val="bottom"/>
            <w:gridSpan w:val="2"/>
          </w:tcPr>
          <w:p>
            <w:pPr>
              <w:jc w:val="right"/>
              <w:ind w:right="47"/>
              <w:spacing w:after="0" w:line="176" w:lineRule="exact"/>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5"/>
                <w:szCs w:val="15"/>
                <w:color w:val="auto"/>
              </w:rPr>
            </w:pPr>
          </w:p>
        </w:tc>
        <w:tc>
          <w:tcPr>
            <w:tcW w:w="1220" w:type="dxa"/>
            <w:vAlign w:val="bottom"/>
            <w:gridSpan w:val="2"/>
          </w:tcPr>
          <w:p>
            <w:pPr>
              <w:jc w:val="right"/>
              <w:ind w:right="7"/>
              <w:spacing w:after="0" w:line="176" w:lineRule="exact"/>
              <w:rPr>
                <w:sz w:val="20"/>
                <w:szCs w:val="20"/>
                <w:color w:val="auto"/>
              </w:rPr>
            </w:pPr>
            <w:r>
              <w:rPr>
                <w:rFonts w:ascii="Arial" w:cs="Arial" w:eastAsia="Arial" w:hAnsi="Arial"/>
                <w:sz w:val="16"/>
                <w:szCs w:val="16"/>
                <w:b w:val="1"/>
                <w:bCs w:val="1"/>
                <w:color w:val="auto"/>
              </w:rPr>
              <w:t>Acquisitions/</w:t>
            </w:r>
          </w:p>
        </w:tc>
        <w:tc>
          <w:tcPr>
            <w:tcW w:w="300" w:type="dxa"/>
            <w:vAlign w:val="bottom"/>
          </w:tcPr>
          <w:p>
            <w:pPr>
              <w:spacing w:after="0"/>
              <w:rPr>
                <w:sz w:val="15"/>
                <w:szCs w:val="15"/>
                <w:color w:val="auto"/>
              </w:rPr>
            </w:pPr>
          </w:p>
        </w:tc>
        <w:tc>
          <w:tcPr>
            <w:tcW w:w="10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Translation</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69"/>
              <w:spacing w:after="0" w:line="176" w:lineRule="exact"/>
              <w:rPr>
                <w:sz w:val="20"/>
                <w:szCs w:val="20"/>
                <w:color w:val="auto"/>
              </w:rPr>
            </w:pPr>
            <w:r>
              <w:rPr>
                <w:rFonts w:ascii="Arial" w:cs="Arial" w:eastAsia="Arial" w:hAnsi="Arial"/>
                <w:sz w:val="16"/>
                <w:szCs w:val="16"/>
                <w:b w:val="1"/>
                <w:bCs w:val="1"/>
                <w:color w:val="auto"/>
                <w:w w:val="97"/>
              </w:rPr>
              <w:t>December 31,</w:t>
            </w:r>
          </w:p>
        </w:tc>
      </w:tr>
      <w:tr>
        <w:trPr>
          <w:trHeight w:val="190"/>
        </w:trPr>
        <w:tc>
          <w:tcPr>
            <w:tcW w:w="5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w w:val="98"/>
              </w:rPr>
              <w:t>Divestitures</w:t>
            </w:r>
          </w:p>
        </w:tc>
        <w:tc>
          <w:tcPr>
            <w:tcW w:w="300" w:type="dxa"/>
            <w:vAlign w:val="bottom"/>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Adjustment</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2014</w:t>
            </w:r>
          </w:p>
        </w:tc>
      </w:tr>
      <w:tr>
        <w:trPr>
          <w:trHeight w:val="237"/>
        </w:trPr>
        <w:tc>
          <w:tcPr>
            <w:tcW w:w="5580" w:type="dxa"/>
            <w:vAlign w:val="bottom"/>
            <w:shd w:val="clear" w:color="auto" w:fill="E5FFFF"/>
          </w:tcPr>
          <w:p>
            <w:pPr>
              <w:spacing w:after="0"/>
              <w:rPr>
                <w:sz w:val="20"/>
                <w:szCs w:val="20"/>
                <w:color w:val="auto"/>
              </w:rPr>
            </w:pPr>
            <w:r>
              <w:rPr>
                <w:rFonts w:ascii="Arial" w:cs="Arial" w:eastAsia="Arial" w:hAnsi="Arial"/>
                <w:sz w:val="19"/>
                <w:szCs w:val="19"/>
                <w:color w:val="auto"/>
              </w:rPr>
              <w:t>Aerospace</w:t>
            </w:r>
          </w:p>
        </w:tc>
        <w:tc>
          <w:tcPr>
            <w:tcW w:w="360" w:type="dxa"/>
            <w:vAlign w:val="bottom"/>
            <w:shd w:val="clear" w:color="auto" w:fill="E5FFFF"/>
          </w:tcPr>
          <w:p>
            <w:pPr>
              <w:ind w:left="20"/>
              <w:spacing w:after="0"/>
              <w:rPr>
                <w:sz w:val="20"/>
                <w:szCs w:val="20"/>
                <w:color w:val="auto"/>
              </w:rPr>
            </w:pPr>
            <w:r>
              <w:rPr>
                <w:rFonts w:ascii="Arial" w:cs="Arial" w:eastAsia="Arial" w:hAnsi="Arial"/>
                <w:sz w:val="19"/>
                <w:szCs w:val="19"/>
                <w:color w:val="auto"/>
              </w:rPr>
              <w:t>$</w:t>
            </w:r>
          </w:p>
        </w:tc>
        <w:tc>
          <w:tcPr>
            <w:tcW w:w="94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2,273</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80" w:type="dxa"/>
            <w:vAlign w:val="bottom"/>
            <w:shd w:val="clear" w:color="auto" w:fill="E5FFFF"/>
          </w:tcPr>
          <w:p>
            <w:pPr>
              <w:jc w:val="right"/>
              <w:ind w:right="87"/>
              <w:spacing w:after="0"/>
              <w:rPr>
                <w:sz w:val="20"/>
                <w:szCs w:val="20"/>
                <w:color w:val="auto"/>
              </w:rPr>
            </w:pPr>
            <w:r>
              <w:rPr>
                <w:rFonts w:ascii="Arial" w:cs="Arial" w:eastAsia="Arial" w:hAnsi="Arial"/>
                <w:sz w:val="19"/>
                <w:szCs w:val="19"/>
                <w:color w:val="auto"/>
              </w:rPr>
              <w:t>(4)</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9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20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2,258</w:t>
            </w:r>
          </w:p>
        </w:tc>
      </w:tr>
      <w:tr>
        <w:trPr>
          <w:trHeight w:val="243"/>
        </w:trPr>
        <w:tc>
          <w:tcPr>
            <w:tcW w:w="5580" w:type="dxa"/>
            <w:vAlign w:val="bottom"/>
          </w:tcPr>
          <w:p>
            <w:pPr>
              <w:spacing w:after="0"/>
              <w:rPr>
                <w:sz w:val="20"/>
                <w:szCs w:val="20"/>
                <w:color w:val="auto"/>
              </w:rPr>
            </w:pPr>
            <w:r>
              <w:rPr>
                <w:rFonts w:ascii="Arial" w:cs="Arial" w:eastAsia="Arial" w:hAnsi="Arial"/>
                <w:sz w:val="19"/>
                <w:szCs w:val="19"/>
                <w:color w:val="auto"/>
              </w:rPr>
              <w:t>Automation and Control Solutions</w:t>
            </w:r>
          </w:p>
        </w:tc>
        <w:tc>
          <w:tcPr>
            <w:tcW w:w="360" w:type="dxa"/>
            <w:vAlign w:val="bottom"/>
          </w:tcPr>
          <w:p>
            <w:pPr>
              <w:spacing w:after="0"/>
              <w:rPr>
                <w:sz w:val="21"/>
                <w:szCs w:val="21"/>
                <w:color w:val="auto"/>
              </w:rPr>
            </w:pPr>
          </w:p>
        </w:tc>
        <w:tc>
          <w:tcPr>
            <w:tcW w:w="940" w:type="dxa"/>
            <w:vAlign w:val="bottom"/>
          </w:tcPr>
          <w:p>
            <w:pPr>
              <w:jc w:val="right"/>
              <w:ind w:right="7"/>
              <w:spacing w:after="0"/>
              <w:rPr>
                <w:sz w:val="20"/>
                <w:szCs w:val="20"/>
                <w:color w:val="auto"/>
              </w:rPr>
            </w:pPr>
            <w:r>
              <w:rPr>
                <w:rFonts w:ascii="Arial" w:cs="Arial" w:eastAsia="Arial" w:hAnsi="Arial"/>
                <w:sz w:val="19"/>
                <w:szCs w:val="19"/>
                <w:color w:val="auto"/>
              </w:rPr>
              <w:t>8,006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47"/>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(194)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9"/>
              <w:spacing w:after="0"/>
              <w:rPr>
                <w:sz w:val="20"/>
                <w:szCs w:val="20"/>
                <w:color w:val="auto"/>
              </w:rPr>
            </w:pPr>
            <w:r>
              <w:rPr>
                <w:rFonts w:ascii="Arial" w:cs="Arial" w:eastAsia="Arial" w:hAnsi="Arial"/>
                <w:sz w:val="19"/>
                <w:szCs w:val="19"/>
                <w:color w:val="auto"/>
              </w:rPr>
              <w:t>7,824</w:t>
            </w:r>
          </w:p>
        </w:tc>
      </w:tr>
      <w:tr>
        <w:trPr>
          <w:trHeight w:val="243"/>
        </w:trPr>
        <w:tc>
          <w:tcPr>
            <w:tcW w:w="5580" w:type="dxa"/>
            <w:vAlign w:val="bottom"/>
            <w:shd w:val="clear" w:color="auto" w:fill="E5FFFF"/>
          </w:tcPr>
          <w:p>
            <w:pPr>
              <w:spacing w:after="0"/>
              <w:rPr>
                <w:sz w:val="20"/>
                <w:szCs w:val="20"/>
                <w:color w:val="auto"/>
              </w:rPr>
            </w:pPr>
            <w:r>
              <w:rPr>
                <w:rFonts w:ascii="Arial" w:cs="Arial" w:eastAsia="Arial" w:hAnsi="Arial"/>
                <w:sz w:val="19"/>
                <w:szCs w:val="19"/>
                <w:color w:val="auto"/>
              </w:rPr>
              <w:t>Performance Materials and Technologies</w:t>
            </w:r>
          </w:p>
        </w:tc>
        <w:tc>
          <w:tcPr>
            <w:tcW w:w="36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2,767</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shd w:val="clear" w:color="auto" w:fill="E5FFFF"/>
          </w:tcPr>
          <w:p>
            <w:pPr>
              <w:jc w:val="right"/>
              <w:ind w:right="147"/>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(61)</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1200" w:type="dxa"/>
            <w:vAlign w:val="bottom"/>
            <w:tcBorders>
              <w:bottom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2,706</w:t>
            </w:r>
          </w:p>
        </w:tc>
      </w:tr>
      <w:tr>
        <w:trPr>
          <w:trHeight w:val="250"/>
        </w:trPr>
        <w:tc>
          <w:tcPr>
            <w:tcW w:w="558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9"/>
                <w:szCs w:val="19"/>
                <w:color w:val="auto"/>
              </w:rPr>
              <w:t>$</w:t>
            </w:r>
          </w:p>
        </w:tc>
        <w:tc>
          <w:tcPr>
            <w:tcW w:w="940" w:type="dxa"/>
            <w:vAlign w:val="bottom"/>
          </w:tcPr>
          <w:p>
            <w:pPr>
              <w:jc w:val="right"/>
              <w:ind w:right="7"/>
              <w:spacing w:after="0"/>
              <w:rPr>
                <w:sz w:val="20"/>
                <w:szCs w:val="20"/>
                <w:color w:val="auto"/>
              </w:rPr>
            </w:pPr>
            <w:r>
              <w:rPr>
                <w:rFonts w:ascii="Arial" w:cs="Arial" w:eastAsia="Arial" w:hAnsi="Arial"/>
                <w:sz w:val="19"/>
                <w:szCs w:val="19"/>
                <w:color w:val="auto"/>
              </w:rPr>
              <w:t>13,046</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80" w:type="dxa"/>
            <w:vAlign w:val="bottom"/>
          </w:tcPr>
          <w:p>
            <w:pPr>
              <w:jc w:val="right"/>
              <w:ind w:right="147"/>
              <w:spacing w:after="0"/>
              <w:rPr>
                <w:sz w:val="20"/>
                <w:szCs w:val="20"/>
                <w:color w:val="auto"/>
              </w:rPr>
            </w:pPr>
            <w:r>
              <w:rPr>
                <w:rFonts w:ascii="Arial" w:cs="Arial" w:eastAsia="Arial" w:hAnsi="Arial"/>
                <w:sz w:val="19"/>
                <w:szCs w:val="19"/>
                <w:color w:val="auto"/>
              </w:rPr>
              <w:t>8</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20" w:type="dxa"/>
            <w:vAlign w:val="bottom"/>
          </w:tcPr>
          <w:p>
            <w:pPr>
              <w:jc w:val="right"/>
              <w:spacing w:after="0"/>
              <w:rPr>
                <w:sz w:val="20"/>
                <w:szCs w:val="20"/>
                <w:color w:val="auto"/>
              </w:rPr>
            </w:pPr>
            <w:r>
              <w:rPr>
                <w:rFonts w:ascii="Arial" w:cs="Arial" w:eastAsia="Arial" w:hAnsi="Arial"/>
                <w:sz w:val="19"/>
                <w:szCs w:val="19"/>
                <w:color w:val="auto"/>
              </w:rPr>
              <w:t>(266)</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1200" w:type="dxa"/>
            <w:vAlign w:val="bottom"/>
          </w:tcPr>
          <w:p>
            <w:pPr>
              <w:jc w:val="right"/>
              <w:ind w:right="9"/>
              <w:spacing w:after="0"/>
              <w:rPr>
                <w:sz w:val="20"/>
                <w:szCs w:val="20"/>
                <w:color w:val="auto"/>
              </w:rPr>
            </w:pPr>
            <w:r>
              <w:rPr>
                <w:rFonts w:ascii="Arial" w:cs="Arial" w:eastAsia="Arial" w:hAnsi="Arial"/>
                <w:sz w:val="19"/>
                <w:szCs w:val="19"/>
                <w:color w:val="auto"/>
              </w:rPr>
              <w:t>12,788</w:t>
            </w:r>
          </w:p>
        </w:tc>
      </w:tr>
      <w:tr>
        <w:trPr>
          <w:trHeight w:val="20"/>
        </w:trPr>
        <w:tc>
          <w:tcPr>
            <w:tcW w:w="5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36"/>
        </w:trPr>
        <w:tc>
          <w:tcPr>
            <w:tcW w:w="558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9"/>
                <w:szCs w:val="19"/>
                <w:color w:val="auto"/>
              </w:rPr>
              <w:t>48</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9"/>
        </w:trPr>
        <w:tc>
          <w:tcPr>
            <w:tcW w:w="55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2014</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December 31, 2013</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55"/>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65"/>
              <w:spacing w:after="0" w:line="155" w:lineRule="exact"/>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center"/>
              <w:ind w:right="105"/>
              <w:spacing w:after="0" w:line="155" w:lineRule="exact"/>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ind w:right="45"/>
              <w:spacing w:after="0" w:line="155" w:lineRule="exact"/>
              <w:rPr>
                <w:sz w:val="20"/>
                <w:szCs w:val="20"/>
                <w:color w:val="auto"/>
              </w:rPr>
            </w:pPr>
            <w:r>
              <w:rPr>
                <w:rFonts w:ascii="Arial" w:cs="Arial" w:eastAsia="Arial" w:hAnsi="Arial"/>
                <w:sz w:val="16"/>
                <w:szCs w:val="16"/>
                <w:b w:val="1"/>
                <w:bCs w:val="1"/>
                <w:color w:val="auto"/>
                <w:w w:val="99"/>
              </w:rPr>
              <w:t>Gross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27"/>
              <w:spacing w:after="0" w:line="155" w:lineRule="exact"/>
              <w:rPr>
                <w:sz w:val="20"/>
                <w:szCs w:val="20"/>
                <w:color w:val="auto"/>
              </w:rPr>
            </w:pPr>
            <w:r>
              <w:rPr>
                <w:rFonts w:ascii="Arial" w:cs="Arial" w:eastAsia="Arial" w:hAnsi="Arial"/>
                <w:sz w:val="16"/>
                <w:szCs w:val="16"/>
                <w:b w:val="1"/>
                <w:bCs w:val="1"/>
                <w:color w:val="auto"/>
                <w:w w:val="92"/>
              </w:rPr>
              <w:t>Net</w:t>
            </w:r>
          </w:p>
        </w:tc>
      </w:tr>
      <w:tr>
        <w:trPr>
          <w:trHeight w:val="176"/>
        </w:trPr>
        <w:tc>
          <w:tcPr>
            <w:tcW w:w="420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5"/>
                <w:szCs w:val="15"/>
                <w:color w:val="auto"/>
              </w:rPr>
            </w:pPr>
          </w:p>
        </w:tc>
        <w:tc>
          <w:tcPr>
            <w:tcW w:w="1540" w:type="dxa"/>
            <w:vAlign w:val="bottom"/>
            <w:gridSpan w:val="3"/>
          </w:tcPr>
          <w:p>
            <w:pPr>
              <w:jc w:val="center"/>
              <w:ind w:right="300"/>
              <w:spacing w:after="0" w:line="176" w:lineRule="exact"/>
              <w:rPr>
                <w:sz w:val="20"/>
                <w:szCs w:val="20"/>
                <w:color w:val="auto"/>
              </w:rPr>
            </w:pPr>
            <w:r>
              <w:rPr>
                <w:rFonts w:ascii="Arial" w:cs="Arial" w:eastAsia="Arial" w:hAnsi="Arial"/>
                <w:sz w:val="16"/>
                <w:szCs w:val="16"/>
                <w:b w:val="1"/>
                <w:bCs w:val="1"/>
                <w:color w:val="auto"/>
                <w:w w:val="99"/>
              </w:rPr>
              <w:t>Accumulated</w:t>
            </w: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Carrying</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9"/>
              </w:rPr>
              <w:t>Accumulated</w:t>
            </w:r>
          </w:p>
        </w:tc>
        <w:tc>
          <w:tcPr>
            <w:tcW w:w="84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Carrying</w:t>
            </w:r>
          </w:p>
        </w:tc>
      </w:tr>
      <w:tr>
        <w:trPr>
          <w:trHeight w:val="190"/>
        </w:trPr>
        <w:tc>
          <w:tcPr>
            <w:tcW w:w="420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Amortization</w:t>
            </w: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Amortization</w:t>
            </w:r>
          </w:p>
        </w:tc>
        <w:tc>
          <w:tcPr>
            <w:tcW w:w="120" w:type="dxa"/>
            <w:vAlign w:val="bottom"/>
          </w:tcPr>
          <w:p>
            <w:pPr>
              <w:spacing w:after="0"/>
              <w:rPr>
                <w:sz w:val="16"/>
                <w:szCs w:val="16"/>
                <w:color w:val="auto"/>
              </w:rPr>
            </w:pPr>
          </w:p>
        </w:tc>
        <w:tc>
          <w:tcPr>
            <w:tcW w:w="720" w:type="dxa"/>
            <w:vAlign w:val="bottom"/>
          </w:tcPr>
          <w:p>
            <w:pPr>
              <w:jc w:val="center"/>
              <w:ind w:right="27"/>
              <w:spacing w:after="0"/>
              <w:rPr>
                <w:sz w:val="20"/>
                <w:szCs w:val="20"/>
                <w:color w:val="auto"/>
              </w:rPr>
            </w:pPr>
            <w:r>
              <w:rPr>
                <w:rFonts w:ascii="Arial" w:cs="Arial" w:eastAsia="Arial" w:hAnsi="Arial"/>
                <w:sz w:val="16"/>
                <w:szCs w:val="16"/>
                <w:b w:val="1"/>
                <w:bCs w:val="1"/>
                <w:color w:val="auto"/>
                <w:w w:val="99"/>
              </w:rPr>
              <w:t>Amount</w:t>
            </w:r>
          </w:p>
        </w:tc>
      </w:tr>
      <w:tr>
        <w:trPr>
          <w:trHeight w:val="210"/>
        </w:trPr>
        <w:tc>
          <w:tcPr>
            <w:tcW w:w="42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Determinable life intangibles:</w:t>
            </w:r>
          </w:p>
        </w:tc>
        <w:tc>
          <w:tcPr>
            <w:tcW w:w="140" w:type="dxa"/>
            <w:vAlign w:val="bottom"/>
            <w:tcBorders>
              <w:top w:val="single" w:sz="8" w:color="auto"/>
            </w:tcBorders>
            <w:shd w:val="clear" w:color="auto" w:fill="E5FFFF"/>
          </w:tcPr>
          <w:p>
            <w:pPr>
              <w:spacing w:after="0"/>
              <w:rPr>
                <w:sz w:val="18"/>
                <w:szCs w:val="18"/>
                <w:color w:val="auto"/>
              </w:rPr>
            </w:pPr>
          </w:p>
        </w:tc>
        <w:tc>
          <w:tcPr>
            <w:tcW w:w="66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110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tcBorders>
              <w:top w:val="single" w:sz="8" w:color="auto"/>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r>
      <w:tr>
        <w:trPr>
          <w:trHeight w:val="243"/>
        </w:trPr>
        <w:tc>
          <w:tcPr>
            <w:tcW w:w="4200" w:type="dxa"/>
            <w:vAlign w:val="bottom"/>
          </w:tcPr>
          <w:p>
            <w:pPr>
              <w:ind w:left="360"/>
              <w:spacing w:after="0"/>
              <w:rPr>
                <w:sz w:val="20"/>
                <w:szCs w:val="20"/>
                <w:color w:val="auto"/>
              </w:rPr>
            </w:pPr>
            <w:r>
              <w:rPr>
                <w:rFonts w:ascii="Arial" w:cs="Arial" w:eastAsia="Arial" w:hAnsi="Arial"/>
                <w:sz w:val="19"/>
                <w:szCs w:val="19"/>
                <w:color w:val="auto"/>
              </w:rPr>
              <w:t>Patents and technology</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1,400</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(1,005)</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395</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1,438</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(935)</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503</w:t>
            </w:r>
          </w:p>
        </w:tc>
      </w:tr>
      <w:tr>
        <w:trPr>
          <w:trHeight w:val="243"/>
        </w:trPr>
        <w:tc>
          <w:tcPr>
            <w:tcW w:w="4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Customer relationships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1,867</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1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1,010</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1,904</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1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1,155</w:t>
            </w:r>
          </w:p>
        </w:tc>
      </w:tr>
      <w:tr>
        <w:trPr>
          <w:trHeight w:val="243"/>
        </w:trPr>
        <w:tc>
          <w:tcPr>
            <w:tcW w:w="4200" w:type="dxa"/>
            <w:vAlign w:val="bottom"/>
          </w:tcPr>
          <w:p>
            <w:pPr>
              <w:ind w:left="360"/>
              <w:spacing w:after="0"/>
              <w:rPr>
                <w:sz w:val="20"/>
                <w:szCs w:val="20"/>
                <w:color w:val="auto"/>
              </w:rPr>
            </w:pPr>
            <w:r>
              <w:rPr>
                <w:rFonts w:ascii="Arial" w:cs="Arial" w:eastAsia="Arial" w:hAnsi="Arial"/>
                <w:sz w:val="19"/>
                <w:szCs w:val="19"/>
                <w:color w:val="auto"/>
              </w:rPr>
              <w:t>Trademarks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191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(125)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66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194</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(118)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243"/>
        </w:trPr>
        <w:tc>
          <w:tcPr>
            <w:tcW w:w="4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Other</w:t>
            </w: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291</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(260)</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31</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294</w:t>
            </w:r>
          </w:p>
        </w:tc>
        <w:tc>
          <w:tcPr>
            <w:tcW w:w="3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(234)</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60</w:t>
            </w:r>
          </w:p>
        </w:tc>
      </w:tr>
      <w:tr>
        <w:trPr>
          <w:trHeight w:val="257"/>
        </w:trPr>
        <w:tc>
          <w:tcPr>
            <w:tcW w:w="4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3,749</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(2,247)</w:t>
            </w:r>
          </w:p>
        </w:tc>
        <w:tc>
          <w:tcPr>
            <w:tcW w:w="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1,502</w:t>
            </w:r>
          </w:p>
        </w:tc>
        <w:tc>
          <w:tcPr>
            <w:tcW w:w="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3,830</w:t>
            </w:r>
          </w:p>
        </w:tc>
        <w:tc>
          <w:tcPr>
            <w:tcW w:w="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(2,036)</w:t>
            </w:r>
          </w:p>
        </w:tc>
        <w:tc>
          <w:tcPr>
            <w:tcW w:w="3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1,794</w:t>
            </w:r>
          </w:p>
        </w:tc>
      </w:tr>
      <w:tr>
        <w:trPr>
          <w:trHeight w:val="216"/>
        </w:trPr>
        <w:tc>
          <w:tcPr>
            <w:tcW w:w="420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Indefinite life intangibles:</w:t>
            </w:r>
          </w:p>
        </w:tc>
        <w:tc>
          <w:tcPr>
            <w:tcW w:w="14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r>
      <w:tr>
        <w:trPr>
          <w:trHeight w:val="250"/>
        </w:trPr>
        <w:tc>
          <w:tcPr>
            <w:tcW w:w="4200" w:type="dxa"/>
            <w:vAlign w:val="bottom"/>
          </w:tcPr>
          <w:p>
            <w:pPr>
              <w:ind w:left="360"/>
              <w:spacing w:after="0"/>
              <w:rPr>
                <w:sz w:val="20"/>
                <w:szCs w:val="20"/>
                <w:color w:val="auto"/>
              </w:rPr>
            </w:pPr>
            <w:r>
              <w:rPr>
                <w:rFonts w:ascii="Arial" w:cs="Arial" w:eastAsia="Arial" w:hAnsi="Arial"/>
                <w:sz w:val="19"/>
                <w:szCs w:val="19"/>
                <w:color w:val="auto"/>
              </w:rPr>
              <w:t>Trademarks</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706</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706</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720</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720</w:t>
            </w:r>
          </w:p>
        </w:tc>
      </w:tr>
      <w:tr>
        <w:trPr>
          <w:trHeight w:val="243"/>
        </w:trPr>
        <w:tc>
          <w:tcPr>
            <w:tcW w:w="420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4,455</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(2,247)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2,208</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4,550</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1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(2,036)</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2,514</w:t>
            </w:r>
          </w:p>
        </w:tc>
      </w:tr>
      <w:tr>
        <w:trPr>
          <w:trHeight w:val="20"/>
        </w:trPr>
        <w:tc>
          <w:tcPr>
            <w:tcW w:w="4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Intangible assets amortization expense was $257 million, $319 million, and $266 million in 2014, 2013, 2012, respectively. Estimated intangible asset amortization expense for each of the next five years approximates $208 million in 2015, $183 million in 2016, $173 million in 2017, $157 million in 2018, and $143 million in 2019.</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11. Accrued Liabilities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4"/>
              <w:spacing w:after="0" w:line="169" w:lineRule="exact"/>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Customer advances and deferred income</w:t>
            </w:r>
          </w:p>
        </w:tc>
        <w:tc>
          <w:tcPr>
            <w:tcW w:w="42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2,094</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2,172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Compensation, benefit and other employee related</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1,476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1,506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Asbestos related liabilities</w:t>
            </w: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352</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Repositioning</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284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303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Product warranties and performance guarantees</w:t>
            </w: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332</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Environmental costs</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278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304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Income taxes</w:t>
            </w: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261</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Accrued interest</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101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100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Other taxes (payroll, sales, VAT etc.)</w:t>
            </w:r>
          </w:p>
        </w:tc>
        <w:tc>
          <w:tcPr>
            <w:tcW w:w="41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243</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tcPr>
          <w:p>
            <w:pPr>
              <w:spacing w:after="0"/>
              <w:rPr>
                <w:sz w:val="20"/>
                <w:szCs w:val="20"/>
                <w:color w:val="auto"/>
              </w:rPr>
            </w:pPr>
            <w:r>
              <w:rPr>
                <w:rFonts w:ascii="Arial" w:cs="Arial" w:eastAsia="Arial" w:hAnsi="Arial"/>
                <w:sz w:val="19"/>
                <w:szCs w:val="19"/>
                <w:color w:val="auto"/>
              </w:rPr>
              <w:t>Insurance</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264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255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9"/>
                <w:szCs w:val="19"/>
                <w:color w:val="auto"/>
              </w:rPr>
              <w:t>Other (primarily operating expenses)</w:t>
            </w:r>
          </w:p>
        </w:tc>
        <w:tc>
          <w:tcPr>
            <w:tcW w:w="41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1,086</w:t>
            </w:r>
          </w:p>
        </w:tc>
        <w:tc>
          <w:tcPr>
            <w:tcW w:w="32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1,066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42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6,771</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6,979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100" w:type="dxa"/>
            <w:vAlign w:val="bottom"/>
            <w:vMerge w:val="restart"/>
          </w:tcPr>
          <w:p>
            <w:pPr>
              <w:jc w:val="right"/>
              <w:ind w:right="3423"/>
              <w:spacing w:after="0"/>
              <w:rPr>
                <w:sz w:val="20"/>
                <w:szCs w:val="20"/>
                <w:color w:val="auto"/>
              </w:rPr>
            </w:pPr>
            <w:r>
              <w:rPr>
                <w:rFonts w:ascii="Arial" w:cs="Arial" w:eastAsia="Arial" w:hAnsi="Arial"/>
                <w:sz w:val="19"/>
                <w:szCs w:val="19"/>
                <w:color w:val="auto"/>
              </w:rPr>
              <w:t>49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Long-term Debt and Credit Agreements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8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36"/>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40"/>
              <w:spacing w:after="0" w:line="169" w:lineRule="exact"/>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3.875% notes due 2014</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00" w:type="dxa"/>
            <w:vAlign w:val="bottom"/>
            <w:shd w:val="clear" w:color="auto" w:fill="E5FFFF"/>
          </w:tcPr>
          <w:p>
            <w:pPr>
              <w:spacing w:after="0"/>
              <w:rPr>
                <w:sz w:val="20"/>
                <w:szCs w:val="20"/>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600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9"/>
                <w:szCs w:val="19"/>
                <w:color w:val="auto"/>
              </w:rPr>
              <w:t>Floating rate notes due 2015</w:t>
            </w: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700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700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5.40% notes due 2016</w:t>
            </w: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400</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400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9"/>
                <w:szCs w:val="19"/>
                <w:color w:val="auto"/>
              </w:rPr>
              <w:t>5.30% notes due 2017</w:t>
            </w: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400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400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5.30% notes due 2018</w:t>
            </w: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900</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900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9"/>
                <w:szCs w:val="19"/>
                <w:color w:val="auto"/>
              </w:rPr>
              <w:t>5.00% notes due 2019</w:t>
            </w: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900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900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4.25% notes due 2021</w:t>
            </w: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800</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800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9"/>
                <w:szCs w:val="19"/>
                <w:color w:val="auto"/>
              </w:rPr>
              <w:t>3.35% notes due 2023</w:t>
            </w: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300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300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5.70% notes due 2036</w:t>
            </w: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550</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550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9"/>
                <w:szCs w:val="19"/>
                <w:color w:val="auto"/>
              </w:rPr>
              <w:t>5.70% notes due 2037</w:t>
            </w: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600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5.375% notes due 2041</w:t>
            </w: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600</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9"/>
                <w:szCs w:val="19"/>
                <w:color w:val="auto"/>
              </w:rPr>
              <w:t>Industrial development bond obligations, floating rate maturing at various dates through 2037</w:t>
            </w: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30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35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6.625% debentures due 2028</w:t>
            </w: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216</w:t>
            </w: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216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9"/>
                <w:szCs w:val="19"/>
                <w:color w:val="auto"/>
              </w:rPr>
              <w:t>9.065% debentures due 2033</w:t>
            </w: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51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51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Other (including capitalized leases), 0.6%-9.5% maturing at various dates through 2023</w:t>
            </w: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538</w:t>
            </w:r>
          </w:p>
        </w:tc>
        <w:tc>
          <w:tcPr>
            <w:tcW w:w="32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381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9"/>
                <w:szCs w:val="19"/>
                <w:color w:val="auto"/>
              </w:rPr>
              <w:t>6,985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7,433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Less: current portion</w:t>
            </w: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(939)</w:t>
            </w:r>
          </w:p>
        </w:tc>
        <w:tc>
          <w:tcPr>
            <w:tcW w:w="32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(632)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9"/>
                <w:szCs w:val="19"/>
                <w:color w:val="auto"/>
              </w:rPr>
              <w:t>$ 6,046</w:t>
            </w:r>
          </w:p>
        </w:tc>
        <w:tc>
          <w:tcPr>
            <w:tcW w:w="50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9"/>
                <w:szCs w:val="19"/>
                <w:color w:val="auto"/>
              </w:rPr>
              <w:t>6,801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jc w:val="right"/>
              <w:ind w:right="3103"/>
              <w:spacing w:after="0"/>
              <w:rPr>
                <w:sz w:val="20"/>
                <w:szCs w:val="20"/>
                <w:color w:val="auto"/>
              </w:rPr>
            </w:pPr>
            <w:r>
              <w:rPr>
                <w:rFonts w:ascii="Arial" w:cs="Arial" w:eastAsia="Arial" w:hAnsi="Arial"/>
                <w:sz w:val="19"/>
                <w:szCs w:val="19"/>
                <w:color w:val="auto"/>
              </w:rPr>
              <w:t>The schedule of principal payments on long-term debt is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vMerge w:val="restart"/>
          </w:tcPr>
          <w:p>
            <w:pPr>
              <w:jc w:val="right"/>
              <w:ind w:right="4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8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2014</w:t>
            </w:r>
          </w:p>
        </w:tc>
        <w:tc>
          <w:tcPr>
            <w:tcW w:w="2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2015</w:t>
            </w:r>
          </w:p>
        </w:tc>
        <w:tc>
          <w:tcPr>
            <w:tcW w:w="180" w:type="dxa"/>
            <w:vAlign w:val="bottom"/>
            <w:shd w:val="clear" w:color="auto" w:fill="E5FFFF"/>
          </w:tcPr>
          <w:p>
            <w:pPr>
              <w:spacing w:after="0"/>
              <w:rPr>
                <w:sz w:val="20"/>
                <w:szCs w:val="20"/>
                <w:color w:val="auto"/>
              </w:rPr>
            </w:pPr>
          </w:p>
        </w:tc>
        <w:tc>
          <w:tcPr>
            <w:tcW w:w="600" w:type="dxa"/>
            <w:vAlign w:val="bottom"/>
            <w:gridSpan w:val="2"/>
            <w:shd w:val="clear" w:color="auto" w:fill="E5FFFF"/>
          </w:tcPr>
          <w:p>
            <w:pPr>
              <w:jc w:val="right"/>
              <w:ind w:right="296"/>
              <w:spacing w:after="0"/>
              <w:rPr>
                <w:sz w:val="20"/>
                <w:szCs w:val="20"/>
                <w:color w:val="auto"/>
              </w:rPr>
            </w:pPr>
            <w:r>
              <w:rPr>
                <w:rFonts w:ascii="Arial" w:cs="Arial" w:eastAsia="Arial" w:hAnsi="Arial"/>
                <w:sz w:val="19"/>
                <w:szCs w:val="19"/>
                <w:color w:val="auto"/>
              </w:rPr>
              <w:t>$</w:t>
            </w:r>
          </w:p>
        </w:tc>
        <w:tc>
          <w:tcPr>
            <w:tcW w:w="780" w:type="dxa"/>
            <w:vAlign w:val="bottom"/>
            <w:gridSpan w:val="3"/>
            <w:shd w:val="clear" w:color="auto" w:fill="E5FFFF"/>
          </w:tcPr>
          <w:p>
            <w:pPr>
              <w:jc w:val="right"/>
              <w:ind w:right="64"/>
              <w:spacing w:after="0"/>
              <w:rPr>
                <w:sz w:val="20"/>
                <w:szCs w:val="20"/>
                <w:color w:val="auto"/>
              </w:rPr>
            </w:pPr>
            <w:r>
              <w:rPr>
                <w:rFonts w:ascii="Arial" w:cs="Arial" w:eastAsia="Arial" w:hAnsi="Arial"/>
                <w:sz w:val="19"/>
                <w:szCs w:val="19"/>
                <w:color w:val="auto"/>
              </w:rPr>
              <w:t>939</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340" w:type="dxa"/>
            <w:vAlign w:val="bottom"/>
            <w:gridSpan w:val="2"/>
          </w:tcPr>
          <w:p>
            <w:pPr>
              <w:ind w:left="500"/>
              <w:spacing w:after="0"/>
              <w:rPr>
                <w:sz w:val="20"/>
                <w:szCs w:val="20"/>
                <w:color w:val="auto"/>
              </w:rPr>
            </w:pPr>
            <w:r>
              <w:rPr>
                <w:rFonts w:ascii="Arial" w:cs="Arial" w:eastAsia="Arial" w:hAnsi="Arial"/>
                <w:sz w:val="19"/>
                <w:szCs w:val="19"/>
                <w:color w:val="auto"/>
              </w:rPr>
              <w:t>2016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gridSpan w:val="3"/>
          </w:tcPr>
          <w:p>
            <w:pPr>
              <w:jc w:val="right"/>
              <w:ind w:right="64"/>
              <w:spacing w:after="0"/>
              <w:rPr>
                <w:sz w:val="20"/>
                <w:szCs w:val="20"/>
                <w:color w:val="auto"/>
              </w:rPr>
            </w:pPr>
            <w:r>
              <w:rPr>
                <w:rFonts w:ascii="Arial" w:cs="Arial" w:eastAsia="Arial" w:hAnsi="Arial"/>
                <w:sz w:val="19"/>
                <w:szCs w:val="19"/>
                <w:color w:val="auto"/>
              </w:rPr>
              <w:t>485</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2017</w:t>
            </w: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64"/>
              <w:spacing w:after="0"/>
              <w:rPr>
                <w:sz w:val="20"/>
                <w:szCs w:val="20"/>
                <w:color w:val="auto"/>
              </w:rPr>
            </w:pPr>
            <w:r>
              <w:rPr>
                <w:rFonts w:ascii="Arial" w:cs="Arial" w:eastAsia="Arial" w:hAnsi="Arial"/>
                <w:sz w:val="19"/>
                <w:szCs w:val="19"/>
                <w:color w:val="auto"/>
              </w:rPr>
              <w:t>477</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340" w:type="dxa"/>
            <w:vAlign w:val="bottom"/>
            <w:gridSpan w:val="2"/>
          </w:tcPr>
          <w:p>
            <w:pPr>
              <w:ind w:left="500"/>
              <w:spacing w:after="0"/>
              <w:rPr>
                <w:sz w:val="20"/>
                <w:szCs w:val="20"/>
                <w:color w:val="auto"/>
              </w:rPr>
            </w:pPr>
            <w:r>
              <w:rPr>
                <w:rFonts w:ascii="Arial" w:cs="Arial" w:eastAsia="Arial" w:hAnsi="Arial"/>
                <w:sz w:val="19"/>
                <w:szCs w:val="19"/>
                <w:color w:val="auto"/>
              </w:rPr>
              <w:t>2018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gridSpan w:val="3"/>
          </w:tcPr>
          <w:p>
            <w:pPr>
              <w:jc w:val="right"/>
              <w:ind w:right="64"/>
              <w:spacing w:after="0"/>
              <w:rPr>
                <w:sz w:val="20"/>
                <w:szCs w:val="20"/>
                <w:color w:val="auto"/>
              </w:rPr>
            </w:pPr>
            <w:r>
              <w:rPr>
                <w:rFonts w:ascii="Arial" w:cs="Arial" w:eastAsia="Arial" w:hAnsi="Arial"/>
                <w:sz w:val="19"/>
                <w:szCs w:val="19"/>
                <w:color w:val="auto"/>
              </w:rPr>
              <w:t>904</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0"/>
                <w:szCs w:val="20"/>
                <w:color w:val="auto"/>
              </w:rPr>
            </w:pPr>
            <w:r>
              <w:rPr>
                <w:rFonts w:ascii="Arial" w:cs="Arial" w:eastAsia="Arial" w:hAnsi="Arial"/>
                <w:sz w:val="19"/>
                <w:szCs w:val="19"/>
                <w:color w:val="auto"/>
              </w:rPr>
              <w:t>2019</w:t>
            </w: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64"/>
              <w:spacing w:after="0"/>
              <w:rPr>
                <w:sz w:val="20"/>
                <w:szCs w:val="20"/>
                <w:color w:val="auto"/>
              </w:rPr>
            </w:pPr>
            <w:r>
              <w:rPr>
                <w:rFonts w:ascii="Arial" w:cs="Arial" w:eastAsia="Arial" w:hAnsi="Arial"/>
                <w:sz w:val="19"/>
                <w:szCs w:val="19"/>
                <w:color w:val="auto"/>
              </w:rPr>
              <w:t>903</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9"/>
                <w:szCs w:val="19"/>
                <w:color w:val="auto"/>
              </w:rPr>
              <w:t>Thereafter</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9"/>
                <w:szCs w:val="19"/>
                <w:color w:val="auto"/>
              </w:rPr>
              <w:t>3,277</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64"/>
              <w:spacing w:after="0"/>
              <w:rPr>
                <w:sz w:val="20"/>
                <w:szCs w:val="20"/>
                <w:color w:val="auto"/>
              </w:rPr>
            </w:pPr>
            <w:r>
              <w:rPr>
                <w:rFonts w:ascii="Arial" w:cs="Arial" w:eastAsia="Arial" w:hAnsi="Arial"/>
                <w:sz w:val="19"/>
                <w:szCs w:val="19"/>
                <w:color w:val="auto"/>
              </w:rPr>
              <w:t>6,985</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840" w:type="dxa"/>
            <w:vAlign w:val="bottom"/>
          </w:tcPr>
          <w:p>
            <w:pPr>
              <w:spacing w:after="0"/>
              <w:rPr>
                <w:sz w:val="20"/>
                <w:szCs w:val="20"/>
                <w:color w:val="auto"/>
              </w:rPr>
            </w:pPr>
            <w:r>
              <w:rPr>
                <w:rFonts w:ascii="Arial" w:cs="Arial" w:eastAsia="Arial" w:hAnsi="Arial"/>
                <w:sz w:val="19"/>
                <w:szCs w:val="19"/>
                <w:color w:val="auto"/>
              </w:rPr>
              <w:t>Less-current portion</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(939)</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8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296"/>
              <w:spacing w:after="0"/>
              <w:rPr>
                <w:sz w:val="20"/>
                <w:szCs w:val="20"/>
                <w:color w:val="auto"/>
              </w:rPr>
            </w:pPr>
            <w:r>
              <w:rPr>
                <w:rFonts w:ascii="Arial" w:cs="Arial" w:eastAsia="Arial" w:hAnsi="Arial"/>
                <w:sz w:val="19"/>
                <w:szCs w:val="19"/>
                <w:color w:val="auto"/>
              </w:rPr>
              <w:t>$</w:t>
            </w:r>
          </w:p>
        </w:tc>
        <w:tc>
          <w:tcPr>
            <w:tcW w:w="780" w:type="dxa"/>
            <w:vAlign w:val="bottom"/>
            <w:gridSpan w:val="3"/>
            <w:shd w:val="clear" w:color="auto" w:fill="E5FFFF"/>
          </w:tcPr>
          <w:p>
            <w:pPr>
              <w:jc w:val="right"/>
              <w:ind w:right="64"/>
              <w:spacing w:after="0"/>
              <w:rPr>
                <w:sz w:val="20"/>
                <w:szCs w:val="20"/>
                <w:color w:val="auto"/>
              </w:rPr>
            </w:pPr>
            <w:r>
              <w:rPr>
                <w:rFonts w:ascii="Arial" w:cs="Arial" w:eastAsia="Arial" w:hAnsi="Arial"/>
                <w:sz w:val="19"/>
                <w:szCs w:val="19"/>
                <w:color w:val="auto"/>
              </w:rPr>
              <w:t>6,046</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jc w:val="right"/>
              <w:ind w:right="3423"/>
              <w:spacing w:after="0"/>
              <w:rPr>
                <w:sz w:val="20"/>
                <w:szCs w:val="20"/>
                <w:color w:val="auto"/>
              </w:rPr>
            </w:pPr>
            <w:r>
              <w:rPr>
                <w:rFonts w:ascii="Arial" w:cs="Arial" w:eastAsia="Arial" w:hAnsi="Arial"/>
                <w:sz w:val="19"/>
                <w:szCs w:val="19"/>
                <w:color w:val="auto"/>
              </w:rPr>
              <w:t>50</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9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8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13. Lease Commitments</w:t>
      </w:r>
    </w:p>
    <w:p>
      <w:pPr>
        <w:spacing w:after="0" w:line="130" w:lineRule="exact"/>
        <w:rPr>
          <w:sz w:val="20"/>
          <w:szCs w:val="20"/>
          <w:color w:val="auto"/>
        </w:rPr>
      </w:pPr>
    </w:p>
    <w:p>
      <w:pPr>
        <w:ind w:right="100" w:firstLine="357"/>
        <w:spacing w:after="0" w:line="246" w:lineRule="auto"/>
        <w:rPr>
          <w:sz w:val="20"/>
          <w:szCs w:val="20"/>
          <w:color w:val="auto"/>
        </w:rPr>
      </w:pPr>
      <w:r>
        <w:rPr>
          <w:rFonts w:ascii="Arial" w:cs="Arial" w:eastAsia="Arial" w:hAnsi="Arial"/>
          <w:sz w:val="19"/>
          <w:szCs w:val="19"/>
          <w:color w:val="auto"/>
        </w:rPr>
        <w:t>Future minimum lease payments under operating leases having initial or remaining noncancellable lease terms in excess of one year are as follows:</w:t>
      </w:r>
    </w:p>
    <w:tbl>
      <w:tblPr>
        <w:tblLayout w:type="fixed"/>
        <w:tblInd w:w="500" w:type="dxa"/>
        <w:tblCellMar>
          <w:top w:w="0" w:type="dxa"/>
          <w:left w:w="0" w:type="dxa"/>
          <w:bottom w:w="0" w:type="dxa"/>
          <w:right w:w="0" w:type="dxa"/>
        </w:tblCellMar>
      </w:tblPr>
      <w:tr>
        <w:trPr>
          <w:trHeight w:val="172"/>
        </w:trPr>
        <w:tc>
          <w:tcPr>
            <w:tcW w:w="8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67"/>
              <w:spacing w:after="0" w:line="172" w:lineRule="exact"/>
              <w:rPr>
                <w:sz w:val="20"/>
                <w:szCs w:val="20"/>
                <w:color w:val="auto"/>
              </w:rPr>
            </w:pPr>
            <w:r>
              <w:rPr>
                <w:rFonts w:ascii="Arial" w:cs="Arial" w:eastAsia="Arial" w:hAnsi="Arial"/>
                <w:sz w:val="16"/>
                <w:szCs w:val="16"/>
                <w:b w:val="1"/>
                <w:bCs w:val="1"/>
                <w:color w:val="auto"/>
              </w:rPr>
              <w:t>At December 31,</w:t>
            </w:r>
          </w:p>
        </w:tc>
      </w:tr>
      <w:tr>
        <w:trPr>
          <w:trHeight w:val="190"/>
        </w:trPr>
        <w:tc>
          <w:tcPr>
            <w:tcW w:w="8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7"/>
              <w:spacing w:after="0"/>
              <w:rPr>
                <w:sz w:val="20"/>
                <w:szCs w:val="20"/>
                <w:color w:val="auto"/>
              </w:rPr>
            </w:pPr>
            <w:r>
              <w:rPr>
                <w:rFonts w:ascii="Arial" w:cs="Arial" w:eastAsia="Arial" w:hAnsi="Arial"/>
                <w:sz w:val="16"/>
                <w:szCs w:val="16"/>
                <w:b w:val="1"/>
                <w:bCs w:val="1"/>
                <w:color w:val="auto"/>
              </w:rPr>
              <w:t>2014</w:t>
            </w:r>
          </w:p>
        </w:tc>
      </w:tr>
      <w:tr>
        <w:trPr>
          <w:trHeight w:val="237"/>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2015</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44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330</w:t>
            </w:r>
          </w:p>
        </w:tc>
      </w:tr>
      <w:tr>
        <w:trPr>
          <w:trHeight w:val="243"/>
        </w:trPr>
        <w:tc>
          <w:tcPr>
            <w:tcW w:w="8820" w:type="dxa"/>
            <w:vAlign w:val="bottom"/>
          </w:tcPr>
          <w:p>
            <w:pPr>
              <w:spacing w:after="0"/>
              <w:rPr>
                <w:sz w:val="20"/>
                <w:szCs w:val="20"/>
                <w:color w:val="auto"/>
              </w:rPr>
            </w:pPr>
            <w:r>
              <w:rPr>
                <w:rFonts w:ascii="Arial" w:cs="Arial" w:eastAsia="Arial" w:hAnsi="Arial"/>
                <w:sz w:val="19"/>
                <w:szCs w:val="19"/>
                <w:color w:val="auto"/>
              </w:rPr>
              <w:t>2016</w:t>
            </w:r>
          </w:p>
        </w:tc>
        <w:tc>
          <w:tcPr>
            <w:tcW w:w="140" w:type="dxa"/>
            <w:vAlign w:val="bottom"/>
          </w:tcPr>
          <w:p>
            <w:pPr>
              <w:spacing w:after="0"/>
              <w:rPr>
                <w:sz w:val="21"/>
                <w:szCs w:val="21"/>
                <w:color w:val="auto"/>
              </w:rPr>
            </w:pPr>
          </w:p>
        </w:tc>
        <w:tc>
          <w:tcPr>
            <w:tcW w:w="1440" w:type="dxa"/>
            <w:vAlign w:val="bottom"/>
          </w:tcPr>
          <w:p>
            <w:pPr>
              <w:jc w:val="right"/>
              <w:ind w:right="47"/>
              <w:spacing w:after="0"/>
              <w:rPr>
                <w:sz w:val="20"/>
                <w:szCs w:val="20"/>
                <w:color w:val="auto"/>
              </w:rPr>
            </w:pPr>
            <w:r>
              <w:rPr>
                <w:rFonts w:ascii="Arial" w:cs="Arial" w:eastAsia="Arial" w:hAnsi="Arial"/>
                <w:sz w:val="19"/>
                <w:szCs w:val="19"/>
                <w:color w:val="auto"/>
              </w:rPr>
              <w:t>268</w:t>
            </w:r>
          </w:p>
        </w:tc>
      </w:tr>
      <w:tr>
        <w:trPr>
          <w:trHeight w:val="243"/>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2017</w:t>
            </w:r>
          </w:p>
        </w:tc>
        <w:tc>
          <w:tcPr>
            <w:tcW w:w="140" w:type="dxa"/>
            <w:vAlign w:val="bottom"/>
            <w:shd w:val="clear" w:color="auto" w:fill="E5FFFF"/>
          </w:tcPr>
          <w:p>
            <w:pPr>
              <w:spacing w:after="0"/>
              <w:rPr>
                <w:sz w:val="21"/>
                <w:szCs w:val="21"/>
                <w:color w:val="auto"/>
              </w:rPr>
            </w:pPr>
          </w:p>
        </w:tc>
        <w:tc>
          <w:tcPr>
            <w:tcW w:w="144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202</w:t>
            </w:r>
          </w:p>
        </w:tc>
      </w:tr>
      <w:tr>
        <w:trPr>
          <w:trHeight w:val="243"/>
        </w:trPr>
        <w:tc>
          <w:tcPr>
            <w:tcW w:w="8820" w:type="dxa"/>
            <w:vAlign w:val="bottom"/>
          </w:tcPr>
          <w:p>
            <w:pPr>
              <w:spacing w:after="0"/>
              <w:rPr>
                <w:sz w:val="20"/>
                <w:szCs w:val="20"/>
                <w:color w:val="auto"/>
              </w:rPr>
            </w:pPr>
            <w:r>
              <w:rPr>
                <w:rFonts w:ascii="Arial" w:cs="Arial" w:eastAsia="Arial" w:hAnsi="Arial"/>
                <w:sz w:val="19"/>
                <w:szCs w:val="19"/>
                <w:color w:val="auto"/>
              </w:rPr>
              <w:t>2018</w:t>
            </w:r>
          </w:p>
        </w:tc>
        <w:tc>
          <w:tcPr>
            <w:tcW w:w="140" w:type="dxa"/>
            <w:vAlign w:val="bottom"/>
          </w:tcPr>
          <w:p>
            <w:pPr>
              <w:spacing w:after="0"/>
              <w:rPr>
                <w:sz w:val="21"/>
                <w:szCs w:val="21"/>
                <w:color w:val="auto"/>
              </w:rPr>
            </w:pPr>
          </w:p>
        </w:tc>
        <w:tc>
          <w:tcPr>
            <w:tcW w:w="1440" w:type="dxa"/>
            <w:vAlign w:val="bottom"/>
          </w:tcPr>
          <w:p>
            <w:pPr>
              <w:jc w:val="right"/>
              <w:ind w:right="47"/>
              <w:spacing w:after="0"/>
              <w:rPr>
                <w:sz w:val="20"/>
                <w:szCs w:val="20"/>
                <w:color w:val="auto"/>
              </w:rPr>
            </w:pPr>
            <w:r>
              <w:rPr>
                <w:rFonts w:ascii="Arial" w:cs="Arial" w:eastAsia="Arial" w:hAnsi="Arial"/>
                <w:sz w:val="19"/>
                <w:szCs w:val="19"/>
                <w:color w:val="auto"/>
              </w:rPr>
              <w:t>133</w:t>
            </w:r>
          </w:p>
        </w:tc>
      </w:tr>
      <w:tr>
        <w:trPr>
          <w:trHeight w:val="243"/>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2019</w:t>
            </w:r>
          </w:p>
        </w:tc>
        <w:tc>
          <w:tcPr>
            <w:tcW w:w="140" w:type="dxa"/>
            <w:vAlign w:val="bottom"/>
            <w:shd w:val="clear" w:color="auto" w:fill="E5FFFF"/>
          </w:tcPr>
          <w:p>
            <w:pPr>
              <w:spacing w:after="0"/>
              <w:rPr>
                <w:sz w:val="21"/>
                <w:szCs w:val="21"/>
                <w:color w:val="auto"/>
              </w:rPr>
            </w:pPr>
          </w:p>
        </w:tc>
        <w:tc>
          <w:tcPr>
            <w:tcW w:w="1440" w:type="dxa"/>
            <w:vAlign w:val="bottom"/>
            <w:shd w:val="clear" w:color="auto" w:fill="E5FFFF"/>
          </w:tcPr>
          <w:p>
            <w:pPr>
              <w:jc w:val="right"/>
              <w:ind w:right="47"/>
              <w:spacing w:after="0"/>
              <w:rPr>
                <w:sz w:val="20"/>
                <w:szCs w:val="20"/>
                <w:color w:val="auto"/>
              </w:rPr>
            </w:pPr>
            <w:r>
              <w:rPr>
                <w:rFonts w:ascii="Arial" w:cs="Arial" w:eastAsia="Arial" w:hAnsi="Arial"/>
                <w:sz w:val="19"/>
                <w:szCs w:val="19"/>
                <w:color w:val="auto"/>
              </w:rPr>
              <w:t>91</w:t>
            </w:r>
          </w:p>
        </w:tc>
      </w:tr>
      <w:tr>
        <w:trPr>
          <w:trHeight w:val="250"/>
        </w:trPr>
        <w:tc>
          <w:tcPr>
            <w:tcW w:w="8820" w:type="dxa"/>
            <w:vAlign w:val="bottom"/>
          </w:tcPr>
          <w:p>
            <w:pPr>
              <w:spacing w:after="0"/>
              <w:rPr>
                <w:sz w:val="20"/>
                <w:szCs w:val="20"/>
                <w:color w:val="auto"/>
              </w:rPr>
            </w:pPr>
            <w:r>
              <w:rPr>
                <w:rFonts w:ascii="Arial" w:cs="Arial" w:eastAsia="Arial" w:hAnsi="Arial"/>
                <w:sz w:val="19"/>
                <w:szCs w:val="19"/>
                <w:color w:val="auto"/>
              </w:rPr>
              <w:t>Thereafter</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7"/>
              <w:spacing w:after="0"/>
              <w:rPr>
                <w:sz w:val="20"/>
                <w:szCs w:val="20"/>
                <w:color w:val="auto"/>
              </w:rPr>
            </w:pPr>
            <w:r>
              <w:rPr>
                <w:rFonts w:ascii="Arial" w:cs="Arial" w:eastAsia="Arial" w:hAnsi="Arial"/>
                <w:sz w:val="19"/>
                <w:szCs w:val="19"/>
                <w:color w:val="auto"/>
              </w:rPr>
              <w:t>257</w:t>
            </w:r>
          </w:p>
        </w:tc>
      </w:tr>
      <w:tr>
        <w:trPr>
          <w:trHeight w:val="243"/>
        </w:trPr>
        <w:tc>
          <w:tcPr>
            <w:tcW w:w="88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440" w:type="dxa"/>
            <w:vAlign w:val="bottom"/>
            <w:tcBorders>
              <w:bottom w:val="single" w:sz="8" w:color="auto"/>
            </w:tcBorders>
            <w:shd w:val="clear" w:color="auto" w:fill="E5FFFF"/>
          </w:tcPr>
          <w:p>
            <w:pPr>
              <w:jc w:val="right"/>
              <w:ind w:right="47"/>
              <w:spacing w:after="0"/>
              <w:rPr>
                <w:sz w:val="20"/>
                <w:szCs w:val="20"/>
                <w:color w:val="auto"/>
              </w:rPr>
            </w:pPr>
            <w:r>
              <w:rPr>
                <w:rFonts w:ascii="Arial" w:cs="Arial" w:eastAsia="Arial" w:hAnsi="Arial"/>
                <w:sz w:val="19"/>
                <w:szCs w:val="19"/>
                <w:color w:val="auto"/>
              </w:rPr>
              <w:t>1,281</w:t>
            </w:r>
          </w:p>
        </w:tc>
      </w:tr>
      <w:tr>
        <w:trPr>
          <w:trHeight w:val="20"/>
        </w:trPr>
        <w:tc>
          <w:tcPr>
            <w:tcW w:w="8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Rent expense was $420 million, $404 million and $390 million in 2014, 2013 and 2012,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Financial Instruments and Fair Value Measures</w:t>
      </w:r>
    </w:p>
    <w:p>
      <w:pPr>
        <w:spacing w:after="0" w:line="106" w:lineRule="exact"/>
        <w:rPr>
          <w:sz w:val="20"/>
          <w:szCs w:val="20"/>
          <w:color w:val="auto"/>
        </w:rPr>
      </w:pPr>
    </w:p>
    <w:p>
      <w:pPr>
        <w:jc w:val="both"/>
        <w:ind w:firstLine="357"/>
        <w:spacing w:after="0" w:line="244" w:lineRule="auto"/>
        <w:rPr>
          <w:sz w:val="20"/>
          <w:szCs w:val="20"/>
          <w:color w:val="auto"/>
        </w:rPr>
      </w:pPr>
      <w:r>
        <w:rPr>
          <w:rFonts w:ascii="Arial" w:cs="Arial" w:eastAsia="Arial" w:hAnsi="Arial"/>
          <w:sz w:val="19"/>
          <w:szCs w:val="19"/>
          <w:b w:val="1"/>
          <w:bCs w:val="1"/>
          <w:i w:val="1"/>
          <w:iCs w:val="1"/>
          <w:color w:val="auto"/>
        </w:rPr>
        <w:t>Credit and Market Risk</w:t>
      </w:r>
      <w:r>
        <w:rPr>
          <w:rFonts w:ascii="Arial" w:cs="Arial" w:eastAsia="Arial" w:hAnsi="Arial"/>
          <w:sz w:val="19"/>
          <w:szCs w:val="19"/>
          <w:color w:val="auto"/>
        </w:rPr>
        <w:t>—Financial instruments, including derivatives, expose us to counterparty credit risk for nonperformance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to market risk related to changes in interest and currency exchange rates and commodity prices. We manage our exposure to counterparty credit risk through specific minimum credit standards, diversification of counterparties, and procedures to monitor concentrations of credit risk. Our counterparties in derivative transactions are substantial investment and commercial banks with significant experience using such derivative instruments. We monitor the impact of market risk on the fair value and cash flows of our derivative and other financial instruments considering reasonably possible changes in interest rates and currency exchange rates and restrict the use of derivative financial instruments to hedging activities.</w:t>
      </w:r>
    </w:p>
    <w:p>
      <w:pPr>
        <w:spacing w:after="0" w:line="9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 Our sales are not materially dependent on a single customer or a small group of customers.</w:t>
      </w:r>
    </w:p>
    <w:p>
      <w:pPr>
        <w:spacing w:after="0" w:line="63"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b w:val="1"/>
          <w:bCs w:val="1"/>
          <w:i w:val="1"/>
          <w:iCs w:val="1"/>
          <w:color w:val="auto"/>
        </w:rPr>
        <w:t>Foreign Currency Risk Management</w:t>
      </w:r>
      <w:r>
        <w:rPr>
          <w:rFonts w:ascii="Arial" w:cs="Arial" w:eastAsia="Arial" w:hAnsi="Arial"/>
          <w:sz w:val="19"/>
          <w:szCs w:val="19"/>
          <w:color w:val="auto"/>
        </w:rPr>
        <w:t>—We conduct our business on a multinational basis in a wide variety of foreign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currencies. Our exposure to market risk for changes in foreign currency exchange rates arises from international financing activities between subsidiaries, foreign currency denominated monetary assets and liabilities and transactions arising from international trade. Our primary objective is to preserve the U.S. Dollar value of foreign currency denominated cash flows and earnings. We attempt to hedge currency exposures with natural offsets to the fullest extent possible and, once these opportunities have been exhausted, through foreign currency exchange forward and option contracts with third parties.</w:t>
      </w:r>
    </w:p>
    <w:p>
      <w:pPr>
        <w:spacing w:after="0" w:line="90"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We hedge monetary assets and liabilities denominated in non-functional currencies. Prior to conversion into U.S. dollars, these assets and liabilities are remeasured at spot exchange rates in effect on the balance sheet date. The effects of changes in spot rates are recognized in earnings and included in Other (Income) Expense. We partially hedge forecasted sales and purchases, which predominantly occur in the next twelve months and are denominated in non-functional currencies, with currency forward contracts. Changes in the forecasted non-functional currency cash flows due to movements in exchange rates are substantially offset by changes in the fair value of the currency forward contracts designated as hedges. Market value gains and losses on these contracts are recognized in earnings when the hedged transaction is recognized. Open foreign currency exchange forward contracts mature predominantly in the next twelve months. At December 31, 2014 and 2013, we had contracts with notional amounts of $7,291 million and $7,298 million, respectively, to exchange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foreign currencies, principally the Euro, U.S. Dollar, Canadian Dollar, Mexican Peso, Chinese Renminbi, Indian Rupee, British Pound, Czech Koruna and Swiss Franc.</w:t>
      </w:r>
    </w:p>
    <w:p>
      <w:pPr>
        <w:spacing w:after="0" w:line="56"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Interest Rate Risk Management</w:t>
      </w:r>
      <w:r>
        <w:rPr>
          <w:rFonts w:ascii="Arial" w:cs="Arial" w:eastAsia="Arial" w:hAnsi="Arial"/>
          <w:sz w:val="19"/>
          <w:szCs w:val="19"/>
          <w:color w:val="auto"/>
        </w:rPr>
        <w:t>—We use a combination of financial instruments, including long-term, medium-term and short-term financing, variable-rate commercial paper, and interest rate swaps to manage the interest rate mix of our total debt portfolio and related overall cost of borrowing. At December 31, 2014 and 2013, interest rate swap agreements designated as fair value hedges effectively changed $1,100 million and $1,700 million, respectively, of fixed rate debt at rates of 4.00 and 3.96, respectively, to LIBOR based floating rate debt. Our interest rate swaps mature at various dates through 2023.</w:t>
      </w:r>
    </w:p>
    <w:p>
      <w:pPr>
        <w:spacing w:after="0" w:line="60"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9"/>
          <w:szCs w:val="19"/>
          <w:b w:val="1"/>
          <w:bCs w:val="1"/>
          <w:i w:val="1"/>
          <w:iCs w:val="1"/>
          <w:color w:val="auto"/>
        </w:rPr>
        <w:t>Fair Value of Financial Instruments</w:t>
      </w:r>
      <w:r>
        <w:rPr>
          <w:rFonts w:ascii="Arial" w:cs="Arial" w:eastAsia="Arial" w:hAnsi="Arial"/>
          <w:sz w:val="19"/>
          <w:szCs w:val="19"/>
          <w:b w:val="1"/>
          <w:bCs w:val="1"/>
          <w:color w:val="auto"/>
        </w:rPr>
        <w:t>—</w:t>
      </w:r>
      <w:r>
        <w:rPr>
          <w:rFonts w:ascii="Arial" w:cs="Arial" w:eastAsia="Arial" w:hAnsi="Arial"/>
          <w:sz w:val="19"/>
          <w:szCs w:val="19"/>
          <w:color w:val="auto"/>
        </w:rPr>
        <w:t>The FASB’s accounting guidance defines fair value as the price that would be received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sell an asset or paid to transfer a liability in an orderly transaction between market participants at the measurement date (exit price). The FASB’s guidance classifies the inputs used to measure fair value into the following hierarchy:</w:t>
      </w:r>
    </w:p>
    <w:p>
      <w:pPr>
        <w:sectPr>
          <w:pgSz w:w="11900" w:h="16838" w:orient="portrait"/>
          <w:cols w:equalWidth="0" w:num="1">
            <w:col w:w="11420"/>
          </w:cols>
          <w:pgMar w:left="240" w:top="458" w:right="239" w:bottom="1440" w:gutter="0" w:footer="0" w:header="0"/>
        </w:sectPr>
      </w:pPr>
    </w:p>
    <w:p>
      <w:pPr>
        <w:jc w:val="center"/>
        <w:ind w:left="820"/>
        <w:spacing w:after="0"/>
        <w:rPr>
          <w:sz w:val="20"/>
          <w:szCs w:val="20"/>
          <w:color w:val="auto"/>
        </w:rPr>
      </w:pPr>
      <w:r>
        <w:rPr>
          <w:rFonts w:ascii="Arial" w:cs="Arial" w:eastAsia="Arial" w:hAnsi="Arial"/>
          <w:sz w:val="19"/>
          <w:szCs w:val="19"/>
          <w:color w:val="auto"/>
        </w:rPr>
        <w:t>Level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Unadjusted quoted prices in active markets for identical assets or liabilities</w:t>
      </w:r>
    </w:p>
    <w:p>
      <w:pPr>
        <w:spacing w:after="0" w:line="25" w:lineRule="exact"/>
        <w:rPr>
          <w:sz w:val="20"/>
          <w:szCs w:val="20"/>
          <w:color w:val="auto"/>
        </w:rPr>
      </w:pPr>
    </w:p>
    <w:p>
      <w:pPr>
        <w:sectPr>
          <w:pgSz w:w="11900" w:h="16838" w:orient="portrait"/>
          <w:cols w:equalWidth="0" w:num="2">
            <w:col w:w="2320" w:space="720"/>
            <w:col w:w="8380"/>
          </w:cols>
          <w:pgMar w:left="240" w:top="458" w:right="239" w:bottom="1440" w:gutter="0" w:footer="0" w:header="0"/>
          <w:type w:val="continuous"/>
        </w:sectPr>
      </w:pPr>
    </w:p>
    <w:p>
      <w:pPr>
        <w:jc w:val="center"/>
        <w:ind w:left="820"/>
        <w:spacing w:after="0"/>
        <w:rPr>
          <w:sz w:val="20"/>
          <w:szCs w:val="20"/>
          <w:color w:val="auto"/>
        </w:rPr>
      </w:pPr>
      <w:r>
        <w:rPr>
          <w:rFonts w:ascii="Arial" w:cs="Arial" w:eastAsia="Arial" w:hAnsi="Arial"/>
          <w:sz w:val="19"/>
          <w:szCs w:val="19"/>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Unadjusted quoted prices in active markets for similar assets or liabilities, or</w:t>
      </w:r>
    </w:p>
    <w:p>
      <w:pPr>
        <w:spacing w:after="0" w:line="22" w:lineRule="exact"/>
        <w:rPr>
          <w:sz w:val="20"/>
          <w:szCs w:val="20"/>
          <w:color w:val="auto"/>
        </w:rPr>
      </w:pPr>
    </w:p>
    <w:p>
      <w:pPr>
        <w:sectPr>
          <w:pgSz w:w="11900" w:h="16838" w:orient="portrait"/>
          <w:cols w:equalWidth="0" w:num="2">
            <w:col w:w="2320" w:space="720"/>
            <w:col w:w="8380"/>
          </w:cols>
          <w:pgMar w:left="240" w:top="458" w:right="239" w:bottom="1440" w:gutter="0" w:footer="0" w:header="0"/>
          <w:type w:val="continuous"/>
        </w:sectPr>
      </w:pPr>
    </w:p>
    <w:p>
      <w:pPr>
        <w:ind w:left="3040"/>
        <w:spacing w:after="0"/>
        <w:rPr>
          <w:sz w:val="20"/>
          <w:szCs w:val="20"/>
          <w:color w:val="auto"/>
        </w:rPr>
      </w:pPr>
      <w:r>
        <w:rPr>
          <w:rFonts w:ascii="Arial" w:cs="Arial" w:eastAsia="Arial" w:hAnsi="Arial"/>
          <w:sz w:val="19"/>
          <w:szCs w:val="19"/>
          <w:color w:val="auto"/>
        </w:rPr>
        <w:t>Unadjusted quoted prices for identical or similar assets or liabilities in markets that</w:t>
      </w:r>
    </w:p>
    <w:p>
      <w:pPr>
        <w:ind w:left="3040"/>
        <w:spacing w:after="0" w:line="237" w:lineRule="auto"/>
        <w:rPr>
          <w:sz w:val="20"/>
          <w:szCs w:val="20"/>
          <w:color w:val="auto"/>
        </w:rPr>
      </w:pPr>
      <w:r>
        <w:rPr>
          <w:rFonts w:ascii="Arial" w:cs="Arial" w:eastAsia="Arial" w:hAnsi="Arial"/>
          <w:sz w:val="19"/>
          <w:szCs w:val="19"/>
          <w:color w:val="auto"/>
        </w:rPr>
        <w:t>are not active, or</w:t>
      </w:r>
    </w:p>
    <w:p>
      <w:pPr>
        <w:ind w:left="3040"/>
        <w:spacing w:after="0"/>
        <w:rPr>
          <w:sz w:val="20"/>
          <w:szCs w:val="20"/>
          <w:color w:val="auto"/>
        </w:rPr>
      </w:pPr>
      <w:r>
        <w:rPr>
          <w:rFonts w:ascii="Arial" w:cs="Arial" w:eastAsia="Arial" w:hAnsi="Arial"/>
          <w:sz w:val="19"/>
          <w:szCs w:val="19"/>
          <w:color w:val="auto"/>
        </w:rPr>
        <w:t>Inputs other than quoted prices that are observable for the asset or liability</w:t>
      </w:r>
    </w:p>
    <w:p>
      <w:pPr>
        <w:sectPr>
          <w:pgSz w:w="11900" w:h="16838" w:orient="portrait"/>
          <w:cols w:equalWidth="0" w:num="1">
            <w:col w:w="11420"/>
          </w:cols>
          <w:pgMar w:left="240" w:top="458" w:right="239" w:bottom="1440" w:gutter="0" w:footer="0" w:header="0"/>
          <w:type w:val="continuous"/>
        </w:sectPr>
      </w:pPr>
    </w:p>
    <w:p>
      <w:pPr>
        <w:spacing w:after="0" w:line="25" w:lineRule="exact"/>
        <w:rPr>
          <w:sz w:val="20"/>
          <w:szCs w:val="20"/>
          <w:color w:val="auto"/>
        </w:rPr>
      </w:pPr>
    </w:p>
    <w:p>
      <w:pPr>
        <w:jc w:val="center"/>
        <w:ind w:left="820"/>
        <w:spacing w:after="0"/>
        <w:rPr>
          <w:sz w:val="20"/>
          <w:szCs w:val="20"/>
          <w:color w:val="auto"/>
        </w:rPr>
      </w:pPr>
      <w:r>
        <w:rPr>
          <w:rFonts w:ascii="Arial" w:cs="Arial" w:eastAsia="Arial" w:hAnsi="Arial"/>
          <w:sz w:val="19"/>
          <w:szCs w:val="19"/>
          <w:color w:val="auto"/>
        </w:rPr>
        <w:t>Level 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Unobservable inputs for the asset or liability</w:t>
      </w:r>
    </w:p>
    <w:p>
      <w:pPr>
        <w:spacing w:after="0" w:line="133" w:lineRule="exact"/>
        <w:rPr>
          <w:sz w:val="20"/>
          <w:szCs w:val="20"/>
          <w:color w:val="auto"/>
        </w:rPr>
      </w:pPr>
    </w:p>
    <w:p>
      <w:pPr>
        <w:sectPr>
          <w:pgSz w:w="11900" w:h="16838" w:orient="portrait"/>
          <w:cols w:equalWidth="0" w:num="2">
            <w:col w:w="2320" w:space="720"/>
            <w:col w:w="8380"/>
          </w:cols>
          <w:pgMar w:left="240" w:top="458" w:right="239" w:bottom="1440" w:gutter="0" w:footer="0" w:header="0"/>
          <w:type w:val="continuous"/>
        </w:sectPr>
      </w:pPr>
    </w:p>
    <w:p>
      <w:pPr>
        <w:jc w:val="both"/>
        <w:ind w:firstLine="357"/>
        <w:spacing w:after="0" w:line="243" w:lineRule="auto"/>
        <w:rPr>
          <w:sz w:val="20"/>
          <w:szCs w:val="20"/>
          <w:color w:val="auto"/>
        </w:rPr>
      </w:pPr>
      <w:r>
        <w:rPr>
          <w:rFonts w:ascii="Arial" w:cs="Arial" w:eastAsia="Arial" w:hAnsi="Arial"/>
          <w:sz w:val="19"/>
          <w:szCs w:val="19"/>
          <w:color w:val="auto"/>
        </w:rPr>
        <w:t>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2014 and 2013:</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6"/>
              <w:spacing w:after="0" w:line="169" w:lineRule="exact"/>
              <w:rPr>
                <w:sz w:val="20"/>
                <w:szCs w:val="20"/>
                <w:color w:val="auto"/>
              </w:rPr>
            </w:pPr>
            <w:r>
              <w:rPr>
                <w:rFonts w:ascii="Arial" w:cs="Arial" w:eastAsia="Arial" w:hAnsi="Arial"/>
                <w:sz w:val="16"/>
                <w:szCs w:val="16"/>
                <w:b w:val="1"/>
                <w:bCs w:val="1"/>
                <w:color w:val="auto"/>
                <w:w w:val="89"/>
              </w:rPr>
              <w:t>2013</w:t>
            </w:r>
          </w:p>
        </w:tc>
      </w:tr>
      <w:tr>
        <w:trPr>
          <w:trHeight w:val="210"/>
        </w:trPr>
        <w:tc>
          <w:tcPr>
            <w:tcW w:w="878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Assets:</w:t>
            </w:r>
          </w:p>
        </w:tc>
        <w:tc>
          <w:tcPr>
            <w:tcW w:w="1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r>
      <w:tr>
        <w:trPr>
          <w:trHeight w:val="243"/>
        </w:trPr>
        <w:tc>
          <w:tcPr>
            <w:tcW w:w="8780" w:type="dxa"/>
            <w:vAlign w:val="bottom"/>
          </w:tcPr>
          <w:p>
            <w:pPr>
              <w:ind w:left="360"/>
              <w:spacing w:after="0"/>
              <w:rPr>
                <w:sz w:val="20"/>
                <w:szCs w:val="20"/>
                <w:color w:val="auto"/>
              </w:rPr>
            </w:pPr>
            <w:r>
              <w:rPr>
                <w:rFonts w:ascii="Arial" w:cs="Arial" w:eastAsia="Arial" w:hAnsi="Arial"/>
                <w:sz w:val="19"/>
                <w:szCs w:val="19"/>
                <w:color w:val="auto"/>
              </w:rPr>
              <w:t>Foreign currency exchange contracts</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20</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43"/>
        </w:trPr>
        <w:tc>
          <w:tcPr>
            <w:tcW w:w="8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Available for sale investments</w:t>
            </w:r>
          </w:p>
        </w:tc>
        <w:tc>
          <w:tcPr>
            <w:tcW w:w="14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1,479</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826</w:t>
            </w:r>
          </w:p>
        </w:tc>
      </w:tr>
      <w:tr>
        <w:trPr>
          <w:trHeight w:val="243"/>
        </w:trPr>
        <w:tc>
          <w:tcPr>
            <w:tcW w:w="8780" w:type="dxa"/>
            <w:vAlign w:val="bottom"/>
          </w:tcPr>
          <w:p>
            <w:pPr>
              <w:ind w:left="360"/>
              <w:spacing w:after="0"/>
              <w:rPr>
                <w:sz w:val="20"/>
                <w:szCs w:val="20"/>
                <w:color w:val="auto"/>
              </w:rPr>
            </w:pPr>
            <w:r>
              <w:rPr>
                <w:rFonts w:ascii="Arial" w:cs="Arial" w:eastAsia="Arial" w:hAnsi="Arial"/>
                <w:sz w:val="19"/>
                <w:szCs w:val="19"/>
                <w:color w:val="auto"/>
              </w:rPr>
              <w:t>Interest rate swap agreements</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93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16"/>
        </w:trPr>
        <w:tc>
          <w:tcPr>
            <w:tcW w:w="878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Liabilities:</w:t>
            </w:r>
          </w:p>
        </w:tc>
        <w:tc>
          <w:tcPr>
            <w:tcW w:w="14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r>
      <w:tr>
        <w:trPr>
          <w:trHeight w:val="243"/>
        </w:trPr>
        <w:tc>
          <w:tcPr>
            <w:tcW w:w="8780" w:type="dxa"/>
            <w:vAlign w:val="bottom"/>
          </w:tcPr>
          <w:p>
            <w:pPr>
              <w:ind w:left="360"/>
              <w:spacing w:after="0"/>
              <w:rPr>
                <w:sz w:val="20"/>
                <w:szCs w:val="20"/>
                <w:color w:val="auto"/>
              </w:rPr>
            </w:pPr>
            <w:r>
              <w:rPr>
                <w:rFonts w:ascii="Arial" w:cs="Arial" w:eastAsia="Arial" w:hAnsi="Arial"/>
                <w:sz w:val="19"/>
                <w:szCs w:val="19"/>
                <w:color w:val="auto"/>
              </w:rPr>
              <w:t>Foreign currency exchange contracts</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10</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43"/>
        </w:trPr>
        <w:tc>
          <w:tcPr>
            <w:tcW w:w="87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Interest rate swap agreements</w:t>
            </w:r>
          </w:p>
        </w:tc>
        <w:tc>
          <w:tcPr>
            <w:tcW w:w="14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w:t>
            </w:r>
          </w:p>
        </w:tc>
      </w:tr>
    </w:tbl>
    <w:p>
      <w:pPr>
        <w:spacing w:after="0" w:line="108"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The foreign currency exchange contracts and interest rate swap agreements are valued using broker quotations, or market transactions in either the listed or over-the-counter markets. As such, these derivative instruments are classified within level 2. The Company holds investments in marketable equity securities that are designated as available for sale and are valued using quoted market prices. As such, these investments are classified within level 1. The Company also holds investments in commercial paper, certificates of deposits, and time deposits that are designated as available for sale and are valued using market transactions in over-the-counter markets. As such, these investments are classified within level 2.</w:t>
      </w:r>
    </w:p>
    <w:p>
      <w:pPr>
        <w:spacing w:after="0" w:line="80"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The carrying value of cash and cash equivalents, trade accounts and notes receivables, payables, commercial paper and short-term borrowings contained in the Consolidated Balance Sheet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approximates fair value. The following table sets forth the Company’s financial assets and liabilities that were not carried at fair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6"/>
                <w:szCs w:val="16"/>
                <w:b w:val="1"/>
                <w:bCs w:val="1"/>
                <w:color w:val="auto"/>
              </w:rPr>
              <w:t>December 31, 2014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6"/>
                <w:szCs w:val="16"/>
                <w:b w:val="1"/>
                <w:bCs w:val="1"/>
                <w:color w:val="auto"/>
              </w:rPr>
              <w:t>December 31, 2013</w:t>
            </w:r>
          </w:p>
        </w:tc>
      </w:tr>
      <w:tr>
        <w:trPr>
          <w:trHeight w:val="155"/>
        </w:trPr>
        <w:tc>
          <w:tcPr>
            <w:tcW w:w="7360" w:type="dxa"/>
            <w:vAlign w:val="bottom"/>
          </w:tcPr>
          <w:p>
            <w:pPr>
              <w:spacing w:after="0"/>
              <w:rPr>
                <w:sz w:val="13"/>
                <w:szCs w:val="13"/>
                <w:color w:val="auto"/>
              </w:rPr>
            </w:pPr>
          </w:p>
        </w:tc>
        <w:tc>
          <w:tcPr>
            <w:tcW w:w="8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Carrying</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32"/>
              <w:spacing w:after="0" w:line="155" w:lineRule="exact"/>
              <w:rPr>
                <w:sz w:val="20"/>
                <w:szCs w:val="20"/>
                <w:color w:val="auto"/>
              </w:rPr>
            </w:pPr>
            <w:r>
              <w:rPr>
                <w:rFonts w:ascii="Arial" w:cs="Arial" w:eastAsia="Arial" w:hAnsi="Arial"/>
                <w:sz w:val="16"/>
                <w:szCs w:val="16"/>
                <w:b w:val="1"/>
                <w:bCs w:val="1"/>
                <w:color w:val="auto"/>
              </w:rPr>
              <w:t>Fair</w:t>
            </w:r>
          </w:p>
        </w:tc>
        <w:tc>
          <w:tcPr>
            <w:tcW w:w="300" w:type="dxa"/>
            <w:vAlign w:val="bottom"/>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Carrying</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2"/>
              <w:spacing w:after="0" w:line="155" w:lineRule="exact"/>
              <w:rPr>
                <w:sz w:val="20"/>
                <w:szCs w:val="20"/>
                <w:color w:val="auto"/>
              </w:rPr>
            </w:pPr>
            <w:r>
              <w:rPr>
                <w:rFonts w:ascii="Arial" w:cs="Arial" w:eastAsia="Arial" w:hAnsi="Arial"/>
                <w:sz w:val="16"/>
                <w:szCs w:val="16"/>
                <w:b w:val="1"/>
                <w:bCs w:val="1"/>
                <w:color w:val="auto"/>
              </w:rPr>
              <w:t>Fair</w:t>
            </w:r>
          </w:p>
        </w:tc>
      </w:tr>
      <w:tr>
        <w:trPr>
          <w:trHeight w:val="190"/>
        </w:trPr>
        <w:tc>
          <w:tcPr>
            <w:tcW w:w="7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8"/>
              </w:rPr>
              <w:t>Value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6"/>
                <w:szCs w:val="16"/>
                <w:b w:val="1"/>
                <w:bCs w:val="1"/>
                <w:color w:val="auto"/>
                <w:w w:val="98"/>
              </w:rPr>
              <w:t>Value</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Value</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8"/>
              </w:rPr>
              <w:t>Value</w:t>
            </w:r>
          </w:p>
        </w:tc>
      </w:tr>
      <w:tr>
        <w:trPr>
          <w:trHeight w:val="210"/>
        </w:trPr>
        <w:tc>
          <w:tcPr>
            <w:tcW w:w="736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Assets</w:t>
            </w:r>
          </w:p>
        </w:tc>
        <w:tc>
          <w:tcPr>
            <w:tcW w:w="16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r>
      <w:tr>
        <w:trPr>
          <w:trHeight w:val="243"/>
        </w:trPr>
        <w:tc>
          <w:tcPr>
            <w:tcW w:w="7360" w:type="dxa"/>
            <w:vAlign w:val="bottom"/>
          </w:tcPr>
          <w:p>
            <w:pPr>
              <w:ind w:left="360"/>
              <w:spacing w:after="0"/>
              <w:rPr>
                <w:sz w:val="20"/>
                <w:szCs w:val="20"/>
                <w:color w:val="auto"/>
              </w:rPr>
            </w:pPr>
            <w:r>
              <w:rPr>
                <w:rFonts w:ascii="Arial" w:cs="Arial" w:eastAsia="Arial" w:hAnsi="Arial"/>
                <w:sz w:val="19"/>
                <w:szCs w:val="19"/>
                <w:color w:val="auto"/>
              </w:rPr>
              <w:t>Long-term receivables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297</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293</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250</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245</w:t>
            </w:r>
          </w:p>
        </w:tc>
      </w:tr>
      <w:tr>
        <w:trPr>
          <w:trHeight w:val="216"/>
        </w:trPr>
        <w:tc>
          <w:tcPr>
            <w:tcW w:w="7360" w:type="dxa"/>
            <w:vAlign w:val="bottom"/>
            <w:shd w:val="clear" w:color="auto" w:fill="E5FFFF"/>
          </w:tcPr>
          <w:p>
            <w:pPr>
              <w:spacing w:after="0" w:line="216" w:lineRule="exact"/>
              <w:rPr>
                <w:sz w:val="20"/>
                <w:szCs w:val="20"/>
                <w:color w:val="auto"/>
              </w:rPr>
            </w:pPr>
            <w:r>
              <w:rPr>
                <w:rFonts w:ascii="Arial" w:cs="Arial" w:eastAsia="Arial" w:hAnsi="Arial"/>
                <w:sz w:val="19"/>
                <w:szCs w:val="19"/>
                <w:b w:val="1"/>
                <w:bCs w:val="1"/>
                <w:color w:val="auto"/>
              </w:rPr>
              <w:t>Liabilities</w:t>
            </w:r>
          </w:p>
        </w:tc>
        <w:tc>
          <w:tcPr>
            <w:tcW w:w="16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r>
      <w:tr>
        <w:trPr>
          <w:trHeight w:val="261"/>
        </w:trPr>
        <w:tc>
          <w:tcPr>
            <w:tcW w:w="7360" w:type="dxa"/>
            <w:vAlign w:val="bottom"/>
          </w:tcPr>
          <w:p>
            <w:pPr>
              <w:ind w:left="360"/>
              <w:spacing w:after="0"/>
              <w:rPr>
                <w:sz w:val="20"/>
                <w:szCs w:val="20"/>
                <w:color w:val="auto"/>
              </w:rPr>
            </w:pPr>
            <w:r>
              <w:rPr>
                <w:rFonts w:ascii="Arial" w:cs="Arial" w:eastAsia="Arial" w:hAnsi="Arial"/>
                <w:sz w:val="19"/>
                <w:szCs w:val="19"/>
                <w:color w:val="auto"/>
              </w:rPr>
              <w:t>Long-term debt and related current maturities</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6,985</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7,817</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7,433</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40" w:type="dxa"/>
            <w:vAlign w:val="bottom"/>
          </w:tcPr>
          <w:p>
            <w:pPr>
              <w:jc w:val="right"/>
              <w:spacing w:after="0"/>
              <w:rPr>
                <w:sz w:val="20"/>
                <w:szCs w:val="20"/>
                <w:color w:val="auto"/>
              </w:rPr>
            </w:pPr>
            <w:r>
              <w:rPr>
                <w:rFonts w:ascii="Arial" w:cs="Arial" w:eastAsia="Arial" w:hAnsi="Arial"/>
                <w:sz w:val="19"/>
                <w:szCs w:val="19"/>
                <w:color w:val="auto"/>
              </w:rPr>
              <w:t>8,066</w:t>
            </w:r>
          </w:p>
        </w:tc>
      </w:tr>
    </w:tbl>
    <w:p>
      <w:pPr>
        <w:spacing w:after="0" w:line="9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9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We enter into transactions that are subject to arrangements designed to provide for netting of offsetting obligations in the event of the insolvency or default of a counterparty. However, we have not elected to offset multiple contracts with a single counterparty, therefore the fair value of the derivative instruments in a loss position is not offset against the fair value of derivative instruments in a gain position.</w:t>
      </w:r>
    </w:p>
    <w:p>
      <w:pPr>
        <w:spacing w:after="0" w:line="91"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Interest rate swap agreements are designated as hedge relationships with gains or (losses) on the derivative recognized in Interest and other financial charges offsetting the gains and losses on the underlying debt being hedged. Gains on interest rate swap agreements recognized in earnings were $38 million in the year ended December 31, 2014. Losses on interest rate swap agreements recognized in earnings were $91 million in the year ended 2013. Gains and losses are fully offset by losses and gains on the underlying debt being hedged.</w:t>
      </w:r>
    </w:p>
    <w:p>
      <w:pPr>
        <w:spacing w:after="0" w:line="91"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$181 million of expense and $162 million of income, in Other (Income) Expense for the years ended December 31, 2014 and 2013, respectively. See Note 4 Other (Income) Expense for further details of the net impact of these economic foreign currency hedges.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 Other Liabilities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82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40" w:type="dxa"/>
            <w:vAlign w:val="bottom"/>
            <w:tcBorders>
              <w:bottom w:val="single" w:sz="8" w:color="auto"/>
            </w:tcBorders>
          </w:tcPr>
          <w:p>
            <w:pPr>
              <w:jc w:val="right"/>
              <w:ind w:right="9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120" w:type="dxa"/>
            <w:vAlign w:val="bottom"/>
            <w:shd w:val="clear" w:color="auto" w:fill="E5FFFF"/>
          </w:tcPr>
          <w:p>
            <w:pPr>
              <w:spacing w:after="0"/>
              <w:rPr>
                <w:sz w:val="20"/>
                <w:szCs w:val="20"/>
                <w:color w:val="auto"/>
              </w:rPr>
            </w:pPr>
            <w:r>
              <w:rPr>
                <w:rFonts w:ascii="Arial" w:cs="Arial" w:eastAsia="Arial" w:hAnsi="Arial"/>
                <w:sz w:val="19"/>
                <w:szCs w:val="19"/>
                <w:color w:val="auto"/>
              </w:rPr>
              <w:t>Pension and other employee related</w:t>
            </w:r>
          </w:p>
        </w:tc>
        <w:tc>
          <w:tcPr>
            <w:tcW w:w="5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$ 2,497</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1,756</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9"/>
                <w:szCs w:val="19"/>
                <w:color w:val="auto"/>
              </w:rPr>
              <w:t>Income taxes</w:t>
            </w:r>
          </w:p>
        </w:tc>
        <w:tc>
          <w:tcPr>
            <w:tcW w:w="5200" w:type="dxa"/>
            <w:vAlign w:val="bottom"/>
            <w:gridSpan w:val="2"/>
          </w:tcPr>
          <w:p>
            <w:pPr>
              <w:jc w:val="right"/>
              <w:spacing w:after="0"/>
              <w:rPr>
                <w:sz w:val="20"/>
                <w:szCs w:val="20"/>
                <w:color w:val="auto"/>
              </w:rPr>
            </w:pPr>
            <w:r>
              <w:rPr>
                <w:rFonts w:ascii="Arial" w:cs="Arial" w:eastAsia="Arial" w:hAnsi="Arial"/>
                <w:sz w:val="19"/>
                <w:szCs w:val="19"/>
                <w:color w:val="auto"/>
              </w:rPr>
              <w:t>764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952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20" w:type="dxa"/>
            <w:vAlign w:val="bottom"/>
            <w:shd w:val="clear" w:color="auto" w:fill="E5FFFF"/>
          </w:tcPr>
          <w:p>
            <w:pPr>
              <w:spacing w:after="0"/>
              <w:rPr>
                <w:sz w:val="20"/>
                <w:szCs w:val="20"/>
                <w:color w:val="auto"/>
              </w:rPr>
            </w:pPr>
            <w:r>
              <w:rPr>
                <w:rFonts w:ascii="Arial" w:cs="Arial" w:eastAsia="Arial" w:hAnsi="Arial"/>
                <w:sz w:val="19"/>
                <w:szCs w:val="19"/>
                <w:color w:val="auto"/>
              </w:rPr>
              <w:t>Environmental</w:t>
            </w:r>
          </w:p>
        </w:tc>
        <w:tc>
          <w:tcPr>
            <w:tcW w:w="5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313</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9"/>
                <w:szCs w:val="19"/>
                <w:color w:val="auto"/>
              </w:rPr>
              <w:t>Insurance</w:t>
            </w:r>
          </w:p>
        </w:tc>
        <w:tc>
          <w:tcPr>
            <w:tcW w:w="5200" w:type="dxa"/>
            <w:vAlign w:val="bottom"/>
            <w:gridSpan w:val="2"/>
          </w:tcPr>
          <w:p>
            <w:pPr>
              <w:jc w:val="right"/>
              <w:spacing w:after="0"/>
              <w:rPr>
                <w:sz w:val="20"/>
                <w:szCs w:val="20"/>
                <w:color w:val="auto"/>
              </w:rPr>
            </w:pPr>
            <w:r>
              <w:rPr>
                <w:rFonts w:ascii="Arial" w:cs="Arial" w:eastAsia="Arial" w:hAnsi="Arial"/>
                <w:sz w:val="19"/>
                <w:szCs w:val="19"/>
                <w:color w:val="auto"/>
              </w:rPr>
              <w:t>253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241</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20" w:type="dxa"/>
            <w:vAlign w:val="bottom"/>
            <w:shd w:val="clear" w:color="auto" w:fill="E5FFFF"/>
          </w:tcPr>
          <w:p>
            <w:pPr>
              <w:spacing w:after="0"/>
              <w:rPr>
                <w:sz w:val="20"/>
                <w:szCs w:val="20"/>
                <w:color w:val="auto"/>
              </w:rPr>
            </w:pPr>
            <w:r>
              <w:rPr>
                <w:rFonts w:ascii="Arial" w:cs="Arial" w:eastAsia="Arial" w:hAnsi="Arial"/>
                <w:sz w:val="19"/>
                <w:szCs w:val="19"/>
                <w:color w:val="auto"/>
              </w:rPr>
              <w:t>Asset retirement obligations</w:t>
            </w:r>
          </w:p>
        </w:tc>
        <w:tc>
          <w:tcPr>
            <w:tcW w:w="5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67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9"/>
                <w:szCs w:val="19"/>
                <w:color w:val="auto"/>
              </w:rPr>
              <w:t>Deferred income</w:t>
            </w:r>
          </w:p>
        </w:tc>
        <w:tc>
          <w:tcPr>
            <w:tcW w:w="5200" w:type="dxa"/>
            <w:vAlign w:val="bottom"/>
            <w:gridSpan w:val="2"/>
          </w:tcPr>
          <w:p>
            <w:pPr>
              <w:jc w:val="right"/>
              <w:spacing w:after="0"/>
              <w:rPr>
                <w:sz w:val="20"/>
                <w:szCs w:val="20"/>
                <w:color w:val="auto"/>
              </w:rPr>
            </w:pPr>
            <w:r>
              <w:rPr>
                <w:rFonts w:ascii="Arial" w:cs="Arial" w:eastAsia="Arial" w:hAnsi="Arial"/>
                <w:sz w:val="19"/>
                <w:szCs w:val="19"/>
                <w:color w:val="auto"/>
              </w:rPr>
              <w:t>93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120" w:type="dxa"/>
            <w:vAlign w:val="bottom"/>
            <w:shd w:val="clear" w:color="auto" w:fill="E5FFFF"/>
          </w:tcPr>
          <w:p>
            <w:pPr>
              <w:spacing w:after="0"/>
              <w:rPr>
                <w:sz w:val="20"/>
                <w:szCs w:val="20"/>
                <w:color w:val="auto"/>
              </w:rPr>
            </w:pPr>
            <w:r>
              <w:rPr>
                <w:rFonts w:ascii="Arial" w:cs="Arial" w:eastAsia="Arial" w:hAnsi="Arial"/>
                <w:sz w:val="19"/>
                <w:szCs w:val="19"/>
                <w:color w:val="auto"/>
              </w:rPr>
              <w:t>Other</w:t>
            </w:r>
          </w:p>
        </w:tc>
        <w:tc>
          <w:tcPr>
            <w:tcW w:w="4460" w:type="dxa"/>
            <w:vAlign w:val="bottom"/>
            <w:shd w:val="clear" w:color="auto" w:fill="E5FFFF"/>
          </w:tcPr>
          <w:p>
            <w:pPr>
              <w:spacing w:after="0"/>
              <w:rPr>
                <w:sz w:val="21"/>
                <w:szCs w:val="21"/>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295</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334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5200" w:type="dxa"/>
            <w:vAlign w:val="bottom"/>
            <w:gridSpan w:val="2"/>
          </w:tcPr>
          <w:p>
            <w:pPr>
              <w:jc w:val="right"/>
              <w:spacing w:after="0"/>
              <w:rPr>
                <w:sz w:val="20"/>
                <w:szCs w:val="20"/>
                <w:color w:val="auto"/>
              </w:rPr>
            </w:pPr>
            <w:r>
              <w:rPr>
                <w:rFonts w:ascii="Arial" w:cs="Arial" w:eastAsia="Arial" w:hAnsi="Arial"/>
                <w:sz w:val="19"/>
                <w:szCs w:val="19"/>
                <w:color w:val="auto"/>
              </w:rPr>
              <w:t>$ 4,282</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3,734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460" w:type="dxa"/>
            <w:vAlign w:val="bottom"/>
            <w:vMerge w:val="restart"/>
          </w:tcPr>
          <w:p>
            <w:pPr>
              <w:jc w:val="right"/>
              <w:ind w:right="3163"/>
              <w:spacing w:after="0"/>
              <w:rPr>
                <w:sz w:val="20"/>
                <w:szCs w:val="20"/>
                <w:color w:val="auto"/>
              </w:rPr>
            </w:pPr>
            <w:r>
              <w:rPr>
                <w:rFonts w:ascii="Arial" w:cs="Arial" w:eastAsia="Arial" w:hAnsi="Arial"/>
                <w:sz w:val="19"/>
                <w:szCs w:val="19"/>
                <w:color w:val="auto"/>
              </w:rPr>
              <w:t>53</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16. Capital Stock</w:t>
      </w:r>
    </w:p>
    <w:p>
      <w:pPr>
        <w:spacing w:after="0" w:line="13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We are authorized to issue up to 2,000,000,000 shares of common stock, with a par value of $1. Common shareowners are entitled to receive such dividends as may be declared by the Board, are entitled to one vote per share, and are entitled, in the event of liquidation, to share ratably in all the assets of Honeywell which are available for distribution to the common shareowners. Common shareowners do not have preemptive or conversion rights. Shares of common stock issued and outstanding or held in the treasury are not liable to further calls or assessments. There are no restrictions on us relative to dividends or the repurchase or redemption of common stock.</w:t>
      </w:r>
    </w:p>
    <w:p>
      <w:pPr>
        <w:spacing w:after="0" w:line="94" w:lineRule="exact"/>
        <w:rPr>
          <w:sz w:val="20"/>
          <w:szCs w:val="20"/>
          <w:color w:val="auto"/>
        </w:rPr>
      </w:pPr>
    </w:p>
    <w:p>
      <w:pPr>
        <w:jc w:val="both"/>
        <w:ind w:right="20" w:firstLine="357"/>
        <w:spacing w:after="0" w:line="253" w:lineRule="auto"/>
        <w:rPr>
          <w:sz w:val="20"/>
          <w:szCs w:val="20"/>
          <w:color w:val="auto"/>
        </w:rPr>
      </w:pPr>
      <w:r>
        <w:rPr>
          <w:rFonts w:ascii="Arial" w:cs="Arial" w:eastAsia="Arial" w:hAnsi="Arial"/>
          <w:sz w:val="19"/>
          <w:szCs w:val="19"/>
          <w:color w:val="auto"/>
        </w:rPr>
        <w:t>In December 2013 the Board of Directors authorized the repurchase of up to $5 billion of Honeywell common stock, $4.1 billion and $5 billion remained available as of December 31, 2014 and December 31, 2013 for additional share repurchases, respectively.</w:t>
      </w:r>
    </w:p>
    <w:p>
      <w:pPr>
        <w:spacing w:after="0" w:line="80"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We purchased approximately 10.0 million and 13.5 million shares of our common stock in 2014 and 2013, for $924 million and $1,073 million, respectively.</w:t>
      </w:r>
    </w:p>
    <w:p>
      <w:pPr>
        <w:spacing w:after="0" w:line="66"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We are authorized to issue up to 40,000,000 shares of preferred stock, without par value, and can determine the number of shares of each series, and the rights, preferences and limitations of each series. At December 31, 2014, there was no preferred stock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17. Accumulated Other Comprehensive Income (Loss)</w:t>
      </w:r>
    </w:p>
    <w:p>
      <w:pPr>
        <w:spacing w:after="0" w:line="130" w:lineRule="exact"/>
        <w:rPr>
          <w:sz w:val="20"/>
          <w:szCs w:val="20"/>
          <w:color w:val="auto"/>
        </w:rPr>
      </w:pPr>
    </w:p>
    <w:p>
      <w:pPr>
        <w:jc w:val="both"/>
        <w:ind w:firstLine="357"/>
        <w:spacing w:after="0" w:line="243" w:lineRule="auto"/>
        <w:rPr>
          <w:sz w:val="20"/>
          <w:szCs w:val="20"/>
          <w:color w:val="auto"/>
        </w:rPr>
      </w:pPr>
      <w:r>
        <w:rPr>
          <w:rFonts w:ascii="Arial" w:cs="Arial" w:eastAsia="Arial" w:hAnsi="Arial"/>
          <w:sz w:val="19"/>
          <w:szCs w:val="19"/>
          <w:color w:val="auto"/>
        </w:rPr>
        <w:t>Total accumulated other comprehensive income (loss) is included in the Consolidated Statement of Shareowners’ Equity. Comprehensive Income (Loss) attributable to noncontrolling interest consisted predominantly of net income. The changes in Accumulated Other Comprehensive Income (Loss)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w w:val="98"/>
              </w:rPr>
              <w:t>Pretax</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b w:val="1"/>
                <w:bCs w:val="1"/>
                <w:color w:val="auto"/>
              </w:rPr>
              <w:t>Tax</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w w:val="95"/>
              </w:rPr>
              <w:t>After Tax</w:t>
            </w:r>
          </w:p>
        </w:tc>
        <w:tc>
          <w:tcPr>
            <w:tcW w:w="0" w:type="dxa"/>
            <w:vAlign w:val="bottom"/>
          </w:tcPr>
          <w:p>
            <w:pPr>
              <w:spacing w:after="0"/>
              <w:rPr>
                <w:sz w:val="1"/>
                <w:szCs w:val="1"/>
                <w:color w:val="auto"/>
              </w:rPr>
            </w:pPr>
          </w:p>
        </w:tc>
      </w:tr>
      <w:tr>
        <w:trPr>
          <w:trHeight w:val="210"/>
        </w:trPr>
        <w:tc>
          <w:tcPr>
            <w:tcW w:w="516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Year Ended December 31, 2014</w:t>
            </w:r>
          </w:p>
        </w:tc>
        <w:tc>
          <w:tcPr>
            <w:tcW w:w="30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Foreign exchange translation adjustment</w:t>
            </w:r>
          </w:p>
        </w:tc>
        <w:tc>
          <w:tcPr>
            <w:tcW w:w="32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(1,044)</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(1,044)</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30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(1,707)</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624</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(1,083)</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Changes in fair value of available for sale investments</w:t>
            </w:r>
          </w:p>
        </w:tc>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(246)</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76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(170)</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Changes in fair value of effective cash flow hedges</w:t>
            </w:r>
          </w:p>
        </w:tc>
        <w:tc>
          <w:tcPr>
            <w:tcW w:w="304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24</w:t>
            </w:r>
          </w:p>
        </w:tc>
        <w:tc>
          <w:tcPr>
            <w:tcW w:w="3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20</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32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(2,973)</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696</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(2,277)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Year Ended December 31, 2013</w:t>
            </w:r>
          </w:p>
        </w:tc>
        <w:tc>
          <w:tcPr>
            <w:tcW w:w="30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Foreign exchange translation adjustment</w:t>
            </w:r>
          </w:p>
        </w:tc>
        <w:tc>
          <w:tcPr>
            <w:tcW w:w="32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(52)</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(52)</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30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3,514</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(1,311)</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2,203</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Changes in fair value of available for sale investments</w:t>
            </w:r>
          </w:p>
        </w:tc>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30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13</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Changes in fair value of effective cash flow hedges</w:t>
            </w:r>
          </w:p>
        </w:tc>
        <w:tc>
          <w:tcPr>
            <w:tcW w:w="304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w:t>
            </w:r>
          </w:p>
        </w:tc>
        <w:tc>
          <w:tcPr>
            <w:tcW w:w="3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32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3,478</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(1,321)</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2,157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Year Ended December 31, 2012</w:t>
            </w:r>
          </w:p>
        </w:tc>
        <w:tc>
          <w:tcPr>
            <w:tcW w:w="30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Foreign exchange translation adjustment</w:t>
            </w:r>
          </w:p>
        </w:tc>
        <w:tc>
          <w:tcPr>
            <w:tcW w:w="32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282</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282</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30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(285)</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(198)</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9"/>
                <w:szCs w:val="19"/>
                <w:color w:val="auto"/>
              </w:rPr>
              <w:t>Changes in fair value of available for sale investments</w:t>
            </w:r>
          </w:p>
        </w:tc>
        <w:tc>
          <w:tcPr>
            <w:tcW w:w="3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54</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(60)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43"/>
        </w:trPr>
        <w:tc>
          <w:tcPr>
            <w:tcW w:w="5160" w:type="dxa"/>
            <w:vAlign w:val="bottom"/>
            <w:shd w:val="clear" w:color="auto" w:fill="E5FFFF"/>
          </w:tcPr>
          <w:p>
            <w:pPr>
              <w:spacing w:after="0"/>
              <w:rPr>
                <w:sz w:val="20"/>
                <w:szCs w:val="20"/>
                <w:color w:val="auto"/>
              </w:rPr>
            </w:pPr>
            <w:r>
              <w:rPr>
                <w:rFonts w:ascii="Arial" w:cs="Arial" w:eastAsia="Arial" w:hAnsi="Arial"/>
                <w:sz w:val="19"/>
                <w:szCs w:val="19"/>
                <w:color w:val="auto"/>
              </w:rPr>
              <w:t>Changes in fair value of effective cash flow hedges</w:t>
            </w:r>
          </w:p>
        </w:tc>
        <w:tc>
          <w:tcPr>
            <w:tcW w:w="304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w:t>
            </w:r>
          </w:p>
        </w:tc>
        <w:tc>
          <w:tcPr>
            <w:tcW w:w="3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27</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32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86</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19</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4"/>
              <w:spacing w:after="0"/>
              <w:rPr>
                <w:sz w:val="20"/>
                <w:szCs w:val="20"/>
                <w:color w:val="auto"/>
              </w:rPr>
            </w:pPr>
            <w:r>
              <w:rPr>
                <w:rFonts w:ascii="Arial" w:cs="Arial" w:eastAsia="Arial" w:hAnsi="Arial"/>
                <w:sz w:val="19"/>
                <w:szCs w:val="19"/>
                <w:color w:val="auto"/>
              </w:rPr>
              <w:t>105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40" w:type="dxa"/>
            <w:vAlign w:val="bottom"/>
            <w:vMerge w:val="restart"/>
          </w:tcPr>
          <w:p>
            <w:pPr>
              <w:jc w:val="right"/>
              <w:ind w:right="2283"/>
              <w:spacing w:after="0"/>
              <w:rPr>
                <w:sz w:val="20"/>
                <w:szCs w:val="20"/>
                <w:color w:val="auto"/>
              </w:rPr>
            </w:pPr>
            <w:r>
              <w:rPr>
                <w:rFonts w:ascii="Arial" w:cs="Arial" w:eastAsia="Arial" w:hAnsi="Arial"/>
                <w:sz w:val="19"/>
                <w:szCs w:val="19"/>
                <w:color w:val="auto"/>
              </w:rPr>
              <w:t>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1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Components of Accumulated Other Comprehensive Income (Loss)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jc w:val="right"/>
              <w:ind w:right="256"/>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2014</w:t>
            </w:r>
          </w:p>
        </w:tc>
        <w:tc>
          <w:tcPr>
            <w:tcW w:w="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right"/>
              <w:ind w:right="36"/>
              <w:spacing w:after="0" w:line="169" w:lineRule="exact"/>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37"/>
        </w:trPr>
        <w:tc>
          <w:tcPr>
            <w:tcW w:w="46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Cumulative foreign exchange translation adjustment</w:t>
            </w:r>
          </w:p>
        </w:tc>
        <w:tc>
          <w:tcPr>
            <w:tcW w:w="120" w:type="dxa"/>
            <w:vAlign w:val="bottom"/>
            <w:shd w:val="clear" w:color="auto" w:fill="E5FFFF"/>
          </w:tcPr>
          <w:p>
            <w:pPr>
              <w:spacing w:after="0"/>
              <w:rPr>
                <w:sz w:val="20"/>
                <w:szCs w:val="20"/>
                <w:color w:val="auto"/>
              </w:rPr>
            </w:pPr>
          </w:p>
        </w:tc>
        <w:tc>
          <w:tcPr>
            <w:tcW w:w="9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060" w:type="dxa"/>
            <w:vAlign w:val="bottom"/>
            <w:shd w:val="clear" w:color="auto" w:fill="E5FFFF"/>
          </w:tcPr>
          <w:p>
            <w:pPr>
              <w:spacing w:after="0"/>
              <w:rPr>
                <w:sz w:val="20"/>
                <w:szCs w:val="20"/>
                <w:color w:val="auto"/>
              </w:rPr>
            </w:pPr>
          </w:p>
        </w:tc>
        <w:tc>
          <w:tcPr>
            <w:tcW w:w="980" w:type="dxa"/>
            <w:vAlign w:val="bottom"/>
            <w:gridSpan w:val="3"/>
            <w:shd w:val="clear" w:color="auto" w:fill="E5FFFF"/>
          </w:tcPr>
          <w:p>
            <w:pPr>
              <w:jc w:val="center"/>
              <w:ind w:left="743"/>
              <w:spacing w:after="0"/>
              <w:rPr>
                <w:sz w:val="20"/>
                <w:szCs w:val="20"/>
                <w:color w:val="auto"/>
              </w:rPr>
            </w:pPr>
            <w:r>
              <w:rPr>
                <w:rFonts w:ascii="Arial" w:cs="Arial" w:eastAsia="Arial" w:hAnsi="Arial"/>
                <w:sz w:val="19"/>
                <w:szCs w:val="19"/>
                <w:color w:val="auto"/>
                <w:w w:val="94"/>
              </w:rPr>
              <w:t>$</w:t>
            </w: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(740)</w:t>
            </w:r>
          </w:p>
        </w:tc>
        <w:tc>
          <w:tcPr>
            <w:tcW w:w="1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40" w:type="dxa"/>
            <w:vAlign w:val="bottom"/>
            <w:gridSpan w:val="2"/>
            <w:shd w:val="clear" w:color="auto" w:fill="E5FFFF"/>
          </w:tcPr>
          <w:p>
            <w:pPr>
              <w:jc w:val="right"/>
              <w:ind w:right="16"/>
              <w:spacing w:after="0"/>
              <w:rPr>
                <w:sz w:val="20"/>
                <w:szCs w:val="20"/>
                <w:color w:val="auto"/>
              </w:rPr>
            </w:pPr>
            <w:r>
              <w:rPr>
                <w:rFonts w:ascii="Arial" w:cs="Arial" w:eastAsia="Arial" w:hAnsi="Arial"/>
                <w:sz w:val="19"/>
                <w:szCs w:val="19"/>
                <w:color w:val="auto"/>
              </w:rPr>
              <w:t>$ 304</w:t>
            </w:r>
          </w:p>
        </w:tc>
        <w:tc>
          <w:tcPr>
            <w:tcW w:w="0" w:type="dxa"/>
            <w:vAlign w:val="bottom"/>
          </w:tcPr>
          <w:p>
            <w:pPr>
              <w:spacing w:after="0"/>
              <w:rPr>
                <w:sz w:val="1"/>
                <w:szCs w:val="1"/>
                <w:color w:val="auto"/>
              </w:rPr>
            </w:pPr>
          </w:p>
        </w:tc>
      </w:tr>
      <w:tr>
        <w:trPr>
          <w:trHeight w:val="243"/>
        </w:trPr>
        <w:tc>
          <w:tcPr>
            <w:tcW w:w="4800" w:type="dxa"/>
            <w:vAlign w:val="bottom"/>
            <w:gridSpan w:val="3"/>
          </w:tcPr>
          <w:p>
            <w:pPr>
              <w:spacing w:after="0"/>
              <w:rPr>
                <w:sz w:val="20"/>
                <w:szCs w:val="20"/>
                <w:color w:val="auto"/>
              </w:rPr>
            </w:pPr>
            <w:r>
              <w:rPr>
                <w:rFonts w:ascii="Arial" w:cs="Arial" w:eastAsia="Arial" w:hAnsi="Arial"/>
                <w:sz w:val="19"/>
                <w:szCs w:val="19"/>
                <w:color w:val="auto"/>
              </w:rPr>
              <w:t>Pensions and other postretirement benefit adjustments</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9"/>
                <w:szCs w:val="19"/>
                <w:color w:val="auto"/>
              </w:rPr>
              <w:t>(728)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16"/>
              <w:spacing w:after="0"/>
              <w:rPr>
                <w:sz w:val="20"/>
                <w:szCs w:val="20"/>
                <w:color w:val="auto"/>
              </w:rPr>
            </w:pPr>
            <w:r>
              <w:rPr>
                <w:rFonts w:ascii="Arial" w:cs="Arial" w:eastAsia="Arial" w:hAnsi="Arial"/>
                <w:sz w:val="19"/>
                <w:szCs w:val="19"/>
                <w:color w:val="auto"/>
              </w:rPr>
              <w:t>355</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Fair value of available for sale investments</w:t>
            </w:r>
          </w:p>
        </w:tc>
        <w:tc>
          <w:tcPr>
            <w:tcW w:w="12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6"/>
              <w:spacing w:after="0"/>
              <w:rPr>
                <w:sz w:val="20"/>
                <w:szCs w:val="20"/>
                <w:color w:val="auto"/>
              </w:rPr>
            </w:pPr>
            <w:r>
              <w:rPr>
                <w:rFonts w:ascii="Arial" w:cs="Arial" w:eastAsia="Arial" w:hAnsi="Arial"/>
                <w:sz w:val="19"/>
                <w:szCs w:val="19"/>
                <w:color w:val="auto"/>
              </w:rPr>
              <w:t>170</w:t>
            </w:r>
          </w:p>
        </w:tc>
        <w:tc>
          <w:tcPr>
            <w:tcW w:w="0" w:type="dxa"/>
            <w:vAlign w:val="bottom"/>
          </w:tcPr>
          <w:p>
            <w:pPr>
              <w:spacing w:after="0"/>
              <w:rPr>
                <w:sz w:val="1"/>
                <w:szCs w:val="1"/>
                <w:color w:val="auto"/>
              </w:rPr>
            </w:pPr>
          </w:p>
        </w:tc>
      </w:tr>
      <w:tr>
        <w:trPr>
          <w:trHeight w:val="250"/>
        </w:trPr>
        <w:tc>
          <w:tcPr>
            <w:tcW w:w="4680" w:type="dxa"/>
            <w:vAlign w:val="bottom"/>
            <w:gridSpan w:val="2"/>
          </w:tcPr>
          <w:p>
            <w:pPr>
              <w:spacing w:after="0"/>
              <w:rPr>
                <w:sz w:val="20"/>
                <w:szCs w:val="20"/>
                <w:color w:val="auto"/>
              </w:rPr>
            </w:pPr>
            <w:r>
              <w:rPr>
                <w:rFonts w:ascii="Arial" w:cs="Arial" w:eastAsia="Arial" w:hAnsi="Arial"/>
                <w:sz w:val="19"/>
                <w:szCs w:val="19"/>
                <w:color w:val="auto"/>
              </w:rPr>
              <w:t>Fair value of effective cash flow hedges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0" w:type="dxa"/>
            <w:vAlign w:val="bottom"/>
          </w:tcPr>
          <w:p>
            <w:pPr>
              <w:spacing w:after="0"/>
              <w:rPr>
                <w:sz w:val="1"/>
                <w:szCs w:val="1"/>
                <w:color w:val="auto"/>
              </w:rPr>
            </w:pPr>
          </w:p>
        </w:tc>
      </w:tr>
      <w:tr>
        <w:trPr>
          <w:trHeight w:val="243"/>
        </w:trPr>
        <w:tc>
          <w:tcPr>
            <w:tcW w:w="46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c>
          <w:tcPr>
            <w:tcW w:w="1660" w:type="dxa"/>
            <w:vAlign w:val="bottom"/>
            <w:gridSpan w:val="5"/>
            <w:shd w:val="clear" w:color="auto" w:fill="E5FFFF"/>
          </w:tcPr>
          <w:p>
            <w:pPr>
              <w:jc w:val="right"/>
              <w:spacing w:after="0"/>
              <w:rPr>
                <w:sz w:val="20"/>
                <w:szCs w:val="20"/>
                <w:color w:val="auto"/>
              </w:rPr>
            </w:pPr>
            <w:r>
              <w:rPr>
                <w:rFonts w:ascii="Arial" w:cs="Arial" w:eastAsia="Arial" w:hAnsi="Arial"/>
                <w:sz w:val="19"/>
                <w:szCs w:val="19"/>
                <w:color w:val="auto"/>
              </w:rPr>
              <w:t>$ (1,459)</w:t>
            </w: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6"/>
              <w:spacing w:after="0"/>
              <w:rPr>
                <w:sz w:val="20"/>
                <w:szCs w:val="20"/>
                <w:color w:val="auto"/>
              </w:rPr>
            </w:pPr>
            <w:r>
              <w:rPr>
                <w:rFonts w:ascii="Arial" w:cs="Arial" w:eastAsia="Arial" w:hAnsi="Arial"/>
                <w:sz w:val="19"/>
                <w:szCs w:val="19"/>
                <w:color w:val="auto"/>
              </w:rPr>
              <w:t>$ 818</w:t>
            </w:r>
          </w:p>
        </w:tc>
        <w:tc>
          <w:tcPr>
            <w:tcW w:w="0" w:type="dxa"/>
            <w:vAlign w:val="bottom"/>
          </w:tcPr>
          <w:p>
            <w:pPr>
              <w:spacing w:after="0"/>
              <w:rPr>
                <w:sz w:val="1"/>
                <w:szCs w:val="1"/>
                <w:color w:val="auto"/>
              </w:rPr>
            </w:pPr>
          </w:p>
        </w:tc>
      </w:tr>
      <w:tr>
        <w:trPr>
          <w:trHeight w:val="20"/>
        </w:trPr>
        <w:tc>
          <w:tcPr>
            <w:tcW w:w="7380" w:type="dxa"/>
            <w:vAlign w:val="bottom"/>
            <w:gridSpan w:val="7"/>
            <w:vMerge w:val="restart"/>
          </w:tcPr>
          <w:p>
            <w:pPr>
              <w:spacing w:after="0"/>
              <w:rPr>
                <w:sz w:val="20"/>
                <w:szCs w:val="20"/>
                <w:color w:val="auto"/>
              </w:rPr>
            </w:pPr>
            <w:r>
              <w:rPr>
                <w:rFonts w:ascii="Arial" w:cs="Arial" w:eastAsia="Arial" w:hAnsi="Arial"/>
                <w:sz w:val="19"/>
                <w:szCs w:val="19"/>
                <w:b w:val="1"/>
                <w:bCs w:val="1"/>
                <w:color w:val="auto"/>
              </w:rPr>
              <w:t>Changes in Accumulated Other Comprehensive Income by Component</w:t>
            </w: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738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vMerge w:val="restart"/>
          </w:tcPr>
          <w:p>
            <w:pPr>
              <w:jc w:val="center"/>
              <w:ind w:right="32"/>
              <w:spacing w:after="0"/>
              <w:rPr>
                <w:sz w:val="20"/>
                <w:szCs w:val="20"/>
                <w:color w:val="auto"/>
              </w:rPr>
            </w:pPr>
            <w:r>
              <w:rPr>
                <w:rFonts w:ascii="Arial" w:cs="Arial" w:eastAsia="Arial" w:hAnsi="Arial"/>
                <w:sz w:val="16"/>
                <w:szCs w:val="16"/>
                <w:b w:val="1"/>
                <w:bCs w:val="1"/>
                <w:color w:val="auto"/>
                <w:w w:val="99"/>
              </w:rPr>
              <w:t>Changes in</w:t>
            </w:r>
          </w:p>
        </w:tc>
        <w:tc>
          <w:tcPr>
            <w:tcW w:w="300" w:type="dxa"/>
            <w:vAlign w:val="bottom"/>
          </w:tcPr>
          <w:p>
            <w:pPr>
              <w:spacing w:after="0"/>
              <w:rPr>
                <w:sz w:val="24"/>
                <w:szCs w:val="24"/>
                <w:color w:val="auto"/>
              </w:rPr>
            </w:pPr>
          </w:p>
        </w:tc>
        <w:tc>
          <w:tcPr>
            <w:tcW w:w="1360" w:type="dxa"/>
            <w:vAlign w:val="bottom"/>
            <w:gridSpan w:val="4"/>
            <w:vMerge w:val="restart"/>
          </w:tcPr>
          <w:p>
            <w:pPr>
              <w:jc w:val="center"/>
              <w:ind w:right="180"/>
              <w:spacing w:after="0"/>
              <w:rPr>
                <w:sz w:val="20"/>
                <w:szCs w:val="20"/>
                <w:color w:val="auto"/>
              </w:rPr>
            </w:pPr>
            <w:r>
              <w:rPr>
                <w:rFonts w:ascii="Arial" w:cs="Arial" w:eastAsia="Arial" w:hAnsi="Arial"/>
                <w:sz w:val="16"/>
                <w:szCs w:val="16"/>
                <w:b w:val="1"/>
                <w:bCs w:val="1"/>
                <w:color w:val="auto"/>
                <w:w w:val="99"/>
              </w:rPr>
              <w:t>Changes in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00"/>
              <w:spacing w:after="0" w:line="176" w:lineRule="exact"/>
              <w:rPr>
                <w:sz w:val="20"/>
                <w:szCs w:val="20"/>
                <w:color w:val="auto"/>
              </w:rPr>
            </w:pPr>
            <w:r>
              <w:rPr>
                <w:rFonts w:ascii="Arial" w:cs="Arial" w:eastAsia="Arial" w:hAnsi="Arial"/>
                <w:sz w:val="16"/>
                <w:szCs w:val="16"/>
                <w:b w:val="1"/>
                <w:bCs w:val="1"/>
                <w:color w:val="auto"/>
                <w:w w:val="98"/>
              </w:rPr>
              <w:t>Foreign</w:t>
            </w:r>
          </w:p>
        </w:tc>
        <w:tc>
          <w:tcPr>
            <w:tcW w:w="120" w:type="dxa"/>
            <w:vAlign w:val="bottom"/>
          </w:tcPr>
          <w:p>
            <w:pPr>
              <w:spacing w:after="0"/>
              <w:rPr>
                <w:sz w:val="15"/>
                <w:szCs w:val="15"/>
                <w:color w:val="auto"/>
              </w:rPr>
            </w:pPr>
          </w:p>
        </w:tc>
        <w:tc>
          <w:tcPr>
            <w:tcW w:w="1240" w:type="dxa"/>
            <w:vAlign w:val="bottom"/>
          </w:tcPr>
          <w:p>
            <w:pPr>
              <w:jc w:val="center"/>
              <w:ind w:right="31"/>
              <w:spacing w:after="0" w:line="176" w:lineRule="exact"/>
              <w:rPr>
                <w:sz w:val="20"/>
                <w:szCs w:val="20"/>
                <w:color w:val="auto"/>
              </w:rPr>
            </w:pPr>
            <w:r>
              <w:rPr>
                <w:rFonts w:ascii="Arial" w:cs="Arial" w:eastAsia="Arial" w:hAnsi="Arial"/>
                <w:sz w:val="16"/>
                <w:szCs w:val="16"/>
                <w:b w:val="1"/>
                <w:bCs w:val="1"/>
                <w:color w:val="auto"/>
                <w:w w:val="96"/>
              </w:rPr>
              <w:t>Pension</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32"/>
              <w:spacing w:after="0" w:line="176" w:lineRule="exact"/>
              <w:rPr>
                <w:sz w:val="20"/>
                <w:szCs w:val="20"/>
                <w:color w:val="auto"/>
              </w:rPr>
            </w:pPr>
            <w:r>
              <w:rPr>
                <w:rFonts w:ascii="Arial" w:cs="Arial" w:eastAsia="Arial" w:hAnsi="Arial"/>
                <w:sz w:val="16"/>
                <w:szCs w:val="16"/>
                <w:b w:val="1"/>
                <w:bCs w:val="1"/>
                <w:color w:val="auto"/>
                <w:w w:val="97"/>
              </w:rPr>
              <w:t>Fair Value of</w:t>
            </w:r>
          </w:p>
        </w:tc>
        <w:tc>
          <w:tcPr>
            <w:tcW w:w="300" w:type="dxa"/>
            <w:vAlign w:val="bottom"/>
          </w:tcPr>
          <w:p>
            <w:pPr>
              <w:spacing w:after="0"/>
              <w:rPr>
                <w:sz w:val="15"/>
                <w:szCs w:val="15"/>
                <w:color w:val="auto"/>
              </w:rPr>
            </w:pPr>
          </w:p>
        </w:tc>
        <w:tc>
          <w:tcPr>
            <w:tcW w:w="1360" w:type="dxa"/>
            <w:vAlign w:val="bottom"/>
            <w:gridSpan w:val="4"/>
          </w:tcPr>
          <w:p>
            <w:pPr>
              <w:jc w:val="center"/>
              <w:ind w:right="180"/>
              <w:spacing w:after="0" w:line="176" w:lineRule="exact"/>
              <w:rPr>
                <w:sz w:val="20"/>
                <w:szCs w:val="20"/>
                <w:color w:val="auto"/>
              </w:rPr>
            </w:pPr>
            <w:r>
              <w:rPr>
                <w:rFonts w:ascii="Arial" w:cs="Arial" w:eastAsia="Arial" w:hAnsi="Arial"/>
                <w:sz w:val="16"/>
                <w:szCs w:val="16"/>
                <w:b w:val="1"/>
                <w:bCs w:val="1"/>
                <w:color w:val="auto"/>
                <w:w w:val="97"/>
              </w:rPr>
              <w:t>Fair Value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20"/>
              <w:spacing w:after="0" w:line="176" w:lineRule="exact"/>
              <w:rPr>
                <w:sz w:val="20"/>
                <w:szCs w:val="20"/>
                <w:color w:val="auto"/>
              </w:rPr>
            </w:pPr>
            <w:r>
              <w:rPr>
                <w:rFonts w:ascii="Arial" w:cs="Arial" w:eastAsia="Arial" w:hAnsi="Arial"/>
                <w:sz w:val="16"/>
                <w:szCs w:val="16"/>
                <w:b w:val="1"/>
                <w:bCs w:val="1"/>
                <w:color w:val="auto"/>
              </w:rPr>
              <w:t>Exchange</w:t>
            </w:r>
          </w:p>
        </w:tc>
        <w:tc>
          <w:tcPr>
            <w:tcW w:w="120" w:type="dxa"/>
            <w:vAlign w:val="bottom"/>
          </w:tcPr>
          <w:p>
            <w:pPr>
              <w:spacing w:after="0"/>
              <w:rPr>
                <w:sz w:val="15"/>
                <w:szCs w:val="15"/>
                <w:color w:val="auto"/>
              </w:rPr>
            </w:pPr>
          </w:p>
        </w:tc>
        <w:tc>
          <w:tcPr>
            <w:tcW w:w="1240" w:type="dxa"/>
            <w:vAlign w:val="bottom"/>
          </w:tcPr>
          <w:p>
            <w:pPr>
              <w:jc w:val="center"/>
              <w:ind w:right="31"/>
              <w:spacing w:after="0" w:line="176"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32"/>
              <w:spacing w:after="0" w:line="176" w:lineRule="exact"/>
              <w:rPr>
                <w:sz w:val="20"/>
                <w:szCs w:val="20"/>
                <w:color w:val="auto"/>
              </w:rPr>
            </w:pPr>
            <w:r>
              <w:rPr>
                <w:rFonts w:ascii="Arial" w:cs="Arial" w:eastAsia="Arial" w:hAnsi="Arial"/>
                <w:sz w:val="16"/>
                <w:szCs w:val="16"/>
                <w:b w:val="1"/>
                <w:bCs w:val="1"/>
                <w:color w:val="auto"/>
                <w:w w:val="99"/>
              </w:rPr>
              <w:t>Available</w:t>
            </w:r>
          </w:p>
        </w:tc>
        <w:tc>
          <w:tcPr>
            <w:tcW w:w="300" w:type="dxa"/>
            <w:vAlign w:val="bottom"/>
          </w:tcPr>
          <w:p>
            <w:pPr>
              <w:spacing w:after="0"/>
              <w:rPr>
                <w:sz w:val="15"/>
                <w:szCs w:val="15"/>
                <w:color w:val="auto"/>
              </w:rPr>
            </w:pPr>
          </w:p>
        </w:tc>
        <w:tc>
          <w:tcPr>
            <w:tcW w:w="1360" w:type="dxa"/>
            <w:vAlign w:val="bottom"/>
            <w:gridSpan w:val="4"/>
          </w:tcPr>
          <w:p>
            <w:pPr>
              <w:jc w:val="center"/>
              <w:ind w:right="180"/>
              <w:spacing w:after="0" w:line="176" w:lineRule="exact"/>
              <w:rPr>
                <w:sz w:val="20"/>
                <w:szCs w:val="20"/>
                <w:color w:val="auto"/>
              </w:rPr>
            </w:pPr>
            <w:r>
              <w:rPr>
                <w:rFonts w:ascii="Arial" w:cs="Arial" w:eastAsia="Arial" w:hAnsi="Arial"/>
                <w:sz w:val="16"/>
                <w:szCs w:val="16"/>
                <w:b w:val="1"/>
                <w:bCs w:val="1"/>
                <w:color w:val="auto"/>
                <w:w w:val="98"/>
              </w:rPr>
              <w:t>Effective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300"/>
              <w:spacing w:after="0" w:line="176" w:lineRule="exact"/>
              <w:rPr>
                <w:sz w:val="20"/>
                <w:szCs w:val="20"/>
                <w:color w:val="auto"/>
              </w:rPr>
            </w:pPr>
            <w:r>
              <w:rPr>
                <w:rFonts w:ascii="Arial" w:cs="Arial" w:eastAsia="Arial" w:hAnsi="Arial"/>
                <w:sz w:val="16"/>
                <w:szCs w:val="16"/>
                <w:b w:val="1"/>
                <w:bCs w:val="1"/>
                <w:color w:val="auto"/>
                <w:w w:val="97"/>
              </w:rPr>
              <w:t>Translation</w:t>
            </w:r>
          </w:p>
        </w:tc>
        <w:tc>
          <w:tcPr>
            <w:tcW w:w="120" w:type="dxa"/>
            <w:vAlign w:val="bottom"/>
          </w:tcPr>
          <w:p>
            <w:pPr>
              <w:spacing w:after="0"/>
              <w:rPr>
                <w:sz w:val="15"/>
                <w:szCs w:val="15"/>
                <w:color w:val="auto"/>
              </w:rPr>
            </w:pPr>
          </w:p>
        </w:tc>
        <w:tc>
          <w:tcPr>
            <w:tcW w:w="1240" w:type="dxa"/>
            <w:vAlign w:val="bottom"/>
          </w:tcPr>
          <w:p>
            <w:pPr>
              <w:jc w:val="center"/>
              <w:ind w:right="31"/>
              <w:spacing w:after="0" w:line="176" w:lineRule="exact"/>
              <w:rPr>
                <w:sz w:val="20"/>
                <w:szCs w:val="20"/>
                <w:color w:val="auto"/>
              </w:rPr>
            </w:pPr>
            <w:r>
              <w:rPr>
                <w:rFonts w:ascii="Arial" w:cs="Arial" w:eastAsia="Arial" w:hAnsi="Arial"/>
                <w:sz w:val="16"/>
                <w:szCs w:val="16"/>
                <w:b w:val="1"/>
                <w:bCs w:val="1"/>
                <w:color w:val="auto"/>
                <w:w w:val="99"/>
              </w:rPr>
              <w:t>Postretirement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32"/>
              <w:spacing w:after="0" w:line="176" w:lineRule="exact"/>
              <w:rPr>
                <w:sz w:val="20"/>
                <w:szCs w:val="20"/>
                <w:color w:val="auto"/>
              </w:rPr>
            </w:pPr>
            <w:r>
              <w:rPr>
                <w:rFonts w:ascii="Arial" w:cs="Arial" w:eastAsia="Arial" w:hAnsi="Arial"/>
                <w:sz w:val="16"/>
                <w:szCs w:val="16"/>
                <w:b w:val="1"/>
                <w:bCs w:val="1"/>
                <w:color w:val="auto"/>
                <w:w w:val="98"/>
              </w:rPr>
              <w:t>for Sale</w:t>
            </w:r>
          </w:p>
        </w:tc>
        <w:tc>
          <w:tcPr>
            <w:tcW w:w="300" w:type="dxa"/>
            <w:vAlign w:val="bottom"/>
          </w:tcPr>
          <w:p>
            <w:pPr>
              <w:spacing w:after="0"/>
              <w:rPr>
                <w:sz w:val="15"/>
                <w:szCs w:val="15"/>
                <w:color w:val="auto"/>
              </w:rPr>
            </w:pPr>
          </w:p>
        </w:tc>
        <w:tc>
          <w:tcPr>
            <w:tcW w:w="1360" w:type="dxa"/>
            <w:vAlign w:val="bottom"/>
            <w:gridSpan w:val="4"/>
          </w:tcPr>
          <w:p>
            <w:pPr>
              <w:jc w:val="center"/>
              <w:ind w:right="180"/>
              <w:spacing w:after="0" w:line="176" w:lineRule="exact"/>
              <w:rPr>
                <w:sz w:val="20"/>
                <w:szCs w:val="20"/>
                <w:color w:val="auto"/>
              </w:rPr>
            </w:pPr>
            <w:r>
              <w:rPr>
                <w:rFonts w:ascii="Arial" w:cs="Arial" w:eastAsia="Arial" w:hAnsi="Arial"/>
                <w:sz w:val="16"/>
                <w:szCs w:val="16"/>
                <w:b w:val="1"/>
                <w:bCs w:val="1"/>
                <w:color w:val="auto"/>
                <w:w w:val="97"/>
              </w:rPr>
              <w:t>Cash Flow</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Adjustment</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9"/>
              </w:rPr>
              <w:t>Adjustments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8"/>
              </w:rPr>
              <w:t>Investments</w:t>
            </w:r>
          </w:p>
        </w:tc>
        <w:tc>
          <w:tcPr>
            <w:tcW w:w="300" w:type="dxa"/>
            <w:vAlign w:val="bottom"/>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Hedges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37"/>
        </w:trPr>
        <w:tc>
          <w:tcPr>
            <w:tcW w:w="46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Balance at December 31, 2013</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shd w:val="clear" w:color="auto" w:fill="E5FFFF"/>
          </w:tcPr>
          <w:p>
            <w:pPr>
              <w:jc w:val="right"/>
              <w:ind w:right="28"/>
              <w:spacing w:after="0"/>
              <w:rPr>
                <w:sz w:val="20"/>
                <w:szCs w:val="20"/>
                <w:color w:val="auto"/>
              </w:rPr>
            </w:pPr>
            <w:r>
              <w:rPr>
                <w:rFonts w:ascii="Arial" w:cs="Arial" w:eastAsia="Arial" w:hAnsi="Arial"/>
                <w:sz w:val="19"/>
                <w:szCs w:val="19"/>
                <w:color w:val="auto"/>
              </w:rPr>
              <w:t>304</w:t>
            </w:r>
          </w:p>
        </w:tc>
        <w:tc>
          <w:tcPr>
            <w:tcW w:w="280" w:type="dxa"/>
            <w:vAlign w:val="bottom"/>
            <w:shd w:val="clear" w:color="auto" w:fill="E5FFFF"/>
          </w:tcPr>
          <w:p>
            <w:pPr>
              <w:spacing w:after="0"/>
              <w:rPr>
                <w:sz w:val="20"/>
                <w:szCs w:val="20"/>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240" w:type="dxa"/>
            <w:vAlign w:val="bottom"/>
            <w:shd w:val="clear" w:color="auto" w:fill="E5FFFF"/>
          </w:tcPr>
          <w:p>
            <w:pPr>
              <w:jc w:val="right"/>
              <w:ind w:right="51"/>
              <w:spacing w:after="0"/>
              <w:rPr>
                <w:sz w:val="20"/>
                <w:szCs w:val="20"/>
                <w:color w:val="auto"/>
              </w:rPr>
            </w:pPr>
            <w:r>
              <w:rPr>
                <w:rFonts w:ascii="Arial" w:cs="Arial" w:eastAsia="Arial" w:hAnsi="Arial"/>
                <w:sz w:val="19"/>
                <w:szCs w:val="19"/>
                <w:color w:val="auto"/>
              </w:rPr>
              <w:t>355</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60" w:type="dxa"/>
            <w:vAlign w:val="bottom"/>
            <w:shd w:val="clear" w:color="auto" w:fill="E5FFFF"/>
          </w:tcPr>
          <w:p>
            <w:pPr>
              <w:jc w:val="right"/>
              <w:ind w:right="72"/>
              <w:spacing w:after="0"/>
              <w:rPr>
                <w:sz w:val="20"/>
                <w:szCs w:val="20"/>
                <w:color w:val="auto"/>
              </w:rPr>
            </w:pPr>
            <w:r>
              <w:rPr>
                <w:rFonts w:ascii="Arial" w:cs="Arial" w:eastAsia="Arial" w:hAnsi="Arial"/>
                <w:sz w:val="19"/>
                <w:szCs w:val="19"/>
                <w:color w:val="auto"/>
              </w:rPr>
              <w:t>170</w:t>
            </w:r>
          </w:p>
        </w:tc>
        <w:tc>
          <w:tcPr>
            <w:tcW w:w="840" w:type="dxa"/>
            <w:vAlign w:val="bottom"/>
            <w:gridSpan w:val="2"/>
            <w:shd w:val="clear" w:color="auto" w:fill="E5FFFF"/>
          </w:tcPr>
          <w:p>
            <w:pPr>
              <w:jc w:val="right"/>
              <w:ind w:right="338"/>
              <w:spacing w:after="0"/>
              <w:rPr>
                <w:sz w:val="20"/>
                <w:szCs w:val="20"/>
                <w:color w:val="auto"/>
              </w:rPr>
            </w:pPr>
            <w:r>
              <w:rPr>
                <w:rFonts w:ascii="Arial" w:cs="Arial" w:eastAsia="Arial" w:hAnsi="Arial"/>
                <w:sz w:val="19"/>
                <w:szCs w:val="19"/>
                <w:color w:val="auto"/>
              </w:rPr>
              <w:t>$</w:t>
            </w:r>
          </w:p>
        </w:tc>
        <w:tc>
          <w:tcPr>
            <w:tcW w:w="140" w:type="dxa"/>
            <w:vAlign w:val="bottom"/>
            <w:shd w:val="clear" w:color="auto" w:fill="E5FFFF"/>
          </w:tcPr>
          <w:p>
            <w:pPr>
              <w:spacing w:after="0"/>
              <w:rPr>
                <w:sz w:val="20"/>
                <w:szCs w:val="20"/>
                <w:color w:val="auto"/>
              </w:rPr>
            </w:pPr>
          </w:p>
        </w:tc>
        <w:tc>
          <w:tcPr>
            <w:tcW w:w="52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(11)</w:t>
            </w:r>
          </w:p>
        </w:tc>
        <w:tc>
          <w:tcPr>
            <w:tcW w:w="160" w:type="dxa"/>
            <w:vAlign w:val="bottom"/>
            <w:shd w:val="clear" w:color="auto" w:fill="E5FFFF"/>
          </w:tcPr>
          <w:p>
            <w:pPr>
              <w:spacing w:after="0"/>
              <w:rPr>
                <w:sz w:val="20"/>
                <w:szCs w:val="20"/>
                <w:color w:val="auto"/>
              </w:rPr>
            </w:pPr>
          </w:p>
        </w:tc>
        <w:tc>
          <w:tcPr>
            <w:tcW w:w="2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818</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Other comprehensive income (loss) before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360"/>
              <w:spacing w:after="0" w:line="216" w:lineRule="exact"/>
              <w:rPr>
                <w:sz w:val="20"/>
                <w:szCs w:val="20"/>
                <w:color w:val="auto"/>
              </w:rPr>
            </w:pPr>
            <w:r>
              <w:rPr>
                <w:rFonts w:ascii="Arial" w:cs="Arial" w:eastAsia="Arial" w:hAnsi="Arial"/>
                <w:sz w:val="19"/>
                <w:szCs w:val="19"/>
                <w:color w:val="auto"/>
              </w:rPr>
              <w:t>reclassifications</w:t>
            </w:r>
          </w:p>
        </w:tc>
        <w:tc>
          <w:tcPr>
            <w:tcW w:w="120" w:type="dxa"/>
            <w:vAlign w:val="bottom"/>
          </w:tcPr>
          <w:p>
            <w:pPr>
              <w:spacing w:after="0"/>
              <w:rPr>
                <w:sz w:val="18"/>
                <w:szCs w:val="18"/>
                <w:color w:val="auto"/>
              </w:rPr>
            </w:pPr>
          </w:p>
        </w:tc>
        <w:tc>
          <w:tcPr>
            <w:tcW w:w="940" w:type="dxa"/>
            <w:vAlign w:val="bottom"/>
          </w:tcPr>
          <w:p>
            <w:pPr>
              <w:jc w:val="right"/>
              <w:spacing w:after="0" w:line="216" w:lineRule="exact"/>
              <w:rPr>
                <w:sz w:val="20"/>
                <w:szCs w:val="20"/>
                <w:color w:val="auto"/>
              </w:rPr>
            </w:pPr>
            <w:r>
              <w:rPr>
                <w:rFonts w:ascii="Arial" w:cs="Arial" w:eastAsia="Arial" w:hAnsi="Arial"/>
                <w:sz w:val="19"/>
                <w:szCs w:val="19"/>
                <w:color w:val="auto"/>
              </w:rPr>
              <w:t>(1,044)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19"/>
                <w:szCs w:val="19"/>
                <w:color w:val="auto"/>
              </w:rPr>
              <w:t>(1,284)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72"/>
              <w:spacing w:after="0" w:line="216" w:lineRule="exact"/>
              <w:rPr>
                <w:sz w:val="20"/>
                <w:szCs w:val="20"/>
                <w:color w:val="auto"/>
              </w:rPr>
            </w:pPr>
            <w:r>
              <w:rPr>
                <w:rFonts w:ascii="Arial" w:cs="Arial" w:eastAsia="Arial" w:hAnsi="Arial"/>
                <w:sz w:val="19"/>
                <w:szCs w:val="19"/>
                <w:color w:val="auto"/>
              </w:rPr>
              <w:t>15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05"/>
              <w:spacing w:after="0" w:line="216" w:lineRule="exact"/>
              <w:rPr>
                <w:sz w:val="20"/>
                <w:szCs w:val="20"/>
                <w:color w:val="auto"/>
              </w:rPr>
            </w:pPr>
            <w:r>
              <w:rPr>
                <w:rFonts w:ascii="Arial" w:cs="Arial" w:eastAsia="Arial" w:hAnsi="Arial"/>
                <w:sz w:val="19"/>
                <w:szCs w:val="19"/>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line="216" w:lineRule="exact"/>
              <w:rPr>
                <w:sz w:val="20"/>
                <w:szCs w:val="20"/>
                <w:color w:val="auto"/>
              </w:rPr>
            </w:pPr>
            <w:r>
              <w:rPr>
                <w:rFonts w:ascii="Arial" w:cs="Arial" w:eastAsia="Arial" w:hAnsi="Arial"/>
                <w:sz w:val="19"/>
                <w:szCs w:val="19"/>
                <w:color w:val="auto"/>
                <w:w w:val="99"/>
              </w:rPr>
              <w:t>(2,293)</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E5FFFF"/>
          </w:tcPr>
          <w:p>
            <w:pPr>
              <w:ind w:left="180"/>
              <w:spacing w:after="0" w:line="216" w:lineRule="exact"/>
              <w:rPr>
                <w:sz w:val="20"/>
                <w:szCs w:val="20"/>
                <w:color w:val="auto"/>
              </w:rPr>
            </w:pPr>
            <w:r>
              <w:rPr>
                <w:rFonts w:ascii="Arial" w:cs="Arial" w:eastAsia="Arial" w:hAnsi="Arial"/>
                <w:sz w:val="19"/>
                <w:szCs w:val="19"/>
                <w:color w:val="auto"/>
              </w:rPr>
              <w:t>Amounts reclassified from accumulated other</w:t>
            </w:r>
          </w:p>
        </w:tc>
        <w:tc>
          <w:tcPr>
            <w:tcW w:w="1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E5FFFF"/>
          </w:tcPr>
          <w:p>
            <w:pPr>
              <w:ind w:left="360"/>
              <w:spacing w:after="0" w:line="216" w:lineRule="exact"/>
              <w:rPr>
                <w:sz w:val="20"/>
                <w:szCs w:val="20"/>
                <w:color w:val="auto"/>
              </w:rPr>
            </w:pPr>
            <w:r>
              <w:rPr>
                <w:rFonts w:ascii="Arial" w:cs="Arial" w:eastAsia="Arial" w:hAnsi="Arial"/>
                <w:sz w:val="19"/>
                <w:szCs w:val="19"/>
                <w:color w:val="auto"/>
              </w:rPr>
              <w:t>comprehensive income</w:t>
            </w: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400"/>
              <w:spacing w:after="0" w:line="216" w:lineRule="exact"/>
              <w:rPr>
                <w:sz w:val="20"/>
                <w:szCs w:val="20"/>
                <w:color w:val="auto"/>
              </w:rPr>
            </w:pPr>
            <w:r>
              <w:rPr>
                <w:rFonts w:ascii="Arial" w:cs="Arial" w:eastAsia="Arial" w:hAnsi="Arial"/>
                <w:sz w:val="19"/>
                <w:szCs w:val="19"/>
                <w:color w:val="auto"/>
              </w:rPr>
              <w:t>—</w:t>
            </w: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jc w:val="right"/>
              <w:ind w:right="51"/>
              <w:spacing w:after="0" w:line="216" w:lineRule="exact"/>
              <w:rPr>
                <w:sz w:val="20"/>
                <w:szCs w:val="20"/>
                <w:color w:val="auto"/>
              </w:rPr>
            </w:pPr>
            <w:r>
              <w:rPr>
                <w:rFonts w:ascii="Arial" w:cs="Arial" w:eastAsia="Arial" w:hAnsi="Arial"/>
                <w:sz w:val="19"/>
                <w:szCs w:val="19"/>
                <w:color w:val="auto"/>
              </w:rPr>
              <w:t>201</w:t>
            </w: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6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(185)</w:t>
            </w:r>
          </w:p>
        </w:tc>
        <w:tc>
          <w:tcPr>
            <w:tcW w:w="30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80" w:type="dxa"/>
            <w:vAlign w:val="bottom"/>
            <w:gridSpan w:val="2"/>
            <w:shd w:val="clear" w:color="auto" w:fill="E5FFFF"/>
          </w:tcPr>
          <w:p>
            <w:pPr>
              <w:jc w:val="right"/>
              <w:ind w:right="360"/>
              <w:spacing w:after="0" w:line="216" w:lineRule="exact"/>
              <w:rPr>
                <w:sz w:val="20"/>
                <w:szCs w:val="20"/>
                <w:color w:val="auto"/>
              </w:rPr>
            </w:pPr>
            <w:r>
              <w:rPr>
                <w:rFonts w:ascii="Arial" w:cs="Arial" w:eastAsia="Arial" w:hAnsi="Arial"/>
                <w:sz w:val="19"/>
                <w:szCs w:val="19"/>
                <w:color w:val="auto"/>
              </w:rPr>
              <w:t>—</w:t>
            </w: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40" w:type="dxa"/>
            <w:vAlign w:val="bottom"/>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23"/>
        </w:trPr>
        <w:tc>
          <w:tcPr>
            <w:tcW w:w="4680" w:type="dxa"/>
            <w:vAlign w:val="bottom"/>
            <w:gridSpan w:val="2"/>
          </w:tcPr>
          <w:p>
            <w:pPr>
              <w:ind w:left="360"/>
              <w:spacing w:after="0"/>
              <w:rPr>
                <w:sz w:val="20"/>
                <w:szCs w:val="20"/>
                <w:color w:val="auto"/>
              </w:rPr>
            </w:pPr>
            <w:r>
              <w:rPr>
                <w:rFonts w:ascii="Arial" w:cs="Arial" w:eastAsia="Arial" w:hAnsi="Arial"/>
                <w:sz w:val="19"/>
                <w:szCs w:val="19"/>
                <w:color w:val="auto"/>
              </w:rPr>
              <w:t>Net current period other comprehensive</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540"/>
              <w:spacing w:after="0" w:line="216" w:lineRule="exact"/>
              <w:rPr>
                <w:sz w:val="20"/>
                <w:szCs w:val="20"/>
                <w:color w:val="auto"/>
              </w:rPr>
            </w:pPr>
            <w:r>
              <w:rPr>
                <w:rFonts w:ascii="Arial" w:cs="Arial" w:eastAsia="Arial" w:hAnsi="Arial"/>
                <w:sz w:val="19"/>
                <w:szCs w:val="19"/>
                <w:color w:val="auto"/>
              </w:rPr>
              <w:t>income (loss)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(1,044)</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(1,083)</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(170)</w:t>
            </w: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5"/>
              <w:spacing w:after="0" w:line="216" w:lineRule="exact"/>
              <w:rPr>
                <w:sz w:val="20"/>
                <w:szCs w:val="20"/>
                <w:color w:val="auto"/>
              </w:rPr>
            </w:pPr>
            <w:r>
              <w:rPr>
                <w:rFonts w:ascii="Arial" w:cs="Arial" w:eastAsia="Arial" w:hAnsi="Arial"/>
                <w:sz w:val="19"/>
                <w:szCs w:val="19"/>
                <w:color w:val="auto"/>
              </w:rPr>
              <w:t>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9"/>
                <w:szCs w:val="19"/>
                <w:color w:val="auto"/>
                <w:w w:val="99"/>
              </w:rPr>
              <w:t>(2,277)</w:t>
            </w:r>
          </w:p>
        </w:tc>
        <w:tc>
          <w:tcPr>
            <w:tcW w:w="0" w:type="dxa"/>
            <w:vAlign w:val="bottom"/>
          </w:tcPr>
          <w:p>
            <w:pPr>
              <w:spacing w:after="0"/>
              <w:rPr>
                <w:sz w:val="1"/>
                <w:szCs w:val="1"/>
                <w:color w:val="auto"/>
              </w:rPr>
            </w:pPr>
          </w:p>
        </w:tc>
      </w:tr>
      <w:tr>
        <w:trPr>
          <w:trHeight w:val="243"/>
        </w:trPr>
        <w:tc>
          <w:tcPr>
            <w:tcW w:w="46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Balance at December 31, 2014</w:t>
            </w: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(740)</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(728)</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060" w:type="dxa"/>
            <w:vAlign w:val="bottom"/>
            <w:tcBorders>
              <w:bottom w:val="single" w:sz="8" w:color="auto"/>
            </w:tcBorders>
            <w:shd w:val="clear" w:color="auto" w:fill="E5FFFF"/>
          </w:tcPr>
          <w:p>
            <w:pPr>
              <w:jc w:val="right"/>
              <w:ind w:right="72"/>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338"/>
              <w:spacing w:after="0"/>
              <w:rPr>
                <w:sz w:val="20"/>
                <w:szCs w:val="20"/>
                <w:color w:val="auto"/>
              </w:rPr>
            </w:pPr>
            <w:r>
              <w:rPr>
                <w:rFonts w:ascii="Arial" w:cs="Arial" w:eastAsia="Arial" w:hAnsi="Arial"/>
                <w:sz w:val="19"/>
                <w:szCs w:val="19"/>
                <w:color w:val="auto"/>
                <w:w w:val="94"/>
              </w:rPr>
              <w:t>$</w:t>
            </w:r>
          </w:p>
        </w:tc>
        <w:tc>
          <w:tcPr>
            <w:tcW w:w="14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ind w:right="105"/>
              <w:spacing w:after="0"/>
              <w:rPr>
                <w:sz w:val="20"/>
                <w:szCs w:val="20"/>
                <w:color w:val="auto"/>
              </w:rPr>
            </w:pPr>
            <w:r>
              <w:rPr>
                <w:rFonts w:ascii="Arial" w:cs="Arial" w:eastAsia="Arial" w:hAnsi="Arial"/>
                <w:sz w:val="19"/>
                <w:szCs w:val="19"/>
                <w:color w:val="auto"/>
              </w:rPr>
              <w:t>9</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(1,459)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center"/>
              <w:ind w:right="32"/>
              <w:spacing w:after="0"/>
              <w:rPr>
                <w:sz w:val="20"/>
                <w:szCs w:val="20"/>
                <w:color w:val="auto"/>
              </w:rPr>
            </w:pPr>
            <w:r>
              <w:rPr>
                <w:rFonts w:ascii="Arial" w:cs="Arial" w:eastAsia="Arial" w:hAnsi="Arial"/>
                <w:sz w:val="16"/>
                <w:szCs w:val="16"/>
                <w:b w:val="1"/>
                <w:bCs w:val="1"/>
                <w:color w:val="auto"/>
                <w:w w:val="99"/>
              </w:rPr>
              <w:t>Changes in</w:t>
            </w:r>
          </w:p>
        </w:tc>
        <w:tc>
          <w:tcPr>
            <w:tcW w:w="300" w:type="dxa"/>
            <w:vAlign w:val="bottom"/>
          </w:tcPr>
          <w:p>
            <w:pPr>
              <w:spacing w:after="0"/>
              <w:rPr>
                <w:sz w:val="24"/>
                <w:szCs w:val="24"/>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9"/>
              </w:rPr>
              <w:t>Changes in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8"/>
              </w:rPr>
              <w:t>Foreign</w:t>
            </w:r>
          </w:p>
        </w:tc>
        <w:tc>
          <w:tcPr>
            <w:tcW w:w="120" w:type="dxa"/>
            <w:vAlign w:val="bottom"/>
          </w:tcPr>
          <w:p>
            <w:pPr>
              <w:spacing w:after="0"/>
              <w:rPr>
                <w:sz w:val="15"/>
                <w:szCs w:val="15"/>
                <w:color w:val="auto"/>
              </w:rPr>
            </w:pPr>
          </w:p>
        </w:tc>
        <w:tc>
          <w:tcPr>
            <w:tcW w:w="1240" w:type="dxa"/>
            <w:vAlign w:val="bottom"/>
          </w:tcPr>
          <w:p>
            <w:pPr>
              <w:jc w:val="center"/>
              <w:ind w:right="31"/>
              <w:spacing w:after="0" w:line="176" w:lineRule="exact"/>
              <w:rPr>
                <w:sz w:val="20"/>
                <w:szCs w:val="20"/>
                <w:color w:val="auto"/>
              </w:rPr>
            </w:pPr>
            <w:r>
              <w:rPr>
                <w:rFonts w:ascii="Arial" w:cs="Arial" w:eastAsia="Arial" w:hAnsi="Arial"/>
                <w:sz w:val="16"/>
                <w:szCs w:val="16"/>
                <w:b w:val="1"/>
                <w:bCs w:val="1"/>
                <w:color w:val="auto"/>
                <w:w w:val="96"/>
              </w:rPr>
              <w:t>Pension</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32"/>
              <w:spacing w:after="0" w:line="176" w:lineRule="exact"/>
              <w:rPr>
                <w:sz w:val="20"/>
                <w:szCs w:val="20"/>
                <w:color w:val="auto"/>
              </w:rPr>
            </w:pPr>
            <w:r>
              <w:rPr>
                <w:rFonts w:ascii="Arial" w:cs="Arial" w:eastAsia="Arial" w:hAnsi="Arial"/>
                <w:sz w:val="16"/>
                <w:szCs w:val="16"/>
                <w:b w:val="1"/>
                <w:bCs w:val="1"/>
                <w:color w:val="auto"/>
                <w:w w:val="97"/>
              </w:rPr>
              <w:t>Fair Value of</w:t>
            </w:r>
          </w:p>
        </w:tc>
        <w:tc>
          <w:tcPr>
            <w:tcW w:w="300" w:type="dxa"/>
            <w:vAlign w:val="bottom"/>
          </w:tcPr>
          <w:p>
            <w:pPr>
              <w:spacing w:after="0"/>
              <w:rPr>
                <w:sz w:val="15"/>
                <w:szCs w:val="15"/>
                <w:color w:val="auto"/>
              </w:rPr>
            </w:pPr>
          </w:p>
        </w:tc>
        <w:tc>
          <w:tcPr>
            <w:tcW w:w="1360" w:type="dxa"/>
            <w:vAlign w:val="bottom"/>
            <w:gridSpan w:val="4"/>
          </w:tcPr>
          <w:p>
            <w:pPr>
              <w:jc w:val="center"/>
              <w:ind w:right="180"/>
              <w:spacing w:after="0" w:line="176" w:lineRule="exact"/>
              <w:rPr>
                <w:sz w:val="20"/>
                <w:szCs w:val="20"/>
                <w:color w:val="auto"/>
              </w:rPr>
            </w:pPr>
            <w:r>
              <w:rPr>
                <w:rFonts w:ascii="Arial" w:cs="Arial" w:eastAsia="Arial" w:hAnsi="Arial"/>
                <w:sz w:val="16"/>
                <w:szCs w:val="16"/>
                <w:b w:val="1"/>
                <w:bCs w:val="1"/>
                <w:color w:val="auto"/>
                <w:w w:val="97"/>
              </w:rPr>
              <w:t>Fair Value of</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7"/>
              </w:rPr>
              <w:t>Exchange</w:t>
            </w:r>
          </w:p>
        </w:tc>
        <w:tc>
          <w:tcPr>
            <w:tcW w:w="120" w:type="dxa"/>
            <w:vAlign w:val="bottom"/>
          </w:tcPr>
          <w:p>
            <w:pPr>
              <w:spacing w:after="0"/>
              <w:rPr>
                <w:sz w:val="15"/>
                <w:szCs w:val="15"/>
                <w:color w:val="auto"/>
              </w:rPr>
            </w:pPr>
          </w:p>
        </w:tc>
        <w:tc>
          <w:tcPr>
            <w:tcW w:w="1240" w:type="dxa"/>
            <w:vAlign w:val="bottom"/>
          </w:tcPr>
          <w:p>
            <w:pPr>
              <w:jc w:val="center"/>
              <w:ind w:right="31"/>
              <w:spacing w:after="0" w:line="176" w:lineRule="exact"/>
              <w:rPr>
                <w:sz w:val="20"/>
                <w:szCs w:val="20"/>
                <w:color w:val="auto"/>
              </w:rPr>
            </w:pPr>
            <w:r>
              <w:rPr>
                <w:rFonts w:ascii="Arial" w:cs="Arial" w:eastAsia="Arial" w:hAnsi="Arial"/>
                <w:sz w:val="16"/>
                <w:szCs w:val="16"/>
                <w:b w:val="1"/>
                <w:bCs w:val="1"/>
                <w:color w:val="auto"/>
              </w:rPr>
              <w:t>and Other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32"/>
              <w:spacing w:after="0" w:line="176" w:lineRule="exact"/>
              <w:rPr>
                <w:sz w:val="20"/>
                <w:szCs w:val="20"/>
                <w:color w:val="auto"/>
              </w:rPr>
            </w:pPr>
            <w:r>
              <w:rPr>
                <w:rFonts w:ascii="Arial" w:cs="Arial" w:eastAsia="Arial" w:hAnsi="Arial"/>
                <w:sz w:val="16"/>
                <w:szCs w:val="16"/>
                <w:b w:val="1"/>
                <w:bCs w:val="1"/>
                <w:color w:val="auto"/>
                <w:w w:val="99"/>
              </w:rPr>
              <w:t>Available</w:t>
            </w:r>
          </w:p>
        </w:tc>
        <w:tc>
          <w:tcPr>
            <w:tcW w:w="300" w:type="dxa"/>
            <w:vAlign w:val="bottom"/>
          </w:tcPr>
          <w:p>
            <w:pPr>
              <w:spacing w:after="0"/>
              <w:rPr>
                <w:sz w:val="15"/>
                <w:szCs w:val="15"/>
                <w:color w:val="auto"/>
              </w:rPr>
            </w:pPr>
          </w:p>
        </w:tc>
        <w:tc>
          <w:tcPr>
            <w:tcW w:w="1360" w:type="dxa"/>
            <w:vAlign w:val="bottom"/>
            <w:gridSpan w:val="4"/>
          </w:tcPr>
          <w:p>
            <w:pPr>
              <w:jc w:val="center"/>
              <w:ind w:right="180"/>
              <w:spacing w:after="0" w:line="176" w:lineRule="exact"/>
              <w:rPr>
                <w:sz w:val="20"/>
                <w:szCs w:val="20"/>
                <w:color w:val="auto"/>
              </w:rPr>
            </w:pPr>
            <w:r>
              <w:rPr>
                <w:rFonts w:ascii="Arial" w:cs="Arial" w:eastAsia="Arial" w:hAnsi="Arial"/>
                <w:sz w:val="16"/>
                <w:szCs w:val="16"/>
                <w:b w:val="1"/>
                <w:bCs w:val="1"/>
                <w:color w:val="auto"/>
                <w:w w:val="98"/>
              </w:rPr>
              <w:t>Effective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center"/>
              <w:ind w:right="300"/>
              <w:spacing w:after="0" w:line="176" w:lineRule="exact"/>
              <w:rPr>
                <w:sz w:val="20"/>
                <w:szCs w:val="20"/>
                <w:color w:val="auto"/>
              </w:rPr>
            </w:pPr>
            <w:r>
              <w:rPr>
                <w:rFonts w:ascii="Arial" w:cs="Arial" w:eastAsia="Arial" w:hAnsi="Arial"/>
                <w:sz w:val="16"/>
                <w:szCs w:val="16"/>
                <w:b w:val="1"/>
                <w:bCs w:val="1"/>
                <w:color w:val="auto"/>
                <w:w w:val="97"/>
              </w:rPr>
              <w:t>Translation</w:t>
            </w:r>
          </w:p>
        </w:tc>
        <w:tc>
          <w:tcPr>
            <w:tcW w:w="120" w:type="dxa"/>
            <w:vAlign w:val="bottom"/>
          </w:tcPr>
          <w:p>
            <w:pPr>
              <w:spacing w:after="0"/>
              <w:rPr>
                <w:sz w:val="15"/>
                <w:szCs w:val="15"/>
                <w:color w:val="auto"/>
              </w:rPr>
            </w:pPr>
          </w:p>
        </w:tc>
        <w:tc>
          <w:tcPr>
            <w:tcW w:w="1240" w:type="dxa"/>
            <w:vAlign w:val="bottom"/>
          </w:tcPr>
          <w:p>
            <w:pPr>
              <w:jc w:val="center"/>
              <w:ind w:right="31"/>
              <w:spacing w:after="0" w:line="176" w:lineRule="exact"/>
              <w:rPr>
                <w:sz w:val="20"/>
                <w:szCs w:val="20"/>
                <w:color w:val="auto"/>
              </w:rPr>
            </w:pPr>
            <w:r>
              <w:rPr>
                <w:rFonts w:ascii="Arial" w:cs="Arial" w:eastAsia="Arial" w:hAnsi="Arial"/>
                <w:sz w:val="16"/>
                <w:szCs w:val="16"/>
                <w:b w:val="1"/>
                <w:bCs w:val="1"/>
                <w:color w:val="auto"/>
                <w:w w:val="99"/>
              </w:rPr>
              <w:t>Postretirement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32"/>
              <w:spacing w:after="0" w:line="176" w:lineRule="exact"/>
              <w:rPr>
                <w:sz w:val="20"/>
                <w:szCs w:val="20"/>
                <w:color w:val="auto"/>
              </w:rPr>
            </w:pPr>
            <w:r>
              <w:rPr>
                <w:rFonts w:ascii="Arial" w:cs="Arial" w:eastAsia="Arial" w:hAnsi="Arial"/>
                <w:sz w:val="16"/>
                <w:szCs w:val="16"/>
                <w:b w:val="1"/>
                <w:bCs w:val="1"/>
                <w:color w:val="auto"/>
                <w:w w:val="98"/>
              </w:rPr>
              <w:t>for Sale</w:t>
            </w:r>
          </w:p>
        </w:tc>
        <w:tc>
          <w:tcPr>
            <w:tcW w:w="300" w:type="dxa"/>
            <w:vAlign w:val="bottom"/>
          </w:tcPr>
          <w:p>
            <w:pPr>
              <w:spacing w:after="0"/>
              <w:rPr>
                <w:sz w:val="15"/>
                <w:szCs w:val="15"/>
                <w:color w:val="auto"/>
              </w:rPr>
            </w:pPr>
          </w:p>
        </w:tc>
        <w:tc>
          <w:tcPr>
            <w:tcW w:w="1360" w:type="dxa"/>
            <w:vAlign w:val="bottom"/>
            <w:gridSpan w:val="4"/>
          </w:tcPr>
          <w:p>
            <w:pPr>
              <w:jc w:val="center"/>
              <w:ind w:right="180"/>
              <w:spacing w:after="0" w:line="176" w:lineRule="exact"/>
              <w:rPr>
                <w:sz w:val="20"/>
                <w:szCs w:val="20"/>
                <w:color w:val="auto"/>
              </w:rPr>
            </w:pPr>
            <w:r>
              <w:rPr>
                <w:rFonts w:ascii="Arial" w:cs="Arial" w:eastAsia="Arial" w:hAnsi="Arial"/>
                <w:sz w:val="16"/>
                <w:szCs w:val="16"/>
                <w:b w:val="1"/>
                <w:bCs w:val="1"/>
                <w:color w:val="auto"/>
                <w:w w:val="97"/>
              </w:rPr>
              <w:t>Cash Flow</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Adjustment</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99"/>
              </w:rPr>
              <w:t>Adjustments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8"/>
              </w:rPr>
              <w:t>Investments</w:t>
            </w:r>
          </w:p>
        </w:tc>
        <w:tc>
          <w:tcPr>
            <w:tcW w:w="300" w:type="dxa"/>
            <w:vAlign w:val="bottom"/>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Hedges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37"/>
        </w:trPr>
        <w:tc>
          <w:tcPr>
            <w:tcW w:w="46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Balance at December 31, 2012</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shd w:val="clear" w:color="auto" w:fill="E5FFFF"/>
          </w:tcPr>
          <w:p>
            <w:pPr>
              <w:jc w:val="right"/>
              <w:ind w:right="68"/>
              <w:spacing w:after="0"/>
              <w:rPr>
                <w:sz w:val="20"/>
                <w:szCs w:val="20"/>
                <w:color w:val="auto"/>
              </w:rPr>
            </w:pPr>
            <w:r>
              <w:rPr>
                <w:rFonts w:ascii="Arial" w:cs="Arial" w:eastAsia="Arial" w:hAnsi="Arial"/>
                <w:sz w:val="19"/>
                <w:szCs w:val="19"/>
                <w:color w:val="auto"/>
              </w:rPr>
              <w:t>356</w:t>
            </w:r>
          </w:p>
        </w:tc>
        <w:tc>
          <w:tcPr>
            <w:tcW w:w="280" w:type="dxa"/>
            <w:vAlign w:val="bottom"/>
            <w:shd w:val="clear" w:color="auto" w:fill="E5FFFF"/>
          </w:tcPr>
          <w:p>
            <w:pPr>
              <w:spacing w:after="0"/>
              <w:rPr>
                <w:sz w:val="20"/>
                <w:szCs w:val="20"/>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2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(1,848)</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60" w:type="dxa"/>
            <w:vAlign w:val="bottom"/>
            <w:shd w:val="clear" w:color="auto" w:fill="E5FFFF"/>
          </w:tcPr>
          <w:p>
            <w:pPr>
              <w:jc w:val="right"/>
              <w:ind w:right="72"/>
              <w:spacing w:after="0"/>
              <w:rPr>
                <w:sz w:val="20"/>
                <w:szCs w:val="20"/>
                <w:color w:val="auto"/>
              </w:rPr>
            </w:pPr>
            <w:r>
              <w:rPr>
                <w:rFonts w:ascii="Arial" w:cs="Arial" w:eastAsia="Arial" w:hAnsi="Arial"/>
                <w:sz w:val="19"/>
                <w:szCs w:val="19"/>
                <w:color w:val="auto"/>
              </w:rPr>
              <w:t>157</w:t>
            </w:r>
          </w:p>
        </w:tc>
        <w:tc>
          <w:tcPr>
            <w:tcW w:w="840" w:type="dxa"/>
            <w:vAlign w:val="bottom"/>
            <w:gridSpan w:val="2"/>
            <w:shd w:val="clear" w:color="auto" w:fill="E5FFFF"/>
          </w:tcPr>
          <w:p>
            <w:pPr>
              <w:jc w:val="right"/>
              <w:ind w:right="338"/>
              <w:spacing w:after="0"/>
              <w:rPr>
                <w:sz w:val="20"/>
                <w:szCs w:val="20"/>
                <w:color w:val="auto"/>
              </w:rPr>
            </w:pPr>
            <w:r>
              <w:rPr>
                <w:rFonts w:ascii="Arial" w:cs="Arial" w:eastAsia="Arial" w:hAnsi="Arial"/>
                <w:sz w:val="19"/>
                <w:szCs w:val="19"/>
                <w:color w:val="auto"/>
              </w:rPr>
              <w:t>$</w:t>
            </w:r>
          </w:p>
        </w:tc>
        <w:tc>
          <w:tcPr>
            <w:tcW w:w="140" w:type="dxa"/>
            <w:vAlign w:val="bottom"/>
            <w:shd w:val="clear" w:color="auto" w:fill="E5FFFF"/>
          </w:tcPr>
          <w:p>
            <w:pPr>
              <w:spacing w:after="0"/>
              <w:rPr>
                <w:sz w:val="20"/>
                <w:szCs w:val="20"/>
                <w:color w:val="auto"/>
              </w:rPr>
            </w:pPr>
          </w:p>
        </w:tc>
        <w:tc>
          <w:tcPr>
            <w:tcW w:w="52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(4)</w:t>
            </w:r>
          </w:p>
        </w:tc>
        <w:tc>
          <w:tcPr>
            <w:tcW w:w="160" w:type="dxa"/>
            <w:vAlign w:val="bottom"/>
            <w:shd w:val="clear" w:color="auto" w:fill="E5FFFF"/>
          </w:tcPr>
          <w:p>
            <w:pPr>
              <w:spacing w:after="0"/>
              <w:rPr>
                <w:sz w:val="20"/>
                <w:szCs w:val="20"/>
                <w:color w:val="auto"/>
              </w:rPr>
            </w:pPr>
          </w:p>
        </w:tc>
        <w:tc>
          <w:tcPr>
            <w:tcW w:w="9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$(1,339)</w:t>
            </w:r>
          </w:p>
        </w:tc>
        <w:tc>
          <w:tcPr>
            <w:tcW w:w="0" w:type="dxa"/>
            <w:vAlign w:val="bottom"/>
          </w:tcPr>
          <w:p>
            <w:pPr>
              <w:spacing w:after="0"/>
              <w:rPr>
                <w:sz w:val="1"/>
                <w:szCs w:val="1"/>
                <w:color w:val="auto"/>
              </w:rPr>
            </w:pPr>
          </w:p>
        </w:tc>
      </w:tr>
      <w:tr>
        <w:trPr>
          <w:trHeight w:val="216"/>
        </w:trPr>
        <w:tc>
          <w:tcPr>
            <w:tcW w:w="468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Other comprehensive income (loss) before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ind w:left="360"/>
              <w:spacing w:after="0" w:line="216" w:lineRule="exact"/>
              <w:rPr>
                <w:sz w:val="20"/>
                <w:szCs w:val="20"/>
                <w:color w:val="auto"/>
              </w:rPr>
            </w:pPr>
            <w:r>
              <w:rPr>
                <w:rFonts w:ascii="Arial" w:cs="Arial" w:eastAsia="Arial" w:hAnsi="Arial"/>
                <w:sz w:val="19"/>
                <w:szCs w:val="19"/>
                <w:color w:val="auto"/>
              </w:rPr>
              <w:t>reclassifications</w:t>
            </w:r>
          </w:p>
        </w:tc>
        <w:tc>
          <w:tcPr>
            <w:tcW w:w="120" w:type="dxa"/>
            <w:vAlign w:val="bottom"/>
          </w:tcPr>
          <w:p>
            <w:pPr>
              <w:spacing w:after="0"/>
              <w:rPr>
                <w:sz w:val="18"/>
                <w:szCs w:val="18"/>
                <w:color w:val="auto"/>
              </w:rPr>
            </w:pPr>
          </w:p>
        </w:tc>
        <w:tc>
          <w:tcPr>
            <w:tcW w:w="940" w:type="dxa"/>
            <w:vAlign w:val="bottom"/>
          </w:tcPr>
          <w:p>
            <w:pPr>
              <w:jc w:val="right"/>
              <w:ind w:right="8"/>
              <w:spacing w:after="0" w:line="216" w:lineRule="exact"/>
              <w:rPr>
                <w:sz w:val="20"/>
                <w:szCs w:val="20"/>
                <w:color w:val="auto"/>
              </w:rPr>
            </w:pPr>
            <w:r>
              <w:rPr>
                <w:rFonts w:ascii="Arial" w:cs="Arial" w:eastAsia="Arial" w:hAnsi="Arial"/>
                <w:sz w:val="19"/>
                <w:szCs w:val="19"/>
                <w:color w:val="auto"/>
              </w:rPr>
              <w:t>(52)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51"/>
              <w:spacing w:after="0" w:line="216" w:lineRule="exact"/>
              <w:rPr>
                <w:sz w:val="20"/>
                <w:szCs w:val="20"/>
                <w:color w:val="auto"/>
              </w:rPr>
            </w:pPr>
            <w:r>
              <w:rPr>
                <w:rFonts w:ascii="Arial" w:cs="Arial" w:eastAsia="Arial" w:hAnsi="Arial"/>
                <w:sz w:val="19"/>
                <w:szCs w:val="19"/>
                <w:color w:val="auto"/>
              </w:rPr>
              <w:t>2,161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72"/>
              <w:spacing w:after="0" w:line="216" w:lineRule="exact"/>
              <w:rPr>
                <w:sz w:val="20"/>
                <w:szCs w:val="20"/>
                <w:color w:val="auto"/>
              </w:rPr>
            </w:pPr>
            <w:r>
              <w:rPr>
                <w:rFonts w:ascii="Arial" w:cs="Arial" w:eastAsia="Arial" w:hAnsi="Arial"/>
                <w:sz w:val="19"/>
                <w:szCs w:val="19"/>
                <w:color w:val="auto"/>
              </w:rPr>
              <w:t>140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45"/>
              <w:spacing w:after="0" w:line="216" w:lineRule="exact"/>
              <w:rPr>
                <w:sz w:val="20"/>
                <w:szCs w:val="20"/>
                <w:color w:val="auto"/>
              </w:rPr>
            </w:pPr>
            <w:r>
              <w:rPr>
                <w:rFonts w:ascii="Arial" w:cs="Arial" w:eastAsia="Arial" w:hAnsi="Arial"/>
                <w:sz w:val="19"/>
                <w:szCs w:val="19"/>
                <w:color w:val="auto"/>
              </w:rPr>
              <w:t>(30)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2,219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E5FFFF"/>
          </w:tcPr>
          <w:p>
            <w:pPr>
              <w:ind w:left="180"/>
              <w:spacing w:after="0" w:line="216" w:lineRule="exact"/>
              <w:rPr>
                <w:sz w:val="20"/>
                <w:szCs w:val="20"/>
                <w:color w:val="auto"/>
              </w:rPr>
            </w:pPr>
            <w:r>
              <w:rPr>
                <w:rFonts w:ascii="Arial" w:cs="Arial" w:eastAsia="Arial" w:hAnsi="Arial"/>
                <w:sz w:val="19"/>
                <w:szCs w:val="19"/>
                <w:color w:val="auto"/>
              </w:rPr>
              <w:t>Amounts reclassified from accumulated other</w:t>
            </w:r>
          </w:p>
        </w:tc>
        <w:tc>
          <w:tcPr>
            <w:tcW w:w="1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comprehensive income</w:t>
            </w:r>
          </w:p>
        </w:tc>
        <w:tc>
          <w:tcPr>
            <w:tcW w:w="20" w:type="dxa"/>
            <w:vAlign w:val="bottom"/>
            <w:tcBorders>
              <w:bottom w:val="single" w:sz="8" w:color="auto"/>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ind w:right="68"/>
              <w:spacing w:after="0" w:line="216" w:lineRule="exact"/>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ind w:right="51"/>
              <w:spacing w:after="0" w:line="216" w:lineRule="exact"/>
              <w:rPr>
                <w:sz w:val="20"/>
                <w:szCs w:val="20"/>
                <w:color w:val="auto"/>
              </w:rPr>
            </w:pPr>
            <w:r>
              <w:rPr>
                <w:rFonts w:ascii="Arial" w:cs="Arial" w:eastAsia="Arial" w:hAnsi="Arial"/>
                <w:sz w:val="19"/>
                <w:szCs w:val="19"/>
                <w:color w:val="auto"/>
              </w:rPr>
              <w:t>42</w:t>
            </w:r>
          </w:p>
        </w:tc>
        <w:tc>
          <w:tcPr>
            <w:tcW w:w="28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line="216" w:lineRule="exact"/>
              <w:rPr>
                <w:sz w:val="20"/>
                <w:szCs w:val="20"/>
                <w:color w:val="auto"/>
              </w:rPr>
            </w:pPr>
            <w:r>
              <w:rPr>
                <w:rFonts w:ascii="Arial" w:cs="Arial" w:eastAsia="Arial" w:hAnsi="Arial"/>
                <w:sz w:val="19"/>
                <w:szCs w:val="19"/>
                <w:color w:val="auto"/>
              </w:rPr>
              <w:t>(127)</w:t>
            </w:r>
          </w:p>
        </w:tc>
        <w:tc>
          <w:tcPr>
            <w:tcW w:w="300" w:type="dxa"/>
            <w:vAlign w:val="bottom"/>
            <w:shd w:val="clear" w:color="auto" w:fill="E5FFFF"/>
          </w:tcPr>
          <w:p>
            <w:pPr>
              <w:spacing w:after="0"/>
              <w:rPr>
                <w:sz w:val="18"/>
                <w:szCs w:val="18"/>
                <w:color w:val="auto"/>
              </w:rPr>
            </w:pPr>
          </w:p>
        </w:tc>
        <w:tc>
          <w:tcPr>
            <w:tcW w:w="54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jc w:val="right"/>
              <w:ind w:right="105"/>
              <w:spacing w:after="0" w:line="216" w:lineRule="exact"/>
              <w:rPr>
                <w:sz w:val="20"/>
                <w:szCs w:val="20"/>
                <w:color w:val="auto"/>
              </w:rPr>
            </w:pPr>
            <w:r>
              <w:rPr>
                <w:rFonts w:ascii="Arial" w:cs="Arial" w:eastAsia="Arial" w:hAnsi="Arial"/>
                <w:sz w:val="19"/>
                <w:szCs w:val="19"/>
                <w:color w:val="auto"/>
              </w:rPr>
              <w:t>23</w:t>
            </w: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640" w:type="dxa"/>
            <w:vAlign w:val="bottom"/>
            <w:tcBorders>
              <w:bottom w:val="single" w:sz="8" w:color="auto"/>
            </w:tcBorders>
            <w:gridSpan w:val="2"/>
            <w:shd w:val="clear" w:color="auto" w:fill="E5FFFF"/>
          </w:tcPr>
          <w:p>
            <w:pPr>
              <w:jc w:val="right"/>
              <w:spacing w:after="0" w:line="216" w:lineRule="exact"/>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23"/>
        </w:trPr>
        <w:tc>
          <w:tcPr>
            <w:tcW w:w="4680" w:type="dxa"/>
            <w:vAlign w:val="bottom"/>
            <w:gridSpan w:val="2"/>
          </w:tcPr>
          <w:p>
            <w:pPr>
              <w:ind w:left="360"/>
              <w:spacing w:after="0"/>
              <w:rPr>
                <w:sz w:val="20"/>
                <w:szCs w:val="20"/>
                <w:color w:val="auto"/>
              </w:rPr>
            </w:pPr>
            <w:r>
              <w:rPr>
                <w:rFonts w:ascii="Arial" w:cs="Arial" w:eastAsia="Arial" w:hAnsi="Arial"/>
                <w:sz w:val="19"/>
                <w:szCs w:val="19"/>
                <w:color w:val="auto"/>
              </w:rPr>
              <w:t>Net current period other comprehensive</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540"/>
              <w:spacing w:after="0" w:line="216" w:lineRule="exact"/>
              <w:rPr>
                <w:sz w:val="20"/>
                <w:szCs w:val="20"/>
                <w:color w:val="auto"/>
              </w:rPr>
            </w:pPr>
            <w:r>
              <w:rPr>
                <w:rFonts w:ascii="Arial" w:cs="Arial" w:eastAsia="Arial" w:hAnsi="Arial"/>
                <w:sz w:val="19"/>
                <w:szCs w:val="19"/>
                <w:color w:val="auto"/>
              </w:rPr>
              <w:t>income (loss)</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
              <w:spacing w:after="0" w:line="216" w:lineRule="exact"/>
              <w:rPr>
                <w:sz w:val="20"/>
                <w:szCs w:val="20"/>
                <w:color w:val="auto"/>
              </w:rPr>
            </w:pPr>
            <w:r>
              <w:rPr>
                <w:rFonts w:ascii="Arial" w:cs="Arial" w:eastAsia="Arial" w:hAnsi="Arial"/>
                <w:sz w:val="19"/>
                <w:szCs w:val="19"/>
                <w:color w:val="auto"/>
              </w:rPr>
              <w:t>(52)</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
              <w:spacing w:after="0" w:line="216" w:lineRule="exact"/>
              <w:rPr>
                <w:sz w:val="20"/>
                <w:szCs w:val="20"/>
                <w:color w:val="auto"/>
              </w:rPr>
            </w:pPr>
            <w:r>
              <w:rPr>
                <w:rFonts w:ascii="Arial" w:cs="Arial" w:eastAsia="Arial" w:hAnsi="Arial"/>
                <w:sz w:val="19"/>
                <w:szCs w:val="19"/>
                <w:color w:val="auto"/>
              </w:rPr>
              <w:t>2,203</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2"/>
              <w:spacing w:after="0" w:line="216" w:lineRule="exact"/>
              <w:rPr>
                <w:sz w:val="20"/>
                <w:szCs w:val="20"/>
                <w:color w:val="auto"/>
              </w:rPr>
            </w:pPr>
            <w:r>
              <w:rPr>
                <w:rFonts w:ascii="Arial" w:cs="Arial" w:eastAsia="Arial" w:hAnsi="Arial"/>
                <w:sz w:val="19"/>
                <w:szCs w:val="19"/>
                <w:color w:val="auto"/>
              </w:rPr>
              <w:t>13</w:t>
            </w:r>
          </w:p>
        </w:tc>
        <w:tc>
          <w:tcPr>
            <w:tcW w:w="3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5"/>
              <w:spacing w:after="0" w:line="216" w:lineRule="exact"/>
              <w:rPr>
                <w:sz w:val="20"/>
                <w:szCs w:val="20"/>
                <w:color w:val="auto"/>
              </w:rPr>
            </w:pPr>
            <w:r>
              <w:rPr>
                <w:rFonts w:ascii="Arial" w:cs="Arial" w:eastAsia="Arial" w:hAnsi="Arial"/>
                <w:sz w:val="19"/>
                <w:szCs w:val="19"/>
                <w:color w:val="auto"/>
              </w:rPr>
              <w:t>(7)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line="216" w:lineRule="exact"/>
              <w:rPr>
                <w:sz w:val="20"/>
                <w:szCs w:val="20"/>
                <w:color w:val="auto"/>
              </w:rPr>
            </w:pPr>
            <w:r>
              <w:rPr>
                <w:rFonts w:ascii="Arial" w:cs="Arial" w:eastAsia="Arial" w:hAnsi="Arial"/>
                <w:sz w:val="19"/>
                <w:szCs w:val="19"/>
                <w:color w:val="auto"/>
              </w:rPr>
              <w:t>2,157</w:t>
            </w:r>
          </w:p>
        </w:tc>
        <w:tc>
          <w:tcPr>
            <w:tcW w:w="0" w:type="dxa"/>
            <w:vAlign w:val="bottom"/>
          </w:tcPr>
          <w:p>
            <w:pPr>
              <w:spacing w:after="0"/>
              <w:rPr>
                <w:sz w:val="1"/>
                <w:szCs w:val="1"/>
                <w:color w:val="auto"/>
              </w:rPr>
            </w:pPr>
          </w:p>
        </w:tc>
      </w:tr>
      <w:tr>
        <w:trPr>
          <w:trHeight w:val="243"/>
        </w:trPr>
        <w:tc>
          <w:tcPr>
            <w:tcW w:w="466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2013</w:t>
            </w:r>
          </w:p>
        </w:tc>
        <w:tc>
          <w:tcPr>
            <w:tcW w:w="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40" w:type="dxa"/>
            <w:vAlign w:val="bottom"/>
            <w:tcBorders>
              <w:bottom w:val="single" w:sz="8" w:color="auto"/>
            </w:tcBorders>
            <w:shd w:val="clear" w:color="auto" w:fill="E5FFFF"/>
          </w:tcPr>
          <w:p>
            <w:pPr>
              <w:jc w:val="right"/>
              <w:ind w:right="68"/>
              <w:spacing w:after="0"/>
              <w:rPr>
                <w:sz w:val="20"/>
                <w:szCs w:val="20"/>
                <w:color w:val="auto"/>
              </w:rPr>
            </w:pPr>
            <w:r>
              <w:rPr>
                <w:rFonts w:ascii="Arial" w:cs="Arial" w:eastAsia="Arial" w:hAnsi="Arial"/>
                <w:sz w:val="19"/>
                <w:szCs w:val="19"/>
                <w:color w:val="auto"/>
              </w:rPr>
              <w:t>304</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24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9"/>
                <w:szCs w:val="19"/>
                <w:color w:val="auto"/>
              </w:rPr>
              <w:t>355</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060" w:type="dxa"/>
            <w:vAlign w:val="bottom"/>
            <w:tcBorders>
              <w:bottom w:val="single" w:sz="8" w:color="auto"/>
            </w:tcBorders>
            <w:shd w:val="clear" w:color="auto" w:fill="E5FFFF"/>
          </w:tcPr>
          <w:p>
            <w:pPr>
              <w:jc w:val="right"/>
              <w:ind w:right="72"/>
              <w:spacing w:after="0"/>
              <w:rPr>
                <w:sz w:val="20"/>
                <w:szCs w:val="20"/>
                <w:color w:val="auto"/>
              </w:rPr>
            </w:pPr>
            <w:r>
              <w:rPr>
                <w:rFonts w:ascii="Arial" w:cs="Arial" w:eastAsia="Arial" w:hAnsi="Arial"/>
                <w:sz w:val="19"/>
                <w:szCs w:val="19"/>
                <w:color w:val="auto"/>
              </w:rPr>
              <w:t>170</w:t>
            </w:r>
          </w:p>
        </w:tc>
        <w:tc>
          <w:tcPr>
            <w:tcW w:w="300" w:type="dxa"/>
            <w:vAlign w:val="bottom"/>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338"/>
              <w:spacing w:after="0"/>
              <w:rPr>
                <w:sz w:val="20"/>
                <w:szCs w:val="20"/>
                <w:color w:val="auto"/>
              </w:rPr>
            </w:pPr>
            <w:r>
              <w:rPr>
                <w:rFonts w:ascii="Arial" w:cs="Arial" w:eastAsia="Arial" w:hAnsi="Arial"/>
                <w:sz w:val="19"/>
                <w:szCs w:val="19"/>
                <w:color w:val="auto"/>
                <w:w w:val="94"/>
              </w:rPr>
              <w:t>$</w:t>
            </w:r>
          </w:p>
        </w:tc>
        <w:tc>
          <w:tcPr>
            <w:tcW w:w="14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ind w:right="45"/>
              <w:spacing w:after="0"/>
              <w:rPr>
                <w:sz w:val="20"/>
                <w:szCs w:val="20"/>
                <w:color w:val="auto"/>
              </w:rPr>
            </w:pPr>
            <w:r>
              <w:rPr>
                <w:rFonts w:ascii="Arial" w:cs="Arial" w:eastAsia="Arial" w:hAnsi="Arial"/>
                <w:sz w:val="19"/>
                <w:szCs w:val="19"/>
                <w:color w:val="auto"/>
              </w:rPr>
              <w:t>(11)</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818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9"/>
                <w:szCs w:val="19"/>
                <w:color w:val="auto"/>
              </w:rPr>
              <w:t>55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Reclassifications Out of Accumulated Other Comprehensive Income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6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98"/>
              </w:rPr>
              <w:t>Year Ended December 31, 2014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14"/>
          </w:tcPr>
          <w:p>
            <w:pPr>
              <w:jc w:val="center"/>
              <w:ind w:right="85"/>
              <w:spacing w:after="0"/>
              <w:rPr>
                <w:sz w:val="20"/>
                <w:szCs w:val="20"/>
                <w:color w:val="auto"/>
              </w:rPr>
            </w:pPr>
            <w:r>
              <w:rPr>
                <w:rFonts w:ascii="Arial" w:cs="Arial" w:eastAsia="Arial" w:hAnsi="Arial"/>
                <w:sz w:val="16"/>
                <w:szCs w:val="16"/>
                <w:b w:val="1"/>
                <w:bCs w:val="1"/>
                <w:color w:val="auto"/>
                <w:w w:val="98"/>
              </w:rPr>
              <w:t>Affected Line in the Consolidated Statement of Operations</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40"/>
              <w:spacing w:after="0" w:line="155" w:lineRule="exact"/>
              <w:rPr>
                <w:sz w:val="20"/>
                <w:szCs w:val="20"/>
                <w:color w:val="auto"/>
              </w:rPr>
            </w:pPr>
            <w:r>
              <w:rPr>
                <w:rFonts w:ascii="Arial" w:cs="Arial" w:eastAsia="Arial" w:hAnsi="Arial"/>
                <w:sz w:val="16"/>
                <w:szCs w:val="16"/>
                <w:b w:val="1"/>
                <w:bCs w:val="1"/>
                <w:color w:val="auto"/>
                <w:w w:val="98"/>
              </w:rPr>
              <w:t>Selling,</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49"/>
              <w:spacing w:after="0" w:line="176" w:lineRule="exact"/>
              <w:rPr>
                <w:sz w:val="20"/>
                <w:szCs w:val="20"/>
                <w:color w:val="auto"/>
              </w:rPr>
            </w:pPr>
            <w:r>
              <w:rPr>
                <w:rFonts w:ascii="Arial" w:cs="Arial" w:eastAsia="Arial" w:hAnsi="Arial"/>
                <w:sz w:val="16"/>
                <w:szCs w:val="16"/>
                <w:b w:val="1"/>
                <w:bCs w:val="1"/>
                <w:color w:val="auto"/>
              </w:rPr>
              <w:t>Cost of</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Cost of</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140"/>
              <w:spacing w:after="0" w:line="176" w:lineRule="exact"/>
              <w:rPr>
                <w:sz w:val="20"/>
                <w:szCs w:val="20"/>
                <w:color w:val="auto"/>
              </w:rPr>
            </w:pPr>
            <w:r>
              <w:rPr>
                <w:rFonts w:ascii="Arial" w:cs="Arial" w:eastAsia="Arial" w:hAnsi="Arial"/>
                <w:sz w:val="16"/>
                <w:szCs w:val="16"/>
                <w:b w:val="1"/>
                <w:bCs w:val="1"/>
                <w:color w:val="auto"/>
                <w:w w:val="99"/>
              </w:rPr>
              <w:t>General and</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45"/>
              <w:spacing w:after="0" w:line="176" w:lineRule="exact"/>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Product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Products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Services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6"/>
                <w:szCs w:val="16"/>
                <w:b w:val="1"/>
                <w:bCs w:val="1"/>
                <w:color w:val="auto"/>
                <w:w w:val="98"/>
              </w:rPr>
              <w:t>Administrative</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(Income)</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45"/>
              <w:spacing w:after="0"/>
              <w:rPr>
                <w:sz w:val="20"/>
                <w:szCs w:val="20"/>
                <w:color w:val="auto"/>
              </w:rPr>
            </w:pPr>
            <w:r>
              <w:rPr>
                <w:rFonts w:ascii="Arial" w:cs="Arial" w:eastAsia="Arial" w:hAnsi="Arial"/>
                <w:sz w:val="16"/>
                <w:szCs w:val="16"/>
                <w:b w:val="1"/>
                <w:bCs w:val="1"/>
                <w:color w:val="auto"/>
              </w:rPr>
              <w:t>Sales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9"/>
              <w:spacing w:after="0"/>
              <w:rPr>
                <w:sz w:val="20"/>
                <w:szCs w:val="20"/>
                <w:color w:val="auto"/>
              </w:rPr>
            </w:pPr>
            <w:r>
              <w:rPr>
                <w:rFonts w:ascii="Arial" w:cs="Arial" w:eastAsia="Arial" w:hAnsi="Arial"/>
                <w:sz w:val="16"/>
                <w:szCs w:val="16"/>
                <w:b w:val="1"/>
                <w:bCs w:val="1"/>
                <w:color w:val="auto"/>
              </w:rPr>
              <w:t>Sold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6"/>
              <w:spacing w:after="0"/>
              <w:rPr>
                <w:sz w:val="20"/>
                <w:szCs w:val="20"/>
                <w:color w:val="auto"/>
              </w:rPr>
            </w:pPr>
            <w:r>
              <w:rPr>
                <w:rFonts w:ascii="Arial" w:cs="Arial" w:eastAsia="Arial" w:hAnsi="Arial"/>
                <w:sz w:val="16"/>
                <w:szCs w:val="16"/>
                <w:b w:val="1"/>
                <w:bCs w:val="1"/>
                <w:color w:val="auto"/>
                <w:w w:val="97"/>
              </w:rPr>
              <w:t>Sold</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8"/>
              </w:rPr>
              <w:t>Expenses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Expense</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86"/>
        </w:trPr>
        <w:tc>
          <w:tcPr>
            <w:tcW w:w="4660" w:type="dxa"/>
            <w:vAlign w:val="bottom"/>
            <w:shd w:val="clear" w:color="auto" w:fill="E5FFFF"/>
          </w:tcPr>
          <w:p>
            <w:pPr>
              <w:spacing w:after="0" w:line="185" w:lineRule="exact"/>
              <w:rPr>
                <w:sz w:val="20"/>
                <w:szCs w:val="20"/>
                <w:color w:val="auto"/>
              </w:rPr>
            </w:pPr>
            <w:r>
              <w:rPr>
                <w:rFonts w:ascii="Arial" w:cs="Arial" w:eastAsia="Arial" w:hAnsi="Arial"/>
                <w:sz w:val="19"/>
                <w:szCs w:val="19"/>
                <w:b w:val="1"/>
                <w:bCs w:val="1"/>
                <w:color w:val="auto"/>
              </w:rPr>
              <w:t>Amortization of Pension and Other</w:t>
            </w:r>
          </w:p>
        </w:tc>
        <w:tc>
          <w:tcPr>
            <w:tcW w:w="2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56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7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54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60" w:type="dxa"/>
            <w:vAlign w:val="bottom"/>
            <w:shd w:val="clear" w:color="auto" w:fill="E5FFFF"/>
          </w:tcPr>
          <w:p>
            <w:pPr>
              <w:ind w:left="180"/>
              <w:spacing w:after="0"/>
              <w:rPr>
                <w:sz w:val="20"/>
                <w:szCs w:val="20"/>
                <w:color w:val="auto"/>
              </w:rPr>
            </w:pPr>
            <w:r>
              <w:rPr>
                <w:rFonts w:ascii="Arial" w:cs="Arial" w:eastAsia="Arial" w:hAnsi="Arial"/>
                <w:sz w:val="19"/>
                <w:szCs w:val="19"/>
                <w:b w:val="1"/>
                <w:bCs w:val="1"/>
                <w:color w:val="auto"/>
              </w:rPr>
              <w:t>Postretirement Items:</w:t>
            </w:r>
          </w:p>
        </w:tc>
        <w:tc>
          <w:tcPr>
            <w:tcW w:w="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9"/>
                <w:szCs w:val="19"/>
                <w:color w:val="auto"/>
              </w:rPr>
              <w:t>Actuarial losses recognized</w:t>
            </w:r>
          </w:p>
        </w:tc>
        <w:tc>
          <w:tcPr>
            <w:tcW w:w="160" w:type="dxa"/>
            <w:vAlign w:val="bottom"/>
            <w:gridSpan w:val="2"/>
          </w:tcPr>
          <w:p>
            <w:pPr>
              <w:jc w:val="right"/>
              <w:spacing w:after="0"/>
              <w:rPr>
                <w:sz w:val="20"/>
                <w:szCs w:val="20"/>
                <w:color w:val="auto"/>
              </w:rPr>
            </w:pPr>
            <w:r>
              <w:rPr>
                <w:rFonts w:ascii="Arial" w:cs="Arial" w:eastAsia="Arial" w:hAnsi="Arial"/>
                <w:sz w:val="19"/>
                <w:szCs w:val="19"/>
                <w:color w:val="auto"/>
                <w:w w:val="94"/>
              </w:rPr>
              <w:t>$</w:t>
            </w:r>
          </w:p>
        </w:tc>
        <w:tc>
          <w:tcPr>
            <w:tcW w:w="56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44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29"/>
              <w:spacing w:after="0"/>
              <w:rPr>
                <w:sz w:val="20"/>
                <w:szCs w:val="20"/>
                <w:color w:val="auto"/>
              </w:rPr>
            </w:pPr>
            <w:r>
              <w:rPr>
                <w:rFonts w:ascii="Arial" w:cs="Arial" w:eastAsia="Arial" w:hAnsi="Arial"/>
                <w:sz w:val="19"/>
                <w:szCs w:val="19"/>
                <w:color w:val="auto"/>
              </w:rPr>
              <w:t>199</w:t>
            </w:r>
          </w:p>
        </w:tc>
        <w:tc>
          <w:tcPr>
            <w:tcW w:w="4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26"/>
              <w:spacing w:after="0"/>
              <w:rPr>
                <w:sz w:val="20"/>
                <w:szCs w:val="20"/>
                <w:color w:val="auto"/>
              </w:rPr>
            </w:pPr>
            <w:r>
              <w:rPr>
                <w:rFonts w:ascii="Arial" w:cs="Arial" w:eastAsia="Arial" w:hAnsi="Arial"/>
                <w:sz w:val="19"/>
                <w:szCs w:val="19"/>
                <w:color w:val="auto"/>
              </w:rPr>
              <w:t>38</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90"/>
              <w:spacing w:after="0"/>
              <w:rPr>
                <w:sz w:val="20"/>
                <w:szCs w:val="20"/>
                <w:color w:val="auto"/>
              </w:rPr>
            </w:pPr>
            <w:r>
              <w:rPr>
                <w:rFonts w:ascii="Arial" w:cs="Arial" w:eastAsia="Arial" w:hAnsi="Arial"/>
                <w:sz w:val="19"/>
                <w:szCs w:val="19"/>
                <w:color w:val="auto"/>
              </w:rPr>
              <w:t>42</w:t>
            </w:r>
          </w:p>
        </w:tc>
        <w:tc>
          <w:tcPr>
            <w:tcW w:w="2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44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5"/>
              <w:spacing w:after="0"/>
              <w:rPr>
                <w:sz w:val="20"/>
                <w:szCs w:val="20"/>
                <w:color w:val="auto"/>
              </w:rPr>
            </w:pPr>
            <w:r>
              <w:rPr>
                <w:rFonts w:ascii="Arial" w:cs="Arial" w:eastAsia="Arial" w:hAnsi="Arial"/>
                <w:sz w:val="19"/>
                <w:szCs w:val="19"/>
                <w:color w:val="auto"/>
              </w:rPr>
              <w:t>279</w:t>
            </w:r>
          </w:p>
        </w:tc>
        <w:tc>
          <w:tcPr>
            <w:tcW w:w="0" w:type="dxa"/>
            <w:vAlign w:val="bottom"/>
          </w:tcPr>
          <w:p>
            <w:pPr>
              <w:spacing w:after="0"/>
              <w:rPr>
                <w:sz w:val="1"/>
                <w:szCs w:val="1"/>
                <w:color w:val="auto"/>
              </w:rPr>
            </w:pPr>
          </w:p>
        </w:tc>
      </w:tr>
      <w:tr>
        <w:trPr>
          <w:trHeight w:val="243"/>
        </w:trPr>
        <w:tc>
          <w:tcPr>
            <w:tcW w:w="46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Prior service (credit) recognized</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45"/>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60" w:type="dxa"/>
            <w:vAlign w:val="bottom"/>
            <w:gridSpan w:val="2"/>
            <w:shd w:val="clear" w:color="auto" w:fill="E5FFFF"/>
          </w:tcPr>
          <w:p>
            <w:pPr>
              <w:jc w:val="right"/>
              <w:ind w:right="200"/>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9"/>
                <w:szCs w:val="19"/>
                <w:color w:val="auto"/>
              </w:rPr>
              <w:t>Transition obligation recognized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9"/>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5"/>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3"/>
        </w:trPr>
        <w:tc>
          <w:tcPr>
            <w:tcW w:w="4660" w:type="dxa"/>
            <w:vAlign w:val="bottom"/>
            <w:shd w:val="clear" w:color="auto" w:fill="E5FFFF"/>
          </w:tcPr>
          <w:p>
            <w:pPr>
              <w:spacing w:after="0"/>
              <w:rPr>
                <w:sz w:val="20"/>
                <w:szCs w:val="20"/>
                <w:color w:val="auto"/>
              </w:rPr>
            </w:pPr>
            <w:r>
              <w:rPr>
                <w:rFonts w:ascii="Arial" w:cs="Arial" w:eastAsia="Arial" w:hAnsi="Arial"/>
                <w:sz w:val="19"/>
                <w:szCs w:val="19"/>
                <w:color w:val="auto"/>
              </w:rPr>
              <w:t>Losses (gains) on cash flow hedges</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29"/>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40" w:type="dxa"/>
            <w:vAlign w:val="bottom"/>
            <w:shd w:val="clear" w:color="auto" w:fill="E5FFFF"/>
          </w:tcPr>
          <w:p>
            <w:pPr>
              <w:jc w:val="right"/>
              <w:ind w:right="90"/>
              <w:spacing w:after="0"/>
              <w:rPr>
                <w:sz w:val="20"/>
                <w:szCs w:val="20"/>
                <w:color w:val="auto"/>
              </w:rPr>
            </w:pPr>
            <w:r>
              <w:rPr>
                <w:rFonts w:ascii="Arial" w:cs="Arial" w:eastAsia="Arial" w:hAnsi="Arial"/>
                <w:sz w:val="19"/>
                <w:szCs w:val="19"/>
                <w:color w:val="auto"/>
              </w:rPr>
              <w:t>5</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0"/>
                <w:szCs w:val="20"/>
                <w:color w:val="auto"/>
              </w:rPr>
            </w:pPr>
            <w:r>
              <w:rPr>
                <w:rFonts w:ascii="Arial" w:cs="Arial" w:eastAsia="Arial" w:hAnsi="Arial"/>
                <w:sz w:val="19"/>
                <w:szCs w:val="19"/>
                <w:color w:val="auto"/>
              </w:rPr>
              <w:t>Unrealized gains on available for sale investments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(221)</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(221)</w:t>
            </w:r>
          </w:p>
        </w:tc>
        <w:tc>
          <w:tcPr>
            <w:tcW w:w="0" w:type="dxa"/>
            <w:vAlign w:val="bottom"/>
          </w:tcPr>
          <w:p>
            <w:pPr>
              <w:spacing w:after="0"/>
              <w:rPr>
                <w:sz w:val="1"/>
                <w:szCs w:val="1"/>
                <w:color w:val="auto"/>
              </w:rPr>
            </w:pPr>
          </w:p>
        </w:tc>
      </w:tr>
      <w:tr>
        <w:trPr>
          <w:trHeight w:val="243"/>
        </w:trPr>
        <w:tc>
          <w:tcPr>
            <w:tcW w:w="4660" w:type="dxa"/>
            <w:vAlign w:val="bottom"/>
            <w:shd w:val="clear" w:color="auto" w:fill="E5FFFF"/>
          </w:tcPr>
          <w:p>
            <w:pPr>
              <w:spacing w:after="0"/>
              <w:rPr>
                <w:sz w:val="20"/>
                <w:szCs w:val="20"/>
                <w:color w:val="auto"/>
              </w:rPr>
            </w:pPr>
            <w:r>
              <w:rPr>
                <w:rFonts w:ascii="Arial" w:cs="Arial" w:eastAsia="Arial" w:hAnsi="Arial"/>
                <w:sz w:val="19"/>
                <w:szCs w:val="19"/>
                <w:color w:val="auto"/>
              </w:rPr>
              <w:t>Total before tax</w:t>
            </w: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44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ind w:right="29"/>
              <w:spacing w:after="0"/>
              <w:rPr>
                <w:sz w:val="20"/>
                <w:szCs w:val="20"/>
                <w:color w:val="auto"/>
              </w:rPr>
            </w:pPr>
            <w:r>
              <w:rPr>
                <w:rFonts w:ascii="Arial" w:cs="Arial" w:eastAsia="Arial" w:hAnsi="Arial"/>
                <w:sz w:val="19"/>
                <w:szCs w:val="19"/>
                <w:color w:val="auto"/>
              </w:rPr>
              <w:t>200</w:t>
            </w:r>
          </w:p>
        </w:tc>
        <w:tc>
          <w:tcPr>
            <w:tcW w:w="42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ind w:right="26"/>
              <w:spacing w:after="0"/>
              <w:rPr>
                <w:sz w:val="20"/>
                <w:szCs w:val="20"/>
                <w:color w:val="auto"/>
              </w:rPr>
            </w:pPr>
            <w:r>
              <w:rPr>
                <w:rFonts w:ascii="Arial" w:cs="Arial" w:eastAsia="Arial" w:hAnsi="Arial"/>
                <w:sz w:val="19"/>
                <w:szCs w:val="19"/>
                <w:color w:val="auto"/>
              </w:rPr>
              <w:t>38</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240" w:type="dxa"/>
            <w:vAlign w:val="bottom"/>
            <w:shd w:val="clear" w:color="auto" w:fill="E5FFFF"/>
          </w:tcPr>
          <w:p>
            <w:pPr>
              <w:jc w:val="right"/>
              <w:ind w:right="90"/>
              <w:spacing w:after="0"/>
              <w:rPr>
                <w:sz w:val="20"/>
                <w:szCs w:val="20"/>
                <w:color w:val="auto"/>
              </w:rPr>
            </w:pPr>
            <w:r>
              <w:rPr>
                <w:rFonts w:ascii="Arial" w:cs="Arial" w:eastAsia="Arial" w:hAnsi="Arial"/>
                <w:sz w:val="19"/>
                <w:szCs w:val="19"/>
                <w:color w:val="auto"/>
              </w:rPr>
              <w:t>47</w:t>
            </w:r>
          </w:p>
        </w:tc>
        <w:tc>
          <w:tcPr>
            <w:tcW w:w="2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(221)</w:t>
            </w: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59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tcPr>
          <w:p>
            <w:pPr>
              <w:spacing w:after="0"/>
              <w:rPr>
                <w:sz w:val="20"/>
                <w:szCs w:val="20"/>
                <w:color w:val="auto"/>
              </w:rPr>
            </w:pPr>
            <w:r>
              <w:rPr>
                <w:rFonts w:ascii="Arial" w:cs="Arial" w:eastAsia="Arial" w:hAnsi="Arial"/>
                <w:sz w:val="19"/>
                <w:szCs w:val="19"/>
                <w:color w:val="auto"/>
              </w:rPr>
              <w:t>Tax expense (benefit)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243"/>
        </w:trPr>
        <w:tc>
          <w:tcPr>
            <w:tcW w:w="4660" w:type="dxa"/>
            <w:vAlign w:val="bottom"/>
            <w:shd w:val="clear" w:color="auto" w:fill="E5FFFF"/>
          </w:tcPr>
          <w:p>
            <w:pPr>
              <w:spacing w:after="0"/>
              <w:rPr>
                <w:sz w:val="20"/>
                <w:szCs w:val="20"/>
                <w:color w:val="auto"/>
              </w:rPr>
            </w:pPr>
            <w:r>
              <w:rPr>
                <w:rFonts w:ascii="Arial" w:cs="Arial" w:eastAsia="Arial" w:hAnsi="Arial"/>
                <w:sz w:val="19"/>
                <w:szCs w:val="19"/>
                <w:color w:val="auto"/>
              </w:rPr>
              <w:t>Total reclassifications for the period, net of tax</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6"/>
            <w:vMerge w:val="restart"/>
          </w:tcPr>
          <w:p>
            <w:pPr>
              <w:jc w:val="center"/>
              <w:ind w:right="40"/>
              <w:spacing w:after="0"/>
              <w:rPr>
                <w:sz w:val="20"/>
                <w:szCs w:val="20"/>
                <w:color w:val="auto"/>
              </w:rPr>
            </w:pPr>
            <w:r>
              <w:rPr>
                <w:rFonts w:ascii="Arial" w:cs="Arial" w:eastAsia="Arial" w:hAnsi="Arial"/>
                <w:sz w:val="16"/>
                <w:szCs w:val="16"/>
                <w:b w:val="1"/>
                <w:bCs w:val="1"/>
                <w:color w:val="auto"/>
                <w:w w:val="98"/>
              </w:rPr>
              <w:t>Year Ended December 31, 2013</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14"/>
          </w:tcPr>
          <w:p>
            <w:pPr>
              <w:jc w:val="center"/>
              <w:ind w:right="65"/>
              <w:spacing w:after="0"/>
              <w:rPr>
                <w:sz w:val="20"/>
                <w:szCs w:val="20"/>
                <w:color w:val="auto"/>
              </w:rPr>
            </w:pPr>
            <w:r>
              <w:rPr>
                <w:rFonts w:ascii="Arial" w:cs="Arial" w:eastAsia="Arial" w:hAnsi="Arial"/>
                <w:sz w:val="16"/>
                <w:szCs w:val="16"/>
                <w:b w:val="1"/>
                <w:bCs w:val="1"/>
                <w:color w:val="auto"/>
                <w:w w:val="98"/>
              </w:rPr>
              <w:t>Affected Line in the Consolidated Statement of Operations</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40"/>
              <w:spacing w:after="0" w:line="155" w:lineRule="exact"/>
              <w:rPr>
                <w:sz w:val="20"/>
                <w:szCs w:val="20"/>
                <w:color w:val="auto"/>
              </w:rPr>
            </w:pPr>
            <w:r>
              <w:rPr>
                <w:rFonts w:ascii="Arial" w:cs="Arial" w:eastAsia="Arial" w:hAnsi="Arial"/>
                <w:sz w:val="16"/>
                <w:szCs w:val="16"/>
                <w:b w:val="1"/>
                <w:bCs w:val="1"/>
                <w:color w:val="auto"/>
                <w:w w:val="98"/>
              </w:rPr>
              <w:t>Selling,</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29"/>
              <w:spacing w:after="0" w:line="176" w:lineRule="exact"/>
              <w:rPr>
                <w:sz w:val="20"/>
                <w:szCs w:val="20"/>
                <w:color w:val="auto"/>
              </w:rPr>
            </w:pPr>
            <w:r>
              <w:rPr>
                <w:rFonts w:ascii="Arial" w:cs="Arial" w:eastAsia="Arial" w:hAnsi="Arial"/>
                <w:sz w:val="16"/>
                <w:szCs w:val="16"/>
                <w:b w:val="1"/>
                <w:bCs w:val="1"/>
                <w:color w:val="auto"/>
                <w:w w:val="97"/>
              </w:rPr>
              <w:t>Cost of</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26"/>
              <w:spacing w:after="0" w:line="176" w:lineRule="exact"/>
              <w:rPr>
                <w:sz w:val="20"/>
                <w:szCs w:val="20"/>
                <w:color w:val="auto"/>
              </w:rPr>
            </w:pPr>
            <w:r>
              <w:rPr>
                <w:rFonts w:ascii="Arial" w:cs="Arial" w:eastAsia="Arial" w:hAnsi="Arial"/>
                <w:sz w:val="16"/>
                <w:szCs w:val="16"/>
                <w:b w:val="1"/>
                <w:bCs w:val="1"/>
                <w:color w:val="auto"/>
              </w:rPr>
              <w:t>Cost of</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140"/>
              <w:spacing w:after="0" w:line="176" w:lineRule="exact"/>
              <w:rPr>
                <w:sz w:val="20"/>
                <w:szCs w:val="20"/>
                <w:color w:val="auto"/>
              </w:rPr>
            </w:pPr>
            <w:r>
              <w:rPr>
                <w:rFonts w:ascii="Arial" w:cs="Arial" w:eastAsia="Arial" w:hAnsi="Arial"/>
                <w:sz w:val="16"/>
                <w:szCs w:val="16"/>
                <w:b w:val="1"/>
                <w:bCs w:val="1"/>
                <w:color w:val="auto"/>
                <w:w w:val="99"/>
              </w:rPr>
              <w:t>General and</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85"/>
              <w:spacing w:after="0" w:line="176" w:lineRule="exact"/>
              <w:rPr>
                <w:sz w:val="20"/>
                <w:szCs w:val="20"/>
                <w:color w:val="auto"/>
              </w:rPr>
            </w:pPr>
            <w:r>
              <w:rPr>
                <w:rFonts w:ascii="Arial" w:cs="Arial" w:eastAsia="Arial" w:hAnsi="Arial"/>
                <w:sz w:val="16"/>
                <w:szCs w:val="16"/>
                <w:b w:val="1"/>
                <w:bCs w:val="1"/>
                <w:color w:val="auto"/>
                <w:w w:val="98"/>
              </w:rPr>
              <w:t>Other</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Product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Products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7"/>
              </w:rPr>
              <w:t>Services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160"/>
              <w:spacing w:after="0" w:line="176" w:lineRule="exact"/>
              <w:rPr>
                <w:sz w:val="20"/>
                <w:szCs w:val="20"/>
                <w:color w:val="auto"/>
              </w:rPr>
            </w:pPr>
            <w:r>
              <w:rPr>
                <w:rFonts w:ascii="Arial" w:cs="Arial" w:eastAsia="Arial" w:hAnsi="Arial"/>
                <w:sz w:val="16"/>
                <w:szCs w:val="16"/>
                <w:b w:val="1"/>
                <w:bCs w:val="1"/>
                <w:color w:val="auto"/>
                <w:w w:val="98"/>
              </w:rPr>
              <w:t>Administrative</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8"/>
              </w:rPr>
              <w:t>(Income)</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center"/>
              <w:ind w:right="25"/>
              <w:spacing w:after="0"/>
              <w:rPr>
                <w:sz w:val="20"/>
                <w:szCs w:val="20"/>
                <w:color w:val="auto"/>
              </w:rPr>
            </w:pPr>
            <w:r>
              <w:rPr>
                <w:rFonts w:ascii="Arial" w:cs="Arial" w:eastAsia="Arial" w:hAnsi="Arial"/>
                <w:sz w:val="16"/>
                <w:szCs w:val="16"/>
                <w:b w:val="1"/>
                <w:bCs w:val="1"/>
                <w:color w:val="auto"/>
                <w:w w:val="95"/>
              </w:rPr>
              <w:t>Sales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29"/>
              <w:spacing w:after="0"/>
              <w:rPr>
                <w:sz w:val="20"/>
                <w:szCs w:val="20"/>
                <w:color w:val="auto"/>
              </w:rPr>
            </w:pPr>
            <w:r>
              <w:rPr>
                <w:rFonts w:ascii="Arial" w:cs="Arial" w:eastAsia="Arial" w:hAnsi="Arial"/>
                <w:sz w:val="16"/>
                <w:szCs w:val="16"/>
                <w:b w:val="1"/>
                <w:bCs w:val="1"/>
                <w:color w:val="auto"/>
                <w:w w:val="97"/>
              </w:rPr>
              <w:t>Sold</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26"/>
              <w:spacing w:after="0"/>
              <w:rPr>
                <w:sz w:val="20"/>
                <w:szCs w:val="20"/>
                <w:color w:val="auto"/>
              </w:rPr>
            </w:pPr>
            <w:r>
              <w:rPr>
                <w:rFonts w:ascii="Arial" w:cs="Arial" w:eastAsia="Arial" w:hAnsi="Arial"/>
                <w:sz w:val="16"/>
                <w:szCs w:val="16"/>
                <w:b w:val="1"/>
                <w:bCs w:val="1"/>
                <w:color w:val="auto"/>
              </w:rPr>
              <w:t>Sold</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Expenses</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Expense</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65"/>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6"/>
        </w:trPr>
        <w:tc>
          <w:tcPr>
            <w:tcW w:w="4660" w:type="dxa"/>
            <w:vAlign w:val="bottom"/>
            <w:shd w:val="clear" w:color="auto" w:fill="E5FFFF"/>
          </w:tcPr>
          <w:p>
            <w:pPr>
              <w:spacing w:after="0" w:line="185" w:lineRule="exact"/>
              <w:rPr>
                <w:sz w:val="20"/>
                <w:szCs w:val="20"/>
                <w:color w:val="auto"/>
              </w:rPr>
            </w:pPr>
            <w:r>
              <w:rPr>
                <w:rFonts w:ascii="Arial" w:cs="Arial" w:eastAsia="Arial" w:hAnsi="Arial"/>
                <w:sz w:val="19"/>
                <w:szCs w:val="19"/>
                <w:b w:val="1"/>
                <w:bCs w:val="1"/>
                <w:color w:val="auto"/>
              </w:rPr>
              <w:t>Amortization of Pension and Other</w:t>
            </w:r>
          </w:p>
        </w:tc>
        <w:tc>
          <w:tcPr>
            <w:tcW w:w="20" w:type="dxa"/>
            <w:vAlign w:val="bottom"/>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56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20" w:type="dxa"/>
            <w:vAlign w:val="bottom"/>
            <w:tcBorders>
              <w:top w:val="single" w:sz="8" w:color="auto"/>
            </w:tcBorders>
            <w:shd w:val="clear" w:color="auto" w:fill="E5FFFF"/>
          </w:tcPr>
          <w:p>
            <w:pPr>
              <w:spacing w:after="0"/>
              <w:rPr>
                <w:sz w:val="16"/>
                <w:szCs w:val="16"/>
                <w:color w:val="auto"/>
              </w:rPr>
            </w:pPr>
          </w:p>
        </w:tc>
        <w:tc>
          <w:tcPr>
            <w:tcW w:w="70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100" w:type="dxa"/>
            <w:vAlign w:val="bottom"/>
            <w:tcBorders>
              <w:top w:val="single" w:sz="8" w:color="auto"/>
            </w:tcBorders>
            <w:shd w:val="clear" w:color="auto" w:fill="E5FFFF"/>
          </w:tcPr>
          <w:p>
            <w:pPr>
              <w:spacing w:after="0"/>
              <w:rPr>
                <w:sz w:val="16"/>
                <w:szCs w:val="16"/>
                <w:color w:val="auto"/>
              </w:rPr>
            </w:pPr>
          </w:p>
        </w:tc>
        <w:tc>
          <w:tcPr>
            <w:tcW w:w="680" w:type="dxa"/>
            <w:vAlign w:val="bottom"/>
            <w:tcBorders>
              <w:top w:val="single" w:sz="8" w:color="auto"/>
            </w:tcBorders>
            <w:shd w:val="clear" w:color="auto" w:fill="E5FFFF"/>
          </w:tcPr>
          <w:p>
            <w:pPr>
              <w:spacing w:after="0"/>
              <w:rPr>
                <w:sz w:val="16"/>
                <w:szCs w:val="16"/>
                <w:color w:val="auto"/>
              </w:rPr>
            </w:pPr>
          </w:p>
        </w:tc>
        <w:tc>
          <w:tcPr>
            <w:tcW w:w="280" w:type="dxa"/>
            <w:vAlign w:val="bottom"/>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1240" w:type="dxa"/>
            <w:vAlign w:val="bottom"/>
            <w:tcBorders>
              <w:top w:val="single" w:sz="8" w:color="auto"/>
            </w:tcBorders>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40" w:type="dxa"/>
            <w:vAlign w:val="bottom"/>
            <w:tcBorders>
              <w:top w:val="single" w:sz="8" w:color="auto"/>
            </w:tcBorders>
            <w:shd w:val="clear" w:color="auto" w:fill="E5FFFF"/>
          </w:tcPr>
          <w:p>
            <w:pPr>
              <w:spacing w:after="0"/>
              <w:rPr>
                <w:sz w:val="16"/>
                <w:szCs w:val="16"/>
                <w:color w:val="auto"/>
              </w:rPr>
            </w:pPr>
          </w:p>
        </w:tc>
        <w:tc>
          <w:tcPr>
            <w:tcW w:w="680" w:type="dxa"/>
            <w:vAlign w:val="bottom"/>
            <w:tcBorders>
              <w:top w:val="single" w:sz="8" w:color="auto"/>
            </w:tcBorders>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20" w:type="dxa"/>
            <w:vAlign w:val="bottom"/>
            <w:tcBorders>
              <w:top w:val="single" w:sz="8" w:color="auto"/>
            </w:tcBorders>
            <w:shd w:val="clear" w:color="auto" w:fill="E5FFFF"/>
          </w:tcPr>
          <w:p>
            <w:pPr>
              <w:spacing w:after="0"/>
              <w:rPr>
                <w:sz w:val="16"/>
                <w:szCs w:val="16"/>
                <w:color w:val="auto"/>
              </w:rPr>
            </w:pPr>
          </w:p>
        </w:tc>
        <w:tc>
          <w:tcPr>
            <w:tcW w:w="540" w:type="dxa"/>
            <w:vAlign w:val="bottom"/>
            <w:tcBorders>
              <w:top w:val="single" w:sz="8" w:color="auto"/>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660" w:type="dxa"/>
            <w:vAlign w:val="bottom"/>
            <w:shd w:val="clear" w:color="auto" w:fill="E5FFFF"/>
          </w:tcPr>
          <w:p>
            <w:pPr>
              <w:ind w:left="180"/>
              <w:spacing w:after="0"/>
              <w:rPr>
                <w:sz w:val="20"/>
                <w:szCs w:val="20"/>
                <w:color w:val="auto"/>
              </w:rPr>
            </w:pPr>
            <w:r>
              <w:rPr>
                <w:rFonts w:ascii="Arial" w:cs="Arial" w:eastAsia="Arial" w:hAnsi="Arial"/>
                <w:sz w:val="19"/>
                <w:szCs w:val="19"/>
                <w:b w:val="1"/>
                <w:bCs w:val="1"/>
                <w:color w:val="auto"/>
              </w:rPr>
              <w:t>Postretirement Items:</w:t>
            </w:r>
          </w:p>
        </w:tc>
        <w:tc>
          <w:tcPr>
            <w:tcW w:w="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54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9"/>
                <w:szCs w:val="19"/>
                <w:color w:val="auto"/>
              </w:rPr>
              <w:t>Actuarial losses recognized</w:t>
            </w:r>
          </w:p>
        </w:tc>
        <w:tc>
          <w:tcPr>
            <w:tcW w:w="1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44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29"/>
              <w:spacing w:after="0"/>
              <w:rPr>
                <w:sz w:val="20"/>
                <w:szCs w:val="20"/>
                <w:color w:val="auto"/>
              </w:rPr>
            </w:pPr>
            <w:r>
              <w:rPr>
                <w:rFonts w:ascii="Arial" w:cs="Arial" w:eastAsia="Arial" w:hAnsi="Arial"/>
                <w:sz w:val="19"/>
                <w:szCs w:val="19"/>
                <w:color w:val="auto"/>
              </w:rPr>
              <w:t>62</w:t>
            </w:r>
          </w:p>
        </w:tc>
        <w:tc>
          <w:tcPr>
            <w:tcW w:w="4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66"/>
              <w:spacing w:after="0"/>
              <w:rPr>
                <w:sz w:val="20"/>
                <w:szCs w:val="20"/>
                <w:color w:val="auto"/>
              </w:rPr>
            </w:pPr>
            <w:r>
              <w:rPr>
                <w:rFonts w:ascii="Arial" w:cs="Arial" w:eastAsia="Arial" w:hAnsi="Arial"/>
                <w:sz w:val="19"/>
                <w:szCs w:val="19"/>
                <w:color w:val="auto"/>
              </w:rPr>
              <w:t>14</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170"/>
              <w:spacing w:after="0"/>
              <w:rPr>
                <w:sz w:val="20"/>
                <w:szCs w:val="20"/>
                <w:color w:val="auto"/>
              </w:rPr>
            </w:pPr>
            <w:r>
              <w:rPr>
                <w:rFonts w:ascii="Arial" w:cs="Arial" w:eastAsia="Arial" w:hAnsi="Arial"/>
                <w:sz w:val="19"/>
                <w:szCs w:val="19"/>
                <w:color w:val="auto"/>
              </w:rPr>
              <w:t>13</w:t>
            </w:r>
          </w:p>
        </w:tc>
        <w:tc>
          <w:tcPr>
            <w:tcW w:w="2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ind w:right="5"/>
              <w:spacing w:after="0"/>
              <w:rPr>
                <w:sz w:val="20"/>
                <w:szCs w:val="20"/>
                <w:color w:val="auto"/>
              </w:rPr>
            </w:pPr>
            <w:r>
              <w:rPr>
                <w:rFonts w:ascii="Arial" w:cs="Arial" w:eastAsia="Arial" w:hAnsi="Arial"/>
                <w:sz w:val="19"/>
                <w:szCs w:val="19"/>
                <w:color w:val="auto"/>
              </w:rPr>
              <w:t>89</w:t>
            </w:r>
          </w:p>
        </w:tc>
        <w:tc>
          <w:tcPr>
            <w:tcW w:w="0" w:type="dxa"/>
            <w:vAlign w:val="bottom"/>
          </w:tcPr>
          <w:p>
            <w:pPr>
              <w:spacing w:after="0"/>
              <w:rPr>
                <w:sz w:val="1"/>
                <w:szCs w:val="1"/>
                <w:color w:val="auto"/>
              </w:rPr>
            </w:pPr>
          </w:p>
        </w:tc>
      </w:tr>
      <w:tr>
        <w:trPr>
          <w:trHeight w:val="243"/>
        </w:trPr>
        <w:tc>
          <w:tcPr>
            <w:tcW w:w="46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Prior service cost recognized</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29"/>
              <w:spacing w:after="0"/>
              <w:rPr>
                <w:sz w:val="20"/>
                <w:szCs w:val="20"/>
                <w:color w:val="auto"/>
              </w:rPr>
            </w:pPr>
            <w:r>
              <w:rPr>
                <w:rFonts w:ascii="Arial" w:cs="Arial" w:eastAsia="Arial" w:hAnsi="Arial"/>
                <w:sz w:val="19"/>
                <w:szCs w:val="19"/>
                <w:color w:val="auto"/>
              </w:rPr>
              <w:t>7</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66"/>
              <w:spacing w:after="0"/>
              <w:rPr>
                <w:sz w:val="20"/>
                <w:szCs w:val="20"/>
                <w:color w:val="auto"/>
              </w:rPr>
            </w:pPr>
            <w:r>
              <w:rPr>
                <w:rFonts w:ascii="Arial" w:cs="Arial" w:eastAsia="Arial" w:hAnsi="Arial"/>
                <w:sz w:val="19"/>
                <w:szCs w:val="19"/>
                <w:color w:val="auto"/>
              </w:rPr>
              <w:t>1</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40" w:type="dxa"/>
            <w:vAlign w:val="bottom"/>
            <w:shd w:val="clear" w:color="auto" w:fill="E5FFFF"/>
          </w:tcPr>
          <w:p>
            <w:pPr>
              <w:jc w:val="right"/>
              <w:ind w:right="170"/>
              <w:spacing w:after="0"/>
              <w:rPr>
                <w:sz w:val="20"/>
                <w:szCs w:val="20"/>
                <w:color w:val="auto"/>
              </w:rPr>
            </w:pPr>
            <w:r>
              <w:rPr>
                <w:rFonts w:ascii="Arial" w:cs="Arial" w:eastAsia="Arial" w:hAnsi="Arial"/>
                <w:sz w:val="19"/>
                <w:szCs w:val="19"/>
                <w:color w:val="auto"/>
              </w:rPr>
              <w:t>1</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9</w:t>
            </w:r>
          </w:p>
        </w:tc>
        <w:tc>
          <w:tcPr>
            <w:tcW w:w="0" w:type="dxa"/>
            <w:vAlign w:val="bottom"/>
          </w:tcPr>
          <w:p>
            <w:pPr>
              <w:spacing w:after="0"/>
              <w:rPr>
                <w:sz w:val="1"/>
                <w:szCs w:val="1"/>
                <w:color w:val="auto"/>
              </w:rPr>
            </w:pPr>
          </w:p>
        </w:tc>
      </w:tr>
      <w:tr>
        <w:trPr>
          <w:trHeight w:val="243"/>
        </w:trPr>
        <w:tc>
          <w:tcPr>
            <w:tcW w:w="4660" w:type="dxa"/>
            <w:vAlign w:val="bottom"/>
          </w:tcPr>
          <w:p>
            <w:pPr>
              <w:ind w:left="360"/>
              <w:spacing w:after="0"/>
              <w:rPr>
                <w:sz w:val="20"/>
                <w:szCs w:val="20"/>
                <w:color w:val="auto"/>
              </w:rPr>
            </w:pPr>
            <w:r>
              <w:rPr>
                <w:rFonts w:ascii="Arial" w:cs="Arial" w:eastAsia="Arial" w:hAnsi="Arial"/>
                <w:sz w:val="19"/>
                <w:szCs w:val="19"/>
                <w:color w:val="auto"/>
              </w:rPr>
              <w:t>Transition obligation recognized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5"/>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9"/>
              <w:spacing w:after="0"/>
              <w:rPr>
                <w:sz w:val="20"/>
                <w:szCs w:val="20"/>
                <w:color w:val="auto"/>
              </w:rPr>
            </w:pPr>
            <w:r>
              <w:rPr>
                <w:rFonts w:ascii="Arial" w:cs="Arial" w:eastAsia="Arial" w:hAnsi="Arial"/>
                <w:sz w:val="19"/>
                <w:szCs w:val="19"/>
                <w:color w:val="auto"/>
              </w:rPr>
              <w:t>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5"/>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3"/>
        </w:trPr>
        <w:tc>
          <w:tcPr>
            <w:tcW w:w="46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Settlements and curtailments</w:t>
            </w: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60" w:type="dxa"/>
            <w:vAlign w:val="bottom"/>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(6)</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40" w:type="dxa"/>
            <w:vAlign w:val="bottom"/>
            <w:shd w:val="clear" w:color="auto" w:fill="E5FFFF"/>
          </w:tcPr>
          <w:p>
            <w:pPr>
              <w:jc w:val="right"/>
              <w:ind w:right="90"/>
              <w:spacing w:after="0"/>
              <w:rPr>
                <w:sz w:val="20"/>
                <w:szCs w:val="20"/>
                <w:color w:val="auto"/>
              </w:rPr>
            </w:pPr>
            <w:r>
              <w:rPr>
                <w:rFonts w:ascii="Arial" w:cs="Arial" w:eastAsia="Arial" w:hAnsi="Arial"/>
                <w:sz w:val="19"/>
                <w:szCs w:val="19"/>
                <w:color w:val="auto"/>
              </w:rPr>
              <w:t>(6)</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9"/>
                <w:szCs w:val="19"/>
                <w:color w:val="auto"/>
              </w:rPr>
              <w:t>Losses on cash flow hedges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5"/>
              <w:spacing w:after="0"/>
              <w:rPr>
                <w:sz w:val="20"/>
                <w:szCs w:val="20"/>
                <w:color w:val="auto"/>
              </w:rPr>
            </w:pPr>
            <w:r>
              <w:rPr>
                <w:rFonts w:ascii="Arial" w:cs="Arial" w:eastAsia="Arial" w:hAnsi="Arial"/>
                <w:sz w:val="19"/>
                <w:szCs w:val="19"/>
                <w:color w:val="auto"/>
              </w:rPr>
              <w:t>7</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9"/>
              <w:spacing w:after="0"/>
              <w:rPr>
                <w:sz w:val="20"/>
                <w:szCs w:val="20"/>
                <w:color w:val="auto"/>
              </w:rPr>
            </w:pPr>
            <w:r>
              <w:rPr>
                <w:rFonts w:ascii="Arial" w:cs="Arial" w:eastAsia="Arial" w:hAnsi="Arial"/>
                <w:sz w:val="19"/>
                <w:szCs w:val="19"/>
                <w:color w:val="auto"/>
              </w:rPr>
              <w:t>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9"/>
                <w:szCs w:val="19"/>
                <w:color w:val="auto"/>
              </w:rPr>
              <w:t>11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25"/>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5"/>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43"/>
        </w:trPr>
        <w:tc>
          <w:tcPr>
            <w:tcW w:w="4660" w:type="dxa"/>
            <w:vAlign w:val="bottom"/>
            <w:shd w:val="clear" w:color="auto" w:fill="E5FFFF"/>
          </w:tcPr>
          <w:p>
            <w:pPr>
              <w:spacing w:after="0"/>
              <w:rPr>
                <w:sz w:val="20"/>
                <w:szCs w:val="20"/>
                <w:color w:val="auto"/>
              </w:rPr>
            </w:pPr>
            <w:r>
              <w:rPr>
                <w:rFonts w:ascii="Arial" w:cs="Arial" w:eastAsia="Arial" w:hAnsi="Arial"/>
                <w:sz w:val="19"/>
                <w:szCs w:val="19"/>
                <w:color w:val="auto"/>
              </w:rPr>
              <w:t>Unrealized gains on available for sale investments</w:t>
            </w: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29"/>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ind w:right="66"/>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240" w:type="dxa"/>
            <w:vAlign w:val="bottom"/>
            <w:tcBorders>
              <w:bottom w:val="single" w:sz="8" w:color="auto"/>
            </w:tcBorders>
            <w:shd w:val="clear" w:color="auto" w:fill="E5FFFF"/>
          </w:tcPr>
          <w:p>
            <w:pPr>
              <w:jc w:val="right"/>
              <w:ind w:right="170"/>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(195)</w:t>
            </w:r>
          </w:p>
        </w:tc>
        <w:tc>
          <w:tcPr>
            <w:tcW w:w="30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(195)</w:t>
            </w:r>
          </w:p>
        </w:tc>
        <w:tc>
          <w:tcPr>
            <w:tcW w:w="0" w:type="dxa"/>
            <w:vAlign w:val="bottom"/>
          </w:tcPr>
          <w:p>
            <w:pPr>
              <w:spacing w:after="0"/>
              <w:rPr>
                <w:sz w:val="1"/>
                <w:szCs w:val="1"/>
                <w:color w:val="auto"/>
              </w:rPr>
            </w:pPr>
          </w:p>
        </w:tc>
      </w:tr>
      <w:tr>
        <w:trPr>
          <w:trHeight w:val="250"/>
        </w:trPr>
        <w:tc>
          <w:tcPr>
            <w:tcW w:w="4660" w:type="dxa"/>
            <w:vAlign w:val="bottom"/>
          </w:tcPr>
          <w:p>
            <w:pPr>
              <w:spacing w:after="0"/>
              <w:rPr>
                <w:sz w:val="20"/>
                <w:szCs w:val="20"/>
                <w:color w:val="auto"/>
              </w:rPr>
            </w:pPr>
            <w:r>
              <w:rPr>
                <w:rFonts w:ascii="Arial" w:cs="Arial" w:eastAsia="Arial" w:hAnsi="Arial"/>
                <w:sz w:val="19"/>
                <w:szCs w:val="19"/>
                <w:color w:val="auto"/>
              </w:rPr>
              <w:t>Total before tax</w:t>
            </w:r>
          </w:p>
        </w:tc>
        <w:tc>
          <w:tcPr>
            <w:tcW w:w="1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ind w:right="5"/>
              <w:spacing w:after="0"/>
              <w:rPr>
                <w:sz w:val="20"/>
                <w:szCs w:val="20"/>
                <w:color w:val="auto"/>
              </w:rPr>
            </w:pPr>
            <w:r>
              <w:rPr>
                <w:rFonts w:ascii="Arial" w:cs="Arial" w:eastAsia="Arial" w:hAnsi="Arial"/>
                <w:sz w:val="19"/>
                <w:szCs w:val="19"/>
                <w:color w:val="auto"/>
              </w:rPr>
              <w:t>7</w:t>
            </w:r>
          </w:p>
        </w:tc>
        <w:tc>
          <w:tcPr>
            <w:tcW w:w="44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29"/>
              <w:spacing w:after="0"/>
              <w:rPr>
                <w:sz w:val="20"/>
                <w:szCs w:val="20"/>
                <w:color w:val="auto"/>
              </w:rPr>
            </w:pPr>
            <w:r>
              <w:rPr>
                <w:rFonts w:ascii="Arial" w:cs="Arial" w:eastAsia="Arial" w:hAnsi="Arial"/>
                <w:sz w:val="19"/>
                <w:szCs w:val="19"/>
                <w:color w:val="auto"/>
              </w:rPr>
              <w:t>46</w:t>
            </w:r>
          </w:p>
        </w:tc>
        <w:tc>
          <w:tcPr>
            <w:tcW w:w="420" w:type="dxa"/>
            <w:vAlign w:val="bottom"/>
            <w:gridSpan w:val="4"/>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ind w:right="66"/>
              <w:spacing w:after="0"/>
              <w:rPr>
                <w:sz w:val="20"/>
                <w:szCs w:val="20"/>
                <w:color w:val="auto"/>
              </w:rPr>
            </w:pPr>
            <w:r>
              <w:rPr>
                <w:rFonts w:ascii="Arial" w:cs="Arial" w:eastAsia="Arial" w:hAnsi="Arial"/>
                <w:sz w:val="19"/>
                <w:szCs w:val="19"/>
                <w:color w:val="auto"/>
              </w:rPr>
              <w:t>9</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240" w:type="dxa"/>
            <w:vAlign w:val="bottom"/>
          </w:tcPr>
          <w:p>
            <w:pPr>
              <w:jc w:val="right"/>
              <w:ind w:right="170"/>
              <w:spacing w:after="0"/>
              <w:rPr>
                <w:sz w:val="20"/>
                <w:szCs w:val="20"/>
                <w:color w:val="auto"/>
              </w:rPr>
            </w:pPr>
            <w:r>
              <w:rPr>
                <w:rFonts w:ascii="Arial" w:cs="Arial" w:eastAsia="Arial" w:hAnsi="Arial"/>
                <w:sz w:val="19"/>
                <w:szCs w:val="19"/>
                <w:color w:val="auto"/>
              </w:rPr>
              <w:t>19</w:t>
            </w:r>
          </w:p>
        </w:tc>
        <w:tc>
          <w:tcPr>
            <w:tcW w:w="2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(195)</w:t>
            </w:r>
          </w:p>
        </w:tc>
        <w:tc>
          <w:tcPr>
            <w:tcW w:w="980" w:type="dxa"/>
            <w:vAlign w:val="bottom"/>
            <w:gridSpan w:val="4"/>
          </w:tcPr>
          <w:p>
            <w:pPr>
              <w:jc w:val="right"/>
              <w:spacing w:after="0"/>
              <w:rPr>
                <w:sz w:val="20"/>
                <w:szCs w:val="20"/>
                <w:color w:val="auto"/>
              </w:rPr>
            </w:pPr>
            <w:r>
              <w:rPr>
                <w:rFonts w:ascii="Arial" w:cs="Arial" w:eastAsia="Arial" w:hAnsi="Arial"/>
                <w:sz w:val="19"/>
                <w:szCs w:val="19"/>
                <w:color w:val="auto"/>
              </w:rPr>
              <w:t>$ (114)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shd w:val="clear" w:color="auto" w:fill="E5FFFF"/>
          </w:tcPr>
          <w:p>
            <w:pPr>
              <w:spacing w:after="0"/>
              <w:rPr>
                <w:sz w:val="20"/>
                <w:szCs w:val="20"/>
                <w:color w:val="auto"/>
              </w:rPr>
            </w:pPr>
            <w:r>
              <w:rPr>
                <w:rFonts w:ascii="Arial" w:cs="Arial" w:eastAsia="Arial" w:hAnsi="Arial"/>
                <w:sz w:val="19"/>
                <w:szCs w:val="19"/>
                <w:color w:val="auto"/>
              </w:rPr>
              <w:t>Tax expense</w:t>
            </w:r>
          </w:p>
        </w:tc>
        <w:tc>
          <w:tcPr>
            <w:tcW w:w="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56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24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 w:type="dxa"/>
            <w:vAlign w:val="bottom"/>
            <w:tcBorders>
              <w:bottom w:val="single" w:sz="8" w:color="auto"/>
            </w:tcBorders>
            <w:shd w:val="clear" w:color="auto" w:fill="E5FFFF"/>
          </w:tcPr>
          <w:p>
            <w:pPr>
              <w:spacing w:after="0"/>
              <w:rPr>
                <w:sz w:val="20"/>
                <w:szCs w:val="20"/>
                <w:color w:val="auto"/>
              </w:rPr>
            </w:pPr>
          </w:p>
        </w:tc>
        <w:tc>
          <w:tcPr>
            <w:tcW w:w="120" w:type="dxa"/>
            <w:vAlign w:val="bottom"/>
            <w:tcBorders>
              <w:bottom w:val="single" w:sz="8" w:color="auto"/>
            </w:tcBorders>
            <w:shd w:val="clear" w:color="auto" w:fill="E5FFFF"/>
          </w:tcPr>
          <w:p>
            <w:pPr>
              <w:spacing w:after="0"/>
              <w:rPr>
                <w:sz w:val="20"/>
                <w:szCs w:val="20"/>
                <w:color w:val="auto"/>
              </w:rPr>
            </w:pPr>
          </w:p>
        </w:tc>
        <w:tc>
          <w:tcPr>
            <w:tcW w:w="540" w:type="dxa"/>
            <w:vAlign w:val="bottom"/>
            <w:tcBorders>
              <w:bottom w:val="single" w:sz="8" w:color="auto"/>
            </w:tcBorders>
            <w:shd w:val="clear" w:color="auto" w:fill="E5FFFF"/>
          </w:tcPr>
          <w:p>
            <w:pPr>
              <w:jc w:val="right"/>
              <w:ind w:right="5"/>
              <w:spacing w:after="0"/>
              <w:rPr>
                <w:sz w:val="20"/>
                <w:szCs w:val="20"/>
                <w:color w:val="auto"/>
              </w:rPr>
            </w:pPr>
            <w:r>
              <w:rPr>
                <w:rFonts w:ascii="Arial" w:cs="Arial" w:eastAsia="Arial" w:hAnsi="Arial"/>
                <w:sz w:val="19"/>
                <w:szCs w:val="19"/>
                <w:color w:val="auto"/>
              </w:rPr>
              <w:t>52</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9"/>
                <w:szCs w:val="19"/>
                <w:color w:val="auto"/>
              </w:rPr>
              <w:t>Total reclassifications for the period, net of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9"/>
                <w:szCs w:val="19"/>
                <w:color w:val="auto"/>
              </w:rPr>
              <w:t>$</w:t>
            </w:r>
          </w:p>
        </w:tc>
        <w:tc>
          <w:tcPr>
            <w:tcW w:w="540" w:type="dxa"/>
            <w:vAlign w:val="bottom"/>
          </w:tcPr>
          <w:p>
            <w:pPr>
              <w:jc w:val="right"/>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18. Stock-Based Compensation Plans</w:t>
      </w:r>
    </w:p>
    <w:p>
      <w:pPr>
        <w:spacing w:after="0" w:line="130"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Under the terms of the 2011 Stock Incentive Plan of Honeywell International Inc. and its Affiliates (the Plan) there were 19,752,482, shares of Honeywell common stock available for future grants at December 31, 2014. Additionally, under the 2006 Stock Plan for Non-Employee Directors of Honeywell International Inc. (the Directors Plan) there were 107,995 shares of Honeywell common stock available for future grants at December 31, 2014.</w:t>
      </w:r>
    </w:p>
    <w:p>
      <w:pPr>
        <w:spacing w:after="0" w:line="54"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Stock Options</w:t>
      </w:r>
      <w:r>
        <w:rPr>
          <w:rFonts w:ascii="Arial" w:cs="Arial" w:eastAsia="Arial" w:hAnsi="Arial"/>
          <w:sz w:val="19"/>
          <w:szCs w:val="19"/>
          <w:color w:val="auto"/>
        </w:rPr>
        <w:t>—The exercise price, term and other conditions applicable to each option granted under our stock plans are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generally determined by the Management Development and Compensation Committee of the Board. The exercise price of stock options is set on the grant date and may not be less than the fair market value per share of our stock on that date. The fair value is recognized as an expense over the employee’s requisite service period (generally the vesting period of the award). Options generally vest over a four-year period and expire after ten years.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The fair value of each option award is estimated on the date of grant using the Black-Scholes option-pricing model. Expected volatility is based on implied volatilities from traded options on our common stock and historical volatility of our common stock. We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9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Compensation cost on a pre-tax basis related to stock options recognized in selling, general and administrative expenses in 2014, 2013 and 2012 was $85 million, $70 million and $65 million, respectively. The associated future income tax benefit recognized in 2014, 2013 and 2012 was $31 million, $24 million and $23 million, respectively.</w:t>
      </w:r>
    </w:p>
    <w:p>
      <w:pPr>
        <w:spacing w:after="0" w:line="87" w:lineRule="exact"/>
        <w:rPr>
          <w:sz w:val="20"/>
          <w:szCs w:val="20"/>
          <w:color w:val="auto"/>
        </w:rPr>
      </w:pPr>
    </w:p>
    <w:p>
      <w:pPr>
        <w:jc w:val="both"/>
        <w:ind w:firstLine="357"/>
        <w:spacing w:after="0" w:line="246" w:lineRule="auto"/>
        <w:rPr>
          <w:sz w:val="20"/>
          <w:szCs w:val="20"/>
          <w:color w:val="auto"/>
        </w:rPr>
      </w:pPr>
      <w:r>
        <w:rPr>
          <w:rFonts w:ascii="Arial" w:cs="Arial" w:eastAsia="Arial" w:hAnsi="Arial"/>
          <w:sz w:val="19"/>
          <w:szCs w:val="19"/>
          <w:color w:val="auto"/>
        </w:rPr>
        <w:t>The following table sets forth fair value per share information, including related weighted-average assumptions, used to determine compensation cost:</w:t>
      </w: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501"/>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200" w:type="dxa"/>
            <w:vAlign w:val="bottom"/>
          </w:tcPr>
          <w:p>
            <w:pPr>
              <w:spacing w:after="0"/>
              <w:rPr>
                <w:sz w:val="14"/>
                <w:szCs w:val="14"/>
                <w:color w:val="auto"/>
              </w:rPr>
            </w:pPr>
          </w:p>
        </w:tc>
        <w:tc>
          <w:tcPr>
            <w:tcW w:w="860" w:type="dxa"/>
            <w:vAlign w:val="bottom"/>
            <w:tcBorders>
              <w:bottom w:val="single" w:sz="8" w:color="auto"/>
            </w:tcBorders>
          </w:tcPr>
          <w:p>
            <w:pPr>
              <w:jc w:val="right"/>
              <w:ind w:right="168"/>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7200" w:type="dxa"/>
            <w:vAlign w:val="bottom"/>
            <w:shd w:val="clear" w:color="auto" w:fill="E5FFFF"/>
          </w:tcPr>
          <w:p>
            <w:pPr>
              <w:spacing w:after="0"/>
              <w:rPr>
                <w:sz w:val="20"/>
                <w:szCs w:val="20"/>
                <w:color w:val="auto"/>
              </w:rPr>
            </w:pPr>
            <w:r>
              <w:rPr>
                <w:rFonts w:ascii="Arial" w:cs="Arial" w:eastAsia="Arial" w:hAnsi="Arial"/>
                <w:sz w:val="19"/>
                <w:szCs w:val="19"/>
                <w:color w:val="auto"/>
              </w:rPr>
              <w:t>Weighted average fair value per share of options granted during the year(1)</w:t>
            </w:r>
          </w:p>
        </w:tc>
        <w:tc>
          <w:tcPr>
            <w:tcW w:w="86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$ 16.35</w:t>
            </w:r>
          </w:p>
        </w:tc>
        <w:tc>
          <w:tcPr>
            <w:tcW w:w="116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$ 11.85</w:t>
            </w:r>
          </w:p>
        </w:tc>
        <w:tc>
          <w:tcPr>
            <w:tcW w:w="1180" w:type="dxa"/>
            <w:vAlign w:val="bottom"/>
            <w:gridSpan w:val="2"/>
            <w:shd w:val="clear" w:color="auto" w:fill="E5FFFF"/>
          </w:tcPr>
          <w:p>
            <w:pPr>
              <w:jc w:val="right"/>
              <w:ind w:right="121"/>
              <w:spacing w:after="0"/>
              <w:rPr>
                <w:sz w:val="20"/>
                <w:szCs w:val="20"/>
                <w:color w:val="auto"/>
              </w:rPr>
            </w:pPr>
            <w:r>
              <w:rPr>
                <w:rFonts w:ascii="Arial" w:cs="Arial" w:eastAsia="Arial" w:hAnsi="Arial"/>
                <w:sz w:val="19"/>
                <w:szCs w:val="19"/>
                <w:color w:val="auto"/>
              </w:rPr>
              <w:t>$ 13.26</w:t>
            </w:r>
          </w:p>
        </w:tc>
      </w:tr>
      <w:tr>
        <w:trPr>
          <w:trHeight w:val="216"/>
        </w:trPr>
        <w:tc>
          <w:tcPr>
            <w:tcW w:w="7200" w:type="dxa"/>
            <w:vAlign w:val="bottom"/>
          </w:tcPr>
          <w:p>
            <w:pPr>
              <w:spacing w:after="0" w:line="216" w:lineRule="exact"/>
              <w:rPr>
                <w:sz w:val="20"/>
                <w:szCs w:val="20"/>
                <w:color w:val="auto"/>
              </w:rPr>
            </w:pPr>
            <w:r>
              <w:rPr>
                <w:rFonts w:ascii="Arial" w:cs="Arial" w:eastAsia="Arial" w:hAnsi="Arial"/>
                <w:sz w:val="19"/>
                <w:szCs w:val="19"/>
                <w:color w:val="auto"/>
              </w:rPr>
              <w:t>Assumptions: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3"/>
        </w:trPr>
        <w:tc>
          <w:tcPr>
            <w:tcW w:w="7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Expected annual dividend yield</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2.05%</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2.55%</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2.57%</w:t>
            </w:r>
          </w:p>
        </w:tc>
      </w:tr>
      <w:tr>
        <w:trPr>
          <w:trHeight w:val="243"/>
        </w:trPr>
        <w:tc>
          <w:tcPr>
            <w:tcW w:w="7200" w:type="dxa"/>
            <w:vAlign w:val="bottom"/>
          </w:tcPr>
          <w:p>
            <w:pPr>
              <w:ind w:left="360"/>
              <w:spacing w:after="0"/>
              <w:rPr>
                <w:sz w:val="20"/>
                <w:szCs w:val="20"/>
                <w:color w:val="auto"/>
              </w:rPr>
            </w:pPr>
            <w:r>
              <w:rPr>
                <w:rFonts w:ascii="Arial" w:cs="Arial" w:eastAsia="Arial" w:hAnsi="Arial"/>
                <w:sz w:val="19"/>
                <w:szCs w:val="19"/>
                <w:color w:val="auto"/>
              </w:rPr>
              <w:t>Expected volatility</w:t>
            </w:r>
          </w:p>
        </w:tc>
        <w:tc>
          <w:tcPr>
            <w:tcW w:w="860" w:type="dxa"/>
            <w:vAlign w:val="bottom"/>
          </w:tcPr>
          <w:p>
            <w:pPr>
              <w:jc w:val="right"/>
              <w:spacing w:after="0"/>
              <w:rPr>
                <w:sz w:val="20"/>
                <w:szCs w:val="20"/>
                <w:color w:val="auto"/>
              </w:rPr>
            </w:pPr>
            <w:r>
              <w:rPr>
                <w:rFonts w:ascii="Arial" w:cs="Arial" w:eastAsia="Arial" w:hAnsi="Arial"/>
                <w:sz w:val="19"/>
                <w:szCs w:val="19"/>
                <w:color w:val="auto"/>
              </w:rPr>
              <w:t>23.06%</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24.73%</w:t>
            </w:r>
          </w:p>
        </w:tc>
        <w:tc>
          <w:tcPr>
            <w:tcW w:w="1180" w:type="dxa"/>
            <w:vAlign w:val="bottom"/>
            <w:gridSpan w:val="2"/>
          </w:tcPr>
          <w:p>
            <w:pPr>
              <w:jc w:val="right"/>
              <w:spacing w:after="0"/>
              <w:rPr>
                <w:sz w:val="20"/>
                <w:szCs w:val="20"/>
                <w:color w:val="auto"/>
              </w:rPr>
            </w:pPr>
            <w:r>
              <w:rPr>
                <w:rFonts w:ascii="Arial" w:cs="Arial" w:eastAsia="Arial" w:hAnsi="Arial"/>
                <w:sz w:val="19"/>
                <w:szCs w:val="19"/>
                <w:color w:val="auto"/>
              </w:rPr>
              <w:t>30.36%</w:t>
            </w:r>
          </w:p>
        </w:tc>
      </w:tr>
      <w:tr>
        <w:trPr>
          <w:trHeight w:val="243"/>
        </w:trPr>
        <w:tc>
          <w:tcPr>
            <w:tcW w:w="7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Risk-free rate of return</w:t>
            </w:r>
          </w:p>
        </w:tc>
        <w:tc>
          <w:tcPr>
            <w:tcW w:w="8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1.48%</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0.91%</w:t>
            </w:r>
          </w:p>
        </w:tc>
        <w:tc>
          <w:tcPr>
            <w:tcW w:w="1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1.16%</w:t>
            </w:r>
          </w:p>
        </w:tc>
      </w:tr>
      <w:tr>
        <w:trPr>
          <w:trHeight w:val="261"/>
        </w:trPr>
        <w:tc>
          <w:tcPr>
            <w:tcW w:w="7200" w:type="dxa"/>
            <w:vAlign w:val="bottom"/>
          </w:tcPr>
          <w:p>
            <w:pPr>
              <w:ind w:left="360"/>
              <w:spacing w:after="0"/>
              <w:rPr>
                <w:sz w:val="20"/>
                <w:szCs w:val="20"/>
                <w:color w:val="auto"/>
              </w:rPr>
            </w:pPr>
            <w:r>
              <w:rPr>
                <w:rFonts w:ascii="Arial" w:cs="Arial" w:eastAsia="Arial" w:hAnsi="Arial"/>
                <w:sz w:val="19"/>
                <w:szCs w:val="19"/>
                <w:color w:val="auto"/>
              </w:rPr>
              <w:t>Expected option term (years)</w:t>
            </w:r>
          </w:p>
        </w:tc>
        <w:tc>
          <w:tcPr>
            <w:tcW w:w="860" w:type="dxa"/>
            <w:vAlign w:val="bottom"/>
          </w:tcPr>
          <w:p>
            <w:pPr>
              <w:jc w:val="right"/>
              <w:ind w:right="108"/>
              <w:spacing w:after="0"/>
              <w:rPr>
                <w:sz w:val="20"/>
                <w:szCs w:val="20"/>
                <w:color w:val="auto"/>
              </w:rPr>
            </w:pPr>
            <w:r>
              <w:rPr>
                <w:rFonts w:ascii="Arial" w:cs="Arial" w:eastAsia="Arial" w:hAnsi="Arial"/>
                <w:sz w:val="19"/>
                <w:szCs w:val="19"/>
                <w:color w:val="auto"/>
              </w:rPr>
              <w:t>5.0</w:t>
            </w:r>
          </w:p>
        </w:tc>
        <w:tc>
          <w:tcPr>
            <w:tcW w:w="1160" w:type="dxa"/>
            <w:vAlign w:val="bottom"/>
            <w:gridSpan w:val="2"/>
          </w:tcPr>
          <w:p>
            <w:pPr>
              <w:jc w:val="right"/>
              <w:ind w:right="121"/>
              <w:spacing w:after="0"/>
              <w:rPr>
                <w:sz w:val="20"/>
                <w:szCs w:val="20"/>
                <w:color w:val="auto"/>
              </w:rPr>
            </w:pPr>
            <w:r>
              <w:rPr>
                <w:rFonts w:ascii="Arial" w:cs="Arial" w:eastAsia="Arial" w:hAnsi="Arial"/>
                <w:sz w:val="19"/>
                <w:szCs w:val="19"/>
                <w:color w:val="auto"/>
              </w:rPr>
              <w:t>5.5</w:t>
            </w:r>
          </w:p>
        </w:tc>
        <w:tc>
          <w:tcPr>
            <w:tcW w:w="1180" w:type="dxa"/>
            <w:vAlign w:val="bottom"/>
            <w:gridSpan w:val="2"/>
          </w:tcPr>
          <w:p>
            <w:pPr>
              <w:jc w:val="right"/>
              <w:ind w:right="121"/>
              <w:spacing w:after="0"/>
              <w:rPr>
                <w:sz w:val="20"/>
                <w:szCs w:val="20"/>
                <w:color w:val="auto"/>
              </w:rPr>
            </w:pPr>
            <w:r>
              <w:rPr>
                <w:rFonts w:ascii="Arial" w:cs="Arial" w:eastAsia="Arial" w:hAnsi="Arial"/>
                <w:sz w:val="19"/>
                <w:szCs w:val="19"/>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975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7"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Estimated on date of grant using Black-Scholes option-pricing model.</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 activity for the three years ended December 31, 2014: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76"/>
        </w:trPr>
        <w:tc>
          <w:tcPr>
            <w:tcW w:w="12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6"/>
              <w:spacing w:after="0" w:line="176" w:lineRule="exact"/>
              <w:rPr>
                <w:sz w:val="20"/>
                <w:szCs w:val="20"/>
                <w:color w:val="auto"/>
              </w:rPr>
            </w:pPr>
            <w:r>
              <w:rPr>
                <w:rFonts w:ascii="Arial" w:cs="Arial" w:eastAsia="Arial" w:hAnsi="Arial"/>
                <w:sz w:val="16"/>
                <w:szCs w:val="16"/>
                <w:b w:val="1"/>
                <w:bCs w:val="1"/>
                <w:color w:val="auto"/>
                <w:w w:val="94"/>
              </w:rPr>
              <w:t>Average</w:t>
            </w:r>
          </w:p>
        </w:tc>
      </w:tr>
      <w:tr>
        <w:trPr>
          <w:trHeight w:val="176"/>
        </w:trPr>
        <w:tc>
          <w:tcPr>
            <w:tcW w:w="126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320" w:type="dxa"/>
            <w:vAlign w:val="bottom"/>
          </w:tcPr>
          <w:p>
            <w:pPr>
              <w:jc w:val="right"/>
              <w:ind w:right="165"/>
              <w:spacing w:after="0" w:line="176"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6"/>
              <w:spacing w:after="0" w:line="176" w:lineRule="exact"/>
              <w:rPr>
                <w:sz w:val="20"/>
                <w:szCs w:val="20"/>
                <w:color w:val="auto"/>
              </w:rPr>
            </w:pPr>
            <w:r>
              <w:rPr>
                <w:rFonts w:ascii="Arial" w:cs="Arial" w:eastAsia="Arial" w:hAnsi="Arial"/>
                <w:sz w:val="16"/>
                <w:szCs w:val="16"/>
                <w:b w:val="1"/>
                <w:bCs w:val="1"/>
                <w:color w:val="auto"/>
                <w:w w:val="97"/>
              </w:rPr>
              <w:t>Exercise</w:t>
            </w:r>
          </w:p>
        </w:tc>
      </w:tr>
      <w:tr>
        <w:trPr>
          <w:trHeight w:val="190"/>
        </w:trPr>
        <w:tc>
          <w:tcPr>
            <w:tcW w:w="126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32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6"/>
                <w:szCs w:val="16"/>
                <w:b w:val="1"/>
                <w:bCs w:val="1"/>
                <w:color w:val="auto"/>
              </w:rPr>
              <w:t>Price</w:t>
            </w:r>
          </w:p>
        </w:tc>
      </w:tr>
      <w:tr>
        <w:trPr>
          <w:trHeight w:val="237"/>
        </w:trPr>
        <w:tc>
          <w:tcPr>
            <w:tcW w:w="88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Outstanding at December 31, 2011</w:t>
            </w:r>
          </w:p>
        </w:tc>
        <w:tc>
          <w:tcPr>
            <w:tcW w:w="13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38,916,370</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43.01</w:t>
            </w:r>
          </w:p>
        </w:tc>
      </w:tr>
      <w:tr>
        <w:trPr>
          <w:trHeight w:val="243"/>
        </w:trPr>
        <w:tc>
          <w:tcPr>
            <w:tcW w:w="8880" w:type="dxa"/>
            <w:vAlign w:val="bottom"/>
            <w:gridSpan w:val="2"/>
          </w:tcPr>
          <w:p>
            <w:pPr>
              <w:ind w:left="360"/>
              <w:spacing w:after="0"/>
              <w:rPr>
                <w:sz w:val="20"/>
                <w:szCs w:val="20"/>
                <w:color w:val="auto"/>
              </w:rPr>
            </w:pPr>
            <w:r>
              <w:rPr>
                <w:rFonts w:ascii="Arial" w:cs="Arial" w:eastAsia="Arial" w:hAnsi="Arial"/>
                <w:sz w:val="19"/>
                <w:szCs w:val="19"/>
                <w:color w:val="auto"/>
              </w:rPr>
              <w:t>Granted</w:t>
            </w:r>
          </w:p>
        </w:tc>
        <w:tc>
          <w:tcPr>
            <w:tcW w:w="1320" w:type="dxa"/>
            <w:vAlign w:val="bottom"/>
          </w:tcPr>
          <w:p>
            <w:pPr>
              <w:jc w:val="right"/>
              <w:spacing w:after="0"/>
              <w:rPr>
                <w:sz w:val="20"/>
                <w:szCs w:val="20"/>
                <w:color w:val="auto"/>
              </w:rPr>
            </w:pPr>
            <w:r>
              <w:rPr>
                <w:rFonts w:ascii="Arial" w:cs="Arial" w:eastAsia="Arial" w:hAnsi="Arial"/>
                <w:sz w:val="19"/>
                <w:szCs w:val="19"/>
                <w:color w:val="auto"/>
              </w:rPr>
              <w:t>5,788,734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Arial" w:cs="Arial" w:eastAsia="Arial" w:hAnsi="Arial"/>
                <w:sz w:val="19"/>
                <w:szCs w:val="19"/>
                <w:color w:val="auto"/>
              </w:rPr>
              <w:t>59.86</w:t>
            </w:r>
          </w:p>
        </w:tc>
      </w:tr>
      <w:tr>
        <w:trPr>
          <w:trHeight w:val="243"/>
        </w:trPr>
        <w:tc>
          <w:tcPr>
            <w:tcW w:w="88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Exercised</w:t>
            </w:r>
          </w:p>
        </w:tc>
        <w:tc>
          <w:tcPr>
            <w:tcW w:w="13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(8,347,313)</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36.52</w:t>
            </w:r>
          </w:p>
        </w:tc>
      </w:tr>
      <w:tr>
        <w:trPr>
          <w:trHeight w:val="250"/>
        </w:trPr>
        <w:tc>
          <w:tcPr>
            <w:tcW w:w="8880" w:type="dxa"/>
            <w:vAlign w:val="bottom"/>
            <w:gridSpan w:val="2"/>
          </w:tcPr>
          <w:p>
            <w:pPr>
              <w:ind w:left="360"/>
              <w:spacing w:after="0"/>
              <w:rPr>
                <w:sz w:val="20"/>
                <w:szCs w:val="20"/>
                <w:color w:val="auto"/>
              </w:rPr>
            </w:pPr>
            <w:r>
              <w:rPr>
                <w:rFonts w:ascii="Arial" w:cs="Arial" w:eastAsia="Arial" w:hAnsi="Arial"/>
                <w:sz w:val="19"/>
                <w:szCs w:val="19"/>
                <w:color w:val="auto"/>
              </w:rPr>
              <w:t>Lapsed or 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(788,770)</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Arial" w:cs="Arial" w:eastAsia="Arial" w:hAnsi="Arial"/>
                <w:sz w:val="19"/>
                <w:szCs w:val="19"/>
                <w:color w:val="auto"/>
              </w:rPr>
              <w:t>49.76</w:t>
            </w:r>
          </w:p>
        </w:tc>
      </w:tr>
      <w:tr>
        <w:trPr>
          <w:trHeight w:val="243"/>
        </w:trPr>
        <w:tc>
          <w:tcPr>
            <w:tcW w:w="88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Outstanding at December 31, 2012</w:t>
            </w:r>
          </w:p>
        </w:tc>
        <w:tc>
          <w:tcPr>
            <w:tcW w:w="13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35,569,021</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47.13</w:t>
            </w:r>
          </w:p>
        </w:tc>
      </w:tr>
      <w:tr>
        <w:trPr>
          <w:trHeight w:val="243"/>
        </w:trPr>
        <w:tc>
          <w:tcPr>
            <w:tcW w:w="8880" w:type="dxa"/>
            <w:vAlign w:val="bottom"/>
            <w:gridSpan w:val="2"/>
          </w:tcPr>
          <w:p>
            <w:pPr>
              <w:ind w:left="360"/>
              <w:spacing w:after="0"/>
              <w:rPr>
                <w:sz w:val="20"/>
                <w:szCs w:val="20"/>
                <w:color w:val="auto"/>
              </w:rPr>
            </w:pPr>
            <w:r>
              <w:rPr>
                <w:rFonts w:ascii="Arial" w:cs="Arial" w:eastAsia="Arial" w:hAnsi="Arial"/>
                <w:sz w:val="19"/>
                <w:szCs w:val="19"/>
                <w:color w:val="auto"/>
              </w:rPr>
              <w:t>Granted</w:t>
            </w:r>
          </w:p>
        </w:tc>
        <w:tc>
          <w:tcPr>
            <w:tcW w:w="1320" w:type="dxa"/>
            <w:vAlign w:val="bottom"/>
          </w:tcPr>
          <w:p>
            <w:pPr>
              <w:jc w:val="right"/>
              <w:spacing w:after="0"/>
              <w:rPr>
                <w:sz w:val="20"/>
                <w:szCs w:val="20"/>
                <w:color w:val="auto"/>
              </w:rPr>
            </w:pPr>
            <w:r>
              <w:rPr>
                <w:rFonts w:ascii="Arial" w:cs="Arial" w:eastAsia="Arial" w:hAnsi="Arial"/>
                <w:sz w:val="19"/>
                <w:szCs w:val="19"/>
                <w:color w:val="auto"/>
              </w:rPr>
              <w:t>6,041,422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Arial" w:cs="Arial" w:eastAsia="Arial" w:hAnsi="Arial"/>
                <w:sz w:val="19"/>
                <w:szCs w:val="19"/>
                <w:color w:val="auto"/>
              </w:rPr>
              <w:t>69.89</w:t>
            </w:r>
          </w:p>
        </w:tc>
      </w:tr>
      <w:tr>
        <w:trPr>
          <w:trHeight w:val="243"/>
        </w:trPr>
        <w:tc>
          <w:tcPr>
            <w:tcW w:w="88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Exercised</w:t>
            </w:r>
          </w:p>
        </w:tc>
        <w:tc>
          <w:tcPr>
            <w:tcW w:w="13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(10,329,611)</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41.91</w:t>
            </w:r>
          </w:p>
        </w:tc>
      </w:tr>
      <w:tr>
        <w:trPr>
          <w:trHeight w:val="250"/>
        </w:trPr>
        <w:tc>
          <w:tcPr>
            <w:tcW w:w="8880" w:type="dxa"/>
            <w:vAlign w:val="bottom"/>
            <w:gridSpan w:val="2"/>
          </w:tcPr>
          <w:p>
            <w:pPr>
              <w:ind w:left="360"/>
              <w:spacing w:after="0"/>
              <w:rPr>
                <w:sz w:val="20"/>
                <w:szCs w:val="20"/>
                <w:color w:val="auto"/>
              </w:rPr>
            </w:pPr>
            <w:r>
              <w:rPr>
                <w:rFonts w:ascii="Arial" w:cs="Arial" w:eastAsia="Arial" w:hAnsi="Arial"/>
                <w:sz w:val="19"/>
                <w:szCs w:val="19"/>
                <w:color w:val="auto"/>
              </w:rPr>
              <w:t>Lapsed or 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(616,995)</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Arial" w:cs="Arial" w:eastAsia="Arial" w:hAnsi="Arial"/>
                <w:sz w:val="19"/>
                <w:szCs w:val="19"/>
                <w:color w:val="auto"/>
              </w:rPr>
              <w:t>53.84</w:t>
            </w:r>
          </w:p>
        </w:tc>
      </w:tr>
      <w:tr>
        <w:trPr>
          <w:trHeight w:val="243"/>
        </w:trPr>
        <w:tc>
          <w:tcPr>
            <w:tcW w:w="88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Outstanding at December 31, 2013</w:t>
            </w:r>
          </w:p>
        </w:tc>
        <w:tc>
          <w:tcPr>
            <w:tcW w:w="13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30,663,837</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53.27</w:t>
            </w:r>
          </w:p>
        </w:tc>
      </w:tr>
      <w:tr>
        <w:trPr>
          <w:trHeight w:val="243"/>
        </w:trPr>
        <w:tc>
          <w:tcPr>
            <w:tcW w:w="8880" w:type="dxa"/>
            <w:vAlign w:val="bottom"/>
            <w:gridSpan w:val="2"/>
          </w:tcPr>
          <w:p>
            <w:pPr>
              <w:ind w:left="360"/>
              <w:spacing w:after="0"/>
              <w:rPr>
                <w:sz w:val="20"/>
                <w:szCs w:val="20"/>
                <w:color w:val="auto"/>
              </w:rPr>
            </w:pPr>
            <w:r>
              <w:rPr>
                <w:rFonts w:ascii="Arial" w:cs="Arial" w:eastAsia="Arial" w:hAnsi="Arial"/>
                <w:sz w:val="19"/>
                <w:szCs w:val="19"/>
                <w:color w:val="auto"/>
              </w:rPr>
              <w:t>Granted</w:t>
            </w:r>
          </w:p>
        </w:tc>
        <w:tc>
          <w:tcPr>
            <w:tcW w:w="1320" w:type="dxa"/>
            <w:vAlign w:val="bottom"/>
          </w:tcPr>
          <w:p>
            <w:pPr>
              <w:jc w:val="right"/>
              <w:spacing w:after="0"/>
              <w:rPr>
                <w:sz w:val="20"/>
                <w:szCs w:val="20"/>
                <w:color w:val="auto"/>
              </w:rPr>
            </w:pPr>
            <w:r>
              <w:rPr>
                <w:rFonts w:ascii="Arial" w:cs="Arial" w:eastAsia="Arial" w:hAnsi="Arial"/>
                <w:sz w:val="19"/>
                <w:szCs w:val="19"/>
                <w:color w:val="auto"/>
              </w:rPr>
              <w:t>5,823,706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Arial" w:cs="Arial" w:eastAsia="Arial" w:hAnsi="Arial"/>
                <w:sz w:val="19"/>
                <w:szCs w:val="19"/>
                <w:color w:val="auto"/>
              </w:rPr>
              <w:t>93.95</w:t>
            </w:r>
          </w:p>
        </w:tc>
      </w:tr>
      <w:tr>
        <w:trPr>
          <w:trHeight w:val="243"/>
        </w:trPr>
        <w:tc>
          <w:tcPr>
            <w:tcW w:w="888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Exercised</w:t>
            </w:r>
          </w:p>
        </w:tc>
        <w:tc>
          <w:tcPr>
            <w:tcW w:w="13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(5,697,263)</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47.47</w:t>
            </w:r>
          </w:p>
        </w:tc>
      </w:tr>
      <w:tr>
        <w:trPr>
          <w:trHeight w:val="250"/>
        </w:trPr>
        <w:tc>
          <w:tcPr>
            <w:tcW w:w="8880" w:type="dxa"/>
            <w:vAlign w:val="bottom"/>
            <w:gridSpan w:val="2"/>
          </w:tcPr>
          <w:p>
            <w:pPr>
              <w:ind w:left="360"/>
              <w:spacing w:after="0"/>
              <w:rPr>
                <w:sz w:val="20"/>
                <w:szCs w:val="20"/>
                <w:color w:val="auto"/>
              </w:rPr>
            </w:pPr>
            <w:r>
              <w:rPr>
                <w:rFonts w:ascii="Arial" w:cs="Arial" w:eastAsia="Arial" w:hAnsi="Arial"/>
                <w:sz w:val="19"/>
                <w:szCs w:val="19"/>
                <w:color w:val="auto"/>
              </w:rPr>
              <w:t>Lapsed or 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(1,294,668)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6"/>
              <w:spacing w:after="0"/>
              <w:rPr>
                <w:sz w:val="20"/>
                <w:szCs w:val="20"/>
                <w:color w:val="auto"/>
              </w:rPr>
            </w:pPr>
            <w:r>
              <w:rPr>
                <w:rFonts w:ascii="Arial" w:cs="Arial" w:eastAsia="Arial" w:hAnsi="Arial"/>
                <w:sz w:val="19"/>
                <w:szCs w:val="19"/>
                <w:color w:val="auto"/>
              </w:rPr>
              <w:t>67.70</w:t>
            </w:r>
          </w:p>
        </w:tc>
      </w:tr>
      <w:tr>
        <w:trPr>
          <w:trHeight w:val="243"/>
        </w:trPr>
        <w:tc>
          <w:tcPr>
            <w:tcW w:w="88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Outstanding at December 31, 2014</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29,495,612</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61.80</w:t>
            </w:r>
          </w:p>
        </w:tc>
      </w:tr>
      <w:tr>
        <w:trPr>
          <w:trHeight w:val="20"/>
        </w:trPr>
        <w:tc>
          <w:tcPr>
            <w:tcW w:w="12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8880" w:type="dxa"/>
            <w:vAlign w:val="bottom"/>
            <w:gridSpan w:val="2"/>
          </w:tcPr>
          <w:p>
            <w:pPr>
              <w:spacing w:after="0"/>
              <w:rPr>
                <w:sz w:val="20"/>
                <w:szCs w:val="20"/>
                <w:color w:val="auto"/>
              </w:rPr>
            </w:pPr>
            <w:r>
              <w:rPr>
                <w:rFonts w:ascii="Arial" w:cs="Arial" w:eastAsia="Arial" w:hAnsi="Arial"/>
                <w:sz w:val="19"/>
                <w:szCs w:val="19"/>
                <w:color w:val="auto"/>
              </w:rPr>
              <w:t>Vested and expected to vest at December 31, 2014(1)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28,015,623</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ind w:right="6"/>
              <w:spacing w:after="0"/>
              <w:rPr>
                <w:sz w:val="20"/>
                <w:szCs w:val="20"/>
                <w:color w:val="auto"/>
              </w:rPr>
            </w:pPr>
            <w:r>
              <w:rPr>
                <w:rFonts w:ascii="Arial" w:cs="Arial" w:eastAsia="Arial" w:hAnsi="Arial"/>
                <w:sz w:val="19"/>
                <w:szCs w:val="19"/>
                <w:color w:val="auto"/>
              </w:rPr>
              <w:t>60.44</w:t>
            </w:r>
          </w:p>
        </w:tc>
      </w:tr>
      <w:tr>
        <w:trPr>
          <w:trHeight w:val="20"/>
        </w:trPr>
        <w:tc>
          <w:tcPr>
            <w:tcW w:w="12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88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Exercisable at December 31, 2014</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16,019,742</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49.40</w:t>
            </w:r>
          </w:p>
        </w:tc>
      </w:tr>
      <w:tr>
        <w:trPr>
          <w:trHeight w:val="20"/>
        </w:trPr>
        <w:tc>
          <w:tcPr>
            <w:tcW w:w="12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3"/>
        </w:trPr>
        <w:tc>
          <w:tcPr>
            <w:tcW w:w="1260" w:type="dxa"/>
            <w:vAlign w:val="bottom"/>
            <w:tcBorders>
              <w:bottom w:val="single" w:sz="8" w:color="auto"/>
            </w:tcBorders>
          </w:tcPr>
          <w:p>
            <w:pPr>
              <w:spacing w:after="0"/>
              <w:rPr>
                <w:sz w:val="12"/>
                <w:szCs w:val="12"/>
                <w:color w:val="auto"/>
              </w:rPr>
            </w:pPr>
          </w:p>
        </w:tc>
        <w:tc>
          <w:tcPr>
            <w:tcW w:w="7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r>
    </w:tbl>
    <w:p>
      <w:pPr>
        <w:spacing w:after="0" w:line="162" w:lineRule="exact"/>
        <w:rPr>
          <w:sz w:val="20"/>
          <w:szCs w:val="20"/>
          <w:color w:val="auto"/>
        </w:rPr>
      </w:pPr>
    </w:p>
    <w:p>
      <w:pPr>
        <w:ind w:left="420" w:right="20" w:hanging="338"/>
        <w:spacing w:after="0" w:line="253" w:lineRule="auto"/>
        <w:tabs>
          <w:tab w:leader="none" w:pos="4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Represents the sum of vested options of 16.0 million and expected to vest options of 12.0 million. Expected to vest options are derived by applying the pre-vesting forfeiture rate assumption to total outstanding unvested options of 28.0 million.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stock options outstanding and exercisable at December 31, 2014: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6"/>
                <w:szCs w:val="16"/>
                <w:b w:val="1"/>
                <w:bCs w:val="1"/>
                <w:color w:val="auto"/>
              </w:rPr>
              <w:t>Options Outstanding</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tcBorders>
              <w:bottom w:val="single" w:sz="8" w:color="auto"/>
            </w:tcBorders>
            <w:gridSpan w:val="5"/>
          </w:tcPr>
          <w:p>
            <w:pPr>
              <w:ind w:left="940"/>
              <w:spacing w:after="0"/>
              <w:rPr>
                <w:sz w:val="20"/>
                <w:szCs w:val="20"/>
                <w:color w:val="auto"/>
              </w:rPr>
            </w:pPr>
            <w:r>
              <w:rPr>
                <w:rFonts w:ascii="Arial" w:cs="Arial" w:eastAsia="Arial" w:hAnsi="Arial"/>
                <w:sz w:val="16"/>
                <w:szCs w:val="16"/>
                <w:b w:val="1"/>
                <w:bCs w:val="1"/>
                <w:color w:val="auto"/>
              </w:rPr>
              <w:t>Options Exercisable</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5"/>
        </w:trPr>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Weighted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3"/>
          </w:tcPr>
          <w:p>
            <w:pPr>
              <w:jc w:val="right"/>
              <w:ind w:right="380"/>
              <w:spacing w:after="0" w:line="155" w:lineRule="exact"/>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6"/>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4"/>
              <w:spacing w:after="0" w:line="176"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Aggregate</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400"/>
              <w:spacing w:after="0" w:line="176" w:lineRule="exact"/>
              <w:rPr>
                <w:sz w:val="20"/>
                <w:szCs w:val="20"/>
                <w:color w:val="auto"/>
              </w:rPr>
            </w:pPr>
            <w:r>
              <w:rPr>
                <w:rFonts w:ascii="Arial" w:cs="Arial" w:eastAsia="Arial" w:hAnsi="Arial"/>
                <w:sz w:val="16"/>
                <w:szCs w:val="16"/>
                <w:b w:val="1"/>
                <w:bCs w:val="1"/>
                <w:color w:val="auto"/>
                <w:w w:val="98"/>
              </w:rPr>
              <w:t>Average</w:t>
            </w:r>
          </w:p>
        </w:tc>
        <w:tc>
          <w:tcPr>
            <w:tcW w:w="82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w w:val="98"/>
              </w:rPr>
              <w:t>Aggregate</w:t>
            </w:r>
          </w:p>
        </w:tc>
      </w:tr>
      <w:tr>
        <w:trPr>
          <w:trHeight w:val="176"/>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178"/>
              <w:spacing w:after="0" w:line="176" w:lineRule="exact"/>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Average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34"/>
              <w:spacing w:after="0" w:line="176" w:lineRule="exact"/>
              <w:rPr>
                <w:sz w:val="20"/>
                <w:szCs w:val="20"/>
                <w:color w:val="auto"/>
              </w:rPr>
            </w:pPr>
            <w:r>
              <w:rPr>
                <w:rFonts w:ascii="Arial" w:cs="Arial" w:eastAsia="Arial" w:hAnsi="Arial"/>
                <w:sz w:val="16"/>
                <w:szCs w:val="16"/>
                <w:b w:val="1"/>
                <w:bCs w:val="1"/>
                <w:color w:val="auto"/>
                <w:w w:val="97"/>
              </w:rPr>
              <w:t>Exercise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53"/>
              <w:spacing w:after="0" w:line="176" w:lineRule="exact"/>
              <w:rPr>
                <w:sz w:val="20"/>
                <w:szCs w:val="20"/>
                <w:color w:val="auto"/>
              </w:rPr>
            </w:pPr>
            <w:r>
              <w:rPr>
                <w:rFonts w:ascii="Arial" w:cs="Arial" w:eastAsia="Arial" w:hAnsi="Arial"/>
                <w:sz w:val="16"/>
                <w:szCs w:val="16"/>
                <w:b w:val="1"/>
                <w:bCs w:val="1"/>
                <w:color w:val="auto"/>
                <w:w w:val="96"/>
              </w:rPr>
              <w:t>Intrinsic</w:t>
            </w:r>
          </w:p>
        </w:tc>
        <w:tc>
          <w:tcPr>
            <w:tcW w:w="280" w:type="dxa"/>
            <w:vAlign w:val="bottom"/>
          </w:tcPr>
          <w:p>
            <w:pPr>
              <w:spacing w:after="0"/>
              <w:rPr>
                <w:sz w:val="15"/>
                <w:szCs w:val="15"/>
                <w:color w:val="auto"/>
              </w:rPr>
            </w:pPr>
          </w:p>
        </w:tc>
        <w:tc>
          <w:tcPr>
            <w:tcW w:w="1120" w:type="dxa"/>
            <w:vAlign w:val="bottom"/>
          </w:tcPr>
          <w:p>
            <w:pPr>
              <w:jc w:val="right"/>
              <w:ind w:right="178"/>
              <w:spacing w:after="0" w:line="176" w:lineRule="exact"/>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400"/>
              <w:spacing w:after="0" w:line="176" w:lineRule="exact"/>
              <w:rPr>
                <w:sz w:val="20"/>
                <w:szCs w:val="20"/>
                <w:color w:val="auto"/>
              </w:rPr>
            </w:pPr>
            <w:r>
              <w:rPr>
                <w:rFonts w:ascii="Arial" w:cs="Arial" w:eastAsia="Arial" w:hAnsi="Arial"/>
                <w:sz w:val="16"/>
                <w:szCs w:val="16"/>
                <w:b w:val="1"/>
                <w:bCs w:val="1"/>
                <w:color w:val="auto"/>
              </w:rPr>
              <w:t>Exercise</w:t>
            </w:r>
          </w:p>
        </w:tc>
        <w:tc>
          <w:tcPr>
            <w:tcW w:w="820" w:type="dxa"/>
            <w:vAlign w:val="bottom"/>
            <w:gridSpan w:val="2"/>
          </w:tcPr>
          <w:p>
            <w:pPr>
              <w:jc w:val="right"/>
              <w:ind w:right="12"/>
              <w:spacing w:after="0" w:line="176" w:lineRule="exact"/>
              <w:rPr>
                <w:sz w:val="20"/>
                <w:szCs w:val="20"/>
                <w:color w:val="auto"/>
              </w:rPr>
            </w:pPr>
            <w:r>
              <w:rPr>
                <w:rFonts w:ascii="Arial" w:cs="Arial" w:eastAsia="Arial" w:hAnsi="Arial"/>
                <w:sz w:val="16"/>
                <w:szCs w:val="16"/>
                <w:b w:val="1"/>
                <w:bCs w:val="1"/>
                <w:color w:val="auto"/>
              </w:rPr>
              <w:t>Intrinsic</w:t>
            </w:r>
          </w:p>
        </w:tc>
      </w:tr>
      <w:tr>
        <w:trPr>
          <w:trHeight w:val="190"/>
        </w:trPr>
        <w:tc>
          <w:tcPr>
            <w:tcW w:w="2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Range of Exercise prices</w:t>
            </w:r>
          </w:p>
        </w:tc>
        <w:tc>
          <w:tcPr>
            <w:tcW w:w="260" w:type="dxa"/>
            <w:vAlign w:val="bottom"/>
          </w:tcPr>
          <w:p>
            <w:pPr>
              <w:spacing w:after="0"/>
              <w:rPr>
                <w:sz w:val="16"/>
                <w:szCs w:val="16"/>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Life(1)</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rPr>
              <w:t>Price</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16"/>
                <w:szCs w:val="16"/>
                <w:color w:val="auto"/>
              </w:rPr>
            </w:pP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Exercisable</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6"/>
              </w:rPr>
              <w:t>Price</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rPr>
              <w:t>Value</w:t>
            </w:r>
          </w:p>
        </w:tc>
      </w:tr>
      <w:tr>
        <w:trPr>
          <w:trHeight w:val="237"/>
        </w:trPr>
        <w:tc>
          <w:tcPr>
            <w:tcW w:w="2800" w:type="dxa"/>
            <w:vAlign w:val="bottom"/>
            <w:shd w:val="clear" w:color="auto" w:fill="E5FFFF"/>
          </w:tcPr>
          <w:p>
            <w:pPr>
              <w:spacing w:after="0"/>
              <w:rPr>
                <w:sz w:val="20"/>
                <w:szCs w:val="20"/>
                <w:color w:val="auto"/>
              </w:rPr>
            </w:pPr>
            <w:r>
              <w:rPr>
                <w:rFonts w:ascii="Arial" w:cs="Arial" w:eastAsia="Arial" w:hAnsi="Arial"/>
                <w:sz w:val="18"/>
                <w:szCs w:val="18"/>
                <w:color w:val="auto"/>
              </w:rPr>
              <w:t>$28.35–$39.99</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2,029,342</w:t>
            </w:r>
          </w:p>
        </w:tc>
        <w:tc>
          <w:tcPr>
            <w:tcW w:w="1160" w:type="dxa"/>
            <w:vAlign w:val="bottom"/>
            <w:gridSpan w:val="2"/>
            <w:shd w:val="clear" w:color="auto" w:fill="E5FFFF"/>
          </w:tcPr>
          <w:p>
            <w:pPr>
              <w:jc w:val="right"/>
              <w:ind w:right="41"/>
              <w:spacing w:after="0"/>
              <w:rPr>
                <w:sz w:val="20"/>
                <w:szCs w:val="20"/>
                <w:color w:val="auto"/>
              </w:rPr>
            </w:pPr>
            <w:r>
              <w:rPr>
                <w:rFonts w:ascii="Arial" w:cs="Arial" w:eastAsia="Arial" w:hAnsi="Arial"/>
                <w:sz w:val="18"/>
                <w:szCs w:val="18"/>
                <w:color w:val="auto"/>
              </w:rPr>
              <w:t>3.71</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29.46</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143</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2,029,342</w:t>
            </w: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29.46</w:t>
            </w:r>
          </w:p>
        </w:tc>
        <w:tc>
          <w:tcPr>
            <w:tcW w:w="28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143</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$40.00–$49.99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5,971,196</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5,968,696</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346</w:t>
            </w:r>
          </w:p>
        </w:tc>
      </w:tr>
      <w:tr>
        <w:trPr>
          <w:trHeight w:val="243"/>
        </w:trPr>
        <w:tc>
          <w:tcPr>
            <w:tcW w:w="2800" w:type="dxa"/>
            <w:vAlign w:val="bottom"/>
            <w:shd w:val="clear" w:color="auto" w:fill="E5FFFF"/>
          </w:tcPr>
          <w:p>
            <w:pPr>
              <w:spacing w:after="0"/>
              <w:rPr>
                <w:sz w:val="20"/>
                <w:szCs w:val="20"/>
                <w:color w:val="auto"/>
              </w:rPr>
            </w:pPr>
            <w:r>
              <w:rPr>
                <w:rFonts w:ascii="Arial" w:cs="Arial" w:eastAsia="Arial" w:hAnsi="Arial"/>
                <w:sz w:val="18"/>
                <w:szCs w:val="18"/>
                <w:color w:val="auto"/>
              </w:rPr>
              <w:t>$50.00–$59.99</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10,710,421</w:t>
            </w:r>
          </w:p>
        </w:tc>
        <w:tc>
          <w:tcPr>
            <w:tcW w:w="1160" w:type="dxa"/>
            <w:vAlign w:val="bottom"/>
            <w:gridSpan w:val="2"/>
            <w:shd w:val="clear" w:color="auto" w:fill="E5FFFF"/>
          </w:tcPr>
          <w:p>
            <w:pPr>
              <w:jc w:val="right"/>
              <w:ind w:right="41"/>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58.36</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445</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6,777,404</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58.12</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283</w:t>
            </w:r>
          </w:p>
        </w:tc>
      </w:tr>
      <w:tr>
        <w:trPr>
          <w:trHeight w:val="243"/>
        </w:trPr>
        <w:tc>
          <w:tcPr>
            <w:tcW w:w="2800" w:type="dxa"/>
            <w:vAlign w:val="bottom"/>
          </w:tcPr>
          <w:p>
            <w:pPr>
              <w:spacing w:after="0"/>
              <w:rPr>
                <w:sz w:val="20"/>
                <w:szCs w:val="20"/>
                <w:color w:val="auto"/>
              </w:rPr>
            </w:pPr>
            <w:r>
              <w:rPr>
                <w:rFonts w:ascii="Arial" w:cs="Arial" w:eastAsia="Arial" w:hAnsi="Arial"/>
                <w:sz w:val="18"/>
                <w:szCs w:val="18"/>
                <w:color w:val="auto"/>
              </w:rPr>
              <w:t>$60.00–$74.99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5,202,747</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8.10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69.72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1,214,300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69.27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43"/>
        </w:trPr>
        <w:tc>
          <w:tcPr>
            <w:tcW w:w="2800" w:type="dxa"/>
            <w:vAlign w:val="bottom"/>
            <w:shd w:val="clear" w:color="auto" w:fill="E5FFFF"/>
          </w:tcPr>
          <w:p>
            <w:pPr>
              <w:spacing w:after="0"/>
              <w:rPr>
                <w:sz w:val="20"/>
                <w:szCs w:val="20"/>
                <w:color w:val="auto"/>
              </w:rPr>
            </w:pPr>
            <w:r>
              <w:rPr>
                <w:rFonts w:ascii="Arial" w:cs="Arial" w:eastAsia="Arial" w:hAnsi="Arial"/>
                <w:sz w:val="18"/>
                <w:szCs w:val="18"/>
                <w:color w:val="auto"/>
              </w:rPr>
              <w:t>$75.00–$95.00</w:t>
            </w:r>
          </w:p>
        </w:tc>
        <w:tc>
          <w:tcPr>
            <w:tcW w:w="260" w:type="dxa"/>
            <w:vAlign w:val="bottom"/>
            <w:shd w:val="clear" w:color="auto" w:fill="E5FFFF"/>
          </w:tcPr>
          <w:p>
            <w:pPr>
              <w:spacing w:after="0"/>
              <w:rPr>
                <w:sz w:val="21"/>
                <w:szCs w:val="21"/>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5,581,906</w:t>
            </w:r>
          </w:p>
        </w:tc>
        <w:tc>
          <w:tcPr>
            <w:tcW w:w="1160" w:type="dxa"/>
            <w:vAlign w:val="bottom"/>
            <w:gridSpan w:val="2"/>
            <w:shd w:val="clear" w:color="auto" w:fill="E5FFFF"/>
          </w:tcPr>
          <w:p>
            <w:pPr>
              <w:jc w:val="right"/>
              <w:ind w:right="41"/>
              <w:spacing w:after="0"/>
              <w:rPr>
                <w:sz w:val="20"/>
                <w:szCs w:val="20"/>
                <w:color w:val="auto"/>
              </w:rPr>
            </w:pPr>
            <w:r>
              <w:rPr>
                <w:rFonts w:ascii="Arial" w:cs="Arial" w:eastAsia="Arial" w:hAnsi="Arial"/>
                <w:sz w:val="18"/>
                <w:szCs w:val="18"/>
                <w:color w:val="auto"/>
              </w:rPr>
              <w:t>9.16</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93.95</w:t>
            </w:r>
          </w:p>
        </w:tc>
        <w:tc>
          <w:tcPr>
            <w:tcW w:w="2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E5FFFF"/>
          </w:tcPr>
          <w:p>
            <w:pPr>
              <w:spacing w:after="0"/>
              <w:rPr>
                <w:sz w:val="21"/>
                <w:szCs w:val="21"/>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93.97</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28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29,495,612</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16,019,742</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49.40</w:t>
            </w:r>
          </w:p>
        </w:tc>
        <w:tc>
          <w:tcPr>
            <w:tcW w:w="2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809</w:t>
            </w:r>
          </w:p>
        </w:tc>
      </w:tr>
      <w:tr>
        <w:trPr>
          <w:trHeight w:val="20"/>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Average remaining contractual life in years.</w:t>
      </w:r>
    </w:p>
    <w:p>
      <w:pPr>
        <w:spacing w:after="0" w:line="106"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There were 15,594,410 and 19,468,017 options exercisable at weighted average exercise prices of $45.76 and $43.64 at December 31, 2013 and 2012, respectively.</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financial statement impact from stock options exercised: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7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Options Exercised</w:t>
            </w:r>
          </w:p>
        </w:tc>
        <w:tc>
          <w:tcPr>
            <w:tcW w:w="30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121"/>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680" w:type="dxa"/>
            <w:vAlign w:val="bottom"/>
            <w:tcBorders>
              <w:bottom w:val="single" w:sz="8" w:color="auto"/>
            </w:tcBorders>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21"/>
              <w:spacing w:after="0" w:line="169" w:lineRule="exact"/>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6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Intrinsic value(1)</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$ 272</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$ 367</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$ 202</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680" w:type="dxa"/>
            <w:vAlign w:val="bottom"/>
            <w:gridSpan w:val="2"/>
          </w:tcPr>
          <w:p>
            <w:pPr>
              <w:spacing w:after="0"/>
              <w:rPr>
                <w:sz w:val="20"/>
                <w:szCs w:val="20"/>
                <w:color w:val="auto"/>
              </w:rPr>
            </w:pPr>
            <w:r>
              <w:rPr>
                <w:rFonts w:ascii="Arial" w:cs="Arial" w:eastAsia="Arial" w:hAnsi="Arial"/>
                <w:sz w:val="19"/>
                <w:szCs w:val="19"/>
                <w:color w:val="auto"/>
              </w:rPr>
              <w:t>Tax benefit realized</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96</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129</w:t>
            </w:r>
          </w:p>
        </w:tc>
        <w:tc>
          <w:tcPr>
            <w:tcW w:w="960" w:type="dxa"/>
            <w:vAlign w:val="bottom"/>
            <w:gridSpan w:val="2"/>
          </w:tcPr>
          <w:p>
            <w:pPr>
              <w:jc w:val="right"/>
              <w:ind w:right="1"/>
              <w:spacing w:after="0"/>
              <w:rPr>
                <w:sz w:val="20"/>
                <w:szCs w:val="20"/>
                <w:color w:val="auto"/>
              </w:rPr>
            </w:pPr>
            <w:r>
              <w:rPr>
                <w:rFonts w:ascii="Arial" w:cs="Arial" w:eastAsia="Arial" w:hAnsi="Arial"/>
                <w:sz w:val="19"/>
                <w:szCs w:val="19"/>
                <w:color w:val="auto"/>
              </w:rPr>
              <w:t>74</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6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Operating cash inflow</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172</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333</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249</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680" w:type="dxa"/>
            <w:vAlign w:val="bottom"/>
            <w:gridSpan w:val="2"/>
          </w:tcPr>
          <w:p>
            <w:pPr>
              <w:spacing w:after="0"/>
              <w:rPr>
                <w:sz w:val="20"/>
                <w:szCs w:val="20"/>
                <w:color w:val="auto"/>
              </w:rPr>
            </w:pPr>
            <w:r>
              <w:rPr>
                <w:rFonts w:ascii="Arial" w:cs="Arial" w:eastAsia="Arial" w:hAnsi="Arial"/>
                <w:sz w:val="19"/>
                <w:szCs w:val="19"/>
                <w:color w:val="auto"/>
              </w:rPr>
              <w:t>Financing cash inflow</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77</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99</w:t>
            </w:r>
          </w:p>
        </w:tc>
        <w:tc>
          <w:tcPr>
            <w:tcW w:w="960" w:type="dxa"/>
            <w:vAlign w:val="bottom"/>
            <w:gridSpan w:val="2"/>
          </w:tcPr>
          <w:p>
            <w:pPr>
              <w:jc w:val="right"/>
              <w:ind w:right="1"/>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6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Total cash received</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249</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432</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305</w:t>
            </w:r>
          </w:p>
        </w:tc>
        <w:tc>
          <w:tcPr>
            <w:tcW w:w="0" w:type="dxa"/>
            <w:vAlign w:val="bottom"/>
          </w:tcPr>
          <w:p>
            <w:pPr>
              <w:spacing w:after="0"/>
              <w:rPr>
                <w:sz w:val="1"/>
                <w:szCs w:val="1"/>
                <w:color w:val="auto"/>
              </w:rPr>
            </w:pPr>
          </w:p>
        </w:tc>
      </w:tr>
      <w:tr>
        <w:trPr>
          <w:trHeight w:val="149"/>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Represents the amount by which the stock price exceeded the exercise price of the options on the date of exercise.</w:t>
      </w:r>
    </w:p>
    <w:p>
      <w:pPr>
        <w:spacing w:after="0" w:line="106"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At December 31, 2014 there was $125 million of total unrecognized compensation cost related to non-vested stock option awards which is expected to be recognized over a weighted-average period of 2.45 years. The total fair value of options vested during 2014, 2013 and 2012 was $72 million, $67 million and $63 million, respectively.</w:t>
      </w:r>
    </w:p>
    <w:p>
      <w:pPr>
        <w:spacing w:after="0" w:line="63" w:lineRule="exact"/>
        <w:rPr>
          <w:sz w:val="20"/>
          <w:szCs w:val="20"/>
          <w:color w:val="auto"/>
        </w:rPr>
      </w:pPr>
    </w:p>
    <w:p>
      <w:pPr>
        <w:jc w:val="both"/>
        <w:ind w:firstLine="357"/>
        <w:spacing w:after="0" w:line="251" w:lineRule="auto"/>
        <w:rPr>
          <w:sz w:val="20"/>
          <w:szCs w:val="20"/>
          <w:color w:val="auto"/>
        </w:rPr>
      </w:pP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—Restricted stock unit (RSU) awards entitle the holder to receive one share of common stock for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 when the units vest. RSUs are issued to certain key employees and directors at fair market value at the date of grant as compensation. RSUs typically become fully vested over periods ranging from three to seven years and are payable in Honeywell common stock upon vesting.</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about RSU activity for the three years ended December 31, 2014: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47"/>
              <w:spacing w:after="0"/>
              <w:rPr>
                <w:sz w:val="20"/>
                <w:szCs w:val="20"/>
                <w:color w:val="auto"/>
              </w:rPr>
            </w:pPr>
            <w:r>
              <w:rPr>
                <w:rFonts w:ascii="Arial" w:cs="Arial" w:eastAsia="Arial" w:hAnsi="Arial"/>
                <w:sz w:val="16"/>
                <w:szCs w:val="16"/>
                <w:b w:val="1"/>
                <w:bCs w:val="1"/>
                <w:color w:val="auto"/>
                <w:w w:val="97"/>
              </w:rPr>
              <w:t>Weighted</w:t>
            </w:r>
          </w:p>
        </w:tc>
      </w:tr>
      <w:tr>
        <w:trPr>
          <w:trHeight w:val="176"/>
        </w:trPr>
        <w:tc>
          <w:tcPr>
            <w:tcW w:w="8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line="176" w:lineRule="exact"/>
              <w:rPr>
                <w:sz w:val="20"/>
                <w:szCs w:val="20"/>
                <w:color w:val="auto"/>
              </w:rPr>
            </w:pPr>
            <w:r>
              <w:rPr>
                <w:rFonts w:ascii="Arial" w:cs="Arial" w:eastAsia="Arial" w:hAnsi="Arial"/>
                <w:sz w:val="16"/>
                <w:szCs w:val="16"/>
                <w:b w:val="1"/>
                <w:bCs w:val="1"/>
                <w:color w:val="auto"/>
                <w:w w:val="98"/>
              </w:rPr>
              <w:t>Average</w:t>
            </w:r>
          </w:p>
        </w:tc>
      </w:tr>
      <w:tr>
        <w:trPr>
          <w:trHeight w:val="176"/>
        </w:trPr>
        <w:tc>
          <w:tcPr>
            <w:tcW w:w="894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rPr>
              <w:t>Grant Date</w:t>
            </w:r>
          </w:p>
        </w:tc>
      </w:tr>
      <w:tr>
        <w:trPr>
          <w:trHeight w:val="176"/>
        </w:trPr>
        <w:tc>
          <w:tcPr>
            <w:tcW w:w="894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Restricted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line="176" w:lineRule="exact"/>
              <w:rPr>
                <w:sz w:val="20"/>
                <w:szCs w:val="20"/>
                <w:color w:val="auto"/>
              </w:rPr>
            </w:pPr>
            <w:r>
              <w:rPr>
                <w:rFonts w:ascii="Arial" w:cs="Arial" w:eastAsia="Arial" w:hAnsi="Arial"/>
                <w:sz w:val="16"/>
                <w:szCs w:val="16"/>
                <w:b w:val="1"/>
                <w:bCs w:val="1"/>
                <w:color w:val="auto"/>
                <w:w w:val="96"/>
              </w:rPr>
              <w:t>Fair Value</w:t>
            </w:r>
          </w:p>
        </w:tc>
      </w:tr>
      <w:tr>
        <w:trPr>
          <w:trHeight w:val="190"/>
        </w:trPr>
        <w:tc>
          <w:tcPr>
            <w:tcW w:w="89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Stock Units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7"/>
              <w:spacing w:after="0"/>
              <w:rPr>
                <w:sz w:val="20"/>
                <w:szCs w:val="20"/>
                <w:color w:val="auto"/>
              </w:rPr>
            </w:pPr>
            <w:r>
              <w:rPr>
                <w:rFonts w:ascii="Arial" w:cs="Arial" w:eastAsia="Arial" w:hAnsi="Arial"/>
                <w:sz w:val="16"/>
                <w:szCs w:val="16"/>
                <w:b w:val="1"/>
                <w:bCs w:val="1"/>
                <w:color w:val="auto"/>
                <w:w w:val="98"/>
              </w:rPr>
              <w:t>Per Share</w:t>
            </w:r>
          </w:p>
        </w:tc>
      </w:tr>
      <w:tr>
        <w:trPr>
          <w:trHeight w:val="237"/>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2011</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9,746,433</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41.35</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Granted</w:t>
            </w:r>
          </w:p>
        </w:tc>
        <w:tc>
          <w:tcPr>
            <w:tcW w:w="1160" w:type="dxa"/>
            <w:vAlign w:val="bottom"/>
          </w:tcPr>
          <w:p>
            <w:pPr>
              <w:jc w:val="right"/>
              <w:spacing w:after="0"/>
              <w:rPr>
                <w:sz w:val="20"/>
                <w:szCs w:val="20"/>
                <w:color w:val="auto"/>
              </w:rPr>
            </w:pPr>
            <w:r>
              <w:rPr>
                <w:rFonts w:ascii="Arial" w:cs="Arial" w:eastAsia="Arial" w:hAnsi="Arial"/>
                <w:sz w:val="19"/>
                <w:szCs w:val="19"/>
                <w:color w:val="auto"/>
              </w:rPr>
              <w:t>2,156,753</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59.52</w:t>
            </w: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Vested</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(3,380,251)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31.84</w:t>
            </w:r>
          </w:p>
        </w:tc>
      </w:tr>
      <w:tr>
        <w:trPr>
          <w:trHeight w:val="250"/>
        </w:trPr>
        <w:tc>
          <w:tcPr>
            <w:tcW w:w="894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(427,196)</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45.78</w:t>
            </w:r>
          </w:p>
        </w:tc>
      </w:tr>
      <w:tr>
        <w:trPr>
          <w:trHeight w:val="243"/>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2012</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8,095,739</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49.91</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Granted</w:t>
            </w:r>
          </w:p>
        </w:tc>
        <w:tc>
          <w:tcPr>
            <w:tcW w:w="1160" w:type="dxa"/>
            <w:vAlign w:val="bottom"/>
          </w:tcPr>
          <w:p>
            <w:pPr>
              <w:jc w:val="right"/>
              <w:spacing w:after="0"/>
              <w:rPr>
                <w:sz w:val="20"/>
                <w:szCs w:val="20"/>
                <w:color w:val="auto"/>
              </w:rPr>
            </w:pPr>
            <w:r>
              <w:rPr>
                <w:rFonts w:ascii="Arial" w:cs="Arial" w:eastAsia="Arial" w:hAnsi="Arial"/>
                <w:sz w:val="19"/>
                <w:szCs w:val="19"/>
                <w:color w:val="auto"/>
              </w:rPr>
              <w:t>1,904,504</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75.73</w:t>
            </w: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Vested</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(2,995,553)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42.17</w:t>
            </w:r>
          </w:p>
        </w:tc>
      </w:tr>
      <w:tr>
        <w:trPr>
          <w:trHeight w:val="250"/>
        </w:trPr>
        <w:tc>
          <w:tcPr>
            <w:tcW w:w="894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(312,470)</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56.58</w:t>
            </w:r>
          </w:p>
        </w:tc>
      </w:tr>
      <w:tr>
        <w:trPr>
          <w:trHeight w:val="243"/>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2013</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6,692,220</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60.04</w:t>
            </w:r>
          </w:p>
        </w:tc>
      </w:tr>
      <w:tr>
        <w:trPr>
          <w:trHeight w:val="243"/>
        </w:trPr>
        <w:tc>
          <w:tcPr>
            <w:tcW w:w="8940" w:type="dxa"/>
            <w:vAlign w:val="bottom"/>
          </w:tcPr>
          <w:p>
            <w:pPr>
              <w:ind w:left="360"/>
              <w:spacing w:after="0"/>
              <w:rPr>
                <w:sz w:val="20"/>
                <w:szCs w:val="20"/>
                <w:color w:val="auto"/>
              </w:rPr>
            </w:pPr>
            <w:r>
              <w:rPr>
                <w:rFonts w:ascii="Arial" w:cs="Arial" w:eastAsia="Arial" w:hAnsi="Arial"/>
                <w:sz w:val="19"/>
                <w:szCs w:val="19"/>
                <w:color w:val="auto"/>
              </w:rPr>
              <w:t>Granted</w:t>
            </w:r>
          </w:p>
        </w:tc>
        <w:tc>
          <w:tcPr>
            <w:tcW w:w="1160" w:type="dxa"/>
            <w:vAlign w:val="bottom"/>
          </w:tcPr>
          <w:p>
            <w:pPr>
              <w:jc w:val="right"/>
              <w:spacing w:after="0"/>
              <w:rPr>
                <w:sz w:val="20"/>
                <w:szCs w:val="20"/>
                <w:color w:val="auto"/>
              </w:rPr>
            </w:pPr>
            <w:r>
              <w:rPr>
                <w:rFonts w:ascii="Arial" w:cs="Arial" w:eastAsia="Arial" w:hAnsi="Arial"/>
                <w:sz w:val="19"/>
                <w:szCs w:val="19"/>
                <w:color w:val="auto"/>
              </w:rPr>
              <w:t>1,455,209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94.88</w:t>
            </w:r>
          </w:p>
        </w:tc>
      </w:tr>
      <w:tr>
        <w:trPr>
          <w:trHeight w:val="243"/>
        </w:trPr>
        <w:tc>
          <w:tcPr>
            <w:tcW w:w="89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Vested</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(1,787,894)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53.63</w:t>
            </w:r>
          </w:p>
        </w:tc>
      </w:tr>
      <w:tr>
        <w:trPr>
          <w:trHeight w:val="250"/>
        </w:trPr>
        <w:tc>
          <w:tcPr>
            <w:tcW w:w="8940" w:type="dxa"/>
            <w:vAlign w:val="bottom"/>
          </w:tcPr>
          <w:p>
            <w:pPr>
              <w:ind w:left="360"/>
              <w:spacing w:after="0"/>
              <w:rPr>
                <w:sz w:val="20"/>
                <w:szCs w:val="20"/>
                <w:color w:val="auto"/>
              </w:rPr>
            </w:pPr>
            <w:r>
              <w:rPr>
                <w:rFonts w:ascii="Arial" w:cs="Arial" w:eastAsia="Arial" w:hAnsi="Arial"/>
                <w:sz w:val="19"/>
                <w:szCs w:val="19"/>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(460,341)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63.54</w:t>
            </w:r>
          </w:p>
        </w:tc>
      </w:tr>
      <w:tr>
        <w:trPr>
          <w:trHeight w:val="243"/>
        </w:trPr>
        <w:tc>
          <w:tcPr>
            <w:tcW w:w="8940" w:type="dxa"/>
            <w:vAlign w:val="bottom"/>
            <w:shd w:val="clear" w:color="auto" w:fill="E5FFFF"/>
          </w:tcPr>
          <w:p>
            <w:pPr>
              <w:spacing w:after="0"/>
              <w:rPr>
                <w:sz w:val="20"/>
                <w:szCs w:val="20"/>
                <w:color w:val="auto"/>
              </w:rPr>
            </w:pPr>
            <w:r>
              <w:rPr>
                <w:rFonts w:ascii="Arial" w:cs="Arial" w:eastAsia="Arial" w:hAnsi="Arial"/>
                <w:sz w:val="19"/>
                <w:szCs w:val="19"/>
                <w:color w:val="auto"/>
              </w:rPr>
              <w:t>Non-vested at December 31, 2014</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5,899,194</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70.32</w:t>
            </w:r>
          </w:p>
        </w:tc>
      </w:tr>
      <w:tr>
        <w:trPr>
          <w:trHeight w:val="20"/>
        </w:trPr>
        <w:tc>
          <w:tcPr>
            <w:tcW w:w="89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As of December 31, 2014, there was approximately $195 million of total unrecognized compensation cost related to non-vested RSUs granted under our stock plans which is expected to be recognized over a weighted-average period of 3.52 years.</w:t>
      </w:r>
    </w:p>
    <w:p>
      <w:pPr>
        <w:spacing w:after="0" w:line="80" w:lineRule="exact"/>
        <w:rPr>
          <w:sz w:val="20"/>
          <w:szCs w:val="20"/>
          <w:color w:val="auto"/>
        </w:rPr>
      </w:pPr>
    </w:p>
    <w:p>
      <w:pPr>
        <w:jc w:val="both"/>
        <w:ind w:firstLine="357"/>
        <w:spacing w:after="0" w:line="246" w:lineRule="auto"/>
        <w:rPr>
          <w:sz w:val="20"/>
          <w:szCs w:val="20"/>
          <w:color w:val="auto"/>
        </w:rPr>
      </w:pPr>
      <w:r>
        <w:rPr>
          <w:rFonts w:ascii="Arial" w:cs="Arial" w:eastAsia="Arial" w:hAnsi="Arial"/>
          <w:sz w:val="19"/>
          <w:szCs w:val="19"/>
          <w:color w:val="auto"/>
        </w:rPr>
        <w:t>The following table summarizes information about income statement impact from RSUs for the three years ended December 31, 2014:</w:t>
      </w:r>
    </w:p>
    <w:p>
      <w:pPr>
        <w:spacing w:after="0" w:line="2"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635</wp:posOffset>
            </wp:positionV>
            <wp:extent cx="15347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ind w:left="8600"/>
        <w:spacing w:after="0"/>
        <w:tabs>
          <w:tab w:leader="none" w:pos="9460" w:val="left"/>
          <w:tab w:leader="none" w:pos="1040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r>
        <w:rPr>
          <w:sz w:val="20"/>
          <w:szCs w:val="20"/>
          <w:color w:val="auto"/>
        </w:rPr>
        <w:tab/>
      </w:r>
      <w:r>
        <w:rPr>
          <w:rFonts w:ascii="Arial" w:cs="Arial" w:eastAsia="Arial" w:hAnsi="Arial"/>
          <w:sz w:val="15"/>
          <w:szCs w:val="15"/>
          <w:b w:val="1"/>
          <w:bCs w:val="1"/>
          <w:color w:val="auto"/>
        </w:rPr>
        <w:t>2012</w:t>
      </w:r>
    </w:p>
    <w:tbl>
      <w:tblPr>
        <w:tblLayout w:type="fixed"/>
        <w:tblInd w:w="500" w:type="dxa"/>
        <w:tblCellMar>
          <w:top w:w="0" w:type="dxa"/>
          <w:left w:w="0" w:type="dxa"/>
          <w:bottom w:w="0" w:type="dxa"/>
          <w:right w:w="0" w:type="dxa"/>
        </w:tblCellMar>
      </w:tblPr>
      <w:tr>
        <w:trPr>
          <w:trHeight w:val="237"/>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Compensation expense</w:t>
            </w:r>
          </w:p>
        </w:tc>
        <w:tc>
          <w:tcPr>
            <w:tcW w:w="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$ 102</w:t>
            </w:r>
          </w:p>
        </w:tc>
        <w:tc>
          <w:tcPr>
            <w:tcW w:w="300" w:type="dxa"/>
            <w:vAlign w:val="bottom"/>
            <w:shd w:val="clear" w:color="auto" w:fill="E5FFFF"/>
          </w:tcPr>
          <w:p>
            <w:pPr>
              <w:spacing w:after="0"/>
              <w:rPr>
                <w:sz w:val="20"/>
                <w:szCs w:val="20"/>
                <w:color w:val="auto"/>
              </w:rPr>
            </w:pPr>
          </w:p>
        </w:tc>
        <w:tc>
          <w:tcPr>
            <w:tcW w:w="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$ 100</w:t>
            </w:r>
          </w:p>
        </w:tc>
        <w:tc>
          <w:tcPr>
            <w:tcW w:w="340" w:type="dxa"/>
            <w:vAlign w:val="bottom"/>
            <w:shd w:val="clear" w:color="auto" w:fill="E5FFFF"/>
          </w:tcPr>
          <w:p>
            <w:pPr>
              <w:spacing w:after="0"/>
              <w:rPr>
                <w:sz w:val="20"/>
                <w:szCs w:val="20"/>
                <w:color w:val="auto"/>
              </w:rPr>
            </w:pPr>
          </w:p>
        </w:tc>
        <w:tc>
          <w:tcPr>
            <w:tcW w:w="6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$ 105</w:t>
            </w:r>
          </w:p>
        </w:tc>
      </w:tr>
      <w:tr>
        <w:trPr>
          <w:trHeight w:val="261"/>
        </w:trPr>
        <w:tc>
          <w:tcPr>
            <w:tcW w:w="7980" w:type="dxa"/>
            <w:vAlign w:val="bottom"/>
          </w:tcPr>
          <w:p>
            <w:pPr>
              <w:spacing w:after="0"/>
              <w:rPr>
                <w:sz w:val="20"/>
                <w:szCs w:val="20"/>
                <w:color w:val="auto"/>
              </w:rPr>
            </w:pPr>
            <w:r>
              <w:rPr>
                <w:rFonts w:ascii="Arial" w:cs="Arial" w:eastAsia="Arial" w:hAnsi="Arial"/>
                <w:sz w:val="19"/>
                <w:szCs w:val="19"/>
                <w:color w:val="auto"/>
              </w:rPr>
              <w:t>Future income tax benefit recognized</w:t>
            </w:r>
          </w:p>
        </w:tc>
        <w:tc>
          <w:tcPr>
            <w:tcW w:w="580" w:type="dxa"/>
            <w:vAlign w:val="bottom"/>
          </w:tcPr>
          <w:p>
            <w:pPr>
              <w:jc w:val="right"/>
              <w:spacing w:after="0"/>
              <w:rPr>
                <w:sz w:val="20"/>
                <w:szCs w:val="20"/>
                <w:color w:val="auto"/>
              </w:rPr>
            </w:pPr>
            <w:r>
              <w:rPr>
                <w:rFonts w:ascii="Arial" w:cs="Arial" w:eastAsia="Arial" w:hAnsi="Arial"/>
                <w:sz w:val="19"/>
                <w:szCs w:val="19"/>
                <w:color w:val="auto"/>
              </w:rPr>
              <w:t>37</w:t>
            </w:r>
          </w:p>
        </w:tc>
        <w:tc>
          <w:tcPr>
            <w:tcW w:w="880" w:type="dxa"/>
            <w:vAlign w:val="bottom"/>
            <w:gridSpan w:val="2"/>
          </w:tcPr>
          <w:p>
            <w:pPr>
              <w:jc w:val="right"/>
              <w:spacing w:after="0"/>
              <w:rPr>
                <w:sz w:val="20"/>
                <w:szCs w:val="20"/>
                <w:color w:val="auto"/>
              </w:rPr>
            </w:pPr>
            <w:r>
              <w:rPr>
                <w:rFonts w:ascii="Arial" w:cs="Arial" w:eastAsia="Arial" w:hAnsi="Arial"/>
                <w:sz w:val="19"/>
                <w:szCs w:val="19"/>
                <w:color w:val="auto"/>
              </w:rPr>
              <w:t>35</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37</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19. Commitments and Contingencies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Environmental Matters</w:t>
      </w:r>
    </w:p>
    <w:p>
      <w:pPr>
        <w:spacing w:after="0" w:line="130"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We are subject to various federal, state, local and foreign government requirements relating to the protection of the environment. We believe that, as a general matter, our policies, practices and procedures are properly designed to prevent unreasonable risk of environmental damage and personal injury and that our handling, manufacture, use and disposal of hazardous substances are in accordance with environmental and safety laws and regulations. However, mainly because of past operations and operations of predecessor companies, we, like other companies engaged in similar businesses, have incurred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96"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With respect to environmental matters involving site contamination, we continually conduct studies, individually or jointly with other potentially responsible parties, to determine the feasibility of various remedial techniques. It is our policy to record appropriate liabilities for environmental matters when remedial efforts or damage claim payments are probable and the costs can be reasonably estimated. Such liabilities are based on our best estimate of the undiscounted future costs required to complete the remedial work. The recorded liabilities are adjusted periodically as remediation efforts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spacing w:after="0"/>
        <w:rPr>
          <w:sz w:val="20"/>
          <w:szCs w:val="20"/>
          <w:color w:val="auto"/>
        </w:rPr>
      </w:pPr>
      <w:r>
        <w:rPr>
          <w:rFonts w:ascii="Arial" w:cs="Arial" w:eastAsia="Arial" w:hAnsi="Arial"/>
          <w:sz w:val="19"/>
          <w:szCs w:val="19"/>
          <w:color w:val="auto"/>
        </w:rPr>
        <w:t>progress or as additional technical, regulatory or legal information becomes available. Given the uncertainties regarding the status of laws, regulations, enforcement policies, the impact of other potentially responsible parties, technology and information related to individual sites, we do not believe it is possible to develop an estimate of the range of reasonably possible environmental loss in excess of our recorded liabilities. We expect to fund expenditures for these matters from operating cash flow.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information concerning our recorded liabilities for environmental costs:</w:t>
      </w:r>
    </w:p>
    <w:p>
      <w:pPr>
        <w:spacing w:after="0" w:line="253"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ind w:right="246"/>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8"/>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6"/>
                <w:szCs w:val="16"/>
                <w:b w:val="1"/>
                <w:bCs w:val="1"/>
                <w:color w:val="auto"/>
                <w:w w:val="95"/>
              </w:rPr>
              <w:t>2013</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Beginning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643</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654</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723</w:t>
            </w:r>
          </w:p>
        </w:tc>
      </w:tr>
      <w:tr>
        <w:trPr>
          <w:trHeight w:val="243"/>
        </w:trPr>
        <w:tc>
          <w:tcPr>
            <w:tcW w:w="7680" w:type="dxa"/>
            <w:vAlign w:val="bottom"/>
          </w:tcPr>
          <w:p>
            <w:pPr>
              <w:spacing w:after="0"/>
              <w:rPr>
                <w:sz w:val="20"/>
                <w:szCs w:val="20"/>
                <w:color w:val="auto"/>
              </w:rPr>
            </w:pPr>
            <w:r>
              <w:rPr>
                <w:rFonts w:ascii="Arial" w:cs="Arial" w:eastAsia="Arial" w:hAnsi="Arial"/>
                <w:sz w:val="19"/>
                <w:szCs w:val="19"/>
                <w:color w:val="auto"/>
              </w:rPr>
              <w:t>Accruals for environmental matters deemed probable and reasonably estimable</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268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272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9"/>
                <w:szCs w:val="19"/>
                <w:color w:val="auto"/>
              </w:rPr>
              <w:t>234</w:t>
            </w:r>
          </w:p>
        </w:tc>
      </w:tr>
      <w:tr>
        <w:trPr>
          <w:trHeight w:val="243"/>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Environmental liability payments</w:t>
            </w: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(304)</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(320)</w:t>
            </w:r>
          </w:p>
        </w:tc>
      </w:tr>
      <w:tr>
        <w:trPr>
          <w:trHeight w:val="250"/>
        </w:trPr>
        <w:tc>
          <w:tcPr>
            <w:tcW w:w="7680" w:type="dxa"/>
            <w:vAlign w:val="bottom"/>
          </w:tcPr>
          <w:p>
            <w:pPr>
              <w:spacing w:after="0"/>
              <w:rPr>
                <w:sz w:val="20"/>
                <w:szCs w:val="20"/>
                <w:color w:val="auto"/>
              </w:rPr>
            </w:pPr>
            <w:r>
              <w:rPr>
                <w:rFonts w:ascii="Arial" w:cs="Arial" w:eastAsia="Arial" w:hAnsi="Arial"/>
                <w:sz w:val="19"/>
                <w:szCs w:val="19"/>
                <w:color w:val="auto"/>
              </w:rPr>
              <w:t>Other</w:t>
            </w: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17</w:t>
            </w:r>
          </w:p>
        </w:tc>
      </w:tr>
      <w:tr>
        <w:trPr>
          <w:trHeight w:val="243"/>
        </w:trPr>
        <w:tc>
          <w:tcPr>
            <w:tcW w:w="7680" w:type="dxa"/>
            <w:vAlign w:val="bottom"/>
            <w:shd w:val="clear" w:color="auto" w:fill="E5FFFF"/>
          </w:tcPr>
          <w:p>
            <w:pPr>
              <w:spacing w:after="0"/>
              <w:rPr>
                <w:sz w:val="20"/>
                <w:szCs w:val="20"/>
                <w:color w:val="auto"/>
              </w:rPr>
            </w:pPr>
            <w:r>
              <w:rPr>
                <w:rFonts w:ascii="Arial" w:cs="Arial" w:eastAsia="Arial" w:hAnsi="Arial"/>
                <w:sz w:val="19"/>
                <w:szCs w:val="19"/>
                <w:color w:val="auto"/>
              </w:rPr>
              <w:t>End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591</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643</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654</w:t>
            </w:r>
          </w:p>
        </w:tc>
      </w:tr>
      <w:tr>
        <w:trPr>
          <w:trHeight w:val="20"/>
        </w:trPr>
        <w:tc>
          <w:tcPr>
            <w:tcW w:w="7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Environmental liabilities are included in the following balance sheet accounts: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2100" w:type="dxa"/>
            <w:vAlign w:val="bottom"/>
            <w:gridSpan w:val="4"/>
          </w:tcPr>
          <w:p>
            <w:pPr>
              <w:ind w:left="220"/>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30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10"/>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14"/>
                <w:szCs w:val="14"/>
                <w:color w:val="auto"/>
              </w:rPr>
            </w:pPr>
          </w:p>
        </w:tc>
      </w:tr>
      <w:tr>
        <w:trPr>
          <w:trHeight w:val="237"/>
        </w:trPr>
        <w:tc>
          <w:tcPr>
            <w:tcW w:w="8300" w:type="dxa"/>
            <w:vAlign w:val="bottom"/>
            <w:shd w:val="clear" w:color="auto" w:fill="E5FFFF"/>
          </w:tcPr>
          <w:p>
            <w:pPr>
              <w:spacing w:after="0"/>
              <w:rPr>
                <w:sz w:val="20"/>
                <w:szCs w:val="20"/>
                <w:color w:val="auto"/>
              </w:rPr>
            </w:pPr>
            <w:r>
              <w:rPr>
                <w:rFonts w:ascii="Arial" w:cs="Arial" w:eastAsia="Arial" w:hAnsi="Arial"/>
                <w:sz w:val="19"/>
                <w:szCs w:val="19"/>
                <w:color w:val="auto"/>
              </w:rPr>
              <w:t>Accrued liabilities</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$ 278</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$ 304</w:t>
            </w:r>
          </w:p>
        </w:tc>
        <w:tc>
          <w:tcPr>
            <w:tcW w:w="640" w:type="dxa"/>
            <w:vAlign w:val="bottom"/>
            <w:shd w:val="clear" w:color="auto" w:fill="E5FFFF"/>
          </w:tcPr>
          <w:p>
            <w:pPr>
              <w:spacing w:after="0"/>
              <w:rPr>
                <w:sz w:val="20"/>
                <w:szCs w:val="20"/>
                <w:color w:val="auto"/>
              </w:rPr>
            </w:pPr>
          </w:p>
        </w:tc>
      </w:tr>
      <w:tr>
        <w:trPr>
          <w:trHeight w:val="250"/>
        </w:trPr>
        <w:tc>
          <w:tcPr>
            <w:tcW w:w="8300" w:type="dxa"/>
            <w:vAlign w:val="bottom"/>
          </w:tcPr>
          <w:p>
            <w:pPr>
              <w:spacing w:after="0"/>
              <w:rPr>
                <w:sz w:val="20"/>
                <w:szCs w:val="20"/>
                <w:color w:val="auto"/>
              </w:rPr>
            </w:pPr>
            <w:r>
              <w:rPr>
                <w:rFonts w:ascii="Arial" w:cs="Arial" w:eastAsia="Arial" w:hAnsi="Arial"/>
                <w:sz w:val="19"/>
                <w:szCs w:val="19"/>
                <w:color w:val="auto"/>
              </w:rPr>
              <w:t>Other liabilities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313</w:t>
            </w:r>
          </w:p>
        </w:tc>
        <w:tc>
          <w:tcPr>
            <w:tcW w:w="32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339</w:t>
            </w:r>
          </w:p>
        </w:tc>
        <w:tc>
          <w:tcPr>
            <w:tcW w:w="640" w:type="dxa"/>
            <w:vAlign w:val="bottom"/>
          </w:tcPr>
          <w:p>
            <w:pPr>
              <w:spacing w:after="0"/>
              <w:rPr>
                <w:sz w:val="21"/>
                <w:szCs w:val="21"/>
                <w:color w:val="auto"/>
              </w:rPr>
            </w:pPr>
          </w:p>
        </w:tc>
      </w:tr>
      <w:tr>
        <w:trPr>
          <w:trHeight w:val="243"/>
        </w:trPr>
        <w:tc>
          <w:tcPr>
            <w:tcW w:w="830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$ 591</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$ 643</w:t>
            </w:r>
          </w:p>
        </w:tc>
        <w:tc>
          <w:tcPr>
            <w:tcW w:w="640" w:type="dxa"/>
            <w:vAlign w:val="bottom"/>
            <w:shd w:val="clear" w:color="auto" w:fill="E5FFFF"/>
          </w:tcPr>
          <w:p>
            <w:pPr>
              <w:spacing w:after="0"/>
              <w:rPr>
                <w:sz w:val="21"/>
                <w:szCs w:val="21"/>
                <w:color w:val="auto"/>
              </w:rPr>
            </w:pPr>
          </w:p>
        </w:tc>
      </w:tr>
      <w:tr>
        <w:trPr>
          <w:trHeight w:val="20"/>
        </w:trPr>
        <w:tc>
          <w:tcPr>
            <w:tcW w:w="8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67"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Onondaga Lake, Syracuse, NY</w:t>
      </w:r>
      <w:r>
        <w:rPr>
          <w:rFonts w:ascii="Arial" w:cs="Arial" w:eastAsia="Arial" w:hAnsi="Arial"/>
          <w:sz w:val="19"/>
          <w:szCs w:val="19"/>
          <w:color w:val="auto"/>
        </w:rPr>
        <w:t>—We are implementing a combined dredging/capping remedy of Onondaga Lake pursuant to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the accounting policy described above.</w:t>
      </w:r>
    </w:p>
    <w:p>
      <w:pPr>
        <w:spacing w:after="0" w:line="70"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Matters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Honeywell is a defendant in asbestos related personal injury actions related to two predecessor companies:</w:t>
      </w:r>
    </w:p>
    <w:p>
      <w:pPr>
        <w:spacing w:after="0" w:line="92" w:lineRule="exact"/>
        <w:rPr>
          <w:sz w:val="20"/>
          <w:szCs w:val="20"/>
          <w:color w:val="auto"/>
        </w:rPr>
      </w:pPr>
    </w:p>
    <w:p>
      <w:pPr>
        <w:jc w:val="both"/>
        <w:ind w:left="540" w:hanging="168"/>
        <w:spacing w:after="0" w:line="245"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60" w:lineRule="exact"/>
        <w:rPr>
          <w:rFonts w:ascii="Arial" w:cs="Arial" w:eastAsia="Arial" w:hAnsi="Arial"/>
          <w:sz w:val="19"/>
          <w:szCs w:val="19"/>
          <w:color w:val="auto"/>
        </w:rPr>
      </w:pPr>
    </w:p>
    <w:p>
      <w:pPr>
        <w:jc w:val="both"/>
        <w:ind w:left="540" w:hanging="168"/>
        <w:spacing w:after="0" w:line="245"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summarize information concerning NARCO and Bendix asbestos related balances: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Asbestos Related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500" w:type="dxa"/>
            <w:vAlign w:val="bottom"/>
            <w:gridSpan w:val="5"/>
          </w:tcPr>
          <w:p>
            <w:pPr>
              <w:jc w:val="right"/>
              <w:ind w:right="298"/>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580" w:type="dxa"/>
            <w:vAlign w:val="bottom"/>
            <w:gridSpan w:val="6"/>
          </w:tcPr>
          <w:p>
            <w:pPr>
              <w:jc w:val="right"/>
              <w:ind w:right="338"/>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580" w:type="dxa"/>
            <w:vAlign w:val="bottom"/>
            <w:gridSpan w:val="5"/>
          </w:tcPr>
          <w:p>
            <w:pPr>
              <w:jc w:val="right"/>
              <w:ind w:right="338"/>
              <w:spacing w:after="0"/>
              <w:rPr>
                <w:sz w:val="20"/>
                <w:szCs w:val="20"/>
                <w:color w:val="auto"/>
              </w:rPr>
            </w:pPr>
            <w:r>
              <w:rPr>
                <w:rFonts w:ascii="Arial" w:cs="Arial" w:eastAsia="Arial" w:hAnsi="Arial"/>
                <w:sz w:val="14"/>
                <w:szCs w:val="14"/>
                <w:b w:val="1"/>
                <w:bCs w:val="1"/>
                <w:color w:val="auto"/>
              </w:rPr>
              <w:t>Year Ended December 31,</w:t>
            </w:r>
          </w:p>
        </w:tc>
      </w:tr>
      <w:tr>
        <w:trPr>
          <w:trHeight w:val="174"/>
        </w:trPr>
        <w:tc>
          <w:tcPr>
            <w:tcW w:w="31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56"/>
        </w:trPr>
        <w:tc>
          <w:tcPr>
            <w:tcW w:w="316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680" w:type="dxa"/>
            <w:vAlign w:val="bottom"/>
            <w:tcBorders>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Total</w:t>
            </w:r>
          </w:p>
        </w:tc>
      </w:tr>
      <w:tr>
        <w:trPr>
          <w:trHeight w:val="237"/>
        </w:trPr>
        <w:tc>
          <w:tcPr>
            <w:tcW w:w="3160" w:type="dxa"/>
            <w:vAlign w:val="bottom"/>
            <w:shd w:val="clear" w:color="auto" w:fill="E5FFFF"/>
          </w:tcPr>
          <w:p>
            <w:pPr>
              <w:spacing w:after="0"/>
              <w:rPr>
                <w:sz w:val="20"/>
                <w:szCs w:val="20"/>
                <w:color w:val="auto"/>
              </w:rPr>
            </w:pPr>
            <w:r>
              <w:rPr>
                <w:rFonts w:ascii="Arial" w:cs="Arial" w:eastAsia="Arial" w:hAnsi="Arial"/>
                <w:sz w:val="18"/>
                <w:szCs w:val="18"/>
                <w:color w:val="auto"/>
              </w:rPr>
              <w:t>Beginning of year</w:t>
            </w: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$ 656</w:t>
            </w:r>
          </w:p>
        </w:tc>
        <w:tc>
          <w:tcPr>
            <w:tcW w:w="900" w:type="dxa"/>
            <w:vAlign w:val="bottom"/>
            <w:gridSpan w:val="2"/>
            <w:shd w:val="clear" w:color="auto" w:fill="E5FFFF"/>
          </w:tcPr>
          <w:p>
            <w:pPr>
              <w:jc w:val="right"/>
              <w:ind w:right="13"/>
              <w:spacing w:after="0"/>
              <w:rPr>
                <w:sz w:val="20"/>
                <w:szCs w:val="20"/>
                <w:color w:val="auto"/>
              </w:rPr>
            </w:pPr>
            <w:r>
              <w:rPr>
                <w:rFonts w:ascii="Arial" w:cs="Arial" w:eastAsia="Arial" w:hAnsi="Arial"/>
                <w:sz w:val="18"/>
                <w:szCs w:val="18"/>
                <w:color w:val="auto"/>
              </w:rPr>
              <w:t>$ 955</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$ 1,611</w:t>
            </w:r>
          </w:p>
        </w:tc>
        <w:tc>
          <w:tcPr>
            <w:tcW w:w="88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$ 653</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1,119</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$ 1,772</w:t>
            </w:r>
          </w:p>
        </w:tc>
        <w:tc>
          <w:tcPr>
            <w:tcW w:w="90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$ 613</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$ 1,123</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$ 1,736</w:t>
            </w:r>
          </w:p>
        </w:tc>
      </w:tr>
      <w:tr>
        <w:trPr>
          <w:trHeight w:val="198"/>
        </w:trPr>
        <w:tc>
          <w:tcPr>
            <w:tcW w:w="3160" w:type="dxa"/>
            <w:vAlign w:val="bottom"/>
          </w:tcPr>
          <w:p>
            <w:pPr>
              <w:spacing w:after="0" w:line="199" w:lineRule="exact"/>
              <w:rPr>
                <w:sz w:val="20"/>
                <w:szCs w:val="20"/>
                <w:color w:val="auto"/>
              </w:rPr>
            </w:pPr>
            <w:r>
              <w:rPr>
                <w:rFonts w:ascii="Arial" w:cs="Arial" w:eastAsia="Arial" w:hAnsi="Arial"/>
                <w:sz w:val="18"/>
                <w:szCs w:val="18"/>
                <w:color w:val="auto"/>
              </w:rPr>
              <w:t>Accrual for update to estimated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7"/>
        </w:trPr>
        <w:tc>
          <w:tcPr>
            <w:tcW w:w="316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600" w:type="dxa"/>
            <w:vAlign w:val="bottom"/>
          </w:tcPr>
          <w:p>
            <w:pPr>
              <w:jc w:val="right"/>
              <w:spacing w:after="0"/>
              <w:rPr>
                <w:sz w:val="20"/>
                <w:szCs w:val="20"/>
                <w:color w:val="auto"/>
              </w:rPr>
            </w:pPr>
            <w:r>
              <w:rPr>
                <w:rFonts w:ascii="Arial" w:cs="Arial" w:eastAsia="Arial" w:hAnsi="Arial"/>
                <w:sz w:val="18"/>
                <w:szCs w:val="18"/>
                <w:color w:val="auto"/>
              </w:rPr>
              <w:t>195</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168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167</w:t>
            </w:r>
          </w:p>
        </w:tc>
      </w:tr>
      <w:tr>
        <w:trPr>
          <w:trHeight w:val="198"/>
        </w:trPr>
        <w:tc>
          <w:tcPr>
            <w:tcW w:w="3160" w:type="dxa"/>
            <w:vAlign w:val="bottom"/>
            <w:shd w:val="clear" w:color="auto" w:fill="E5FFFF"/>
          </w:tcPr>
          <w:p>
            <w:pPr>
              <w:spacing w:after="0" w:line="199" w:lineRule="exact"/>
              <w:rPr>
                <w:sz w:val="20"/>
                <w:szCs w:val="20"/>
                <w:color w:val="auto"/>
              </w:rPr>
            </w:pPr>
            <w:r>
              <w:rPr>
                <w:rFonts w:ascii="Arial" w:cs="Arial" w:eastAsia="Arial" w:hAnsi="Arial"/>
                <w:sz w:val="18"/>
                <w:szCs w:val="18"/>
                <w:color w:val="auto"/>
              </w:rPr>
              <w:t>Change in estimated cost of future</w:t>
            </w:r>
          </w:p>
        </w:tc>
        <w:tc>
          <w:tcPr>
            <w:tcW w:w="6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207"/>
        </w:trPr>
        <w:tc>
          <w:tcPr>
            <w:tcW w:w="31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claims</w:t>
            </w:r>
          </w:p>
        </w:tc>
        <w:tc>
          <w:tcPr>
            <w:tcW w:w="6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FFFF"/>
          </w:tcPr>
          <w:p>
            <w:pPr>
              <w:spacing w:after="0"/>
              <w:rPr>
                <w:sz w:val="17"/>
                <w:szCs w:val="17"/>
                <w:color w:val="auto"/>
              </w:rPr>
            </w:pPr>
          </w:p>
        </w:tc>
        <w:tc>
          <w:tcPr>
            <w:tcW w:w="6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16</w:t>
            </w:r>
          </w:p>
        </w:tc>
        <w:tc>
          <w:tcPr>
            <w:tcW w:w="90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30</w:t>
            </w:r>
          </w:p>
        </w:tc>
        <w:tc>
          <w:tcPr>
            <w:tcW w:w="30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30</w:t>
            </w:r>
          </w:p>
        </w:tc>
      </w:tr>
      <w:tr>
        <w:trPr>
          <w:trHeight w:val="198"/>
        </w:trPr>
        <w:tc>
          <w:tcPr>
            <w:tcW w:w="3160" w:type="dxa"/>
            <w:vAlign w:val="bottom"/>
          </w:tcPr>
          <w:p>
            <w:pPr>
              <w:spacing w:after="0" w:line="199" w:lineRule="exact"/>
              <w:rPr>
                <w:sz w:val="20"/>
                <w:szCs w:val="20"/>
                <w:color w:val="auto"/>
              </w:rPr>
            </w:pPr>
            <w:r>
              <w:rPr>
                <w:rFonts w:ascii="Arial" w:cs="Arial" w:eastAsia="Arial" w:hAnsi="Arial"/>
                <w:sz w:val="18"/>
                <w:szCs w:val="18"/>
                <w:color w:val="auto"/>
              </w:rPr>
              <w:t>Update of expected resolution</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7"/>
        </w:trPr>
        <w:tc>
          <w:tcPr>
            <w:tcW w:w="3160" w:type="dxa"/>
            <w:vAlign w:val="bottom"/>
          </w:tcPr>
          <w:p>
            <w:pPr>
              <w:ind w:left="180"/>
              <w:spacing w:after="0"/>
              <w:rPr>
                <w:sz w:val="20"/>
                <w:szCs w:val="20"/>
                <w:color w:val="auto"/>
              </w:rPr>
            </w:pPr>
            <w:r>
              <w:rPr>
                <w:rFonts w:ascii="Arial" w:cs="Arial" w:eastAsia="Arial" w:hAnsi="Arial"/>
                <w:sz w:val="18"/>
                <w:szCs w:val="18"/>
                <w:color w:val="auto"/>
              </w:rPr>
              <w:t>values for pending claims</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316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liability payments</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(357)</w:t>
            </w:r>
          </w:p>
        </w:tc>
        <w:tc>
          <w:tcPr>
            <w:tcW w:w="30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(166)</w:t>
            </w:r>
          </w:p>
        </w:tc>
        <w:tc>
          <w:tcPr>
            <w:tcW w:w="300" w:type="dxa"/>
            <w:vAlign w:val="bottom"/>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(169)</w:t>
            </w:r>
          </w:p>
        </w:tc>
      </w:tr>
      <w:tr>
        <w:trPr>
          <w:trHeight w:val="250"/>
        </w:trPr>
        <w:tc>
          <w:tcPr>
            <w:tcW w:w="3160" w:type="dxa"/>
            <w:vAlign w:val="bottom"/>
          </w:tcPr>
          <w:p>
            <w:pPr>
              <w:spacing w:after="0"/>
              <w:rPr>
                <w:sz w:val="20"/>
                <w:szCs w:val="20"/>
                <w:color w:val="auto"/>
              </w:rPr>
            </w:pPr>
            <w:r>
              <w:rPr>
                <w:rFonts w:ascii="Arial" w:cs="Arial" w:eastAsia="Arial" w:hAnsi="Arial"/>
                <w:sz w:val="18"/>
                <w:szCs w:val="18"/>
                <w:color w:val="auto"/>
              </w:rPr>
              <w:t>End of year</w:t>
            </w:r>
          </w:p>
        </w:tc>
        <w:tc>
          <w:tcPr>
            <w:tcW w:w="600" w:type="dxa"/>
            <w:vAlign w:val="bottom"/>
          </w:tcPr>
          <w:p>
            <w:pPr>
              <w:jc w:val="right"/>
              <w:spacing w:after="0"/>
              <w:rPr>
                <w:sz w:val="20"/>
                <w:szCs w:val="20"/>
                <w:color w:val="auto"/>
              </w:rPr>
            </w:pPr>
            <w:r>
              <w:rPr>
                <w:rFonts w:ascii="Arial" w:cs="Arial" w:eastAsia="Arial" w:hAnsi="Arial"/>
                <w:sz w:val="18"/>
                <w:szCs w:val="18"/>
                <w:color w:val="auto"/>
              </w:rPr>
              <w:t>$ 623</w:t>
            </w:r>
          </w:p>
        </w:tc>
        <w:tc>
          <w:tcPr>
            <w:tcW w:w="900" w:type="dxa"/>
            <w:vAlign w:val="bottom"/>
            <w:gridSpan w:val="2"/>
          </w:tcPr>
          <w:p>
            <w:pPr>
              <w:jc w:val="right"/>
              <w:ind w:right="13"/>
              <w:spacing w:after="0"/>
              <w:rPr>
                <w:sz w:val="20"/>
                <w:szCs w:val="20"/>
                <w:color w:val="auto"/>
              </w:rPr>
            </w:pPr>
            <w:r>
              <w:rPr>
                <w:rFonts w:ascii="Arial" w:cs="Arial" w:eastAsia="Arial" w:hAnsi="Arial"/>
                <w:sz w:val="18"/>
                <w:szCs w:val="18"/>
                <w:color w:val="auto"/>
              </w:rPr>
              <w:t>$ 929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$ 1,552</w:t>
            </w:r>
          </w:p>
        </w:tc>
        <w:tc>
          <w:tcPr>
            <w:tcW w:w="880" w:type="dxa"/>
            <w:vAlign w:val="bottom"/>
            <w:gridSpan w:val="2"/>
          </w:tcPr>
          <w:p>
            <w:pPr>
              <w:jc w:val="right"/>
              <w:ind w:right="2"/>
              <w:spacing w:after="0"/>
              <w:rPr>
                <w:sz w:val="20"/>
                <w:szCs w:val="20"/>
                <w:color w:val="auto"/>
              </w:rPr>
            </w:pPr>
            <w:r>
              <w:rPr>
                <w:rFonts w:ascii="Arial" w:cs="Arial" w:eastAsia="Arial" w:hAnsi="Arial"/>
                <w:sz w:val="18"/>
                <w:szCs w:val="18"/>
                <w:color w:val="auto"/>
              </w:rPr>
              <w:t>$ 656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$ 1,611</w:t>
            </w:r>
          </w:p>
        </w:tc>
        <w:tc>
          <w:tcPr>
            <w:tcW w:w="900" w:type="dxa"/>
            <w:vAlign w:val="bottom"/>
            <w:gridSpan w:val="2"/>
          </w:tcPr>
          <w:p>
            <w:pPr>
              <w:jc w:val="right"/>
              <w:ind w:right="2"/>
              <w:spacing w:after="0"/>
              <w:rPr>
                <w:sz w:val="20"/>
                <w:szCs w:val="20"/>
                <w:color w:val="auto"/>
              </w:rPr>
            </w:pPr>
            <w:r>
              <w:rPr>
                <w:rFonts w:ascii="Arial" w:cs="Arial" w:eastAsia="Arial" w:hAnsi="Arial"/>
                <w:sz w:val="18"/>
                <w:szCs w:val="18"/>
                <w:color w:val="auto"/>
              </w:rPr>
              <w:t>$ 653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$ 1,119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$ 1,772</w:t>
            </w:r>
          </w:p>
        </w:tc>
      </w:tr>
      <w:tr>
        <w:trPr>
          <w:trHeight w:val="20"/>
        </w:trPr>
        <w:tc>
          <w:tcPr>
            <w:tcW w:w="3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Insurance Recoveries for Asbestos Related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360" w:type="dxa"/>
            <w:vAlign w:val="bottom"/>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r>
      <w:tr>
        <w:trPr>
          <w:trHeight w:val="174"/>
        </w:trPr>
        <w:tc>
          <w:tcPr>
            <w:tcW w:w="38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21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left="252"/>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56"/>
        </w:trPr>
        <w:tc>
          <w:tcPr>
            <w:tcW w:w="384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6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right"/>
              <w:ind w:right="18"/>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Bendix</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NARCO</w:t>
            </w:r>
          </w:p>
        </w:tc>
        <w:tc>
          <w:tcPr>
            <w:tcW w:w="300" w:type="dxa"/>
            <w:vAlign w:val="bottom"/>
          </w:tcPr>
          <w:p>
            <w:pPr>
              <w:spacing w:after="0"/>
              <w:rPr>
                <w:sz w:val="13"/>
                <w:szCs w:val="13"/>
                <w:color w:val="auto"/>
              </w:rPr>
            </w:pPr>
          </w:p>
        </w:tc>
        <w:tc>
          <w:tcPr>
            <w:tcW w:w="600" w:type="dxa"/>
            <w:vAlign w:val="bottom"/>
            <w:tcBorders>
              <w:bottom w:val="single" w:sz="8" w:color="auto"/>
            </w:tcBorders>
          </w:tcPr>
          <w:p>
            <w:pPr>
              <w:jc w:val="right"/>
              <w:ind w:right="58"/>
              <w:spacing w:after="0" w:line="155" w:lineRule="exact"/>
              <w:rPr>
                <w:sz w:val="20"/>
                <w:szCs w:val="20"/>
                <w:color w:val="auto"/>
              </w:rPr>
            </w:pPr>
            <w:r>
              <w:rPr>
                <w:rFonts w:ascii="Arial" w:cs="Arial" w:eastAsia="Arial" w:hAnsi="Arial"/>
                <w:sz w:val="14"/>
                <w:szCs w:val="14"/>
                <w:b w:val="1"/>
                <w:bCs w:val="1"/>
                <w:color w:val="auto"/>
              </w:rPr>
              <w:t>Total</w:t>
            </w:r>
          </w:p>
        </w:tc>
      </w:tr>
      <w:tr>
        <w:trPr>
          <w:trHeight w:val="237"/>
        </w:trPr>
        <w:tc>
          <w:tcPr>
            <w:tcW w:w="3840" w:type="dxa"/>
            <w:vAlign w:val="bottom"/>
            <w:shd w:val="clear" w:color="auto" w:fill="E5FFFF"/>
          </w:tcPr>
          <w:p>
            <w:pPr>
              <w:spacing w:after="0"/>
              <w:rPr>
                <w:sz w:val="20"/>
                <w:szCs w:val="20"/>
                <w:color w:val="auto"/>
              </w:rPr>
            </w:pPr>
            <w:r>
              <w:rPr>
                <w:rFonts w:ascii="Arial" w:cs="Arial" w:eastAsia="Arial" w:hAnsi="Arial"/>
                <w:sz w:val="18"/>
                <w:szCs w:val="18"/>
                <w:color w:val="auto"/>
              </w:rPr>
              <w:t>Beginning of year</w:t>
            </w:r>
          </w:p>
        </w:tc>
        <w:tc>
          <w:tcPr>
            <w:tcW w:w="5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7"/>
              </w:rPr>
              <w:t>$ 141</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531</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$ 672</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$ 138</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$ 569</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$ 707</w:t>
            </w:r>
          </w:p>
        </w:tc>
        <w:tc>
          <w:tcPr>
            <w:tcW w:w="840" w:type="dxa"/>
            <w:vAlign w:val="bottom"/>
            <w:gridSpan w:val="2"/>
            <w:shd w:val="clear" w:color="auto" w:fill="E5FFFF"/>
          </w:tcPr>
          <w:p>
            <w:pPr>
              <w:jc w:val="right"/>
              <w:ind w:right="2"/>
              <w:spacing w:after="0"/>
              <w:rPr>
                <w:sz w:val="20"/>
                <w:szCs w:val="20"/>
                <w:color w:val="auto"/>
              </w:rPr>
            </w:pPr>
            <w:r>
              <w:rPr>
                <w:rFonts w:ascii="Arial" w:cs="Arial" w:eastAsia="Arial" w:hAnsi="Arial"/>
                <w:sz w:val="18"/>
                <w:szCs w:val="18"/>
                <w:color w:val="auto"/>
              </w:rPr>
              <w:t>$ 162</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$ 618</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$ 780</w:t>
            </w:r>
          </w:p>
        </w:tc>
      </w:tr>
      <w:tr>
        <w:trPr>
          <w:trHeight w:val="198"/>
        </w:trPr>
        <w:tc>
          <w:tcPr>
            <w:tcW w:w="3840" w:type="dxa"/>
            <w:vAlign w:val="bottom"/>
          </w:tcPr>
          <w:p>
            <w:pPr>
              <w:spacing w:after="0" w:line="199" w:lineRule="exact"/>
              <w:rPr>
                <w:sz w:val="20"/>
                <w:szCs w:val="20"/>
                <w:color w:val="auto"/>
              </w:rPr>
            </w:pPr>
            <w:r>
              <w:rPr>
                <w:rFonts w:ascii="Arial" w:cs="Arial" w:eastAsia="Arial" w:hAnsi="Arial"/>
                <w:sz w:val="18"/>
                <w:szCs w:val="18"/>
                <w:color w:val="auto"/>
              </w:rPr>
              <w:t>Probable insurance recoveries related to</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7"/>
        </w:trPr>
        <w:tc>
          <w:tcPr>
            <w:tcW w:w="3840" w:type="dxa"/>
            <w:vAlign w:val="bottom"/>
          </w:tcPr>
          <w:p>
            <w:pPr>
              <w:ind w:left="180"/>
              <w:spacing w:after="0"/>
              <w:rPr>
                <w:sz w:val="20"/>
                <w:szCs w:val="20"/>
                <w:color w:val="auto"/>
              </w:rPr>
            </w:pPr>
            <w:r>
              <w:rPr>
                <w:rFonts w:ascii="Arial" w:cs="Arial" w:eastAsia="Arial" w:hAnsi="Arial"/>
                <w:sz w:val="18"/>
                <w:szCs w:val="18"/>
                <w:color w:val="auto"/>
              </w:rPr>
              <w:t>estimated liability</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840" w:type="dxa"/>
            <w:vAlign w:val="bottom"/>
            <w:gridSpan w:val="2"/>
          </w:tcPr>
          <w:p>
            <w:pPr>
              <w:jc w:val="right"/>
              <w:ind w:right="2"/>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198"/>
        </w:trPr>
        <w:tc>
          <w:tcPr>
            <w:tcW w:w="3840" w:type="dxa"/>
            <w:vAlign w:val="bottom"/>
            <w:shd w:val="clear" w:color="auto" w:fill="E5FFFF"/>
          </w:tcPr>
          <w:p>
            <w:pPr>
              <w:spacing w:after="0" w:line="199" w:lineRule="exact"/>
              <w:rPr>
                <w:sz w:val="20"/>
                <w:szCs w:val="20"/>
                <w:color w:val="auto"/>
              </w:rPr>
            </w:pPr>
            <w:r>
              <w:rPr>
                <w:rFonts w:ascii="Arial" w:cs="Arial" w:eastAsia="Arial" w:hAnsi="Arial"/>
                <w:sz w:val="18"/>
                <w:szCs w:val="18"/>
                <w:color w:val="auto"/>
              </w:rPr>
              <w:t>Insurance receipts for asbestos related</w:t>
            </w:r>
          </w:p>
        </w:tc>
        <w:tc>
          <w:tcPr>
            <w:tcW w:w="5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r>
      <w:tr>
        <w:trPr>
          <w:trHeight w:val="207"/>
        </w:trPr>
        <w:tc>
          <w:tcPr>
            <w:tcW w:w="38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(187)</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(211)</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(34)</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(58)</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(60)</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(62)</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(122)</w:t>
            </w:r>
          </w:p>
        </w:tc>
      </w:tr>
      <w:tr>
        <w:trPr>
          <w:trHeight w:val="198"/>
        </w:trPr>
        <w:tc>
          <w:tcPr>
            <w:tcW w:w="3840" w:type="dxa"/>
            <w:vAlign w:val="bottom"/>
          </w:tcPr>
          <w:p>
            <w:pPr>
              <w:spacing w:after="0" w:line="199" w:lineRule="exact"/>
              <w:rPr>
                <w:sz w:val="20"/>
                <w:szCs w:val="20"/>
                <w:color w:val="auto"/>
              </w:rPr>
            </w:pPr>
            <w:r>
              <w:rPr>
                <w:rFonts w:ascii="Arial" w:cs="Arial" w:eastAsia="Arial" w:hAnsi="Arial"/>
                <w:sz w:val="18"/>
                <w:szCs w:val="18"/>
                <w:color w:val="auto"/>
              </w:rPr>
              <w:t>Insurance receivables settlements and</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7"/>
        </w:trPr>
        <w:tc>
          <w:tcPr>
            <w:tcW w:w="3840" w:type="dxa"/>
            <w:vAlign w:val="bottom"/>
          </w:tcPr>
          <w:p>
            <w:pPr>
              <w:ind w:left="180"/>
              <w:spacing w:after="0"/>
              <w:rPr>
                <w:sz w:val="20"/>
                <w:szCs w:val="20"/>
                <w:color w:val="auto"/>
              </w:rPr>
            </w:pPr>
            <w:r>
              <w:rPr>
                <w:rFonts w:ascii="Arial" w:cs="Arial" w:eastAsia="Arial" w:hAnsi="Arial"/>
                <w:sz w:val="18"/>
                <w:szCs w:val="18"/>
                <w:color w:val="auto"/>
              </w:rPr>
              <w:t>write offs</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ind w:right="2"/>
              <w:spacing w:after="0"/>
              <w:rPr>
                <w:sz w:val="20"/>
                <w:szCs w:val="20"/>
                <w:color w:val="auto"/>
              </w:rPr>
            </w:pPr>
            <w:r>
              <w:rPr>
                <w:rFonts w:ascii="Arial" w:cs="Arial" w:eastAsia="Arial" w:hAnsi="Arial"/>
                <w:sz w:val="18"/>
                <w:szCs w:val="18"/>
                <w:color w:val="auto"/>
              </w:rPr>
              <w:t>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40" w:type="dxa"/>
            <w:vAlign w:val="bottom"/>
            <w:shd w:val="clear" w:color="auto" w:fill="E5FFFF"/>
          </w:tcPr>
          <w:p>
            <w:pPr>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840" w:type="dxa"/>
            <w:vAlign w:val="bottom"/>
          </w:tcPr>
          <w:p>
            <w:pPr>
              <w:spacing w:after="0"/>
              <w:rPr>
                <w:sz w:val="20"/>
                <w:szCs w:val="20"/>
                <w:color w:val="auto"/>
              </w:rPr>
            </w:pPr>
            <w:r>
              <w:rPr>
                <w:rFonts w:ascii="Arial" w:cs="Arial" w:eastAsia="Arial" w:hAnsi="Arial"/>
                <w:sz w:val="18"/>
                <w:szCs w:val="18"/>
                <w:color w:val="auto"/>
              </w:rPr>
              <w:t>End of year</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$ 135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$ 485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$ 141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$ 531</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672</w:t>
            </w:r>
          </w:p>
        </w:tc>
        <w:tc>
          <w:tcPr>
            <w:tcW w:w="840" w:type="dxa"/>
            <w:vAlign w:val="bottom"/>
            <w:gridSpan w:val="2"/>
          </w:tcPr>
          <w:p>
            <w:pPr>
              <w:jc w:val="right"/>
              <w:ind w:right="2"/>
              <w:spacing w:after="0"/>
              <w:rPr>
                <w:sz w:val="20"/>
                <w:szCs w:val="20"/>
                <w:color w:val="auto"/>
              </w:rPr>
            </w:pPr>
            <w:r>
              <w:rPr>
                <w:rFonts w:ascii="Arial" w:cs="Arial" w:eastAsia="Arial" w:hAnsi="Arial"/>
                <w:sz w:val="18"/>
                <w:szCs w:val="18"/>
                <w:color w:val="auto"/>
              </w:rPr>
              <w:t>$ 138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$ 569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$ 707</w:t>
            </w:r>
          </w:p>
        </w:tc>
      </w:tr>
      <w:tr>
        <w:trPr>
          <w:trHeight w:val="20"/>
        </w:trPr>
        <w:tc>
          <w:tcPr>
            <w:tcW w:w="3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NARCO and Bendix asbestos related balances are included in the following balance sheet accounts:</w:t>
      </w: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8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6"/>
                <w:szCs w:val="16"/>
                <w:b w:val="1"/>
                <w:bCs w:val="1"/>
                <w:color w:val="auto"/>
              </w:rPr>
              <w:t>December 31,</w:t>
            </w:r>
          </w:p>
        </w:tc>
      </w:tr>
      <w:tr>
        <w:trPr>
          <w:trHeight w:val="169"/>
        </w:trPr>
        <w:tc>
          <w:tcPr>
            <w:tcW w:w="8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8"/>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2013</w:t>
            </w:r>
          </w:p>
        </w:tc>
      </w:tr>
      <w:tr>
        <w:trPr>
          <w:trHeight w:val="237"/>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Other current assets</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77</w:t>
            </w:r>
          </w:p>
        </w:tc>
      </w:tr>
      <w:tr>
        <w:trPr>
          <w:trHeight w:val="250"/>
        </w:trPr>
        <w:tc>
          <w:tcPr>
            <w:tcW w:w="8620" w:type="dxa"/>
            <w:vAlign w:val="bottom"/>
          </w:tcPr>
          <w:p>
            <w:pPr>
              <w:spacing w:after="0"/>
              <w:rPr>
                <w:sz w:val="20"/>
                <w:szCs w:val="20"/>
                <w:color w:val="auto"/>
              </w:rPr>
            </w:pPr>
            <w:r>
              <w:rPr>
                <w:rFonts w:ascii="Arial" w:cs="Arial" w:eastAsia="Arial" w:hAnsi="Arial"/>
                <w:sz w:val="19"/>
                <w:szCs w:val="19"/>
                <w:color w:val="auto"/>
              </w:rPr>
              <w:t>Insurance recoveries for asbestos related liabilities</w:t>
            </w: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454</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595</w:t>
            </w:r>
          </w:p>
        </w:tc>
      </w:tr>
      <w:tr>
        <w:trPr>
          <w:trHeight w:val="243"/>
        </w:trPr>
        <w:tc>
          <w:tcPr>
            <w:tcW w:w="86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485</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672</w:t>
            </w:r>
          </w:p>
        </w:tc>
      </w:tr>
      <w:tr>
        <w:trPr>
          <w:trHeight w:val="20"/>
        </w:trPr>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37"/>
        </w:trPr>
        <w:tc>
          <w:tcPr>
            <w:tcW w:w="8620" w:type="dxa"/>
            <w:vAlign w:val="bottom"/>
          </w:tcPr>
          <w:p>
            <w:pPr>
              <w:spacing w:after="0"/>
              <w:rPr>
                <w:sz w:val="20"/>
                <w:szCs w:val="20"/>
                <w:color w:val="auto"/>
              </w:rPr>
            </w:pPr>
            <w:r>
              <w:rPr>
                <w:rFonts w:ascii="Arial" w:cs="Arial" w:eastAsia="Arial" w:hAnsi="Arial"/>
                <w:sz w:val="19"/>
                <w:szCs w:val="19"/>
                <w:color w:val="auto"/>
              </w:rPr>
              <w:t>Accrued liabilities</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352</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461</w:t>
            </w:r>
          </w:p>
        </w:tc>
      </w:tr>
      <w:tr>
        <w:trPr>
          <w:trHeight w:val="243"/>
        </w:trPr>
        <w:tc>
          <w:tcPr>
            <w:tcW w:w="8620" w:type="dxa"/>
            <w:vAlign w:val="bottom"/>
            <w:shd w:val="clear" w:color="auto" w:fill="E5FFFF"/>
          </w:tcPr>
          <w:p>
            <w:pPr>
              <w:spacing w:after="0"/>
              <w:rPr>
                <w:sz w:val="20"/>
                <w:szCs w:val="20"/>
                <w:color w:val="auto"/>
              </w:rPr>
            </w:pPr>
            <w:r>
              <w:rPr>
                <w:rFonts w:ascii="Arial" w:cs="Arial" w:eastAsia="Arial" w:hAnsi="Arial"/>
                <w:sz w:val="19"/>
                <w:szCs w:val="19"/>
                <w:color w:val="auto"/>
              </w:rPr>
              <w:t>Asbestos related liabilities</w:t>
            </w:r>
          </w:p>
        </w:tc>
        <w:tc>
          <w:tcPr>
            <w:tcW w:w="14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1,200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1,150</w:t>
            </w:r>
          </w:p>
        </w:tc>
      </w:tr>
      <w:tr>
        <w:trPr>
          <w:trHeight w:val="250"/>
        </w:trPr>
        <w:tc>
          <w:tcPr>
            <w:tcW w:w="8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1,552</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1,611</w:t>
            </w:r>
          </w:p>
        </w:tc>
      </w:tr>
      <w:tr>
        <w:trPr>
          <w:trHeight w:val="20"/>
        </w:trPr>
        <w:tc>
          <w:tcPr>
            <w:tcW w:w="8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b w:val="1"/>
          <w:bCs w:val="1"/>
          <w:i w:val="1"/>
          <w:iCs w:val="1"/>
          <w:color w:val="auto"/>
        </w:rPr>
        <w:t>NARCO Products</w:t>
      </w:r>
      <w:r>
        <w:rPr>
          <w:rFonts w:ascii="Arial" w:cs="Arial" w:eastAsia="Arial" w:hAnsi="Arial"/>
          <w:sz w:val="19"/>
          <w:szCs w:val="19"/>
          <w:color w:val="auto"/>
        </w:rPr>
        <w:t>—In connection with NARCO’s emergence from bankruptcy on April 30, 2013, a federally authorized 524(g)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trust (NARCO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94"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Honeywell is obligated to fund NARCO asbestos claims submitted to the NARCO Trust which qualify for payment under the Trust Distribution Procedures (Annual Contribution Claims), subject to annual caps of $140 million in the years 2015 through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As of December 31, 2014, Honeywell has not made any payments to the NARCO Trust for Annual Contribution Claims.</w:t>
      </w:r>
    </w:p>
    <w:p>
      <w:pPr>
        <w:spacing w:after="0" w:line="94"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$150 million and are expected to be paid during the initial years of trust operations ($3 million of which was paid in 2014). Such payments are not subject to the annual cap described above.</w:t>
      </w:r>
    </w:p>
    <w:p>
      <w:pPr>
        <w:spacing w:after="0" w:line="91"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Our consolidated financial statements reflect an estimated liability for pre-established unliquidated claims ($147 million), unsettled claims pending as of the time NARCO filed for bankruptcy protection ($39 million) and for the estimated value of future NARCO asbestos claims expected to be asserted against the NARCO Trust through 2018 ($743 million). In the absence of actual trust experience on which to base the estimate, Honeywell projected the probable value of asbestos related future liabilities, including trust claim handling costs, based on a commonly accepted methodology used by numerous bankruptcy courts addressing 524(g) trusts. Some critical assumptions underlying this methodology include claims filing rates, disease criteria and payment values contained in the Trust Distribution Procedures, estimated approval rates of claims submitted to the NARCO Trust and epidemiological studies estimating disease instances. This projection resulted in a range of estimated liability of $743 million to $961 million. We believe that no amount within this range is a better estimate than any other amount and accordingly, we have recorded the minimum amount in the range. In light of the uncertainties inherent in making long-term</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projections and in connection with the recent implementation of the Trust Distribution Procedures by the NARCO Trust, as well as the stay of all NARCO asbestos claims which remained in place throughout NARCO’s Chapter 11 case, we do not believe that we have a reasonable basis for estimating NARCO asbestos claims beyond 2018.</w:t>
      </w:r>
    </w:p>
    <w:p>
      <w:pPr>
        <w:spacing w:after="0" w:line="87"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91"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Friction Products</w:t>
      </w:r>
      <w:r>
        <w:rPr>
          <w:rFonts w:ascii="Arial" w:cs="Arial" w:eastAsia="Arial" w:hAnsi="Arial"/>
          <w:sz w:val="19"/>
          <w:szCs w:val="19"/>
          <w:color w:val="auto"/>
        </w:rPr>
        <w:t>—The following tables present information regarding Bendix related asbestos claims activity: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3"/>
          </w:tcPr>
          <w:p>
            <w:pPr>
              <w:jc w:val="right"/>
              <w:ind w:right="432"/>
              <w:spacing w:after="0"/>
              <w:rPr>
                <w:sz w:val="20"/>
                <w:szCs w:val="20"/>
                <w:color w:val="auto"/>
              </w:rPr>
            </w:pPr>
            <w:r>
              <w:rPr>
                <w:rFonts w:ascii="Arial" w:cs="Arial" w:eastAsia="Arial" w:hAnsi="Arial"/>
                <w:sz w:val="16"/>
                <w:szCs w:val="16"/>
                <w:b w:val="1"/>
                <w:bCs w:val="1"/>
                <w:color w:val="auto"/>
              </w:rPr>
              <w:t>Years Ended</w:t>
            </w: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81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Claims Activity</w:t>
            </w:r>
          </w:p>
        </w:tc>
        <w:tc>
          <w:tcPr>
            <w:tcW w:w="28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120" w:type="dxa"/>
            <w:vAlign w:val="bottom"/>
            <w:tcBorders>
              <w:bottom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ind w:right="136"/>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12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Claims Unresolved at the beginning of year</w:t>
            </w: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12,302</w:t>
            </w:r>
          </w:p>
        </w:tc>
        <w:tc>
          <w:tcPr>
            <w:tcW w:w="1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23,141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120" w:type="dxa"/>
            <w:vAlign w:val="bottom"/>
            <w:gridSpan w:val="2"/>
          </w:tcPr>
          <w:p>
            <w:pPr>
              <w:spacing w:after="0"/>
              <w:rPr>
                <w:sz w:val="20"/>
                <w:szCs w:val="20"/>
                <w:color w:val="auto"/>
              </w:rPr>
            </w:pPr>
            <w:r>
              <w:rPr>
                <w:rFonts w:ascii="Arial" w:cs="Arial" w:eastAsia="Arial" w:hAnsi="Arial"/>
                <w:sz w:val="19"/>
                <w:szCs w:val="19"/>
                <w:color w:val="auto"/>
              </w:rPr>
              <w:t>Claims Filed</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3,694</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4,527</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12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Claims Resolved(1)</w:t>
            </w:r>
          </w:p>
        </w:tc>
        <w:tc>
          <w:tcPr>
            <w:tcW w:w="28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(6,729)</w:t>
            </w:r>
          </w:p>
        </w:tc>
        <w:tc>
          <w:tcPr>
            <w:tcW w:w="300" w:type="dxa"/>
            <w:vAlign w:val="bottom"/>
            <w:shd w:val="clear" w:color="auto" w:fill="E5FFFF"/>
          </w:tcPr>
          <w:p>
            <w:pPr>
              <w:spacing w:after="0"/>
              <w:rPr>
                <w:sz w:val="21"/>
                <w:szCs w:val="21"/>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(15,366)</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120" w:type="dxa"/>
            <w:vAlign w:val="bottom"/>
            <w:gridSpan w:val="2"/>
          </w:tcPr>
          <w:p>
            <w:pPr>
              <w:spacing w:after="0"/>
              <w:rPr>
                <w:sz w:val="20"/>
                <w:szCs w:val="20"/>
                <w:color w:val="auto"/>
              </w:rPr>
            </w:pPr>
            <w:r>
              <w:rPr>
                <w:rFonts w:ascii="Arial" w:cs="Arial" w:eastAsia="Arial" w:hAnsi="Arial"/>
                <w:sz w:val="19"/>
                <w:szCs w:val="19"/>
                <w:color w:val="auto"/>
              </w:rPr>
              <w:t>Claims Unresolved at the end of year</w:t>
            </w:r>
          </w:p>
        </w:tc>
        <w:tc>
          <w:tcPr>
            <w:tcW w:w="1080" w:type="dxa"/>
            <w:vAlign w:val="bottom"/>
            <w:gridSpan w:val="2"/>
          </w:tcPr>
          <w:p>
            <w:pPr>
              <w:jc w:val="right"/>
              <w:spacing w:after="0"/>
              <w:rPr>
                <w:sz w:val="20"/>
                <w:szCs w:val="20"/>
                <w:color w:val="auto"/>
              </w:rPr>
            </w:pPr>
            <w:r>
              <w:rPr>
                <w:rFonts w:ascii="Arial" w:cs="Arial" w:eastAsia="Arial" w:hAnsi="Arial"/>
                <w:sz w:val="19"/>
                <w:szCs w:val="19"/>
                <w:color w:val="auto"/>
              </w:rPr>
              <w:t>9,267</w:t>
            </w:r>
          </w:p>
        </w:tc>
        <w:tc>
          <w:tcPr>
            <w:tcW w:w="1200" w:type="dxa"/>
            <w:vAlign w:val="bottom"/>
            <w:gridSpan w:val="2"/>
          </w:tcPr>
          <w:p>
            <w:pPr>
              <w:jc w:val="right"/>
              <w:spacing w:after="0"/>
              <w:rPr>
                <w:sz w:val="20"/>
                <w:szCs w:val="20"/>
                <w:color w:val="auto"/>
              </w:rPr>
            </w:pPr>
            <w:r>
              <w:rPr>
                <w:rFonts w:ascii="Arial" w:cs="Arial" w:eastAsia="Arial" w:hAnsi="Arial"/>
                <w:sz w:val="19"/>
                <w:szCs w:val="19"/>
                <w:color w:val="auto"/>
              </w:rPr>
              <w:t>12,302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420" w:hanging="338"/>
        <w:spacing w:after="0" w:line="245" w:lineRule="auto"/>
        <w:tabs>
          <w:tab w:leader="none" w:pos="4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Claims resolved in 2014 include 2,110 cancer claims which were determined to have no value. Also, claims resolved in 2014 and 2013 include significantly aged (i.e., pending for more than six years) claims totaling 1,266 and 12,250, respectively, of which 82% and 92%, respectively, were non-malignant.</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8360" w:type="dxa"/>
            <w:vAlign w:val="bottom"/>
            <w:vMerge w:val="restart"/>
          </w:tcPr>
          <w:p>
            <w:pPr>
              <w:spacing w:after="0"/>
              <w:rPr>
                <w:sz w:val="20"/>
                <w:szCs w:val="20"/>
                <w:color w:val="auto"/>
              </w:rPr>
            </w:pPr>
            <w:r>
              <w:rPr>
                <w:rFonts w:ascii="Arial" w:cs="Arial" w:eastAsia="Arial" w:hAnsi="Arial"/>
                <w:sz w:val="16"/>
                <w:szCs w:val="16"/>
                <w:b w:val="1"/>
                <w:bCs w:val="1"/>
                <w:color w:val="auto"/>
              </w:rPr>
              <w:t>Disease Distribution of Unresolved Claims</w:t>
            </w:r>
          </w:p>
        </w:tc>
        <w:tc>
          <w:tcPr>
            <w:tcW w:w="300" w:type="dxa"/>
            <w:vAlign w:val="bottom"/>
          </w:tcPr>
          <w:p>
            <w:pPr>
              <w:spacing w:after="0"/>
              <w:rPr>
                <w:sz w:val="16"/>
                <w:szCs w:val="16"/>
                <w:color w:val="auto"/>
              </w:rPr>
            </w:pPr>
          </w:p>
        </w:tc>
        <w:tc>
          <w:tcPr>
            <w:tcW w:w="174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9"/>
        </w:trPr>
        <w:tc>
          <w:tcPr>
            <w:tcW w:w="83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jc w:val="right"/>
              <w:ind w:right="61"/>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360" w:type="dxa"/>
        <w:tblCellMar>
          <w:top w:w="0" w:type="dxa"/>
          <w:left w:w="0" w:type="dxa"/>
          <w:bottom w:w="0" w:type="dxa"/>
          <w:right w:w="0" w:type="dxa"/>
        </w:tblCellMar>
      </w:tblPr>
      <w:tr>
        <w:trPr>
          <w:trHeight w:val="223"/>
        </w:trPr>
        <w:tc>
          <w:tcPr>
            <w:tcW w:w="140" w:type="dxa"/>
            <w:vAlign w:val="bottom"/>
          </w:tcPr>
          <w:p>
            <w:pPr>
              <w:spacing w:after="0"/>
              <w:rPr>
                <w:sz w:val="19"/>
                <w:szCs w:val="19"/>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9"/>
                <w:szCs w:val="19"/>
                <w:color w:val="auto"/>
              </w:rPr>
              <w:t>Mesothelioma and Other Cancer Claims</w:t>
            </w:r>
          </w:p>
        </w:tc>
        <w:tc>
          <w:tcPr>
            <w:tcW w:w="18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7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4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3,933</w:t>
            </w:r>
          </w:p>
        </w:tc>
        <w:tc>
          <w:tcPr>
            <w:tcW w:w="1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5,810</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720" w:type="dxa"/>
            <w:vAlign w:val="bottom"/>
          </w:tcPr>
          <w:p>
            <w:pPr>
              <w:spacing w:after="0"/>
              <w:rPr>
                <w:sz w:val="20"/>
                <w:szCs w:val="20"/>
                <w:color w:val="auto"/>
              </w:rPr>
            </w:pPr>
            <w:r>
              <w:rPr>
                <w:rFonts w:ascii="Arial" w:cs="Arial" w:eastAsia="Arial" w:hAnsi="Arial"/>
                <w:sz w:val="19"/>
                <w:szCs w:val="19"/>
                <w:color w:val="auto"/>
              </w:rPr>
              <w:t>Nonmalignant Claims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rPr>
              <w:t>5,334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6,492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Claims</w:t>
            </w: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ind w:right="60"/>
              <w:spacing w:after="0"/>
              <w:rPr>
                <w:sz w:val="20"/>
                <w:szCs w:val="20"/>
                <w:color w:val="auto"/>
              </w:rPr>
            </w:pPr>
            <w:r>
              <w:rPr>
                <w:rFonts w:ascii="Arial" w:cs="Arial" w:eastAsia="Arial" w:hAnsi="Arial"/>
                <w:sz w:val="19"/>
                <w:szCs w:val="19"/>
                <w:color w:val="auto"/>
              </w:rPr>
              <w:t>9,267</w:t>
            </w:r>
          </w:p>
        </w:tc>
        <w:tc>
          <w:tcPr>
            <w:tcW w:w="1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12,302</w:t>
            </w:r>
          </w:p>
        </w:tc>
        <w:tc>
          <w:tcPr>
            <w:tcW w:w="0" w:type="dxa"/>
            <w:vAlign w:val="bottom"/>
          </w:tcPr>
          <w:p>
            <w:pPr>
              <w:spacing w:after="0"/>
              <w:rPr>
                <w:sz w:val="1"/>
                <w:szCs w:val="1"/>
                <w:color w:val="auto"/>
              </w:rPr>
            </w:pPr>
          </w:p>
        </w:tc>
      </w:tr>
      <w:tr>
        <w:trPr>
          <w:trHeight w:val="20"/>
        </w:trPr>
        <w:tc>
          <w:tcPr>
            <w:tcW w:w="8400" w:type="dxa"/>
            <w:vAlign w:val="bottom"/>
            <w:gridSpan w:val="11"/>
            <w:vMerge w:val="restart"/>
          </w:tcPr>
          <w:p>
            <w:pPr>
              <w:spacing w:after="0"/>
              <w:rPr>
                <w:sz w:val="20"/>
                <w:szCs w:val="20"/>
                <w:color w:val="auto"/>
              </w:rPr>
            </w:pPr>
            <w:r>
              <w:rPr>
                <w:rFonts w:ascii="Arial" w:cs="Arial" w:eastAsia="Arial" w:hAnsi="Arial"/>
                <w:sz w:val="19"/>
                <w:szCs w:val="19"/>
                <w:color w:val="auto"/>
              </w:rPr>
              <w:t>Honeywell has experienced average resolution values per claim excluding legal costs as follows:</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400" w:type="dxa"/>
            <w:vAlign w:val="bottom"/>
            <w:gridSpan w:val="11"/>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6"/>
                <w:szCs w:val="16"/>
                <w:b w:val="1"/>
                <w:bCs w:val="1"/>
                <w:color w:val="auto"/>
                <w:w w:val="98"/>
              </w:rPr>
              <w:t>Years Ended December 31,</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83"/>
              <w:spacing w:after="0" w:line="169" w:lineRule="exact"/>
              <w:rPr>
                <w:sz w:val="20"/>
                <w:szCs w:val="20"/>
                <w:color w:val="auto"/>
              </w:rPr>
            </w:pPr>
            <w:r>
              <w:rPr>
                <w:rFonts w:ascii="Arial" w:cs="Arial" w:eastAsia="Arial" w:hAnsi="Arial"/>
                <w:sz w:val="16"/>
                <w:szCs w:val="16"/>
                <w:b w:val="1"/>
                <w:bCs w:val="1"/>
                <w:color w:val="auto"/>
              </w:rPr>
              <w:t>2011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6"/>
              <w:spacing w:after="0" w:line="169" w:lineRule="exact"/>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gridSpan w:val="4"/>
          </w:tcPr>
          <w:p>
            <w:pPr>
              <w:jc w:val="center"/>
              <w:ind w:left="9"/>
              <w:spacing w:after="0"/>
              <w:rPr>
                <w:sz w:val="20"/>
                <w:szCs w:val="20"/>
                <w:color w:val="auto"/>
              </w:rPr>
            </w:pPr>
            <w:r>
              <w:rPr>
                <w:rFonts w:ascii="Arial" w:cs="Arial" w:eastAsia="Arial" w:hAnsi="Arial"/>
                <w:sz w:val="16"/>
                <w:szCs w:val="16"/>
                <w:b w:val="1"/>
                <w:bCs w:val="1"/>
                <w:color w:val="auto"/>
                <w:w w:val="98"/>
              </w:rPr>
              <w:t>(in whole dollars)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20" w:type="dxa"/>
            <w:vAlign w:val="bottom"/>
            <w:shd w:val="clear" w:color="auto" w:fill="E5FFFF"/>
          </w:tcPr>
          <w:p>
            <w:pPr>
              <w:spacing w:after="0"/>
              <w:rPr>
                <w:sz w:val="20"/>
                <w:szCs w:val="20"/>
                <w:color w:val="auto"/>
              </w:rPr>
            </w:pPr>
            <w:r>
              <w:rPr>
                <w:rFonts w:ascii="Arial" w:cs="Arial" w:eastAsia="Arial" w:hAnsi="Arial"/>
                <w:sz w:val="19"/>
                <w:szCs w:val="19"/>
                <w:color w:val="auto"/>
              </w:rPr>
              <w:t>Malignant claims</w:t>
            </w: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53,500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51,000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49,000</w:t>
            </w:r>
          </w:p>
        </w:tc>
        <w:tc>
          <w:tcPr>
            <w:tcW w:w="30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48,000</w:t>
            </w:r>
          </w:p>
        </w:tc>
        <w:tc>
          <w:tcPr>
            <w:tcW w:w="140" w:type="dxa"/>
            <w:vAlign w:val="bottom"/>
            <w:shd w:val="clear" w:color="auto" w:fill="E5FFFF"/>
          </w:tcPr>
          <w:p>
            <w:pPr>
              <w:spacing w:after="0"/>
              <w:rPr>
                <w:sz w:val="21"/>
                <w:szCs w:val="21"/>
                <w:color w:val="auto"/>
              </w:rPr>
            </w:pPr>
          </w:p>
        </w:tc>
        <w:tc>
          <w:tcPr>
            <w:tcW w:w="380" w:type="dxa"/>
            <w:vAlign w:val="bottom"/>
            <w:gridSpan w:val="3"/>
            <w:shd w:val="clear" w:color="auto" w:fill="E5FFFF"/>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54,000</w:t>
            </w:r>
          </w:p>
        </w:tc>
        <w:tc>
          <w:tcPr>
            <w:tcW w:w="0" w:type="dxa"/>
            <w:vAlign w:val="bottom"/>
          </w:tcPr>
          <w:p>
            <w:pPr>
              <w:spacing w:after="0"/>
              <w:rPr>
                <w:sz w:val="1"/>
                <w:szCs w:val="1"/>
                <w:color w:val="auto"/>
              </w:rPr>
            </w:pPr>
          </w:p>
        </w:tc>
      </w:tr>
      <w:tr>
        <w:trPr>
          <w:trHeight w:val="261"/>
        </w:trPr>
        <w:tc>
          <w:tcPr>
            <w:tcW w:w="140" w:type="dxa"/>
            <w:vAlign w:val="bottom"/>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9"/>
                <w:szCs w:val="19"/>
                <w:color w:val="auto"/>
              </w:rPr>
              <w:t>Nonmalignant claims</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120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850</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1,400</w:t>
            </w:r>
          </w:p>
        </w:tc>
        <w:tc>
          <w:tcPr>
            <w:tcW w:w="3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gridSpan w:val="2"/>
          </w:tcPr>
          <w:p>
            <w:pPr>
              <w:jc w:val="right"/>
              <w:spacing w:after="0"/>
              <w:rPr>
                <w:sz w:val="20"/>
                <w:szCs w:val="20"/>
                <w:color w:val="auto"/>
              </w:rPr>
            </w:pPr>
            <w:r>
              <w:rPr>
                <w:rFonts w:ascii="Arial" w:cs="Arial" w:eastAsia="Arial" w:hAnsi="Arial"/>
                <w:sz w:val="19"/>
                <w:szCs w:val="19"/>
                <w:color w:val="auto"/>
              </w:rPr>
              <w:t>1,000</w:t>
            </w:r>
          </w:p>
        </w:tc>
        <w:tc>
          <w:tcPr>
            <w:tcW w:w="140" w:type="dxa"/>
            <w:vAlign w:val="bottom"/>
          </w:tcPr>
          <w:p>
            <w:pPr>
              <w:spacing w:after="0"/>
              <w:rPr>
                <w:sz w:val="22"/>
                <w:szCs w:val="22"/>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1,300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It is not possible to predict whether resolution values for Bendix-related asbestos claims will increase, decrease or stabilize in the future.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9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31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91"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Matters</w:t>
      </w:r>
    </w:p>
    <w:p>
      <w:pPr>
        <w:spacing w:after="0" w:line="13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67"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Honeywell v. United Auto Workers (UAW) et. al</w:t>
      </w:r>
      <w:r>
        <w:rPr>
          <w:rFonts w:ascii="Arial" w:cs="Arial" w:eastAsia="Arial" w:hAnsi="Arial"/>
          <w:sz w:val="19"/>
          <w:szCs w:val="19"/>
          <w:color w:val="auto"/>
        </w:rPr>
        <w:t>—In July 2011, Honeywell filed an action in federal court (District of New</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Jersey) 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District of Michigan alleging that the MCBAs do not provide for CAPS on the Company’s liability for healthcare coverage. The New Jersey action was dismissed and Honeywell subsequently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Arial" w:cs="Arial" w:eastAsia="Arial" w:hAnsi="Arial"/>
          <w:sz w:val="19"/>
          <w:szCs w:val="19"/>
          <w:i w:val="1"/>
          <w:iCs w:val="1"/>
          <w:color w:val="auto"/>
        </w:rPr>
        <w:t>M&amp;G Polymers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USA, LLC v. Tackett </w:t>
      </w:r>
      <w:r>
        <w:rPr>
          <w:rFonts w:ascii="Arial" w:cs="Arial" w:eastAsia="Arial" w:hAnsi="Arial"/>
          <w:sz w:val="19"/>
          <w:szCs w:val="19"/>
          <w:color w:val="auto"/>
        </w:rPr>
        <w:t>case. In the</w:t>
      </w:r>
      <w:r>
        <w:rPr>
          <w:rFonts w:ascii="Arial" w:cs="Arial" w:eastAsia="Arial" w:hAnsi="Arial"/>
          <w:sz w:val="19"/>
          <w:szCs w:val="19"/>
          <w:i w:val="1"/>
          <w:iCs w:val="1"/>
          <w:color w:val="auto"/>
        </w:rPr>
        <w:t xml:space="preserve"> Tackett </w:t>
      </w:r>
      <w:r>
        <w:rPr>
          <w:rFonts w:ascii="Arial" w:cs="Arial" w:eastAsia="Arial" w:hAnsi="Arial"/>
          <w:sz w:val="19"/>
          <w:szCs w:val="19"/>
          <w:color w:val="auto"/>
        </w:rPr>
        <w:t>case, the Supreme Court had to resolve a split between the U.S. Court of Appeals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Sixth Circuit, on the one hand, and the majority of other U.S. Court of Appeals, on the other hand, as to whether retiree health insurance benefits provided in collective bargaining agreements carry an inference that they are vested or guaranteed to continue for life where the agreement is silent as to their duration. In a ruling on January 26, 2015, the Supreme Court held that no such inference of vesting is appropriate, substantially bolstering Honeywell’s position in this litigation.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$180 million, reflecting the estimated value of these CAPS.</w:t>
      </w:r>
    </w:p>
    <w:p>
      <w:pPr>
        <w:spacing w:after="0" w:line="10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post- 2003 retirees would increase by approximately $120 million, reflecting the estimated value of these CAPS.</w:t>
      </w:r>
    </w:p>
    <w:p>
      <w:pPr>
        <w:spacing w:after="0" w:line="70"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9"/>
          <w:szCs w:val="19"/>
          <w:b w:val="1"/>
          <w:bCs w:val="1"/>
          <w:i w:val="1"/>
          <w:iCs w:val="1"/>
          <w:color w:val="auto"/>
        </w:rPr>
        <w:t>Joint Strike Fighter Investigation</w:t>
      </w:r>
      <w:r>
        <w:rPr>
          <w:rFonts w:ascii="Arial" w:cs="Arial" w:eastAsia="Arial" w:hAnsi="Arial"/>
          <w:sz w:val="19"/>
          <w:szCs w:val="19"/>
          <w:color w:val="auto"/>
        </w:rPr>
        <w:t>—In 2013 the Company received subpoenas from the Department of Justice requesting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information 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spacing w:after="0" w:line="84"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Warranties and Guarantees</w:t>
      </w:r>
    </w:p>
    <w:p>
      <w:pPr>
        <w:spacing w:after="0" w:line="39"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Maximum</w:t>
      </w:r>
    </w:p>
    <w:p>
      <w:pPr>
        <w:jc w:val="center"/>
        <w:ind w:left="8460"/>
        <w:spacing w:after="0" w:line="237" w:lineRule="auto"/>
        <w:rPr>
          <w:sz w:val="20"/>
          <w:szCs w:val="20"/>
          <w:color w:val="auto"/>
        </w:rPr>
      </w:pPr>
      <w:r>
        <w:rPr>
          <w:rFonts w:ascii="Arial" w:cs="Arial" w:eastAsia="Arial" w:hAnsi="Arial"/>
          <w:sz w:val="16"/>
          <w:szCs w:val="16"/>
          <w:b w:val="1"/>
          <w:bCs w:val="1"/>
          <w:color w:val="auto"/>
        </w:rPr>
        <w:t>Potential</w:t>
      </w:r>
    </w:p>
    <w:p>
      <w:pPr>
        <w:jc w:val="center"/>
        <w:ind w:left="8460"/>
        <w:spacing w:after="0" w:line="229" w:lineRule="auto"/>
        <w:rPr>
          <w:sz w:val="20"/>
          <w:szCs w:val="20"/>
          <w:color w:val="auto"/>
        </w:rPr>
      </w:pPr>
      <w:r>
        <w:rPr>
          <w:rFonts w:ascii="Arial" w:cs="Arial" w:eastAsia="Arial" w:hAnsi="Arial"/>
          <w:sz w:val="16"/>
          <w:szCs w:val="16"/>
          <w:b w:val="1"/>
          <w:bCs w:val="1"/>
          <w:color w:val="auto"/>
        </w:rPr>
        <w:t>Future</w:t>
      </w:r>
    </w:p>
    <w:p>
      <w:pPr>
        <w:jc w:val="center"/>
        <w:ind w:left="8460"/>
        <w:spacing w:after="0" w:line="222" w:lineRule="auto"/>
        <w:rPr>
          <w:sz w:val="20"/>
          <w:szCs w:val="20"/>
          <w:color w:val="auto"/>
        </w:rPr>
      </w:pPr>
      <w:r>
        <w:rPr>
          <w:rFonts w:ascii="Arial" w:cs="Arial" w:eastAsia="Arial" w:hAnsi="Arial"/>
          <w:sz w:val="16"/>
          <w:szCs w:val="16"/>
          <w:b w:val="1"/>
          <w:bCs w:val="1"/>
          <w:color w:val="auto"/>
        </w:rPr>
        <w:t>Payments</w:t>
      </w:r>
    </w:p>
    <w:tbl>
      <w:tblPr>
        <w:tblLayout w:type="fixed"/>
        <w:tblInd w:w="1000" w:type="dxa"/>
        <w:tblCellMar>
          <w:top w:w="0" w:type="dxa"/>
          <w:left w:w="0" w:type="dxa"/>
          <w:bottom w:w="0" w:type="dxa"/>
          <w:right w:w="0" w:type="dxa"/>
        </w:tblCellMar>
      </w:tblPr>
      <w:tr>
        <w:trPr>
          <w:trHeight w:val="237"/>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Operating lease residual values</w:t>
            </w:r>
          </w:p>
        </w:tc>
        <w:tc>
          <w:tcPr>
            <w:tcW w:w="340" w:type="dxa"/>
            <w:vAlign w:val="bottom"/>
            <w:tcBorders>
              <w:top w:val="single" w:sz="8" w:color="auto"/>
            </w:tcBorders>
            <w:shd w:val="clear" w:color="auto" w:fill="E5FFFF"/>
          </w:tcPr>
          <w:p>
            <w:pPr>
              <w:jc w:val="right"/>
              <w:ind w:right="123"/>
              <w:spacing w:after="0"/>
              <w:rPr>
                <w:sz w:val="20"/>
                <w:szCs w:val="20"/>
                <w:color w:val="auto"/>
              </w:rPr>
            </w:pPr>
            <w:r>
              <w:rPr>
                <w:rFonts w:ascii="Arial" w:cs="Arial" w:eastAsia="Arial" w:hAnsi="Arial"/>
                <w:sz w:val="19"/>
                <w:szCs w:val="19"/>
                <w:color w:val="auto"/>
                <w:w w:val="94"/>
              </w:rPr>
              <w:t>$</w:t>
            </w:r>
          </w:p>
        </w:tc>
        <w:tc>
          <w:tcPr>
            <w:tcW w:w="580" w:type="dxa"/>
            <w:vAlign w:val="bottom"/>
            <w:tcBorders>
              <w:top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41</w:t>
            </w:r>
          </w:p>
        </w:tc>
      </w:tr>
      <w:tr>
        <w:trPr>
          <w:trHeight w:val="243"/>
        </w:trPr>
        <w:tc>
          <w:tcPr>
            <w:tcW w:w="8480" w:type="dxa"/>
            <w:vAlign w:val="bottom"/>
          </w:tcPr>
          <w:p>
            <w:pPr>
              <w:spacing w:after="0"/>
              <w:rPr>
                <w:sz w:val="20"/>
                <w:szCs w:val="20"/>
                <w:color w:val="auto"/>
              </w:rPr>
            </w:pPr>
            <w:r>
              <w:rPr>
                <w:rFonts w:ascii="Arial" w:cs="Arial" w:eastAsia="Arial" w:hAnsi="Arial"/>
                <w:sz w:val="19"/>
                <w:szCs w:val="19"/>
                <w:color w:val="auto"/>
              </w:rPr>
              <w:t>Other third parties’ financing</w:t>
            </w:r>
          </w:p>
        </w:tc>
        <w:tc>
          <w:tcPr>
            <w:tcW w:w="340" w:type="dxa"/>
            <w:vAlign w:val="bottom"/>
          </w:tcPr>
          <w:p>
            <w:pPr>
              <w:spacing w:after="0"/>
              <w:rPr>
                <w:sz w:val="21"/>
                <w:szCs w:val="21"/>
                <w:color w:val="auto"/>
              </w:rPr>
            </w:pPr>
          </w:p>
        </w:tc>
        <w:tc>
          <w:tcPr>
            <w:tcW w:w="580" w:type="dxa"/>
            <w:vAlign w:val="bottom"/>
          </w:tcPr>
          <w:p>
            <w:pPr>
              <w:jc w:val="right"/>
              <w:ind w:right="43"/>
              <w:spacing w:after="0"/>
              <w:rPr>
                <w:sz w:val="20"/>
                <w:szCs w:val="20"/>
                <w:color w:val="auto"/>
              </w:rPr>
            </w:pPr>
            <w:r>
              <w:rPr>
                <w:rFonts w:ascii="Arial" w:cs="Arial" w:eastAsia="Arial" w:hAnsi="Arial"/>
                <w:sz w:val="19"/>
                <w:szCs w:val="19"/>
                <w:color w:val="auto"/>
              </w:rPr>
              <w:t>4</w:t>
            </w:r>
          </w:p>
        </w:tc>
      </w:tr>
      <w:tr>
        <w:trPr>
          <w:trHeight w:val="243"/>
        </w:trPr>
        <w:tc>
          <w:tcPr>
            <w:tcW w:w="8480" w:type="dxa"/>
            <w:vAlign w:val="bottom"/>
            <w:shd w:val="clear" w:color="auto" w:fill="E5FFFF"/>
          </w:tcPr>
          <w:p>
            <w:pPr>
              <w:spacing w:after="0"/>
              <w:rPr>
                <w:sz w:val="20"/>
                <w:szCs w:val="20"/>
                <w:color w:val="auto"/>
              </w:rPr>
            </w:pPr>
            <w:r>
              <w:rPr>
                <w:rFonts w:ascii="Arial" w:cs="Arial" w:eastAsia="Arial" w:hAnsi="Arial"/>
                <w:sz w:val="19"/>
                <w:szCs w:val="19"/>
                <w:color w:val="auto"/>
              </w:rPr>
              <w:t>Customer financing</w:t>
            </w:r>
          </w:p>
        </w:tc>
        <w:tc>
          <w:tcPr>
            <w:tcW w:w="340" w:type="dxa"/>
            <w:vAlign w:val="bottom"/>
            <w:tcBorders>
              <w:bottom w:val="single" w:sz="8" w:color="auto"/>
            </w:tcBorders>
            <w:shd w:val="clear" w:color="auto" w:fill="E5FFFF"/>
          </w:tcPr>
          <w:p>
            <w:pPr>
              <w:spacing w:after="0"/>
              <w:rPr>
                <w:sz w:val="21"/>
                <w:szCs w:val="21"/>
                <w:color w:val="auto"/>
              </w:rPr>
            </w:pPr>
          </w:p>
        </w:tc>
        <w:tc>
          <w:tcPr>
            <w:tcW w:w="58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4</w:t>
            </w:r>
          </w:p>
        </w:tc>
      </w:tr>
      <w:tr>
        <w:trPr>
          <w:trHeight w:val="250"/>
        </w:trPr>
        <w:tc>
          <w:tcPr>
            <w:tcW w:w="8480" w:type="dxa"/>
            <w:vAlign w:val="bottom"/>
          </w:tcPr>
          <w:p>
            <w:pPr>
              <w:spacing w:after="0"/>
              <w:rPr>
                <w:sz w:val="21"/>
                <w:szCs w:val="21"/>
                <w:color w:val="auto"/>
              </w:rPr>
            </w:pPr>
          </w:p>
        </w:tc>
        <w:tc>
          <w:tcPr>
            <w:tcW w:w="34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color w:val="auto"/>
                <w:w w:val="94"/>
              </w:rPr>
              <w:t>$</w:t>
            </w: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49</w:t>
            </w:r>
          </w:p>
        </w:tc>
      </w:tr>
      <w:tr>
        <w:trPr>
          <w:trHeight w:val="20"/>
        </w:trPr>
        <w:tc>
          <w:tcPr>
            <w:tcW w:w="8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In the normal course of business we issue product warranties and product performance guarantees. We accrue for the estimated cost of product warranties and performance guarantees based on contract terms and historical experience at the time of sale. Adjustments to initial obligations for warranties and guarantees are made as changes in the obligations become reasonably estimable. The following table summarizes information concerning our recorded obligations for product warranties and product performance guarantees:</w:t>
      </w:r>
    </w:p>
    <w:tbl>
      <w:tblPr>
        <w:tblLayout w:type="fixed"/>
        <w:tblInd w:w="50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4"/>
          </w:tcPr>
          <w:p>
            <w:pPr>
              <w:jc w:val="center"/>
              <w:spacing w:after="0" w:line="171" w:lineRule="exact"/>
              <w:rPr>
                <w:sz w:val="20"/>
                <w:szCs w:val="20"/>
                <w:color w:val="auto"/>
              </w:rPr>
            </w:pPr>
            <w:r>
              <w:rPr>
                <w:rFonts w:ascii="Arial" w:cs="Arial" w:eastAsia="Arial" w:hAnsi="Arial"/>
                <w:sz w:val="16"/>
                <w:szCs w:val="16"/>
                <w:b w:val="1"/>
                <w:bCs w:val="1"/>
                <w:color w:val="auto"/>
                <w:w w:val="98"/>
              </w:rPr>
              <w:t>Years Ended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7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6"/>
              <w:spacing w:after="0" w:line="169" w:lineRule="exact"/>
              <w:rPr>
                <w:sz w:val="20"/>
                <w:szCs w:val="20"/>
                <w:color w:val="auto"/>
              </w:rPr>
            </w:pPr>
            <w:r>
              <w:rPr>
                <w:rFonts w:ascii="Arial" w:cs="Arial" w:eastAsia="Arial" w:hAnsi="Arial"/>
                <w:sz w:val="16"/>
                <w:szCs w:val="16"/>
                <w:b w:val="1"/>
                <w:bCs w:val="1"/>
                <w:color w:val="auto"/>
                <w:w w:val="95"/>
              </w:rPr>
              <w:t>2014</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6"/>
              <w:spacing w:after="0" w:line="169" w:lineRule="exact"/>
              <w:rPr>
                <w:sz w:val="20"/>
                <w:szCs w:val="20"/>
                <w:color w:val="auto"/>
              </w:rPr>
            </w:pPr>
            <w:r>
              <w:rPr>
                <w:rFonts w:ascii="Arial" w:cs="Arial" w:eastAsia="Arial" w:hAnsi="Arial"/>
                <w:sz w:val="16"/>
                <w:szCs w:val="16"/>
                <w:b w:val="1"/>
                <w:bCs w:val="1"/>
                <w:color w:val="auto"/>
                <w:w w:val="95"/>
              </w:rPr>
              <w:t>2013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6"/>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7820" w:type="dxa"/>
            <w:vAlign w:val="bottom"/>
            <w:shd w:val="clear" w:color="auto" w:fill="E5FFFF"/>
          </w:tcPr>
          <w:p>
            <w:pPr>
              <w:spacing w:after="0"/>
              <w:rPr>
                <w:sz w:val="20"/>
                <w:szCs w:val="20"/>
                <w:color w:val="auto"/>
              </w:rPr>
            </w:pPr>
            <w:r>
              <w:rPr>
                <w:rFonts w:ascii="Arial" w:cs="Arial" w:eastAsia="Arial" w:hAnsi="Arial"/>
                <w:sz w:val="19"/>
                <w:szCs w:val="19"/>
                <w:color w:val="auto"/>
              </w:rPr>
              <w:t>Beginning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405</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407</w:t>
            </w:r>
          </w:p>
        </w:tc>
        <w:tc>
          <w:tcPr>
            <w:tcW w:w="30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402</w:t>
            </w:r>
          </w:p>
        </w:tc>
      </w:tr>
      <w:tr>
        <w:trPr>
          <w:trHeight w:val="243"/>
        </w:trPr>
        <w:tc>
          <w:tcPr>
            <w:tcW w:w="7820" w:type="dxa"/>
            <w:vAlign w:val="bottom"/>
          </w:tcPr>
          <w:p>
            <w:pPr>
              <w:spacing w:after="0"/>
              <w:rPr>
                <w:sz w:val="20"/>
                <w:szCs w:val="20"/>
                <w:color w:val="auto"/>
              </w:rPr>
            </w:pPr>
            <w:r>
              <w:rPr>
                <w:rFonts w:ascii="Arial" w:cs="Arial" w:eastAsia="Arial" w:hAnsi="Arial"/>
                <w:sz w:val="19"/>
                <w:szCs w:val="19"/>
                <w:color w:val="auto"/>
              </w:rPr>
              <w:t>Accruals for warranties/guarantees issued during the year</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225</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212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6"/>
              <w:spacing w:after="0"/>
              <w:rPr>
                <w:sz w:val="20"/>
                <w:szCs w:val="20"/>
                <w:color w:val="auto"/>
              </w:rPr>
            </w:pPr>
            <w:r>
              <w:rPr>
                <w:rFonts w:ascii="Arial" w:cs="Arial" w:eastAsia="Arial" w:hAnsi="Arial"/>
                <w:sz w:val="19"/>
                <w:szCs w:val="19"/>
                <w:color w:val="auto"/>
              </w:rPr>
              <w:t>196</w:t>
            </w:r>
          </w:p>
        </w:tc>
      </w:tr>
      <w:tr>
        <w:trPr>
          <w:trHeight w:val="243"/>
        </w:trPr>
        <w:tc>
          <w:tcPr>
            <w:tcW w:w="7820" w:type="dxa"/>
            <w:vAlign w:val="bottom"/>
            <w:shd w:val="clear" w:color="auto" w:fill="E5FFFF"/>
          </w:tcPr>
          <w:p>
            <w:pPr>
              <w:spacing w:after="0"/>
              <w:rPr>
                <w:sz w:val="20"/>
                <w:szCs w:val="20"/>
                <w:color w:val="auto"/>
              </w:rPr>
            </w:pPr>
            <w:r>
              <w:rPr>
                <w:rFonts w:ascii="Arial" w:cs="Arial" w:eastAsia="Arial" w:hAnsi="Arial"/>
                <w:sz w:val="19"/>
                <w:szCs w:val="19"/>
                <w:color w:val="auto"/>
              </w:rPr>
              <w:t>Adjustment of pre-existing warranties/guarantees</w:t>
            </w: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w:t>
            </w:r>
          </w:p>
        </w:tc>
      </w:tr>
      <w:tr>
        <w:trPr>
          <w:trHeight w:val="250"/>
        </w:trPr>
        <w:tc>
          <w:tcPr>
            <w:tcW w:w="7820" w:type="dxa"/>
            <w:vAlign w:val="bottom"/>
          </w:tcPr>
          <w:p>
            <w:pPr>
              <w:spacing w:after="0"/>
              <w:rPr>
                <w:sz w:val="20"/>
                <w:szCs w:val="20"/>
                <w:color w:val="auto"/>
              </w:rPr>
            </w:pPr>
            <w:r>
              <w:rPr>
                <w:rFonts w:ascii="Arial" w:cs="Arial" w:eastAsia="Arial" w:hAnsi="Arial"/>
                <w:sz w:val="19"/>
                <w:szCs w:val="19"/>
                <w:color w:val="auto"/>
              </w:rPr>
              <w:t>Settlement of warranty/guarantee claims</w:t>
            </w: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(193)</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(171)</w:t>
            </w:r>
          </w:p>
        </w:tc>
      </w:tr>
      <w:tr>
        <w:trPr>
          <w:trHeight w:val="243"/>
        </w:trPr>
        <w:tc>
          <w:tcPr>
            <w:tcW w:w="7820" w:type="dxa"/>
            <w:vAlign w:val="bottom"/>
            <w:shd w:val="clear" w:color="auto" w:fill="E5FFFF"/>
          </w:tcPr>
          <w:p>
            <w:pPr>
              <w:spacing w:after="0"/>
              <w:rPr>
                <w:sz w:val="20"/>
                <w:szCs w:val="20"/>
                <w:color w:val="auto"/>
              </w:rPr>
            </w:pPr>
            <w:r>
              <w:rPr>
                <w:rFonts w:ascii="Arial" w:cs="Arial" w:eastAsia="Arial" w:hAnsi="Arial"/>
                <w:sz w:val="19"/>
                <w:szCs w:val="19"/>
                <w:color w:val="auto"/>
              </w:rPr>
              <w:t>End of year</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403</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4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407</w:t>
            </w:r>
          </w:p>
        </w:tc>
      </w:tr>
      <w:tr>
        <w:trPr>
          <w:trHeight w:val="20"/>
        </w:trPr>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Product warranties and product performance guarantees are included in the following balance sheet accounts: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40" w:type="dxa"/>
            <w:vAlign w:val="bottom"/>
            <w:tcBorders>
              <w:bottom w:val="single" w:sz="8" w:color="auto"/>
            </w:tcBorders>
          </w:tcPr>
          <w:p>
            <w:pPr>
              <w:jc w:val="right"/>
              <w:ind w:right="1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32"/>
              <w:spacing w:after="0" w:line="169" w:lineRule="exact"/>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300" w:type="dxa"/>
            <w:vAlign w:val="bottom"/>
            <w:shd w:val="clear" w:color="auto" w:fill="E5FFFF"/>
          </w:tcPr>
          <w:p>
            <w:pPr>
              <w:spacing w:after="0"/>
              <w:rPr>
                <w:sz w:val="20"/>
                <w:szCs w:val="20"/>
                <w:color w:val="auto"/>
              </w:rPr>
            </w:pPr>
            <w:r>
              <w:rPr>
                <w:rFonts w:ascii="Arial" w:cs="Arial" w:eastAsia="Arial" w:hAnsi="Arial"/>
                <w:sz w:val="19"/>
                <w:szCs w:val="19"/>
                <w:color w:val="auto"/>
              </w:rPr>
              <w:t>Accrued liabilities</w:t>
            </w:r>
          </w:p>
        </w:tc>
        <w:tc>
          <w:tcPr>
            <w:tcW w:w="6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$ 332</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$ 323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300" w:type="dxa"/>
            <w:vAlign w:val="bottom"/>
          </w:tcPr>
          <w:p>
            <w:pPr>
              <w:spacing w:after="0"/>
              <w:rPr>
                <w:sz w:val="20"/>
                <w:szCs w:val="20"/>
                <w:color w:val="auto"/>
              </w:rPr>
            </w:pPr>
            <w:r>
              <w:rPr>
                <w:rFonts w:ascii="Arial" w:cs="Arial" w:eastAsia="Arial" w:hAnsi="Arial"/>
                <w:sz w:val="19"/>
                <w:szCs w:val="19"/>
                <w:color w:val="auto"/>
              </w:rPr>
              <w:t>Other liabilities</w:t>
            </w:r>
          </w:p>
        </w:tc>
        <w:tc>
          <w:tcPr>
            <w:tcW w:w="5680" w:type="dxa"/>
            <w:vAlign w:val="bottom"/>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w:t>
            </w:r>
          </w:p>
        </w:tc>
        <w:tc>
          <w:tcPr>
            <w:tcW w:w="300" w:type="dxa"/>
            <w:vAlign w:val="bottom"/>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300" w:type="dxa"/>
            <w:vAlign w:val="bottom"/>
            <w:shd w:val="clear" w:color="auto" w:fill="E5FFFF"/>
          </w:tcPr>
          <w:p>
            <w:pPr>
              <w:spacing w:after="0"/>
              <w:rPr>
                <w:sz w:val="21"/>
                <w:szCs w:val="21"/>
                <w:color w:val="auto"/>
              </w:rPr>
            </w:pPr>
          </w:p>
        </w:tc>
        <w:tc>
          <w:tcPr>
            <w:tcW w:w="62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$ 403</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$ 405</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80" w:type="dxa"/>
            <w:vAlign w:val="bottom"/>
            <w:vMerge w:val="restart"/>
          </w:tcPr>
          <w:p>
            <w:pPr>
              <w:jc w:val="right"/>
              <w:ind w:right="3563"/>
              <w:spacing w:after="0"/>
              <w:rPr>
                <w:sz w:val="20"/>
                <w:szCs w:val="20"/>
                <w:color w:val="auto"/>
              </w:rPr>
            </w:pPr>
            <w:r>
              <w:rPr>
                <w:rFonts w:ascii="Arial" w:cs="Arial" w:eastAsia="Arial" w:hAnsi="Arial"/>
                <w:sz w:val="19"/>
                <w:szCs w:val="19"/>
                <w:color w:val="auto"/>
              </w:rPr>
              <w:t>66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20. Pension and Other Postretirement Benefits</w:t>
      </w:r>
    </w:p>
    <w:p>
      <w:pPr>
        <w:spacing w:after="0" w:line="130"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We sponsor both funded and unfunded U.S. and non-U.S. defined benefit pension plans covering the majority of our employees and retirees. Pension benefits for substantially all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We also sponsor defined benefit pension plans which cover non-U.S. employees who are not U.S. citizens, in certain jurisdictions, principally the UK, Netherlands, Germany, and Canada. Other pension plans outside of the U.S. are not material to the Company either individually or in the aggregate.</w:t>
      </w:r>
    </w:p>
    <w:p>
      <w:pPr>
        <w:spacing w:after="0" w:line="94"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We also sponsor postretirement benefit plans that provide health care benefits and life insurance coverage mainly to U.S. eligible retirees. Less than 1% of Honeywell’s U.S. employees are eligible for a retiree medical subsidy from the Company; and this subsidy is limited to a fixed-dollar amount. In addition, more than 75% of Honeywell’s current retirees either have no Company subsidy or have a fixed-dollar subsidy amount. This significantly limits our exposure to the impact of future health care cost increases. The retiree medical and life insurance plans are not funded. Claims and expenses are paid from our operating cash flow.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firstLine="357"/>
        <w:spacing w:after="0" w:line="246" w:lineRule="auto"/>
        <w:rPr>
          <w:sz w:val="20"/>
          <w:szCs w:val="20"/>
          <w:color w:val="auto"/>
        </w:rPr>
      </w:pPr>
      <w:r>
        <w:rPr>
          <w:rFonts w:ascii="Arial" w:cs="Arial" w:eastAsia="Arial" w:hAnsi="Arial"/>
          <w:sz w:val="19"/>
          <w:szCs w:val="19"/>
          <w:color w:val="auto"/>
        </w:rPr>
        <w:t>The following tables summarize the balance sheet impact, including the benefit obligations, assets and funded status associated with our significant pension and other postretirement benefit plans.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285"/>
              <w:spacing w:after="0"/>
              <w:rPr>
                <w:sz w:val="20"/>
                <w:szCs w:val="20"/>
                <w:color w:val="auto"/>
              </w:rPr>
            </w:pPr>
            <w:r>
              <w:rPr>
                <w:rFonts w:ascii="Arial" w:cs="Arial" w:eastAsia="Arial" w:hAnsi="Arial"/>
                <w:sz w:val="16"/>
                <w:szCs w:val="16"/>
                <w:b w:val="1"/>
                <w:bCs w:val="1"/>
                <w:color w:val="auto"/>
              </w:rPr>
              <w:t>Pension Benefits</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69"/>
        </w:trPr>
        <w:tc>
          <w:tcPr>
            <w:tcW w:w="7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525"/>
              <w:spacing w:after="0" w:line="169" w:lineRule="exact"/>
              <w:rPr>
                <w:sz w:val="20"/>
                <w:szCs w:val="20"/>
                <w:color w:val="auto"/>
              </w:rPr>
            </w:pPr>
            <w:r>
              <w:rPr>
                <w:rFonts w:ascii="Arial" w:cs="Arial" w:eastAsia="Arial" w:hAnsi="Arial"/>
                <w:sz w:val="16"/>
                <w:szCs w:val="16"/>
                <w:b w:val="1"/>
                <w:bCs w:val="1"/>
                <w:color w:val="auto"/>
              </w:rPr>
              <w:t>U.S. Plans</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44"/>
              <w:spacing w:after="0" w:line="169" w:lineRule="exact"/>
              <w:rPr>
                <w:sz w:val="20"/>
                <w:szCs w:val="20"/>
                <w:color w:val="auto"/>
              </w:rPr>
            </w:pPr>
            <w:r>
              <w:rPr>
                <w:rFonts w:ascii="Arial" w:cs="Arial" w:eastAsia="Arial" w:hAnsi="Arial"/>
                <w:sz w:val="16"/>
                <w:szCs w:val="16"/>
                <w:b w:val="1"/>
                <w:bCs w:val="1"/>
                <w:color w:val="auto"/>
              </w:rPr>
              <w:t>Non-U.S. Plans</w:t>
            </w:r>
          </w:p>
        </w:tc>
      </w:tr>
      <w:tr>
        <w:trPr>
          <w:trHeight w:val="169"/>
        </w:trPr>
        <w:tc>
          <w:tcPr>
            <w:tcW w:w="7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4"/>
              <w:spacing w:after="0" w:line="169" w:lineRule="exact"/>
              <w:rPr>
                <w:sz w:val="20"/>
                <w:szCs w:val="20"/>
                <w:color w:val="auto"/>
              </w:rPr>
            </w:pPr>
            <w:r>
              <w:rPr>
                <w:rFonts w:ascii="Arial" w:cs="Arial" w:eastAsia="Arial" w:hAnsi="Arial"/>
                <w:sz w:val="16"/>
                <w:szCs w:val="16"/>
                <w:b w:val="1"/>
                <w:bCs w:val="1"/>
                <w:color w:val="auto"/>
              </w:rPr>
              <w:t>2013</w:t>
            </w:r>
          </w:p>
        </w:tc>
      </w:tr>
      <w:tr>
        <w:trPr>
          <w:trHeight w:val="210"/>
        </w:trPr>
        <w:tc>
          <w:tcPr>
            <w:tcW w:w="72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Change in benefit obligation:</w:t>
            </w: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Benefit obligation at beginning of year</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16,290</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17,117</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5,523</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5,272</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Service cost</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w:t>
            </w: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Interest cost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771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677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231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215</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Plan amendments</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Actuarial (gains) losses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1,718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(975)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601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72</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Acquisitions</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w:t>
            </w: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Divestitures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(1,005)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(198)</w:t>
            </w:r>
          </w:p>
        </w:tc>
      </w:tr>
      <w:tr>
        <w:trPr>
          <w:trHeight w:val="250"/>
        </w:trPr>
        <w:tc>
          <w:tcPr>
            <w:tcW w:w="7280" w:type="dxa"/>
            <w:vAlign w:val="bottom"/>
          </w:tcPr>
          <w:p>
            <w:pPr>
              <w:ind w:left="360"/>
              <w:spacing w:after="0"/>
              <w:rPr>
                <w:sz w:val="20"/>
                <w:szCs w:val="20"/>
                <w:color w:val="auto"/>
              </w:rPr>
            </w:pPr>
            <w:r>
              <w:rPr>
                <w:rFonts w:ascii="Arial" w:cs="Arial" w:eastAsia="Arial" w:hAnsi="Arial"/>
                <w:sz w:val="19"/>
                <w:szCs w:val="19"/>
                <w:color w:val="auto"/>
              </w:rPr>
              <w:t>Foreign currency and other</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 obligation at end of year</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18,035</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16,290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5,761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5,523</w:t>
            </w:r>
          </w:p>
        </w:tc>
      </w:tr>
      <w:tr>
        <w:trPr>
          <w:trHeight w:val="223"/>
        </w:trPr>
        <w:tc>
          <w:tcPr>
            <w:tcW w:w="7280" w:type="dxa"/>
            <w:vAlign w:val="bottom"/>
          </w:tcPr>
          <w:p>
            <w:pPr>
              <w:spacing w:after="0"/>
              <w:rPr>
                <w:sz w:val="20"/>
                <w:szCs w:val="20"/>
                <w:color w:val="auto"/>
              </w:rPr>
            </w:pPr>
            <w:r>
              <w:rPr>
                <w:rFonts w:ascii="Arial" w:cs="Arial" w:eastAsia="Arial" w:hAnsi="Arial"/>
                <w:sz w:val="19"/>
                <w:szCs w:val="19"/>
                <w:color w:val="auto"/>
              </w:rPr>
              <w:t>Change in plan assets: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Fair value of plan assets at beginning of year</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16,727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14,345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5,037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4,527</w:t>
            </w: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Actual return on plan assets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1,290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3,191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622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428</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Company contributions</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183</w:t>
            </w: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Acquisitions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168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(1,005)</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(198)</w:t>
            </w:r>
          </w:p>
        </w:tc>
      </w:tr>
      <w:tr>
        <w:trPr>
          <w:trHeight w:val="250"/>
        </w:trPr>
        <w:tc>
          <w:tcPr>
            <w:tcW w:w="7280" w:type="dxa"/>
            <w:vAlign w:val="bottom"/>
          </w:tcPr>
          <w:p>
            <w:pPr>
              <w:ind w:left="360"/>
              <w:spacing w:after="0"/>
              <w:rPr>
                <w:sz w:val="20"/>
                <w:szCs w:val="20"/>
                <w:color w:val="auto"/>
              </w:rPr>
            </w:pPr>
            <w:r>
              <w:rPr>
                <w:rFonts w:ascii="Arial" w:cs="Arial" w:eastAsia="Arial" w:hAnsi="Arial"/>
                <w:sz w:val="19"/>
                <w:szCs w:val="19"/>
                <w:color w:val="auto"/>
              </w:rPr>
              <w:t>Foreign currency and other</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(303)</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Fair value of plan assets at end of year</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17,066</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16,727</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5,333</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5,037</w:t>
            </w:r>
          </w:p>
        </w:tc>
      </w:tr>
      <w:tr>
        <w:trPr>
          <w:trHeight w:val="250"/>
        </w:trPr>
        <w:tc>
          <w:tcPr>
            <w:tcW w:w="7280" w:type="dxa"/>
            <w:vAlign w:val="bottom"/>
          </w:tcPr>
          <w:p>
            <w:pPr>
              <w:spacing w:after="0"/>
              <w:rPr>
                <w:sz w:val="20"/>
                <w:szCs w:val="20"/>
                <w:color w:val="auto"/>
              </w:rPr>
            </w:pPr>
            <w:r>
              <w:rPr>
                <w:rFonts w:ascii="Arial" w:cs="Arial" w:eastAsia="Arial" w:hAnsi="Arial"/>
                <w:sz w:val="19"/>
                <w:szCs w:val="19"/>
                <w:color w:val="auto"/>
              </w:rPr>
              <w:t>Funded status of plans</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(969)</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437</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(428)</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(486)</w:t>
            </w:r>
          </w:p>
        </w:tc>
      </w:tr>
      <w:tr>
        <w:trPr>
          <w:trHeight w:val="20"/>
        </w:trPr>
        <w:tc>
          <w:tcPr>
            <w:tcW w:w="7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2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Amounts recognized in Consolidated Balance</w:t>
            </w: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r>
      <w:tr>
        <w:trPr>
          <w:trHeight w:val="216"/>
        </w:trPr>
        <w:tc>
          <w:tcPr>
            <w:tcW w:w="7280" w:type="dxa"/>
            <w:vAlign w:val="bottom"/>
          </w:tcPr>
          <w:p>
            <w:pPr>
              <w:spacing w:after="0" w:line="216" w:lineRule="exact"/>
              <w:rPr>
                <w:sz w:val="20"/>
                <w:szCs w:val="20"/>
                <w:color w:val="auto"/>
              </w:rPr>
            </w:pPr>
            <w:r>
              <w:rPr>
                <w:rFonts w:ascii="Arial" w:cs="Arial" w:eastAsia="Arial" w:hAnsi="Arial"/>
                <w:sz w:val="19"/>
                <w:szCs w:val="19"/>
                <w:color w:val="auto"/>
              </w:rPr>
              <w:t>Sheet consist of:</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Prepaid pension benefit cost(1)</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839</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270</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120</w:t>
            </w:r>
          </w:p>
        </w:tc>
      </w:tr>
      <w:tr>
        <w:trPr>
          <w:trHeight w:val="243"/>
        </w:trPr>
        <w:tc>
          <w:tcPr>
            <w:tcW w:w="7280" w:type="dxa"/>
            <w:vAlign w:val="bottom"/>
          </w:tcPr>
          <w:p>
            <w:pPr>
              <w:ind w:left="360"/>
              <w:spacing w:after="0"/>
              <w:rPr>
                <w:sz w:val="20"/>
                <w:szCs w:val="20"/>
                <w:color w:val="auto"/>
              </w:rPr>
            </w:pPr>
            <w:r>
              <w:rPr>
                <w:rFonts w:ascii="Arial" w:cs="Arial" w:eastAsia="Arial" w:hAnsi="Arial"/>
                <w:sz w:val="19"/>
                <w:szCs w:val="19"/>
                <w:color w:val="auto"/>
              </w:rPr>
              <w:t>Accrued pension liabilities—current(2)</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43"/>
        </w:trPr>
        <w:tc>
          <w:tcPr>
            <w:tcW w:w="72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Accrued pension liabilities—noncurrent(3)</w:t>
            </w: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(895)</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(366)</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(690)</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(593)</w:t>
            </w:r>
          </w:p>
        </w:tc>
      </w:tr>
      <w:tr>
        <w:trPr>
          <w:trHeight w:val="250"/>
        </w:trPr>
        <w:tc>
          <w:tcPr>
            <w:tcW w:w="7280" w:type="dxa"/>
            <w:vAlign w:val="bottom"/>
          </w:tcPr>
          <w:p>
            <w:pPr>
              <w:spacing w:after="0"/>
              <w:rPr>
                <w:sz w:val="20"/>
                <w:szCs w:val="20"/>
                <w:color w:val="auto"/>
              </w:rPr>
            </w:pPr>
            <w:r>
              <w:rPr>
                <w:rFonts w:ascii="Arial" w:cs="Arial" w:eastAsia="Arial" w:hAnsi="Arial"/>
                <w:sz w:val="19"/>
                <w:szCs w:val="19"/>
                <w:color w:val="auto"/>
              </w:rPr>
              <w:t>Net amount recognized</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(969)</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437</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(428)</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(486)</w:t>
            </w:r>
          </w:p>
        </w:tc>
      </w:tr>
      <w:tr>
        <w:trPr>
          <w:trHeight w:val="20"/>
        </w:trPr>
        <w:tc>
          <w:tcPr>
            <w:tcW w:w="7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80"/>
        <w:spacing w:after="0"/>
        <w:rPr>
          <w:sz w:val="20"/>
          <w:szCs w:val="20"/>
          <w:color w:val="auto"/>
        </w:rPr>
      </w:pPr>
      <w:r>
        <w:rPr>
          <w:rFonts w:ascii="Arial" w:cs="Arial" w:eastAsia="Arial" w:hAnsi="Arial"/>
          <w:sz w:val="19"/>
          <w:szCs w:val="19"/>
          <w:color w:val="auto"/>
        </w:rPr>
        <w:t>(1) Included in Other Assets on Consolidated Balance Sheet</w:t>
      </w:r>
    </w:p>
    <w:p>
      <w:pPr>
        <w:ind w:left="80"/>
        <w:spacing w:after="0" w:line="237" w:lineRule="auto"/>
        <w:rPr>
          <w:sz w:val="20"/>
          <w:szCs w:val="20"/>
          <w:color w:val="auto"/>
        </w:rPr>
      </w:pPr>
      <w:r>
        <w:rPr>
          <w:rFonts w:ascii="Arial" w:cs="Arial" w:eastAsia="Arial" w:hAnsi="Arial"/>
          <w:sz w:val="19"/>
          <w:szCs w:val="19"/>
          <w:color w:val="auto"/>
        </w:rPr>
        <w:t>(2) Included in Accrued Liabilities on Consolidated Balance Sheet</w:t>
      </w:r>
    </w:p>
    <w:p>
      <w:pPr>
        <w:ind w:left="80"/>
        <w:spacing w:after="0"/>
        <w:rPr>
          <w:sz w:val="20"/>
          <w:szCs w:val="20"/>
          <w:color w:val="auto"/>
        </w:rPr>
      </w:pPr>
      <w:r>
        <w:rPr>
          <w:rFonts w:ascii="Arial" w:cs="Arial" w:eastAsia="Arial" w:hAnsi="Arial"/>
          <w:sz w:val="19"/>
          <w:szCs w:val="19"/>
          <w:color w:val="auto"/>
        </w:rPr>
        <w:t>(3) Included in Other Liabilities—Non-Current on Consolidated Balance Sheet</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tbl>
      <w:tblPr>
        <w:tblLayout w:type="fixed"/>
        <w:tblInd w:w="500" w:type="dxa"/>
        <w:tblCellMar>
          <w:top w:w="0" w:type="dxa"/>
          <w:left w:w="0" w:type="dxa"/>
          <w:bottom w:w="0" w:type="dxa"/>
          <w:right w:w="0" w:type="dxa"/>
        </w:tblCellMar>
      </w:tblPr>
      <w:tr>
        <w:trPr>
          <w:trHeight w:val="174"/>
        </w:trPr>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gridSpan w:val="3"/>
          </w:tcPr>
          <w:p>
            <w:pPr>
              <w:jc w:val="center"/>
              <w:ind w:right="80"/>
              <w:spacing w:after="0" w:line="175" w:lineRule="exact"/>
              <w:rPr>
                <w:sz w:val="20"/>
                <w:szCs w:val="20"/>
                <w:color w:val="auto"/>
              </w:rPr>
            </w:pPr>
            <w:r>
              <w:rPr>
                <w:rFonts w:ascii="Arial" w:cs="Arial" w:eastAsia="Arial" w:hAnsi="Arial"/>
                <w:sz w:val="16"/>
                <w:szCs w:val="16"/>
                <w:b w:val="1"/>
                <w:bCs w:val="1"/>
                <w:color w:val="auto"/>
                <w:w w:val="98"/>
              </w:rPr>
              <w:t>Other</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5"/>
          </w:tcPr>
          <w:p>
            <w:pPr>
              <w:jc w:val="center"/>
              <w:ind w:right="64"/>
              <w:spacing w:after="0" w:line="176" w:lineRule="exact"/>
              <w:rPr>
                <w:sz w:val="20"/>
                <w:szCs w:val="20"/>
                <w:color w:val="auto"/>
              </w:rPr>
            </w:pPr>
            <w:r>
              <w:rPr>
                <w:rFonts w:ascii="Arial" w:cs="Arial" w:eastAsia="Arial" w:hAnsi="Arial"/>
                <w:sz w:val="16"/>
                <w:szCs w:val="16"/>
                <w:b w:val="1"/>
                <w:bCs w:val="1"/>
                <w:color w:val="auto"/>
                <w:w w:val="99"/>
              </w:rPr>
              <w:t>Postretirement</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426"/>
              <w:spacing w:after="0"/>
              <w:rPr>
                <w:sz w:val="20"/>
                <w:szCs w:val="20"/>
                <w:color w:val="auto"/>
              </w:rPr>
            </w:pPr>
            <w:r>
              <w:rPr>
                <w:rFonts w:ascii="Arial" w:cs="Arial" w:eastAsia="Arial" w:hAnsi="Arial"/>
                <w:sz w:val="16"/>
                <w:szCs w:val="16"/>
                <w:b w:val="1"/>
                <w:bCs w:val="1"/>
                <w:color w:val="auto"/>
                <w:w w:val="98"/>
              </w:rPr>
              <w:t>Benefits</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2014</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10"/>
        </w:trPr>
        <w:tc>
          <w:tcPr>
            <w:tcW w:w="8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Change in benefit obligation:</w:t>
            </w: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60"/>
              <w:spacing w:after="0"/>
              <w:rPr>
                <w:sz w:val="20"/>
                <w:szCs w:val="20"/>
                <w:color w:val="auto"/>
              </w:rPr>
            </w:pPr>
            <w:r>
              <w:rPr>
                <w:rFonts w:ascii="Arial" w:cs="Arial" w:eastAsia="Arial" w:hAnsi="Arial"/>
                <w:sz w:val="19"/>
                <w:szCs w:val="19"/>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1,096</w:t>
            </w:r>
          </w:p>
        </w:tc>
        <w:tc>
          <w:tcPr>
            <w:tcW w:w="540" w:type="dxa"/>
            <w:vAlign w:val="bottom"/>
            <w:gridSpan w:val="3"/>
          </w:tcPr>
          <w:p>
            <w:pPr>
              <w:jc w:val="right"/>
              <w:ind w:right="80"/>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1,477</w:t>
            </w:r>
          </w:p>
        </w:tc>
        <w:tc>
          <w:tcPr>
            <w:tcW w:w="0" w:type="dxa"/>
            <w:vAlign w:val="bottom"/>
          </w:tcPr>
          <w:p>
            <w:pPr>
              <w:spacing w:after="0"/>
              <w:rPr>
                <w:sz w:val="1"/>
                <w:szCs w:val="1"/>
                <w:color w:val="auto"/>
              </w:rPr>
            </w:pPr>
          </w:p>
        </w:tc>
      </w:tr>
      <w:tr>
        <w:trPr>
          <w:trHeight w:val="243"/>
        </w:trPr>
        <w:tc>
          <w:tcPr>
            <w:tcW w:w="8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Service cost</w:t>
            </w: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360"/>
              <w:spacing w:after="0"/>
              <w:rPr>
                <w:sz w:val="20"/>
                <w:szCs w:val="20"/>
                <w:color w:val="auto"/>
              </w:rPr>
            </w:pPr>
            <w:r>
              <w:rPr>
                <w:rFonts w:ascii="Arial" w:cs="Arial" w:eastAsia="Arial" w:hAnsi="Arial"/>
                <w:sz w:val="19"/>
                <w:szCs w:val="19"/>
                <w:color w:val="auto"/>
              </w:rPr>
              <w:t>Interest cost</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42</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44</w:t>
            </w:r>
          </w:p>
        </w:tc>
        <w:tc>
          <w:tcPr>
            <w:tcW w:w="0" w:type="dxa"/>
            <w:vAlign w:val="bottom"/>
          </w:tcPr>
          <w:p>
            <w:pPr>
              <w:spacing w:after="0"/>
              <w:rPr>
                <w:sz w:val="1"/>
                <w:szCs w:val="1"/>
                <w:color w:val="auto"/>
              </w:rPr>
            </w:pPr>
          </w:p>
        </w:tc>
      </w:tr>
      <w:tr>
        <w:trPr>
          <w:trHeight w:val="243"/>
        </w:trPr>
        <w:tc>
          <w:tcPr>
            <w:tcW w:w="8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Plan amendments(1)</w:t>
            </w: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(87)</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(175)</w:t>
            </w:r>
          </w:p>
        </w:tc>
        <w:tc>
          <w:tcPr>
            <w:tcW w:w="0" w:type="dxa"/>
            <w:vAlign w:val="bottom"/>
          </w:tcPr>
          <w:p>
            <w:pPr>
              <w:spacing w:after="0"/>
              <w:rPr>
                <w:sz w:val="1"/>
                <w:szCs w:val="1"/>
                <w:color w:val="auto"/>
              </w:rPr>
            </w:pPr>
          </w:p>
        </w:tc>
      </w:tr>
      <w:tr>
        <w:trPr>
          <w:trHeight w:val="243"/>
        </w:trPr>
        <w:tc>
          <w:tcPr>
            <w:tcW w:w="8440" w:type="dxa"/>
            <w:vAlign w:val="bottom"/>
          </w:tcPr>
          <w:p>
            <w:pPr>
              <w:ind w:left="360"/>
              <w:spacing w:after="0"/>
              <w:rPr>
                <w:sz w:val="20"/>
                <w:szCs w:val="20"/>
                <w:color w:val="auto"/>
              </w:rPr>
            </w:pPr>
            <w:r>
              <w:rPr>
                <w:rFonts w:ascii="Arial" w:cs="Arial" w:eastAsia="Arial" w:hAnsi="Arial"/>
                <w:sz w:val="19"/>
                <w:szCs w:val="19"/>
                <w:color w:val="auto"/>
              </w:rPr>
              <w:t>Actuarial (gains) losses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46</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(108)</w:t>
            </w:r>
          </w:p>
        </w:tc>
        <w:tc>
          <w:tcPr>
            <w:tcW w:w="0" w:type="dxa"/>
            <w:vAlign w:val="bottom"/>
          </w:tcPr>
          <w:p>
            <w:pPr>
              <w:spacing w:after="0"/>
              <w:rPr>
                <w:sz w:val="1"/>
                <w:szCs w:val="1"/>
                <w:color w:val="auto"/>
              </w:rPr>
            </w:pPr>
          </w:p>
        </w:tc>
      </w:tr>
      <w:tr>
        <w:trPr>
          <w:trHeight w:val="243"/>
        </w:trPr>
        <w:tc>
          <w:tcPr>
            <w:tcW w:w="8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(124)</w:t>
            </w:r>
          </w:p>
        </w:tc>
        <w:tc>
          <w:tcPr>
            <w:tcW w:w="2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(142)</w:t>
            </w:r>
          </w:p>
        </w:tc>
        <w:tc>
          <w:tcPr>
            <w:tcW w:w="0" w:type="dxa"/>
            <w:vAlign w:val="bottom"/>
          </w:tcPr>
          <w:p>
            <w:pPr>
              <w:spacing w:after="0"/>
              <w:rPr>
                <w:sz w:val="1"/>
                <w:szCs w:val="1"/>
                <w:color w:val="auto"/>
              </w:rPr>
            </w:pPr>
          </w:p>
        </w:tc>
      </w:tr>
      <w:tr>
        <w:trPr>
          <w:trHeight w:val="257"/>
        </w:trPr>
        <w:tc>
          <w:tcPr>
            <w:tcW w:w="8440" w:type="dxa"/>
            <w:vAlign w:val="bottom"/>
          </w:tcPr>
          <w:p>
            <w:pPr>
              <w:ind w:left="360"/>
              <w:spacing w:after="0"/>
              <w:rPr>
                <w:sz w:val="20"/>
                <w:szCs w:val="20"/>
                <w:color w:val="auto"/>
              </w:rPr>
            </w:pPr>
            <w:r>
              <w:rPr>
                <w:rFonts w:ascii="Arial" w:cs="Arial" w:eastAsia="Arial" w:hAnsi="Arial"/>
                <w:sz w:val="19"/>
                <w:szCs w:val="19"/>
                <w:color w:val="auto"/>
              </w:rPr>
              <w:t>Benefit obligation at end of year</w:t>
            </w: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973</w:t>
            </w:r>
          </w:p>
        </w:tc>
        <w:tc>
          <w:tcPr>
            <w:tcW w:w="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1,096</w:t>
            </w:r>
          </w:p>
        </w:tc>
        <w:tc>
          <w:tcPr>
            <w:tcW w:w="0" w:type="dxa"/>
            <w:vAlign w:val="bottom"/>
          </w:tcPr>
          <w:p>
            <w:pPr>
              <w:spacing w:after="0"/>
              <w:rPr>
                <w:sz w:val="1"/>
                <w:szCs w:val="1"/>
                <w:color w:val="auto"/>
              </w:rPr>
            </w:pPr>
          </w:p>
        </w:tc>
      </w:tr>
      <w:tr>
        <w:trPr>
          <w:trHeight w:val="216"/>
        </w:trPr>
        <w:tc>
          <w:tcPr>
            <w:tcW w:w="84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Change in plan assets:</w:t>
            </w: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60"/>
              <w:spacing w:after="0"/>
              <w:rPr>
                <w:sz w:val="20"/>
                <w:szCs w:val="20"/>
                <w:color w:val="auto"/>
              </w:rPr>
            </w:pPr>
            <w:r>
              <w:rPr>
                <w:rFonts w:ascii="Arial" w:cs="Arial" w:eastAsia="Arial" w:hAnsi="Arial"/>
                <w:sz w:val="19"/>
                <w:szCs w:val="19"/>
                <w:color w:val="auto"/>
              </w:rPr>
              <w:t>Fair value of plan assets at beginning of year</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Actual return on plan assets</w:t>
            </w: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360"/>
              <w:spacing w:after="0"/>
              <w:rPr>
                <w:sz w:val="20"/>
                <w:szCs w:val="20"/>
                <w:color w:val="auto"/>
              </w:rPr>
            </w:pPr>
            <w:r>
              <w:rPr>
                <w:rFonts w:ascii="Arial" w:cs="Arial" w:eastAsia="Arial" w:hAnsi="Arial"/>
                <w:sz w:val="19"/>
                <w:szCs w:val="19"/>
                <w:color w:val="auto"/>
              </w:rPr>
              <w:t>Company contributions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8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Benefits paid</w:t>
            </w:r>
          </w:p>
        </w:tc>
        <w:tc>
          <w:tcPr>
            <w:tcW w:w="16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7"/>
        </w:trPr>
        <w:tc>
          <w:tcPr>
            <w:tcW w:w="8440" w:type="dxa"/>
            <w:vAlign w:val="bottom"/>
          </w:tcPr>
          <w:p>
            <w:pPr>
              <w:ind w:left="360"/>
              <w:spacing w:after="0"/>
              <w:rPr>
                <w:sz w:val="20"/>
                <w:szCs w:val="20"/>
                <w:color w:val="auto"/>
              </w:rPr>
            </w:pPr>
            <w:r>
              <w:rPr>
                <w:rFonts w:ascii="Arial" w:cs="Arial" w:eastAsia="Arial" w:hAnsi="Arial"/>
                <w:sz w:val="19"/>
                <w:szCs w:val="19"/>
                <w:color w:val="auto"/>
              </w:rPr>
              <w:t>Fair value of plan assets at end of year</w:t>
            </w: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84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Funded status of plans</w:t>
            </w:r>
          </w:p>
        </w:tc>
        <w:tc>
          <w:tcPr>
            <w:tcW w:w="16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(973)</w:t>
            </w:r>
          </w:p>
        </w:tc>
        <w:tc>
          <w:tcPr>
            <w:tcW w:w="540" w:type="dxa"/>
            <w:vAlign w:val="bottom"/>
            <w:gridSpan w:val="3"/>
            <w:shd w:val="clear" w:color="auto" w:fill="E5FFFF"/>
          </w:tcPr>
          <w:p>
            <w:pPr>
              <w:jc w:val="right"/>
              <w:ind w:right="80"/>
              <w:spacing w:after="0" w:line="216" w:lineRule="exact"/>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(1,096)</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9"/>
                <w:szCs w:val="19"/>
                <w:color w:val="auto"/>
              </w:rPr>
              <w:t>Amounts recognized in Consolidated Balance Sheet consist of:</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Accrued liabilities</w:t>
            </w:r>
          </w:p>
        </w:tc>
        <w:tc>
          <w:tcPr>
            <w:tcW w:w="16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(111)</w:t>
            </w:r>
          </w:p>
        </w:tc>
        <w:tc>
          <w:tcPr>
            <w:tcW w:w="540" w:type="dxa"/>
            <w:vAlign w:val="bottom"/>
            <w:gridSpan w:val="3"/>
            <w:shd w:val="clear" w:color="auto" w:fill="E5FFFF"/>
          </w:tcPr>
          <w:p>
            <w:pPr>
              <w:jc w:val="right"/>
              <w:ind w:right="80"/>
              <w:spacing w:after="0" w:line="216" w:lineRule="exact"/>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(130)</w:t>
            </w:r>
          </w:p>
        </w:tc>
        <w:tc>
          <w:tcPr>
            <w:tcW w:w="0" w:type="dxa"/>
            <w:vAlign w:val="bottom"/>
          </w:tcPr>
          <w:p>
            <w:pPr>
              <w:spacing w:after="0"/>
              <w:rPr>
                <w:sz w:val="1"/>
                <w:szCs w:val="1"/>
                <w:color w:val="auto"/>
              </w:rPr>
            </w:pPr>
          </w:p>
        </w:tc>
      </w:tr>
      <w:tr>
        <w:trPr>
          <w:trHeight w:val="250"/>
        </w:trPr>
        <w:tc>
          <w:tcPr>
            <w:tcW w:w="8440" w:type="dxa"/>
            <w:vAlign w:val="bottom"/>
          </w:tcPr>
          <w:p>
            <w:pPr>
              <w:ind w:left="360"/>
              <w:spacing w:after="0"/>
              <w:rPr>
                <w:sz w:val="20"/>
                <w:szCs w:val="20"/>
                <w:color w:val="auto"/>
              </w:rPr>
            </w:pPr>
            <w:r>
              <w:rPr>
                <w:rFonts w:ascii="Arial" w:cs="Arial" w:eastAsia="Arial" w:hAnsi="Arial"/>
                <w:sz w:val="19"/>
                <w:szCs w:val="19"/>
                <w:color w:val="auto"/>
              </w:rPr>
              <w:t>Postretirement benefit obligations other than pensions(2)</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(862)</w:t>
            </w:r>
          </w:p>
        </w:tc>
        <w:tc>
          <w:tcPr>
            <w:tcW w:w="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(966)</w:t>
            </w:r>
          </w:p>
        </w:tc>
        <w:tc>
          <w:tcPr>
            <w:tcW w:w="0" w:type="dxa"/>
            <w:vAlign w:val="bottom"/>
          </w:tcPr>
          <w:p>
            <w:pPr>
              <w:spacing w:after="0"/>
              <w:rPr>
                <w:sz w:val="1"/>
                <w:szCs w:val="1"/>
                <w:color w:val="auto"/>
              </w:rPr>
            </w:pPr>
          </w:p>
        </w:tc>
      </w:tr>
      <w:tr>
        <w:trPr>
          <w:trHeight w:val="216"/>
        </w:trPr>
        <w:tc>
          <w:tcPr>
            <w:tcW w:w="844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Net amount recognized</w:t>
            </w:r>
          </w:p>
        </w:tc>
        <w:tc>
          <w:tcPr>
            <w:tcW w:w="16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(973)</w:t>
            </w:r>
          </w:p>
        </w:tc>
        <w:tc>
          <w:tcPr>
            <w:tcW w:w="540" w:type="dxa"/>
            <w:vAlign w:val="bottom"/>
            <w:gridSpan w:val="3"/>
            <w:shd w:val="clear" w:color="auto" w:fill="E5FFFF"/>
          </w:tcPr>
          <w:p>
            <w:pPr>
              <w:jc w:val="right"/>
              <w:ind w:right="80"/>
              <w:spacing w:after="0" w:line="216" w:lineRule="exact"/>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line="216" w:lineRule="exact"/>
              <w:rPr>
                <w:sz w:val="20"/>
                <w:szCs w:val="20"/>
                <w:color w:val="auto"/>
              </w:rPr>
            </w:pPr>
            <w:r>
              <w:rPr>
                <w:rFonts w:ascii="Arial" w:cs="Arial" w:eastAsia="Arial" w:hAnsi="Arial"/>
                <w:sz w:val="19"/>
                <w:szCs w:val="19"/>
                <w:color w:val="auto"/>
              </w:rPr>
              <w:t>(1,096)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420" w:hanging="338"/>
        <w:spacing w:after="0" w:line="237" w:lineRule="auto"/>
        <w:tabs>
          <w:tab w:leader="none" w:pos="4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Elimination of retiree medical and life insurance coverage for certain retirees and union employees. Amount will be recognized as part of net postretirement benefit cost over the expected future lifetime of the remaining participants in the plan.</w:t>
      </w:r>
    </w:p>
    <w:p>
      <w:pPr>
        <w:ind w:left="420" w:hanging="338"/>
        <w:spacing w:after="0"/>
        <w:tabs>
          <w:tab w:leader="none" w:pos="4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Excludes non-U.S. plans of $49 million and $53 million in 2014 and 2013, respectively.</w:t>
      </w:r>
    </w:p>
    <w:p>
      <w:pPr>
        <w:spacing w:after="0" w:line="106"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Amounts recognized in Accumulated Other Comprehensive (Income) Loss associated with our significant pension and other postretirement benefit plans at December 31, 2014 and 2013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6"/>
                <w:szCs w:val="16"/>
                <w:b w:val="1"/>
                <w:bCs w:val="1"/>
                <w:color w:val="auto"/>
              </w:rPr>
              <w:t>Pension Benefits</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9"/>
              <w:spacing w:after="0" w:line="169" w:lineRule="exact"/>
              <w:rPr>
                <w:sz w:val="20"/>
                <w:szCs w:val="20"/>
                <w:color w:val="auto"/>
              </w:rPr>
            </w:pPr>
            <w:r>
              <w:rPr>
                <w:rFonts w:ascii="Arial" w:cs="Arial" w:eastAsia="Arial" w:hAnsi="Arial"/>
                <w:sz w:val="16"/>
                <w:szCs w:val="16"/>
                <w:b w:val="1"/>
                <w:bCs w:val="1"/>
                <w:color w:val="auto"/>
              </w:rPr>
              <w:t>U.S. Plans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right"/>
              <w:ind w:right="127"/>
              <w:spacing w:after="0" w:line="169" w:lineRule="exact"/>
              <w:rPr>
                <w:sz w:val="20"/>
                <w:szCs w:val="20"/>
                <w:color w:val="auto"/>
              </w:rPr>
            </w:pPr>
            <w:r>
              <w:rPr>
                <w:rFonts w:ascii="Arial" w:cs="Arial" w:eastAsia="Arial" w:hAnsi="Arial"/>
                <w:sz w:val="16"/>
                <w:szCs w:val="16"/>
                <w:b w:val="1"/>
                <w:bCs w:val="1"/>
                <w:color w:val="auto"/>
              </w:rPr>
              <w:t>Non-U.S. Plans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7"/>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w w:val="89"/>
              </w:rPr>
              <w:t>2014</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6"/>
                <w:szCs w:val="16"/>
                <w:b w:val="1"/>
                <w:bCs w:val="1"/>
                <w:color w:val="auto"/>
              </w:rPr>
              <w:t>2013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9"/>
                <w:szCs w:val="19"/>
                <w:color w:val="auto"/>
              </w:rPr>
              <w:t>Transition obligation</w:t>
            </w:r>
          </w:p>
        </w:tc>
        <w:tc>
          <w:tcPr>
            <w:tcW w:w="33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40" w:type="dxa"/>
            <w:vAlign w:val="bottom"/>
            <w:shd w:val="clear" w:color="auto" w:fill="E5FFFF"/>
          </w:tcPr>
          <w:p>
            <w:pPr>
              <w:spacing w:after="0"/>
              <w:rPr>
                <w:sz w:val="20"/>
                <w:szCs w:val="20"/>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9"/>
                <w:szCs w:val="19"/>
                <w:color w:val="auto"/>
              </w:rPr>
              <w:t>Prior service cost (credit)</w:t>
            </w:r>
          </w:p>
        </w:tc>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88</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111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9"/>
                <w:szCs w:val="19"/>
                <w:color w:val="auto"/>
              </w:rPr>
              <w:t>(27)</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(14)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9"/>
                <w:szCs w:val="19"/>
                <w:color w:val="auto"/>
              </w:rPr>
              <w:t>Net actuarial (gain) loss</w:t>
            </w:r>
          </w:p>
        </w:tc>
        <w:tc>
          <w:tcPr>
            <w:tcW w:w="314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281</w:t>
            </w:r>
          </w:p>
        </w:tc>
        <w:tc>
          <w:tcPr>
            <w:tcW w:w="32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(1,378)</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493</w:t>
            </w:r>
          </w:p>
        </w:tc>
        <w:tc>
          <w:tcPr>
            <w:tcW w:w="40" w:type="dxa"/>
            <w:vAlign w:val="bottom"/>
            <w:tcBorders>
              <w:bottom w:val="single" w:sz="8" w:color="auto"/>
            </w:tcBorders>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9"/>
                <w:szCs w:val="19"/>
                <w:color w:val="auto"/>
              </w:rPr>
              <w:t>Net amount recognized</w:t>
            </w:r>
          </w:p>
        </w:tc>
        <w:tc>
          <w:tcPr>
            <w:tcW w:w="31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369</w:t>
            </w:r>
          </w:p>
        </w:tc>
        <w:tc>
          <w:tcPr>
            <w:tcW w:w="3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(1,267)</w:t>
            </w:r>
          </w:p>
        </w:tc>
        <w:tc>
          <w:tcPr>
            <w:tcW w:w="300" w:type="dxa"/>
            <w:vAlign w:val="bottom"/>
            <w:gridSpan w:val="2"/>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$ 467</w:t>
            </w:r>
          </w:p>
        </w:tc>
        <w:tc>
          <w:tcPr>
            <w:tcW w:w="40" w:type="dxa"/>
            <w:vAlign w:val="bottom"/>
            <w:tcBorders>
              <w:bottom w:val="single" w:sz="8" w:color="auto"/>
            </w:tcBorders>
          </w:tcPr>
          <w:p>
            <w:pPr>
              <w:spacing w:after="0"/>
              <w:rPr>
                <w:sz w:val="21"/>
                <w:szCs w:val="21"/>
                <w:color w:val="auto"/>
              </w:rPr>
            </w:pPr>
          </w:p>
        </w:tc>
        <w:tc>
          <w:tcPr>
            <w:tcW w:w="320" w:type="dxa"/>
            <w:vAlign w:val="bottom"/>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423</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5"/>
          </w:tcPr>
          <w:p>
            <w:pPr>
              <w:jc w:val="right"/>
              <w:ind w:right="3"/>
              <w:spacing w:after="0"/>
              <w:rPr>
                <w:sz w:val="20"/>
                <w:szCs w:val="20"/>
                <w:color w:val="auto"/>
              </w:rPr>
            </w:pPr>
            <w:r>
              <w:rPr>
                <w:rFonts w:ascii="Arial" w:cs="Arial" w:eastAsia="Arial" w:hAnsi="Arial"/>
                <w:sz w:val="16"/>
                <w:szCs w:val="16"/>
                <w:b w:val="1"/>
                <w:bCs w:val="1"/>
                <w:color w:val="auto"/>
              </w:rPr>
              <w:t>Other</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6"/>
          </w:tcPr>
          <w:p>
            <w:pPr>
              <w:jc w:val="right"/>
              <w:ind w:right="187"/>
              <w:spacing w:after="0" w:line="176" w:lineRule="exact"/>
              <w:rPr>
                <w:sz w:val="20"/>
                <w:szCs w:val="20"/>
                <w:color w:val="auto"/>
              </w:rPr>
            </w:pPr>
            <w:r>
              <w:rPr>
                <w:rFonts w:ascii="Arial" w:cs="Arial" w:eastAsia="Arial" w:hAnsi="Arial"/>
                <w:sz w:val="16"/>
                <w:szCs w:val="16"/>
                <w:b w:val="1"/>
                <w:bCs w:val="1"/>
                <w:color w:val="auto"/>
              </w:rPr>
              <w:t>Postretirement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Benefits</w:t>
            </w:r>
          </w:p>
        </w:tc>
        <w:tc>
          <w:tcPr>
            <w:tcW w:w="52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72"/>
              <w:spacing w:after="0" w:line="169" w:lineRule="exact"/>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6"/>
                <w:szCs w:val="16"/>
                <w:b w:val="1"/>
                <w:bCs w:val="1"/>
                <w:color w:val="auto"/>
                <w:w w:val="95"/>
              </w:rPr>
              <w:t>2013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6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Prior service (credit)</w:t>
            </w:r>
          </w:p>
        </w:tc>
        <w:tc>
          <w:tcPr>
            <w:tcW w:w="3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880" w:type="dxa"/>
            <w:vAlign w:val="bottom"/>
            <w:gridSpan w:val="4"/>
            <w:shd w:val="clear" w:color="auto" w:fill="E5FFFF"/>
          </w:tcPr>
          <w:p>
            <w:pPr>
              <w:jc w:val="right"/>
              <w:spacing w:after="0" w:line="210" w:lineRule="exact"/>
              <w:rPr>
                <w:sz w:val="20"/>
                <w:szCs w:val="20"/>
                <w:color w:val="auto"/>
              </w:rPr>
            </w:pPr>
            <w:r>
              <w:rPr>
                <w:rFonts w:ascii="Arial" w:cs="Arial" w:eastAsia="Arial" w:hAnsi="Arial"/>
                <w:sz w:val="19"/>
                <w:szCs w:val="19"/>
                <w:color w:val="auto"/>
              </w:rPr>
              <w:t>$ (235)</w:t>
            </w:r>
          </w:p>
        </w:tc>
        <w:tc>
          <w:tcPr>
            <w:tcW w:w="40" w:type="dxa"/>
            <w:vAlign w:val="bottom"/>
            <w:shd w:val="clear" w:color="auto" w:fill="E5FFFF"/>
          </w:tcPr>
          <w:p>
            <w:pPr>
              <w:spacing w:after="0"/>
              <w:rPr>
                <w:sz w:val="18"/>
                <w:szCs w:val="18"/>
                <w:color w:val="auto"/>
              </w:rPr>
            </w:pPr>
          </w:p>
        </w:tc>
        <w:tc>
          <w:tcPr>
            <w:tcW w:w="440" w:type="dxa"/>
            <w:vAlign w:val="bottom"/>
            <w:gridSpan w:val="3"/>
            <w:shd w:val="clear" w:color="auto" w:fill="E5FFFF"/>
          </w:tcPr>
          <w:p>
            <w:pPr>
              <w:jc w:val="right"/>
              <w:spacing w:after="0" w:line="210" w:lineRule="exact"/>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spacing w:after="0" w:line="210" w:lineRule="exact"/>
              <w:rPr>
                <w:sz w:val="20"/>
                <w:szCs w:val="20"/>
                <w:color w:val="auto"/>
              </w:rPr>
            </w:pPr>
            <w:r>
              <w:rPr>
                <w:rFonts w:ascii="Arial" w:cs="Arial" w:eastAsia="Arial" w:hAnsi="Arial"/>
                <w:sz w:val="19"/>
                <w:szCs w:val="19"/>
                <w:color w:val="auto"/>
              </w:rPr>
              <w:t>(168)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Arial" w:cs="Arial" w:eastAsia="Arial" w:hAnsi="Arial"/>
                <w:sz w:val="19"/>
                <w:szCs w:val="19"/>
                <w:color w:val="auto"/>
              </w:rPr>
              <w:t>Net actuarial loss</w:t>
            </w:r>
          </w:p>
        </w:tc>
        <w:tc>
          <w:tcPr>
            <w:tcW w:w="3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256</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3620" w:type="dxa"/>
            <w:vAlign w:val="bottom"/>
            <w:shd w:val="clear" w:color="auto" w:fill="E5FFFF"/>
          </w:tcPr>
          <w:p>
            <w:pPr>
              <w:spacing w:after="0"/>
              <w:rPr>
                <w:sz w:val="20"/>
                <w:szCs w:val="20"/>
                <w:color w:val="auto"/>
              </w:rPr>
            </w:pPr>
            <w:r>
              <w:rPr>
                <w:rFonts w:ascii="Arial" w:cs="Arial" w:eastAsia="Arial" w:hAnsi="Arial"/>
                <w:sz w:val="19"/>
                <w:szCs w:val="19"/>
                <w:color w:val="auto"/>
              </w:rPr>
              <w:t>Net amount recognized</w:t>
            </w:r>
          </w:p>
        </w:tc>
        <w:tc>
          <w:tcPr>
            <w:tcW w:w="3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0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ind w:right="3"/>
              <w:spacing w:after="0"/>
              <w:rPr>
                <w:sz w:val="20"/>
                <w:szCs w:val="20"/>
                <w:color w:val="auto"/>
              </w:rPr>
            </w:pPr>
            <w:r>
              <w:rPr>
                <w:rFonts w:ascii="Arial" w:cs="Arial" w:eastAsia="Arial" w:hAnsi="Arial"/>
                <w:sz w:val="19"/>
                <w:szCs w:val="19"/>
                <w:color w:val="auto"/>
              </w:rPr>
              <w:t>$</w:t>
            </w:r>
          </w:p>
        </w:tc>
        <w:tc>
          <w:tcPr>
            <w:tcW w:w="4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w:t>
            </w:r>
          </w:p>
        </w:tc>
        <w:tc>
          <w:tcPr>
            <w:tcW w:w="4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88</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40" w:type="dxa"/>
            <w:vAlign w:val="bottom"/>
            <w:vMerge w:val="restart"/>
          </w:tcPr>
          <w:p>
            <w:pPr>
              <w:jc w:val="right"/>
              <w:ind w:right="1343"/>
              <w:spacing w:after="0"/>
              <w:rPr>
                <w:sz w:val="20"/>
                <w:szCs w:val="20"/>
                <w:color w:val="auto"/>
              </w:rPr>
            </w:pPr>
            <w:r>
              <w:rPr>
                <w:rFonts w:ascii="Arial" w:cs="Arial" w:eastAsia="Arial" w:hAnsi="Arial"/>
                <w:sz w:val="19"/>
                <w:szCs w:val="19"/>
                <w:color w:val="auto"/>
              </w:rPr>
              <w:t>69</w:t>
            </w: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right="20" w:firstLine="357"/>
        <w:spacing w:after="0" w:line="253" w:lineRule="auto"/>
        <w:rPr>
          <w:sz w:val="20"/>
          <w:szCs w:val="20"/>
          <w:color w:val="auto"/>
        </w:rPr>
      </w:pPr>
      <w:r>
        <w:rPr>
          <w:rFonts w:ascii="Arial" w:cs="Arial" w:eastAsia="Arial" w:hAnsi="Arial"/>
          <w:sz w:val="19"/>
          <w:szCs w:val="19"/>
          <w:color w:val="auto"/>
        </w:rPr>
        <w:t>The components of net periodic benefit (income) cost and other amounts recognized in other comprehensive (income) loss for our significant pension and other postretirement benefit plans include the following components: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10"/>
          </w:tcPr>
          <w:p>
            <w:pPr>
              <w:ind w:left="80"/>
              <w:spacing w:after="0"/>
              <w:rPr>
                <w:sz w:val="20"/>
                <w:szCs w:val="20"/>
                <w:color w:val="auto"/>
              </w:rPr>
            </w:pPr>
            <w:r>
              <w:rPr>
                <w:rFonts w:ascii="Arial" w:cs="Arial" w:eastAsia="Arial" w:hAnsi="Arial"/>
                <w:sz w:val="16"/>
                <w:szCs w:val="16"/>
                <w:b w:val="1"/>
                <w:bCs w:val="1"/>
                <w:color w:val="auto"/>
              </w:rPr>
              <w:t>Pension Benefits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Net Periodic Benefit Cost</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line="169" w:lineRule="exact"/>
              <w:rPr>
                <w:sz w:val="20"/>
                <w:szCs w:val="20"/>
                <w:color w:val="auto"/>
              </w:rPr>
            </w:pPr>
            <w:r>
              <w:rPr>
                <w:rFonts w:ascii="Arial" w:cs="Arial" w:eastAsia="Arial" w:hAnsi="Arial"/>
                <w:sz w:val="16"/>
                <w:szCs w:val="16"/>
                <w:b w:val="1"/>
                <w:bCs w:val="1"/>
                <w:color w:val="auto"/>
                <w:w w:val="99"/>
              </w:rPr>
              <w:t>U.S. Plans</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7"/>
          </w:tcPr>
          <w:p>
            <w:pPr>
              <w:ind w:left="60"/>
              <w:spacing w:after="0" w:line="169" w:lineRule="exact"/>
              <w:rPr>
                <w:sz w:val="20"/>
                <w:szCs w:val="20"/>
                <w:color w:val="auto"/>
              </w:rPr>
            </w:pPr>
            <w:r>
              <w:rPr>
                <w:rFonts w:ascii="Arial" w:cs="Arial" w:eastAsia="Arial" w:hAnsi="Arial"/>
                <w:sz w:val="16"/>
                <w:szCs w:val="16"/>
                <w:b w:val="1"/>
                <w:bCs w:val="1"/>
                <w:color w:val="auto"/>
              </w:rPr>
              <w:t>Non-U.S. Plans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32"/>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47"/>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2012</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48"/>
              <w:spacing w:after="0" w:line="169" w:lineRule="exact"/>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47"/>
              <w:spacing w:after="0" w:line="169" w:lineRule="exact"/>
              <w:rPr>
                <w:sz w:val="20"/>
                <w:szCs w:val="20"/>
                <w:color w:val="auto"/>
              </w:rPr>
            </w:pPr>
            <w:r>
              <w:rPr>
                <w:rFonts w:ascii="Arial" w:cs="Arial" w:eastAsia="Arial" w:hAnsi="Arial"/>
                <w:sz w:val="16"/>
                <w:szCs w:val="16"/>
                <w:b w:val="1"/>
                <w:bCs w:val="1"/>
                <w:color w:val="auto"/>
                <w:w w:val="95"/>
              </w:rPr>
              <w:t>2013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64"/>
              <w:spacing w:after="0" w:line="169"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Service cost</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241</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272</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256</w:t>
            </w:r>
          </w:p>
        </w:tc>
        <w:tc>
          <w:tcPr>
            <w:tcW w:w="2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56</w:t>
            </w:r>
          </w:p>
        </w:tc>
        <w:tc>
          <w:tcPr>
            <w:tcW w:w="2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58</w:t>
            </w:r>
          </w:p>
        </w:tc>
        <w:tc>
          <w:tcPr>
            <w:tcW w:w="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48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48</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Interest cost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771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677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738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231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215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221</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Expected return on plan assets</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(1,257)</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9"/>
              </w:rPr>
              <w:t>(1,076)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(1,020)</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(354)</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(308)</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(291)</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Amortization of transition obligation</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gridSpan w:val="4"/>
          </w:tcPr>
          <w:p>
            <w:pPr>
              <w:jc w:val="right"/>
              <w:ind w:right="380"/>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Amortization of prior service cost (credit)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23</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28</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Recognition of actuarial losses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26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707</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223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51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250</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Settlements and curtailments</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300" w:type="dxa"/>
            <w:vAlign w:val="bottom"/>
            <w:tcBorders>
              <w:bottom w:val="single" w:sz="8" w:color="auto"/>
            </w:tcBorders>
            <w:shd w:val="clear" w:color="auto" w:fill="E5FFFF"/>
          </w:tcPr>
          <w:p>
            <w:pPr>
              <w:spacing w:after="0"/>
              <w:rPr>
                <w:sz w:val="21"/>
                <w:szCs w:val="21"/>
                <w:color w:val="auto"/>
              </w:rPr>
            </w:pPr>
          </w:p>
        </w:tc>
        <w:tc>
          <w:tcPr>
            <w:tcW w:w="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280" w:type="dxa"/>
            <w:vAlign w:val="bottom"/>
            <w:tcBorders>
              <w:bottom w:val="single" w:sz="8" w:color="auto"/>
            </w:tcBorders>
            <w:shd w:val="clear" w:color="auto" w:fill="E5FFFF"/>
          </w:tcPr>
          <w:p>
            <w:pPr>
              <w:spacing w:after="0"/>
              <w:rPr>
                <w:sz w:val="21"/>
                <w:szCs w:val="21"/>
                <w:color w:val="auto"/>
              </w:rPr>
            </w:pPr>
          </w:p>
        </w:tc>
        <w:tc>
          <w:tcPr>
            <w:tcW w:w="3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gridSpan w:val="2"/>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gridSpan w:val="2"/>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gridSpan w:val="2"/>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8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0"/>
                <w:szCs w:val="20"/>
                <w:color w:val="auto"/>
              </w:rPr>
            </w:pPr>
            <w:r>
              <w:rPr>
                <w:rFonts w:ascii="Arial" w:cs="Arial" w:eastAsia="Arial" w:hAnsi="Arial"/>
                <w:sz w:val="19"/>
                <w:szCs w:val="19"/>
                <w:color w:val="auto"/>
              </w:rPr>
              <w:t>Net periodic benefit (income) cost</w:t>
            </w:r>
          </w:p>
        </w:tc>
        <w:tc>
          <w:tcPr>
            <w:tcW w:w="4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(196)</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(104)</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gridSpan w:val="3"/>
          </w:tcPr>
          <w:p>
            <w:pPr>
              <w:jc w:val="right"/>
              <w:spacing w:after="0"/>
              <w:rPr>
                <w:sz w:val="20"/>
                <w:szCs w:val="20"/>
                <w:color w:val="auto"/>
              </w:rPr>
            </w:pPr>
            <w:r>
              <w:rPr>
                <w:rFonts w:ascii="Arial" w:cs="Arial" w:eastAsia="Arial" w:hAnsi="Arial"/>
                <w:sz w:val="19"/>
                <w:szCs w:val="19"/>
                <w:color w:val="auto"/>
              </w:rPr>
              <w:t>709</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9"/>
                <w:szCs w:val="19"/>
                <w:color w:val="auto"/>
              </w:rPr>
              <w:t>$ 156</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9"/>
                <w:szCs w:val="19"/>
                <w:color w:val="auto"/>
                <w:w w:val="94"/>
              </w:rPr>
              <w:t>$</w:t>
            </w:r>
          </w:p>
        </w:tc>
        <w:tc>
          <w:tcPr>
            <w:tcW w:w="480" w:type="dxa"/>
            <w:vAlign w:val="bottom"/>
          </w:tcPr>
          <w:p>
            <w:pPr>
              <w:jc w:val="right"/>
              <w:ind w:right="4"/>
              <w:spacing w:after="0"/>
              <w:rPr>
                <w:sz w:val="20"/>
                <w:szCs w:val="20"/>
                <w:color w:val="auto"/>
              </w:rPr>
            </w:pPr>
            <w:r>
              <w:rPr>
                <w:rFonts w:ascii="Arial" w:cs="Arial" w:eastAsia="Arial" w:hAnsi="Arial"/>
                <w:sz w:val="19"/>
                <w:szCs w:val="19"/>
                <w:color w:val="auto"/>
              </w:rPr>
              <w:t>230</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6"/>
                <w:szCs w:val="16"/>
                <w:b w:val="1"/>
                <w:bCs w:val="1"/>
                <w:color w:val="auto"/>
              </w:rPr>
              <w:t>Other Changes in Plan Assets and</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vMerge w:val="restart"/>
          </w:tcPr>
          <w:p>
            <w:pPr>
              <w:jc w:val="right"/>
              <w:ind w:right="1"/>
              <w:spacing w:after="0"/>
              <w:rPr>
                <w:sz w:val="20"/>
                <w:szCs w:val="20"/>
                <w:color w:val="auto"/>
              </w:rPr>
            </w:pPr>
            <w:r>
              <w:rPr>
                <w:rFonts w:ascii="Arial" w:cs="Arial" w:eastAsia="Arial" w:hAnsi="Arial"/>
                <w:sz w:val="16"/>
                <w:szCs w:val="16"/>
                <w:b w:val="1"/>
                <w:bCs w:val="1"/>
                <w:color w:val="auto"/>
              </w:rPr>
              <w:t>U.S. Plans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gridSpan w:val="9"/>
            <w:vMerge w:val="restart"/>
          </w:tcPr>
          <w:p>
            <w:pPr>
              <w:jc w:val="right"/>
              <w:ind w:right="3"/>
              <w:spacing w:after="0"/>
              <w:rPr>
                <w:sz w:val="20"/>
                <w:szCs w:val="20"/>
                <w:color w:val="auto"/>
              </w:rPr>
            </w:pPr>
            <w:r>
              <w:rPr>
                <w:rFonts w:ascii="Arial" w:cs="Arial" w:eastAsia="Arial" w:hAnsi="Arial"/>
                <w:sz w:val="16"/>
                <w:szCs w:val="16"/>
                <w:b w:val="1"/>
                <w:bCs w:val="1"/>
                <w:color w:val="auto"/>
              </w:rPr>
              <w:t>Non-U.S. Plans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240" w:type="dxa"/>
            <w:vAlign w:val="bottom"/>
            <w:vMerge w:val="restart"/>
          </w:tcPr>
          <w:p>
            <w:pPr>
              <w:spacing w:after="0" w:line="176" w:lineRule="exact"/>
              <w:rPr>
                <w:sz w:val="20"/>
                <w:szCs w:val="20"/>
                <w:color w:val="auto"/>
              </w:rPr>
            </w:pPr>
            <w:r>
              <w:rPr>
                <w:rFonts w:ascii="Arial" w:cs="Arial" w:eastAsia="Arial" w:hAnsi="Arial"/>
                <w:sz w:val="16"/>
                <w:szCs w:val="16"/>
                <w:b w:val="1"/>
                <w:bCs w:val="1"/>
                <w:color w:val="auto"/>
              </w:rPr>
              <w:t>Benefits Obligations Recognized in</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4"/>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9"/>
            <w:vMerge w:val="continue"/>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5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 Loss</w:t>
            </w: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b w:val="1"/>
                <w:bCs w:val="1"/>
                <w:color w:val="auto"/>
              </w:rPr>
              <w:t>2012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b w:val="1"/>
                <w:bCs w:val="1"/>
                <w:color w:val="auto"/>
              </w:rPr>
              <w:t>2014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w w:val="95"/>
              </w:rPr>
              <w:t>2012</w:t>
            </w:r>
          </w:p>
        </w:tc>
        <w:tc>
          <w:tcPr>
            <w:tcW w:w="0" w:type="dxa"/>
            <w:vAlign w:val="bottom"/>
          </w:tcPr>
          <w:p>
            <w:pPr>
              <w:spacing w:after="0"/>
              <w:rPr>
                <w:sz w:val="1"/>
                <w:szCs w:val="1"/>
                <w:color w:val="auto"/>
              </w:rPr>
            </w:pPr>
          </w:p>
        </w:tc>
      </w:tr>
      <w:tr>
        <w:trPr>
          <w:trHeight w:val="237"/>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Actuarial (gains) losses</w:t>
            </w:r>
          </w:p>
        </w:tc>
        <w:tc>
          <w:tcPr>
            <w:tcW w:w="3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140" w:type="dxa"/>
            <w:vAlign w:val="bottom"/>
            <w:gridSpan w:val="5"/>
            <w:shd w:val="clear" w:color="auto" w:fill="E5FFFF"/>
          </w:tcPr>
          <w:p>
            <w:pPr>
              <w:jc w:val="right"/>
              <w:ind w:right="1"/>
              <w:spacing w:after="0"/>
              <w:rPr>
                <w:sz w:val="20"/>
                <w:szCs w:val="20"/>
                <w:color w:val="auto"/>
              </w:rPr>
            </w:pPr>
            <w:r>
              <w:rPr>
                <w:rFonts w:ascii="Arial" w:cs="Arial" w:eastAsia="Arial" w:hAnsi="Arial"/>
                <w:sz w:val="19"/>
                <w:szCs w:val="19"/>
                <w:color w:val="auto"/>
              </w:rPr>
              <w:t>$ 1,686</w:t>
            </w:r>
          </w:p>
        </w:tc>
        <w:tc>
          <w:tcPr>
            <w:tcW w:w="110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 (3,090)</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859</w:t>
            </w:r>
          </w:p>
        </w:tc>
        <w:tc>
          <w:tcPr>
            <w:tcW w:w="60" w:type="dxa"/>
            <w:vAlign w:val="bottom"/>
            <w:shd w:val="clear" w:color="auto" w:fill="E5FFFF"/>
          </w:tcPr>
          <w:p>
            <w:pPr>
              <w:spacing w:after="0"/>
              <w:rPr>
                <w:sz w:val="20"/>
                <w:szCs w:val="20"/>
                <w:color w:val="auto"/>
              </w:rPr>
            </w:pPr>
          </w:p>
        </w:tc>
        <w:tc>
          <w:tcPr>
            <w:tcW w:w="860" w:type="dxa"/>
            <w:vAlign w:val="bottom"/>
            <w:gridSpan w:val="3"/>
            <w:shd w:val="clear" w:color="auto" w:fill="E5FFFF"/>
          </w:tcPr>
          <w:p>
            <w:pPr>
              <w:jc w:val="right"/>
              <w:ind w:right="1"/>
              <w:spacing w:after="0"/>
              <w:rPr>
                <w:sz w:val="20"/>
                <w:szCs w:val="20"/>
                <w:color w:val="auto"/>
              </w:rPr>
            </w:pPr>
            <w:r>
              <w:rPr>
                <w:rFonts w:ascii="Arial" w:cs="Arial" w:eastAsia="Arial" w:hAnsi="Arial"/>
                <w:sz w:val="19"/>
                <w:szCs w:val="19"/>
                <w:color w:val="auto"/>
              </w:rPr>
              <w:t>$ 333</w:t>
            </w:r>
          </w:p>
        </w:tc>
        <w:tc>
          <w:tcPr>
            <w:tcW w:w="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5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$(48)</w:t>
            </w:r>
          </w:p>
        </w:tc>
        <w:tc>
          <w:tcPr>
            <w:tcW w:w="240" w:type="dxa"/>
            <w:vAlign w:val="bottom"/>
            <w:shd w:val="clear" w:color="auto" w:fill="E5FFFF"/>
          </w:tcPr>
          <w:p>
            <w:pPr>
              <w:spacing w:after="0"/>
              <w:rPr>
                <w:sz w:val="20"/>
                <w:szCs w:val="20"/>
                <w:color w:val="auto"/>
              </w:rPr>
            </w:pPr>
          </w:p>
        </w:tc>
        <w:tc>
          <w:tcPr>
            <w:tcW w:w="1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327</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Prior service cost (credit)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gridSpan w:val="2"/>
          </w:tcPr>
          <w:p>
            <w:pPr>
              <w:jc w:val="right"/>
              <w:ind w:right="1"/>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gridSpan w:val="2"/>
          </w:tcPr>
          <w:p>
            <w:pPr>
              <w:jc w:val="right"/>
              <w:ind w:right="1"/>
              <w:spacing w:after="0"/>
              <w:rPr>
                <w:sz w:val="20"/>
                <w:szCs w:val="20"/>
                <w:color w:val="auto"/>
              </w:rPr>
            </w:pPr>
            <w:r>
              <w:rPr>
                <w:rFonts w:ascii="Arial" w:cs="Arial" w:eastAsia="Arial" w:hAnsi="Arial"/>
                <w:sz w:val="19"/>
                <w:szCs w:val="19"/>
                <w:color w:val="auto"/>
              </w:rPr>
              <w:t>14</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gridSpan w:val="3"/>
          </w:tcPr>
          <w:p>
            <w:pPr>
              <w:jc w:val="right"/>
              <w:spacing w:after="0"/>
              <w:rPr>
                <w:sz w:val="20"/>
                <w:szCs w:val="20"/>
                <w:color w:val="auto"/>
              </w:rPr>
            </w:pPr>
            <w:r>
              <w:rPr>
                <w:rFonts w:ascii="Arial" w:cs="Arial" w:eastAsia="Arial" w:hAnsi="Arial"/>
                <w:sz w:val="19"/>
                <w:szCs w:val="19"/>
                <w:color w:val="auto"/>
              </w:rPr>
              <w:t>(17)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Transition obligation recognized during year</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8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ind w:right="140"/>
              <w:spacing w:after="0"/>
              <w:rPr>
                <w:sz w:val="20"/>
                <w:szCs w:val="20"/>
                <w:color w:val="auto"/>
              </w:rPr>
            </w:pPr>
            <w:r>
              <w:rPr>
                <w:rFonts w:ascii="Arial" w:cs="Arial" w:eastAsia="Arial" w:hAnsi="Arial"/>
                <w:sz w:val="19"/>
                <w:szCs w:val="19"/>
                <w:color w:val="auto"/>
              </w:rPr>
              <w:t>—</w:t>
            </w: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(2)</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9"/>
                <w:szCs w:val="19"/>
                <w:color w:val="auto"/>
              </w:rPr>
              <w:t>Prior service (cost) credit recognized during year</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(23)</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(23)</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(28)</w:t>
            </w:r>
          </w:p>
        </w:tc>
        <w:tc>
          <w:tcPr>
            <w:tcW w:w="60" w:type="dxa"/>
            <w:vAlign w:val="bottom"/>
          </w:tcPr>
          <w:p>
            <w:pPr>
              <w:spacing w:after="0"/>
              <w:rPr>
                <w:sz w:val="21"/>
                <w:szCs w:val="21"/>
                <w:color w:val="auto"/>
              </w:rPr>
            </w:pPr>
          </w:p>
        </w:tc>
        <w:tc>
          <w:tcPr>
            <w:tcW w:w="860" w:type="dxa"/>
            <w:vAlign w:val="bottom"/>
            <w:gridSpan w:val="3"/>
          </w:tcPr>
          <w:p>
            <w:pPr>
              <w:jc w:val="right"/>
              <w:ind w:right="1"/>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spacing w:after="0"/>
              <w:rPr>
                <w:sz w:val="20"/>
                <w:szCs w:val="20"/>
                <w:color w:val="auto"/>
              </w:rPr>
            </w:pPr>
            <w:r>
              <w:rPr>
                <w:rFonts w:ascii="Arial" w:cs="Arial" w:eastAsia="Arial" w:hAnsi="Arial"/>
                <w:sz w:val="19"/>
                <w:szCs w:val="19"/>
                <w:color w:val="auto"/>
              </w:rPr>
              <w:t>Actuarial losses recognized during year</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(26)</w:t>
            </w:r>
          </w:p>
        </w:tc>
        <w:tc>
          <w:tcPr>
            <w:tcW w:w="3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ind w:right="1"/>
              <w:spacing w:after="0"/>
              <w:rPr>
                <w:sz w:val="20"/>
                <w:szCs w:val="20"/>
                <w:color w:val="auto"/>
              </w:rPr>
            </w:pPr>
            <w:r>
              <w:rPr>
                <w:rFonts w:ascii="Arial" w:cs="Arial" w:eastAsia="Arial" w:hAnsi="Arial"/>
                <w:sz w:val="19"/>
                <w:szCs w:val="19"/>
                <w:color w:val="auto"/>
              </w:rPr>
              <w:t>—</w:t>
            </w:r>
          </w:p>
        </w:tc>
        <w:tc>
          <w:tcPr>
            <w:tcW w:w="2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w w:val="99"/>
              </w:rPr>
              <w:t>(707)</w:t>
            </w:r>
          </w:p>
        </w:tc>
        <w:tc>
          <w:tcPr>
            <w:tcW w:w="6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(223)</w:t>
            </w:r>
          </w:p>
        </w:tc>
        <w:tc>
          <w:tcPr>
            <w:tcW w:w="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80" w:type="dxa"/>
            <w:vAlign w:val="bottom"/>
            <w:gridSpan w:val="3"/>
            <w:shd w:val="clear" w:color="auto" w:fill="E5FFFF"/>
          </w:tcPr>
          <w:p>
            <w:pPr>
              <w:jc w:val="right"/>
              <w:ind w:right="20"/>
              <w:spacing w:after="0"/>
              <w:rPr>
                <w:sz w:val="20"/>
                <w:szCs w:val="20"/>
                <w:color w:val="auto"/>
              </w:rPr>
            </w:pPr>
            <w:r>
              <w:rPr>
                <w:rFonts w:ascii="Arial" w:cs="Arial" w:eastAsia="Arial" w:hAnsi="Arial"/>
                <w:sz w:val="19"/>
                <w:szCs w:val="19"/>
                <w:color w:val="auto"/>
              </w:rPr>
              <w:t>(51)</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(250)</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0"/>
                <w:szCs w:val="20"/>
                <w:color w:val="auto"/>
              </w:rPr>
            </w:pPr>
            <w:r>
              <w:rPr>
                <w:rFonts w:ascii="Arial" w:cs="Arial" w:eastAsia="Arial" w:hAnsi="Arial"/>
                <w:sz w:val="19"/>
                <w:szCs w:val="19"/>
                <w:color w:val="auto"/>
              </w:rPr>
              <w:t>Foreign exchange translation adjustments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w:t>
            </w:r>
          </w:p>
        </w:tc>
        <w:tc>
          <w:tcPr>
            <w:tcW w:w="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w:t>
            </w:r>
          </w:p>
        </w:tc>
        <w:tc>
          <w:tcPr>
            <w:tcW w:w="0" w:type="dxa"/>
            <w:vAlign w:val="bottom"/>
          </w:tcPr>
          <w:p>
            <w:pPr>
              <w:spacing w:after="0"/>
              <w:rPr>
                <w:sz w:val="1"/>
                <w:szCs w:val="1"/>
                <w:color w:val="auto"/>
              </w:rPr>
            </w:pPr>
          </w:p>
        </w:tc>
      </w:tr>
      <w:tr>
        <w:trPr>
          <w:trHeight w:val="243"/>
        </w:trPr>
        <w:tc>
          <w:tcPr>
            <w:tcW w:w="52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recognized in other comprehensive (income) loss</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00" w:type="dxa"/>
            <w:vAlign w:val="bottom"/>
            <w:gridSpan w:val="2"/>
            <w:shd w:val="clear" w:color="auto" w:fill="E5FFFF"/>
          </w:tcPr>
          <w:p>
            <w:pPr>
              <w:spacing w:after="0"/>
              <w:rPr>
                <w:sz w:val="21"/>
                <w:szCs w:val="21"/>
                <w:color w:val="auto"/>
              </w:rPr>
            </w:pPr>
          </w:p>
        </w:tc>
        <w:tc>
          <w:tcPr>
            <w:tcW w:w="740" w:type="dxa"/>
            <w:vAlign w:val="bottom"/>
            <w:tcBorders>
              <w:bottom w:val="single" w:sz="8" w:color="auto"/>
            </w:tcBorders>
            <w:gridSpan w:val="3"/>
            <w:shd w:val="clear" w:color="auto" w:fill="E5FFFF"/>
          </w:tcPr>
          <w:p>
            <w:pPr>
              <w:jc w:val="right"/>
              <w:ind w:right="1"/>
              <w:spacing w:after="0"/>
              <w:rPr>
                <w:sz w:val="20"/>
                <w:szCs w:val="20"/>
                <w:color w:val="auto"/>
              </w:rPr>
            </w:pPr>
            <w:r>
              <w:rPr>
                <w:rFonts w:ascii="Arial" w:cs="Arial" w:eastAsia="Arial" w:hAnsi="Arial"/>
                <w:sz w:val="19"/>
                <w:szCs w:val="19"/>
                <w:color w:val="auto"/>
              </w:rPr>
              <w:t>$ 1,637</w:t>
            </w: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w w:val="99"/>
              </w:rPr>
              <w:t>$ (3,099)</w:t>
            </w:r>
          </w:p>
        </w:tc>
        <w:tc>
          <w:tcPr>
            <w:tcW w:w="28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46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124</w:t>
            </w:r>
          </w:p>
        </w:tc>
        <w:tc>
          <w:tcPr>
            <w:tcW w:w="6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9"/>
                <w:szCs w:val="19"/>
                <w:color w:val="auto"/>
              </w:rPr>
              <w:t>$  43</w:t>
            </w:r>
          </w:p>
        </w:tc>
        <w:tc>
          <w:tcPr>
            <w:tcW w:w="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50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(96)</w:t>
            </w:r>
          </w:p>
        </w:tc>
        <w:tc>
          <w:tcPr>
            <w:tcW w:w="2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0"/>
        </w:trPr>
        <w:tc>
          <w:tcPr>
            <w:tcW w:w="6080" w:type="dxa"/>
            <w:vAlign w:val="bottom"/>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6"/>
          </w:tcPr>
          <w:p>
            <w:pPr>
              <w:ind w:left="360"/>
              <w:spacing w:after="0" w:line="210" w:lineRule="exact"/>
              <w:rPr>
                <w:sz w:val="20"/>
                <w:szCs w:val="20"/>
                <w:color w:val="auto"/>
              </w:rPr>
            </w:pPr>
            <w:r>
              <w:rPr>
                <w:rFonts w:ascii="Arial" w:cs="Arial" w:eastAsia="Arial" w:hAnsi="Arial"/>
                <w:sz w:val="19"/>
                <w:szCs w:val="19"/>
                <w:color w:val="auto"/>
              </w:rPr>
              <w:t>Total recognized in net periodic benefit (income) cost and other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40"/>
              <w:spacing w:after="0" w:line="216" w:lineRule="exact"/>
              <w:rPr>
                <w:sz w:val="20"/>
                <w:szCs w:val="20"/>
                <w:color w:val="auto"/>
              </w:rPr>
            </w:pPr>
            <w:r>
              <w:rPr>
                <w:rFonts w:ascii="Arial" w:cs="Arial" w:eastAsia="Arial" w:hAnsi="Arial"/>
                <w:sz w:val="19"/>
                <w:szCs w:val="19"/>
                <w:color w:val="auto"/>
              </w:rPr>
              <w:t>comprehensive (income) loss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5"/>
          </w:tcPr>
          <w:p>
            <w:pPr>
              <w:jc w:val="right"/>
              <w:ind w:right="1"/>
              <w:spacing w:after="0" w:line="216" w:lineRule="exact"/>
              <w:rPr>
                <w:sz w:val="20"/>
                <w:szCs w:val="20"/>
                <w:color w:val="auto"/>
              </w:rPr>
            </w:pPr>
            <w:r>
              <w:rPr>
                <w:rFonts w:ascii="Arial" w:cs="Arial" w:eastAsia="Arial" w:hAnsi="Arial"/>
                <w:sz w:val="19"/>
                <w:szCs w:val="19"/>
                <w:color w:val="auto"/>
              </w:rPr>
              <w:t>$ 1,441</w:t>
            </w:r>
          </w:p>
        </w:tc>
        <w:tc>
          <w:tcPr>
            <w:tcW w:w="1100" w:type="dxa"/>
            <w:vAlign w:val="bottom"/>
            <w:gridSpan w:val="4"/>
          </w:tcPr>
          <w:p>
            <w:pPr>
              <w:jc w:val="right"/>
              <w:spacing w:after="0" w:line="216" w:lineRule="exact"/>
              <w:rPr>
                <w:sz w:val="20"/>
                <w:szCs w:val="20"/>
                <w:color w:val="auto"/>
              </w:rPr>
            </w:pPr>
            <w:r>
              <w:rPr>
                <w:rFonts w:ascii="Arial" w:cs="Arial" w:eastAsia="Arial" w:hAnsi="Arial"/>
                <w:sz w:val="19"/>
                <w:szCs w:val="19"/>
                <w:color w:val="auto"/>
              </w:rPr>
              <w:t>$ (3,203)</w:t>
            </w:r>
          </w:p>
        </w:tc>
        <w:tc>
          <w:tcPr>
            <w:tcW w:w="44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w:t>
            </w:r>
          </w:p>
        </w:tc>
        <w:tc>
          <w:tcPr>
            <w:tcW w:w="460" w:type="dxa"/>
            <w:vAlign w:val="bottom"/>
            <w:gridSpan w:val="2"/>
          </w:tcPr>
          <w:p>
            <w:pPr>
              <w:jc w:val="right"/>
              <w:ind w:right="80"/>
              <w:spacing w:after="0" w:line="216" w:lineRule="exact"/>
              <w:rPr>
                <w:sz w:val="20"/>
                <w:szCs w:val="20"/>
                <w:color w:val="auto"/>
              </w:rPr>
            </w:pPr>
            <w:r>
              <w:rPr>
                <w:rFonts w:ascii="Arial" w:cs="Arial" w:eastAsia="Arial" w:hAnsi="Arial"/>
                <w:sz w:val="19"/>
                <w:szCs w:val="19"/>
                <w:color w:val="auto"/>
              </w:rPr>
              <w:t>833</w:t>
            </w:r>
          </w:p>
        </w:tc>
        <w:tc>
          <w:tcPr>
            <w:tcW w:w="60" w:type="dxa"/>
            <w:vAlign w:val="bottom"/>
          </w:tcPr>
          <w:p>
            <w:pPr>
              <w:spacing w:after="0"/>
              <w:rPr>
                <w:sz w:val="18"/>
                <w:szCs w:val="18"/>
                <w:color w:val="auto"/>
              </w:rPr>
            </w:pPr>
          </w:p>
        </w:tc>
        <w:tc>
          <w:tcPr>
            <w:tcW w:w="860" w:type="dxa"/>
            <w:vAlign w:val="bottom"/>
            <w:gridSpan w:val="3"/>
          </w:tcPr>
          <w:p>
            <w:pPr>
              <w:jc w:val="right"/>
              <w:ind w:right="1"/>
              <w:spacing w:after="0" w:line="216" w:lineRule="exact"/>
              <w:rPr>
                <w:sz w:val="20"/>
                <w:szCs w:val="20"/>
                <w:color w:val="auto"/>
              </w:rPr>
            </w:pPr>
            <w:r>
              <w:rPr>
                <w:rFonts w:ascii="Arial" w:cs="Arial" w:eastAsia="Arial" w:hAnsi="Arial"/>
                <w:sz w:val="19"/>
                <w:szCs w:val="19"/>
                <w:color w:val="auto"/>
              </w:rPr>
              <w:t>$ 199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20"/>
              <w:spacing w:after="0" w:line="216" w:lineRule="exact"/>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(80)</w:t>
            </w:r>
          </w:p>
        </w:tc>
        <w:tc>
          <w:tcPr>
            <w:tcW w:w="240" w:type="dxa"/>
            <w:vAlign w:val="bottom"/>
          </w:tcPr>
          <w:p>
            <w:pPr>
              <w:spacing w:after="0"/>
              <w:rPr>
                <w:sz w:val="18"/>
                <w:szCs w:val="18"/>
                <w:color w:val="auto"/>
              </w:rPr>
            </w:pPr>
          </w:p>
        </w:tc>
        <w:tc>
          <w:tcPr>
            <w:tcW w:w="180" w:type="dxa"/>
            <w:vAlign w:val="bottom"/>
            <w:gridSpan w:val="2"/>
          </w:tcPr>
          <w:p>
            <w:pPr>
              <w:jc w:val="right"/>
              <w:spacing w:after="0" w:line="216" w:lineRule="exact"/>
              <w:rPr>
                <w:sz w:val="20"/>
                <w:szCs w:val="20"/>
                <w:color w:val="auto"/>
              </w:rPr>
            </w:pPr>
            <w:r>
              <w:rPr>
                <w:rFonts w:ascii="Arial" w:cs="Arial" w:eastAsia="Arial" w:hAnsi="Arial"/>
                <w:sz w:val="19"/>
                <w:szCs w:val="19"/>
                <w:color w:val="auto"/>
              </w:rPr>
              <w:t>$</w:t>
            </w:r>
          </w:p>
        </w:tc>
        <w:tc>
          <w:tcPr>
            <w:tcW w:w="480" w:type="dxa"/>
            <w:vAlign w:val="bottom"/>
          </w:tcPr>
          <w:p>
            <w:pPr>
              <w:jc w:val="right"/>
              <w:spacing w:after="0" w:line="216" w:lineRule="exact"/>
              <w:rPr>
                <w:sz w:val="20"/>
                <w:szCs w:val="20"/>
                <w:color w:val="auto"/>
              </w:rPr>
            </w:pPr>
            <w:r>
              <w:rPr>
                <w:rFonts w:ascii="Arial" w:cs="Arial" w:eastAsia="Arial" w:hAnsi="Arial"/>
                <w:sz w:val="19"/>
                <w:szCs w:val="19"/>
                <w:color w:val="auto"/>
              </w:rPr>
              <w:t>330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3" w:lineRule="auto"/>
        <w:rPr>
          <w:sz w:val="20"/>
          <w:szCs w:val="20"/>
          <w:color w:val="auto"/>
        </w:rPr>
      </w:pPr>
      <w:r>
        <w:rPr>
          <w:rFonts w:ascii="Arial" w:cs="Arial" w:eastAsia="Arial" w:hAnsi="Arial"/>
          <w:sz w:val="19"/>
          <w:szCs w:val="19"/>
          <w:color w:val="auto"/>
        </w:rPr>
        <w:t>The estimated prior service cost (credit) for pension benefits that will be amortized from accumulated other comprehensive (income) loss into net periodic benefit (income) cost in 2015 are expected to be $23 million and ($3) million for U.S. and non-U.S. pension plans, respectively.</w:t>
      </w:r>
    </w:p>
    <w:tbl>
      <w:tblPr>
        <w:tblLayout w:type="fixed"/>
        <w:tblInd w:w="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6"/>
          </w:tcPr>
          <w:p>
            <w:pPr>
              <w:jc w:val="center"/>
              <w:ind w:left="68"/>
              <w:spacing w:after="0" w:line="173" w:lineRule="exact"/>
              <w:rPr>
                <w:sz w:val="20"/>
                <w:szCs w:val="20"/>
                <w:color w:val="auto"/>
              </w:rPr>
            </w:pPr>
            <w:r>
              <w:rPr>
                <w:rFonts w:ascii="Arial" w:cs="Arial" w:eastAsia="Arial" w:hAnsi="Arial"/>
                <w:sz w:val="16"/>
                <w:szCs w:val="16"/>
                <w:b w:val="1"/>
                <w:bCs w:val="1"/>
                <w:color w:val="auto"/>
                <w:w w:val="99"/>
              </w:rPr>
              <w:t>Other Postretirement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6"/>
          </w:tcPr>
          <w:p>
            <w:pPr>
              <w:jc w:val="center"/>
              <w:ind w:left="68"/>
              <w:spacing w:after="0" w:line="176" w:lineRule="exact"/>
              <w:rPr>
                <w:sz w:val="20"/>
                <w:szCs w:val="20"/>
                <w:color w:val="auto"/>
              </w:rPr>
            </w:pPr>
            <w:r>
              <w:rPr>
                <w:rFonts w:ascii="Arial" w:cs="Arial" w:eastAsia="Arial" w:hAnsi="Arial"/>
                <w:sz w:val="16"/>
                <w:szCs w:val="16"/>
                <w:b w:val="1"/>
                <w:bCs w:val="1"/>
                <w:color w:val="auto"/>
                <w:w w:val="97"/>
              </w:rPr>
              <w:t>Benefits Years Ended</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8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Net Periodic Benefit Cost</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360" w:type="dxa"/>
            <w:vAlign w:val="bottom"/>
            <w:tcBorders>
              <w:bottom w:val="single" w:sz="8" w:color="auto"/>
            </w:tcBorders>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54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83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Service cost</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gridSpan w:val="2"/>
            <w:shd w:val="clear" w:color="auto" w:fill="E5FFFF"/>
          </w:tcPr>
          <w:p>
            <w:pPr>
              <w:jc w:val="right"/>
              <w:ind w:right="400"/>
              <w:spacing w:after="0"/>
              <w:rPr>
                <w:sz w:val="20"/>
                <w:szCs w:val="20"/>
                <w:color w:val="auto"/>
              </w:rPr>
            </w:pPr>
            <w:r>
              <w:rPr>
                <w:rFonts w:ascii="Arial" w:cs="Arial" w:eastAsia="Arial" w:hAnsi="Arial"/>
                <w:sz w:val="19"/>
                <w:szCs w:val="19"/>
                <w:color w:val="auto"/>
              </w:rPr>
              <w:t>—</w:t>
            </w:r>
          </w:p>
        </w:tc>
        <w:tc>
          <w:tcPr>
            <w:tcW w:w="260" w:type="dxa"/>
            <w:vAlign w:val="bottom"/>
            <w:shd w:val="clear" w:color="auto" w:fill="E5FFFF"/>
          </w:tcPr>
          <w:p>
            <w:pPr>
              <w:jc w:val="right"/>
              <w:ind w:right="48"/>
              <w:spacing w:after="0"/>
              <w:rPr>
                <w:sz w:val="20"/>
                <w:szCs w:val="20"/>
                <w:color w:val="auto"/>
              </w:rPr>
            </w:pPr>
            <w:r>
              <w:rPr>
                <w:rFonts w:ascii="Arial" w:cs="Arial" w:eastAsia="Arial" w:hAnsi="Arial"/>
                <w:sz w:val="19"/>
                <w:szCs w:val="19"/>
                <w:color w:val="auto"/>
                <w:w w:val="94"/>
              </w:rPr>
              <w:t>$</w:t>
            </w:r>
          </w:p>
        </w:tc>
        <w:tc>
          <w:tcPr>
            <w:tcW w:w="3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360" w:type="dxa"/>
            <w:vAlign w:val="bottom"/>
            <w:gridSpan w:val="2"/>
          </w:tcPr>
          <w:p>
            <w:pPr>
              <w:spacing w:after="0"/>
              <w:rPr>
                <w:sz w:val="20"/>
                <w:szCs w:val="20"/>
                <w:color w:val="auto"/>
              </w:rPr>
            </w:pPr>
            <w:r>
              <w:rPr>
                <w:rFonts w:ascii="Arial" w:cs="Arial" w:eastAsia="Arial" w:hAnsi="Arial"/>
                <w:sz w:val="19"/>
                <w:szCs w:val="19"/>
                <w:color w:val="auto"/>
              </w:rPr>
              <w:t>Interest cost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42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44</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w w:val="94"/>
              </w:rPr>
              <w:t>53</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3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Amortization of prior service (credit)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w:t>
            </w:r>
          </w:p>
        </w:tc>
        <w:tc>
          <w:tcPr>
            <w:tcW w:w="320" w:type="dxa"/>
            <w:vAlign w:val="bottom"/>
            <w:shd w:val="clear" w:color="auto" w:fill="E5FFFF"/>
          </w:tcPr>
          <w:p>
            <w:pPr>
              <w:spacing w:after="0"/>
              <w:rPr>
                <w:sz w:val="21"/>
                <w:szCs w:val="21"/>
                <w:color w:val="auto"/>
              </w:rPr>
            </w:pPr>
          </w:p>
        </w:tc>
        <w:tc>
          <w:tcPr>
            <w:tcW w:w="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360" w:type="dxa"/>
            <w:vAlign w:val="bottom"/>
            <w:gridSpan w:val="2"/>
          </w:tcPr>
          <w:p>
            <w:pPr>
              <w:spacing w:after="0"/>
              <w:rPr>
                <w:sz w:val="20"/>
                <w:szCs w:val="20"/>
                <w:color w:val="auto"/>
              </w:rPr>
            </w:pPr>
            <w:r>
              <w:rPr>
                <w:rFonts w:ascii="Arial" w:cs="Arial" w:eastAsia="Arial" w:hAnsi="Arial"/>
                <w:sz w:val="19"/>
                <w:szCs w:val="19"/>
                <w:color w:val="auto"/>
              </w:rPr>
              <w:t>Recognition of actuarial losses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24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27</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9"/>
                <w:szCs w:val="19"/>
                <w:color w:val="auto"/>
                <w:w w:val="94"/>
              </w:rPr>
              <w:t>34</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83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Settlements and curtailments(1)</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(42)</w:t>
            </w:r>
          </w:p>
        </w:tc>
        <w:tc>
          <w:tcPr>
            <w:tcW w:w="320" w:type="dxa"/>
            <w:vAlign w:val="bottom"/>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spacing w:after="0"/>
              <w:rPr>
                <w:sz w:val="21"/>
                <w:szCs w:val="21"/>
                <w:color w:val="auto"/>
              </w:rPr>
            </w:pPr>
          </w:p>
        </w:tc>
        <w:tc>
          <w:tcPr>
            <w:tcW w:w="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8360" w:type="dxa"/>
            <w:vAlign w:val="bottom"/>
            <w:gridSpan w:val="2"/>
          </w:tcPr>
          <w:p>
            <w:pPr>
              <w:spacing w:after="0"/>
              <w:rPr>
                <w:sz w:val="20"/>
                <w:szCs w:val="20"/>
                <w:color w:val="auto"/>
              </w:rPr>
            </w:pPr>
            <w:r>
              <w:rPr>
                <w:rFonts w:ascii="Arial" w:cs="Arial" w:eastAsia="Arial" w:hAnsi="Arial"/>
                <w:sz w:val="19"/>
                <w:szCs w:val="19"/>
                <w:color w:val="auto"/>
              </w:rPr>
              <w:t>Net periodic benefit cost</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46</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16</w:t>
            </w:r>
          </w:p>
        </w:tc>
        <w:tc>
          <w:tcPr>
            <w:tcW w:w="320" w:type="dxa"/>
            <w:vAlign w:val="bottom"/>
          </w:tcPr>
          <w:p>
            <w:pPr>
              <w:spacing w:after="0"/>
              <w:rPr>
                <w:sz w:val="21"/>
                <w:szCs w:val="21"/>
                <w:color w:val="auto"/>
              </w:rPr>
            </w:pPr>
          </w:p>
        </w:tc>
        <w:tc>
          <w:tcPr>
            <w:tcW w:w="260" w:type="dxa"/>
            <w:vAlign w:val="bottom"/>
          </w:tcPr>
          <w:p>
            <w:pPr>
              <w:jc w:val="right"/>
              <w:ind w:right="48"/>
              <w:spacing w:after="0"/>
              <w:rPr>
                <w:sz w:val="20"/>
                <w:szCs w:val="20"/>
                <w:color w:val="auto"/>
              </w:rPr>
            </w:pPr>
            <w:r>
              <w:rPr>
                <w:rFonts w:ascii="Arial" w:cs="Arial" w:eastAsia="Arial" w:hAnsi="Arial"/>
                <w:sz w:val="19"/>
                <w:szCs w:val="19"/>
                <w:color w:val="auto"/>
                <w:w w:val="94"/>
              </w:rPr>
              <w:t>$</w:t>
            </w:r>
          </w:p>
        </w:tc>
        <w:tc>
          <w:tcPr>
            <w:tcW w:w="300" w:type="dxa"/>
            <w:vAlign w:val="bottom"/>
          </w:tcPr>
          <w:p>
            <w:pPr>
              <w:jc w:val="right"/>
              <w:spacing w:after="0"/>
              <w:rPr>
                <w:sz w:val="20"/>
                <w:szCs w:val="20"/>
                <w:color w:val="auto"/>
              </w:rPr>
            </w:pPr>
            <w:r>
              <w:rPr>
                <w:rFonts w:ascii="Arial" w:cs="Arial" w:eastAsia="Arial" w:hAnsi="Arial"/>
                <w:sz w:val="19"/>
                <w:szCs w:val="19"/>
                <w:color w:val="auto"/>
                <w:w w:val="94"/>
              </w:rPr>
              <w:t>68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20" w:hanging="338"/>
        <w:spacing w:after="0" w:line="253" w:lineRule="auto"/>
        <w:tabs>
          <w:tab w:leader="none" w:pos="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Curtailment gain in 2013 related to elimination of retiree medical coverage for a union group in connection with a new collective bargaining agreement.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6"/>
                <w:szCs w:val="16"/>
                <w:b w:val="1"/>
                <w:bCs w:val="1"/>
                <w:color w:val="auto"/>
              </w:rPr>
              <w:t>Other Changes in Plan Assets and Benefits Obligations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8200" w:type="dxa"/>
            <w:vAlign w:val="bottom"/>
            <w:tcBorders>
              <w:bottom w:val="single" w:sz="8" w:color="auto"/>
            </w:tcBorders>
          </w:tcPr>
          <w:p>
            <w:pPr>
              <w:spacing w:after="0" w:line="169" w:lineRule="exact"/>
              <w:rPr>
                <w:sz w:val="20"/>
                <w:szCs w:val="20"/>
                <w:color w:val="auto"/>
              </w:rPr>
            </w:pPr>
            <w:r>
              <w:rPr>
                <w:rFonts w:ascii="Arial" w:cs="Arial" w:eastAsia="Arial" w:hAnsi="Arial"/>
                <w:sz w:val="16"/>
                <w:szCs w:val="16"/>
                <w:b w:val="1"/>
                <w:bCs w:val="1"/>
                <w:color w:val="auto"/>
              </w:rPr>
              <w:t>Recognized in Other Comprehensive (Income) Loss</w:t>
            </w:r>
          </w:p>
        </w:tc>
        <w:tc>
          <w:tcPr>
            <w:tcW w:w="30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right"/>
              <w:ind w:right="72"/>
              <w:spacing w:after="0" w:line="169" w:lineRule="exact"/>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Actuarial (gains) losses</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(108)</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34</w:t>
            </w:r>
          </w:p>
        </w:tc>
      </w:tr>
      <w:tr>
        <w:trPr>
          <w:trHeight w:val="243"/>
        </w:trPr>
        <w:tc>
          <w:tcPr>
            <w:tcW w:w="8200" w:type="dxa"/>
            <w:vAlign w:val="bottom"/>
          </w:tcPr>
          <w:p>
            <w:pPr>
              <w:spacing w:after="0"/>
              <w:rPr>
                <w:sz w:val="20"/>
                <w:szCs w:val="20"/>
                <w:color w:val="auto"/>
              </w:rPr>
            </w:pPr>
            <w:r>
              <w:rPr>
                <w:rFonts w:ascii="Arial" w:cs="Arial" w:eastAsia="Arial" w:hAnsi="Arial"/>
                <w:sz w:val="19"/>
                <w:szCs w:val="19"/>
                <w:color w:val="auto"/>
              </w:rPr>
              <w:t>Prior service (credit)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(87)</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(175)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Prior service credit recognized during year</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13</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14</w:t>
            </w:r>
          </w:p>
        </w:tc>
      </w:tr>
      <w:tr>
        <w:trPr>
          <w:trHeight w:val="243"/>
        </w:trPr>
        <w:tc>
          <w:tcPr>
            <w:tcW w:w="8200" w:type="dxa"/>
            <w:vAlign w:val="bottom"/>
          </w:tcPr>
          <w:p>
            <w:pPr>
              <w:spacing w:after="0"/>
              <w:rPr>
                <w:sz w:val="20"/>
                <w:szCs w:val="20"/>
                <w:color w:val="auto"/>
              </w:rPr>
            </w:pPr>
            <w:r>
              <w:rPr>
                <w:rFonts w:ascii="Arial" w:cs="Arial" w:eastAsia="Arial" w:hAnsi="Arial"/>
                <w:sz w:val="19"/>
                <w:szCs w:val="19"/>
                <w:color w:val="auto"/>
              </w:rPr>
              <w:t>Actuarial losses recognized during year</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9"/>
                <w:szCs w:val="19"/>
                <w:color w:val="auto"/>
              </w:rPr>
              <w:t>(24)</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43"/>
        </w:trPr>
        <w:tc>
          <w:tcPr>
            <w:tcW w:w="8200" w:type="dxa"/>
            <w:vAlign w:val="bottom"/>
            <w:shd w:val="clear" w:color="auto" w:fill="E5FFFF"/>
          </w:tcPr>
          <w:p>
            <w:pPr>
              <w:spacing w:after="0"/>
              <w:rPr>
                <w:sz w:val="20"/>
                <w:szCs w:val="20"/>
                <w:color w:val="auto"/>
              </w:rPr>
            </w:pPr>
            <w:r>
              <w:rPr>
                <w:rFonts w:ascii="Arial" w:cs="Arial" w:eastAsia="Arial" w:hAnsi="Arial"/>
                <w:sz w:val="19"/>
                <w:szCs w:val="19"/>
                <w:color w:val="auto"/>
              </w:rPr>
              <w:t>Settlements and curtailments</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42</w:t>
            </w:r>
          </w:p>
        </w:tc>
        <w:tc>
          <w:tcPr>
            <w:tcW w:w="3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4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6</w:t>
            </w:r>
          </w:p>
        </w:tc>
      </w:tr>
      <w:tr>
        <w:trPr>
          <w:trHeight w:val="250"/>
        </w:trPr>
        <w:tc>
          <w:tcPr>
            <w:tcW w:w="8200" w:type="dxa"/>
            <w:vAlign w:val="bottom"/>
          </w:tcPr>
          <w:p>
            <w:pPr>
              <w:ind w:left="360"/>
              <w:spacing w:after="0"/>
              <w:rPr>
                <w:sz w:val="20"/>
                <w:szCs w:val="20"/>
                <w:color w:val="auto"/>
              </w:rPr>
            </w:pPr>
            <w:r>
              <w:rPr>
                <w:rFonts w:ascii="Arial" w:cs="Arial" w:eastAsia="Arial" w:hAnsi="Arial"/>
                <w:sz w:val="19"/>
                <w:szCs w:val="19"/>
                <w:color w:val="auto"/>
              </w:rPr>
              <w:t>Total recognized in other comprehensive (income) loss</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380" w:type="dxa"/>
            <w:vAlign w:val="bottom"/>
          </w:tcPr>
          <w:p>
            <w:pPr>
              <w:jc w:val="right"/>
              <w:spacing w:after="0"/>
              <w:rPr>
                <w:sz w:val="20"/>
                <w:szCs w:val="20"/>
                <w:color w:val="auto"/>
              </w:rPr>
            </w:pPr>
            <w:r>
              <w:rPr>
                <w:rFonts w:ascii="Arial" w:cs="Arial" w:eastAsia="Arial" w:hAnsi="Arial"/>
                <w:sz w:val="19"/>
                <w:szCs w:val="19"/>
                <w:color w:val="auto"/>
              </w:rPr>
              <w:t>(45)</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 (255)</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20" w:type="dxa"/>
            <w:vAlign w:val="bottom"/>
          </w:tcPr>
          <w:p>
            <w:pPr>
              <w:jc w:val="right"/>
              <w:ind w:right="3"/>
              <w:spacing w:after="0"/>
              <w:rPr>
                <w:sz w:val="20"/>
                <w:szCs w:val="20"/>
                <w:color w:val="auto"/>
              </w:rPr>
            </w:pPr>
            <w:r>
              <w:rPr>
                <w:rFonts w:ascii="Arial" w:cs="Arial" w:eastAsia="Arial" w:hAnsi="Arial"/>
                <w:sz w:val="19"/>
                <w:szCs w:val="19"/>
                <w:color w:val="auto"/>
              </w:rPr>
              <w:t>19</w:t>
            </w:r>
          </w:p>
        </w:tc>
      </w:tr>
      <w:tr>
        <w:trPr>
          <w:trHeight w:val="20"/>
        </w:trPr>
        <w:tc>
          <w:tcPr>
            <w:tcW w:w="8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Total recognized in net periodic benefit cost and other comprehensive (income) loss</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(239)</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87</w:t>
            </w:r>
          </w:p>
        </w:tc>
      </w:tr>
      <w:tr>
        <w:trPr>
          <w:trHeight w:val="20"/>
        </w:trPr>
        <w:tc>
          <w:tcPr>
            <w:tcW w:w="8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The estimated net loss and prior service (credit) for other postretirement benefits that will be amortized from accumulated other comprehensive (income) loss into net periodic benefit cost in 2015 are both expected to be $30 million.</w:t>
      </w:r>
    </w:p>
    <w:p>
      <w:pPr>
        <w:spacing w:after="0" w:line="80"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Major actuarial assumptions used in determining the benefit obligations and net periodic benefit (income) cost for our significant benefit plans are presented in the following table as weighted averages.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Pension Benefits</w:t>
            </w: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7"/>
              </w:rPr>
              <w:t>U.S. Plans</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ind w:left="60"/>
              <w:spacing w:after="0" w:line="169" w:lineRule="exact"/>
              <w:rPr>
                <w:sz w:val="20"/>
                <w:szCs w:val="20"/>
                <w:color w:val="auto"/>
              </w:rPr>
            </w:pPr>
            <w:r>
              <w:rPr>
                <w:rFonts w:ascii="Arial" w:cs="Arial" w:eastAsia="Arial" w:hAnsi="Arial"/>
                <w:sz w:val="16"/>
                <w:szCs w:val="16"/>
                <w:b w:val="1"/>
                <w:bCs w:val="1"/>
                <w:color w:val="auto"/>
              </w:rPr>
              <w:t>Non-U.S. Plans</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69"/>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5"/>
              </w:rPr>
              <w:t>2014</w:t>
            </w:r>
          </w:p>
        </w:tc>
        <w:tc>
          <w:tcPr>
            <w:tcW w:w="940" w:type="dxa"/>
            <w:vAlign w:val="bottom"/>
            <w:gridSpan w:val="2"/>
          </w:tcPr>
          <w:p>
            <w:pPr>
              <w:jc w:val="center"/>
              <w:ind w:left="208"/>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64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5"/>
              </w:rPr>
              <w:t>2012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4"/>
                <w:szCs w:val="14"/>
                <w:color w:val="auto"/>
              </w:rPr>
            </w:pPr>
          </w:p>
        </w:tc>
        <w:tc>
          <w:tcPr>
            <w:tcW w:w="900" w:type="dxa"/>
            <w:vAlign w:val="bottom"/>
            <w:gridSpan w:val="3"/>
          </w:tcPr>
          <w:p>
            <w:pPr>
              <w:jc w:val="right"/>
              <w:ind w:right="21"/>
              <w:spacing w:after="0" w:line="169" w:lineRule="exact"/>
              <w:rPr>
                <w:sz w:val="20"/>
                <w:szCs w:val="20"/>
                <w:color w:val="auto"/>
              </w:rPr>
            </w:pPr>
            <w:r>
              <w:rPr>
                <w:rFonts w:ascii="Arial" w:cs="Arial" w:eastAsia="Arial" w:hAnsi="Arial"/>
                <w:sz w:val="16"/>
                <w:szCs w:val="16"/>
                <w:b w:val="1"/>
                <w:bCs w:val="1"/>
                <w:color w:val="auto"/>
              </w:rPr>
              <w:t>2013</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rPr>
              <w:t>2012</w:t>
            </w:r>
          </w:p>
        </w:tc>
        <w:tc>
          <w:tcPr>
            <w:tcW w:w="20" w:type="dxa"/>
            <w:vAlign w:val="bottom"/>
          </w:tcPr>
          <w:p>
            <w:pPr>
              <w:spacing w:after="0"/>
              <w:rPr>
                <w:sz w:val="14"/>
                <w:szCs w:val="14"/>
                <w:color w:val="auto"/>
              </w:rPr>
            </w:pPr>
          </w:p>
        </w:tc>
      </w:tr>
      <w:tr>
        <w:trPr>
          <w:trHeight w:val="210"/>
        </w:trPr>
        <w:tc>
          <w:tcPr>
            <w:tcW w:w="6120" w:type="dxa"/>
            <w:vAlign w:val="bottom"/>
            <w:gridSpan w:val="2"/>
            <w:shd w:val="clear" w:color="auto" w:fill="E5FFFF"/>
          </w:tcPr>
          <w:p>
            <w:pPr>
              <w:spacing w:after="0" w:line="210" w:lineRule="exact"/>
              <w:rPr>
                <w:sz w:val="20"/>
                <w:szCs w:val="20"/>
                <w:color w:val="auto"/>
              </w:rPr>
            </w:pPr>
            <w:r>
              <w:rPr>
                <w:rFonts w:ascii="Arial" w:cs="Arial" w:eastAsia="Arial" w:hAnsi="Arial"/>
                <w:sz w:val="19"/>
                <w:szCs w:val="19"/>
                <w:color w:val="auto"/>
              </w:rPr>
              <w:t>Actuarial assumptions used to determine benefit obligations as of</w:t>
            </w:r>
          </w:p>
        </w:tc>
        <w:tc>
          <w:tcPr>
            <w:tcW w:w="62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r>
      <w:tr>
        <w:trPr>
          <w:trHeight w:val="216"/>
        </w:trPr>
        <w:tc>
          <w:tcPr>
            <w:tcW w:w="6120" w:type="dxa"/>
            <w:vAlign w:val="bottom"/>
            <w:gridSpan w:val="2"/>
            <w:shd w:val="clear" w:color="auto" w:fill="E5FFFF"/>
          </w:tcPr>
          <w:p>
            <w:pPr>
              <w:ind w:left="180"/>
              <w:spacing w:after="0" w:line="216" w:lineRule="exact"/>
              <w:rPr>
                <w:sz w:val="20"/>
                <w:szCs w:val="20"/>
                <w:color w:val="auto"/>
              </w:rPr>
            </w:pPr>
            <w:r>
              <w:rPr>
                <w:rFonts w:ascii="Arial" w:cs="Arial" w:eastAsia="Arial" w:hAnsi="Arial"/>
                <w:sz w:val="19"/>
                <w:szCs w:val="19"/>
                <w:color w:val="auto"/>
              </w:rPr>
              <w:t>December 31:</w:t>
            </w:r>
          </w:p>
        </w:tc>
        <w:tc>
          <w:tcPr>
            <w:tcW w:w="6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r>
      <w:tr>
        <w:trPr>
          <w:trHeight w:val="243"/>
        </w:trPr>
        <w:tc>
          <w:tcPr>
            <w:tcW w:w="6120" w:type="dxa"/>
            <w:vAlign w:val="bottom"/>
            <w:gridSpan w:val="2"/>
          </w:tcPr>
          <w:p>
            <w:pPr>
              <w:ind w:left="360"/>
              <w:spacing w:after="0"/>
              <w:rPr>
                <w:sz w:val="20"/>
                <w:szCs w:val="20"/>
                <w:color w:val="auto"/>
              </w:rPr>
            </w:pPr>
            <w:r>
              <w:rPr>
                <w:rFonts w:ascii="Arial" w:cs="Arial" w:eastAsia="Arial" w:hAnsi="Arial"/>
                <w:sz w:val="19"/>
                <w:szCs w:val="19"/>
                <w:color w:val="auto"/>
              </w:rPr>
              <w:t>Discount rate</w:t>
            </w:r>
          </w:p>
        </w:tc>
        <w:tc>
          <w:tcPr>
            <w:tcW w:w="620" w:type="dxa"/>
            <w:vAlign w:val="bottom"/>
          </w:tcPr>
          <w:p>
            <w:pPr>
              <w:jc w:val="center"/>
              <w:spacing w:after="0"/>
              <w:rPr>
                <w:sz w:val="20"/>
                <w:szCs w:val="20"/>
                <w:color w:val="auto"/>
              </w:rPr>
            </w:pPr>
            <w:r>
              <w:rPr>
                <w:rFonts w:ascii="Arial" w:cs="Arial" w:eastAsia="Arial" w:hAnsi="Arial"/>
                <w:sz w:val="19"/>
                <w:szCs w:val="19"/>
                <w:color w:val="auto"/>
              </w:rPr>
              <w:t>4.08%</w:t>
            </w:r>
          </w:p>
        </w:tc>
        <w:tc>
          <w:tcPr>
            <w:tcW w:w="940" w:type="dxa"/>
            <w:vAlign w:val="bottom"/>
            <w:gridSpan w:val="2"/>
          </w:tcPr>
          <w:p>
            <w:pPr>
              <w:jc w:val="center"/>
              <w:ind w:left="268"/>
              <w:spacing w:after="0"/>
              <w:rPr>
                <w:sz w:val="20"/>
                <w:szCs w:val="20"/>
                <w:color w:val="auto"/>
              </w:rPr>
            </w:pPr>
            <w:r>
              <w:rPr>
                <w:rFonts w:ascii="Arial" w:cs="Arial" w:eastAsia="Arial" w:hAnsi="Arial"/>
                <w:sz w:val="19"/>
                <w:szCs w:val="19"/>
                <w:color w:val="auto"/>
              </w:rPr>
              <w:t>4.89%</w:t>
            </w:r>
          </w:p>
        </w:tc>
        <w:tc>
          <w:tcPr>
            <w:tcW w:w="3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9"/>
                <w:szCs w:val="19"/>
                <w:color w:val="auto"/>
              </w:rPr>
              <w:t>4.06%</w:t>
            </w:r>
          </w:p>
        </w:tc>
        <w:tc>
          <w:tcPr>
            <w:tcW w:w="920" w:type="dxa"/>
            <w:vAlign w:val="bottom"/>
            <w:gridSpan w:val="4"/>
          </w:tcPr>
          <w:p>
            <w:pPr>
              <w:ind w:left="360"/>
              <w:spacing w:after="0"/>
              <w:rPr>
                <w:sz w:val="20"/>
                <w:szCs w:val="20"/>
                <w:color w:val="auto"/>
              </w:rPr>
            </w:pPr>
            <w:r>
              <w:rPr>
                <w:rFonts w:ascii="Arial" w:cs="Arial" w:eastAsia="Arial" w:hAnsi="Arial"/>
                <w:sz w:val="19"/>
                <w:szCs w:val="19"/>
                <w:color w:val="auto"/>
              </w:rPr>
              <w:t>3.26%</w:t>
            </w:r>
          </w:p>
        </w:tc>
        <w:tc>
          <w:tcPr>
            <w:tcW w:w="940" w:type="dxa"/>
            <w:vAlign w:val="bottom"/>
            <w:gridSpan w:val="4"/>
          </w:tcPr>
          <w:p>
            <w:pPr>
              <w:jc w:val="right"/>
              <w:ind w:right="20"/>
              <w:spacing w:after="0"/>
              <w:rPr>
                <w:sz w:val="20"/>
                <w:szCs w:val="20"/>
                <w:color w:val="auto"/>
              </w:rPr>
            </w:pPr>
            <w:r>
              <w:rPr>
                <w:rFonts w:ascii="Arial" w:cs="Arial" w:eastAsia="Arial" w:hAnsi="Arial"/>
                <w:sz w:val="19"/>
                <w:szCs w:val="19"/>
                <w:color w:val="auto"/>
              </w:rPr>
              <w:t>4.29%</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4.29%</w:t>
            </w:r>
          </w:p>
        </w:tc>
        <w:tc>
          <w:tcPr>
            <w:tcW w:w="20" w:type="dxa"/>
            <w:vAlign w:val="bottom"/>
          </w:tcPr>
          <w:p>
            <w:pPr>
              <w:spacing w:after="0"/>
              <w:rPr>
                <w:sz w:val="21"/>
                <w:szCs w:val="21"/>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Expected annual rate of compensation increase</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4.50%</w:t>
            </w:r>
          </w:p>
        </w:tc>
        <w:tc>
          <w:tcPr>
            <w:tcW w:w="940" w:type="dxa"/>
            <w:vAlign w:val="bottom"/>
            <w:gridSpan w:val="2"/>
            <w:shd w:val="clear" w:color="auto" w:fill="E5FFFF"/>
          </w:tcPr>
          <w:p>
            <w:pPr>
              <w:jc w:val="center"/>
              <w:ind w:left="268"/>
              <w:spacing w:after="0"/>
              <w:rPr>
                <w:sz w:val="20"/>
                <w:szCs w:val="20"/>
                <w:color w:val="auto"/>
              </w:rPr>
            </w:pPr>
            <w:r>
              <w:rPr>
                <w:rFonts w:ascii="Arial" w:cs="Arial" w:eastAsia="Arial" w:hAnsi="Arial"/>
                <w:sz w:val="19"/>
                <w:szCs w:val="19"/>
                <w:color w:val="auto"/>
              </w:rPr>
              <w:t>4.50%</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4.50%</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2.53%</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2.81%</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3.55%</w:t>
            </w:r>
          </w:p>
        </w:tc>
        <w:tc>
          <w:tcPr>
            <w:tcW w:w="20" w:type="dxa"/>
            <w:vAlign w:val="bottom"/>
            <w:shd w:val="clear" w:color="auto" w:fill="E5FFFF"/>
          </w:tcPr>
          <w:p>
            <w:pPr>
              <w:spacing w:after="0"/>
              <w:rPr>
                <w:sz w:val="21"/>
                <w:szCs w:val="21"/>
                <w:color w:val="auto"/>
              </w:rPr>
            </w:pPr>
          </w:p>
        </w:tc>
      </w:tr>
      <w:tr>
        <w:trPr>
          <w:trHeight w:val="216"/>
        </w:trPr>
        <w:tc>
          <w:tcPr>
            <w:tcW w:w="6120" w:type="dxa"/>
            <w:vAlign w:val="bottom"/>
            <w:gridSpan w:val="2"/>
          </w:tcPr>
          <w:p>
            <w:pPr>
              <w:spacing w:after="0" w:line="216" w:lineRule="exact"/>
              <w:rPr>
                <w:sz w:val="20"/>
                <w:szCs w:val="20"/>
                <w:color w:val="auto"/>
              </w:rPr>
            </w:pPr>
            <w:r>
              <w:rPr>
                <w:rFonts w:ascii="Arial" w:cs="Arial" w:eastAsia="Arial" w:hAnsi="Arial"/>
                <w:sz w:val="19"/>
                <w:szCs w:val="19"/>
                <w:color w:val="auto"/>
              </w:rPr>
              <w:t>Actuarial assumptions used to determine net periodic benefit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2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(income) cost for years ended December 31:</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Discount rate</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4.89%</w:t>
            </w:r>
          </w:p>
        </w:tc>
        <w:tc>
          <w:tcPr>
            <w:tcW w:w="940" w:type="dxa"/>
            <w:vAlign w:val="bottom"/>
            <w:gridSpan w:val="2"/>
            <w:shd w:val="clear" w:color="auto" w:fill="E5FFFF"/>
          </w:tcPr>
          <w:p>
            <w:pPr>
              <w:jc w:val="center"/>
              <w:ind w:left="268"/>
              <w:spacing w:after="0"/>
              <w:rPr>
                <w:sz w:val="20"/>
                <w:szCs w:val="20"/>
                <w:color w:val="auto"/>
              </w:rPr>
            </w:pPr>
            <w:r>
              <w:rPr>
                <w:rFonts w:ascii="Arial" w:cs="Arial" w:eastAsia="Arial" w:hAnsi="Arial"/>
                <w:sz w:val="19"/>
                <w:szCs w:val="19"/>
                <w:color w:val="auto"/>
              </w:rPr>
              <w:t>4.06%</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4.89%</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4.29%</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4.29%</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4.84%</w:t>
            </w:r>
          </w:p>
        </w:tc>
        <w:tc>
          <w:tcPr>
            <w:tcW w:w="20" w:type="dxa"/>
            <w:vAlign w:val="bottom"/>
            <w:shd w:val="clear" w:color="auto" w:fill="E5FFFF"/>
          </w:tcPr>
          <w:p>
            <w:pPr>
              <w:spacing w:after="0"/>
              <w:rPr>
                <w:sz w:val="21"/>
                <w:szCs w:val="21"/>
                <w:color w:val="auto"/>
              </w:rPr>
            </w:pPr>
          </w:p>
        </w:tc>
      </w:tr>
      <w:tr>
        <w:trPr>
          <w:trHeight w:val="243"/>
        </w:trPr>
        <w:tc>
          <w:tcPr>
            <w:tcW w:w="6120" w:type="dxa"/>
            <w:vAlign w:val="bottom"/>
            <w:gridSpan w:val="2"/>
          </w:tcPr>
          <w:p>
            <w:pPr>
              <w:ind w:left="360"/>
              <w:spacing w:after="0"/>
              <w:rPr>
                <w:sz w:val="20"/>
                <w:szCs w:val="20"/>
                <w:color w:val="auto"/>
              </w:rPr>
            </w:pPr>
            <w:r>
              <w:rPr>
                <w:rFonts w:ascii="Arial" w:cs="Arial" w:eastAsia="Arial" w:hAnsi="Arial"/>
                <w:sz w:val="19"/>
                <w:szCs w:val="19"/>
                <w:color w:val="auto"/>
              </w:rPr>
              <w:t>Expected rate of return on plan assets</w:t>
            </w:r>
          </w:p>
        </w:tc>
        <w:tc>
          <w:tcPr>
            <w:tcW w:w="620" w:type="dxa"/>
            <w:vAlign w:val="bottom"/>
          </w:tcPr>
          <w:p>
            <w:pPr>
              <w:jc w:val="center"/>
              <w:spacing w:after="0"/>
              <w:rPr>
                <w:sz w:val="20"/>
                <w:szCs w:val="20"/>
                <w:color w:val="auto"/>
              </w:rPr>
            </w:pPr>
            <w:r>
              <w:rPr>
                <w:rFonts w:ascii="Arial" w:cs="Arial" w:eastAsia="Arial" w:hAnsi="Arial"/>
                <w:sz w:val="19"/>
                <w:szCs w:val="19"/>
                <w:color w:val="auto"/>
              </w:rPr>
              <w:t>7.75%</w:t>
            </w:r>
          </w:p>
        </w:tc>
        <w:tc>
          <w:tcPr>
            <w:tcW w:w="940" w:type="dxa"/>
            <w:vAlign w:val="bottom"/>
            <w:gridSpan w:val="2"/>
          </w:tcPr>
          <w:p>
            <w:pPr>
              <w:jc w:val="center"/>
              <w:ind w:left="268"/>
              <w:spacing w:after="0"/>
              <w:rPr>
                <w:sz w:val="20"/>
                <w:szCs w:val="20"/>
                <w:color w:val="auto"/>
              </w:rPr>
            </w:pPr>
            <w:r>
              <w:rPr>
                <w:rFonts w:ascii="Arial" w:cs="Arial" w:eastAsia="Arial" w:hAnsi="Arial"/>
                <w:sz w:val="19"/>
                <w:szCs w:val="19"/>
                <w:color w:val="auto"/>
              </w:rPr>
              <w:t>7.75%</w:t>
            </w:r>
          </w:p>
        </w:tc>
        <w:tc>
          <w:tcPr>
            <w:tcW w:w="30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9"/>
                <w:szCs w:val="19"/>
                <w:color w:val="auto"/>
              </w:rPr>
              <w:t>8.00%</w:t>
            </w:r>
          </w:p>
        </w:tc>
        <w:tc>
          <w:tcPr>
            <w:tcW w:w="920" w:type="dxa"/>
            <w:vAlign w:val="bottom"/>
            <w:gridSpan w:val="4"/>
          </w:tcPr>
          <w:p>
            <w:pPr>
              <w:ind w:left="360"/>
              <w:spacing w:after="0"/>
              <w:rPr>
                <w:sz w:val="20"/>
                <w:szCs w:val="20"/>
                <w:color w:val="auto"/>
              </w:rPr>
            </w:pPr>
            <w:r>
              <w:rPr>
                <w:rFonts w:ascii="Arial" w:cs="Arial" w:eastAsia="Arial" w:hAnsi="Arial"/>
                <w:sz w:val="19"/>
                <w:szCs w:val="19"/>
                <w:color w:val="auto"/>
              </w:rPr>
              <w:t>6.96%</w:t>
            </w:r>
          </w:p>
        </w:tc>
        <w:tc>
          <w:tcPr>
            <w:tcW w:w="940" w:type="dxa"/>
            <w:vAlign w:val="bottom"/>
            <w:gridSpan w:val="4"/>
          </w:tcPr>
          <w:p>
            <w:pPr>
              <w:jc w:val="right"/>
              <w:ind w:right="20"/>
              <w:spacing w:after="0"/>
              <w:rPr>
                <w:sz w:val="20"/>
                <w:szCs w:val="20"/>
                <w:color w:val="auto"/>
              </w:rPr>
            </w:pPr>
            <w:r>
              <w:rPr>
                <w:rFonts w:ascii="Arial" w:cs="Arial" w:eastAsia="Arial" w:hAnsi="Arial"/>
                <w:sz w:val="19"/>
                <w:szCs w:val="19"/>
                <w:color w:val="auto"/>
              </w:rPr>
              <w:t>6.99%</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7.03%</w:t>
            </w:r>
          </w:p>
        </w:tc>
        <w:tc>
          <w:tcPr>
            <w:tcW w:w="20" w:type="dxa"/>
            <w:vAlign w:val="bottom"/>
          </w:tcPr>
          <w:p>
            <w:pPr>
              <w:spacing w:after="0"/>
              <w:rPr>
                <w:sz w:val="21"/>
                <w:szCs w:val="21"/>
                <w:color w:val="auto"/>
              </w:rPr>
            </w:pPr>
          </w:p>
        </w:tc>
      </w:tr>
      <w:tr>
        <w:trPr>
          <w:trHeight w:val="243"/>
        </w:trPr>
        <w:tc>
          <w:tcPr>
            <w:tcW w:w="612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Expected annual rate of compensation increase</w:t>
            </w: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4.50%</w:t>
            </w:r>
          </w:p>
        </w:tc>
        <w:tc>
          <w:tcPr>
            <w:tcW w:w="940" w:type="dxa"/>
            <w:vAlign w:val="bottom"/>
            <w:gridSpan w:val="2"/>
            <w:shd w:val="clear" w:color="auto" w:fill="E5FFFF"/>
          </w:tcPr>
          <w:p>
            <w:pPr>
              <w:jc w:val="center"/>
              <w:ind w:left="268"/>
              <w:spacing w:after="0"/>
              <w:rPr>
                <w:sz w:val="20"/>
                <w:szCs w:val="20"/>
                <w:color w:val="auto"/>
              </w:rPr>
            </w:pPr>
            <w:r>
              <w:rPr>
                <w:rFonts w:ascii="Arial" w:cs="Arial" w:eastAsia="Arial" w:hAnsi="Arial"/>
                <w:sz w:val="19"/>
                <w:szCs w:val="19"/>
                <w:color w:val="auto"/>
              </w:rPr>
              <w:t>4.50%</w:t>
            </w:r>
          </w:p>
        </w:tc>
        <w:tc>
          <w:tcPr>
            <w:tcW w:w="300" w:type="dxa"/>
            <w:vAlign w:val="bottom"/>
            <w:shd w:val="clear" w:color="auto" w:fill="E5FFFF"/>
          </w:tcPr>
          <w:p>
            <w:pPr>
              <w:spacing w:after="0"/>
              <w:rPr>
                <w:sz w:val="21"/>
                <w:szCs w:val="21"/>
                <w:color w:val="auto"/>
              </w:rPr>
            </w:pPr>
          </w:p>
        </w:tc>
        <w:tc>
          <w:tcPr>
            <w:tcW w:w="64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4.50%</w:t>
            </w:r>
          </w:p>
        </w:tc>
        <w:tc>
          <w:tcPr>
            <w:tcW w:w="92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2.81%</w:t>
            </w:r>
          </w:p>
        </w:tc>
        <w:tc>
          <w:tcPr>
            <w:tcW w:w="940" w:type="dxa"/>
            <w:vAlign w:val="bottom"/>
            <w:gridSpan w:val="4"/>
            <w:shd w:val="clear" w:color="auto" w:fill="E5FFFF"/>
          </w:tcPr>
          <w:p>
            <w:pPr>
              <w:jc w:val="right"/>
              <w:ind w:right="20"/>
              <w:spacing w:after="0"/>
              <w:rPr>
                <w:sz w:val="20"/>
                <w:szCs w:val="20"/>
                <w:color w:val="auto"/>
              </w:rPr>
            </w:pPr>
            <w:r>
              <w:rPr>
                <w:rFonts w:ascii="Arial" w:cs="Arial" w:eastAsia="Arial" w:hAnsi="Arial"/>
                <w:sz w:val="19"/>
                <w:szCs w:val="19"/>
                <w:color w:val="auto"/>
              </w:rPr>
              <w:t>3.55%</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2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3.67%</w:t>
            </w:r>
          </w:p>
        </w:tc>
        <w:tc>
          <w:tcPr>
            <w:tcW w:w="20" w:type="dxa"/>
            <w:vAlign w:val="bottom"/>
            <w:shd w:val="clear" w:color="auto" w:fill="E5FFFF"/>
          </w:tcPr>
          <w:p>
            <w:pPr>
              <w:spacing w:after="0"/>
              <w:rPr>
                <w:sz w:val="21"/>
                <w:szCs w:val="21"/>
                <w:color w:val="auto"/>
              </w:rPr>
            </w:pPr>
          </w:p>
        </w:tc>
      </w:tr>
      <w:tr>
        <w:trPr>
          <w:trHeight w:val="431"/>
        </w:trPr>
        <w:tc>
          <w:tcPr>
            <w:tcW w:w="5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50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6"/>
          </w:tcPr>
          <w:p>
            <w:pPr>
              <w:jc w:val="center"/>
              <w:ind w:right="80"/>
              <w:spacing w:after="0" w:line="176" w:lineRule="exact"/>
              <w:rPr>
                <w:sz w:val="20"/>
                <w:szCs w:val="20"/>
                <w:color w:val="auto"/>
              </w:rPr>
            </w:pPr>
            <w:r>
              <w:rPr>
                <w:rFonts w:ascii="Arial" w:cs="Arial" w:eastAsia="Arial" w:hAnsi="Arial"/>
                <w:sz w:val="16"/>
                <w:szCs w:val="16"/>
                <w:b w:val="1"/>
                <w:bCs w:val="1"/>
                <w:color w:val="auto"/>
                <w:w w:val="99"/>
              </w:rPr>
              <w:t>Postretirement</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50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8"/>
              </w:rPr>
              <w:t>Benefits</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160"/>
              <w:spacing w:after="0" w:line="169" w:lineRule="exact"/>
              <w:rPr>
                <w:sz w:val="20"/>
                <w:szCs w:val="20"/>
                <w:color w:val="auto"/>
              </w:rPr>
            </w:pPr>
            <w:r>
              <w:rPr>
                <w:rFonts w:ascii="Arial" w:cs="Arial" w:eastAsia="Arial" w:hAnsi="Arial"/>
                <w:sz w:val="16"/>
                <w:szCs w:val="16"/>
                <w:b w:val="1"/>
                <w:bCs w:val="1"/>
                <w:color w:val="auto"/>
              </w:rPr>
              <w:t>2014</w:t>
            </w:r>
          </w:p>
        </w:tc>
        <w:tc>
          <w:tcPr>
            <w:tcW w:w="60" w:type="dxa"/>
            <w:vAlign w:val="bottom"/>
          </w:tcPr>
          <w:p>
            <w:pPr>
              <w:spacing w:after="0"/>
              <w:rPr>
                <w:sz w:val="14"/>
                <w:szCs w:val="14"/>
                <w:color w:val="auto"/>
              </w:rPr>
            </w:pPr>
          </w:p>
        </w:tc>
        <w:tc>
          <w:tcPr>
            <w:tcW w:w="900" w:type="dxa"/>
            <w:vAlign w:val="bottom"/>
            <w:gridSpan w:val="3"/>
          </w:tcPr>
          <w:p>
            <w:pPr>
              <w:jc w:val="right"/>
              <w:ind w:right="81"/>
              <w:spacing w:after="0" w:line="169" w:lineRule="exact"/>
              <w:rPr>
                <w:sz w:val="20"/>
                <w:szCs w:val="20"/>
                <w:color w:val="auto"/>
              </w:rPr>
            </w:pPr>
            <w:r>
              <w:rPr>
                <w:rFonts w:ascii="Arial" w:cs="Arial" w:eastAsia="Arial" w:hAnsi="Arial"/>
                <w:sz w:val="16"/>
                <w:szCs w:val="16"/>
                <w:b w:val="1"/>
                <w:bCs w:val="1"/>
                <w:color w:val="auto"/>
              </w:rPr>
              <w:t>2013</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jc w:val="center"/>
              <w:spacing w:after="0" w:line="169" w:lineRule="exact"/>
              <w:rPr>
                <w:sz w:val="20"/>
                <w:szCs w:val="20"/>
                <w:color w:val="auto"/>
              </w:rPr>
            </w:pPr>
            <w:r>
              <w:rPr>
                <w:rFonts w:ascii="Arial" w:cs="Arial" w:eastAsia="Arial" w:hAnsi="Arial"/>
                <w:sz w:val="16"/>
                <w:szCs w:val="16"/>
                <w:b w:val="1"/>
                <w:bCs w:val="1"/>
                <w:color w:val="auto"/>
                <w:w w:val="95"/>
              </w:rPr>
              <w:t>2012</w:t>
            </w:r>
          </w:p>
        </w:tc>
        <w:tc>
          <w:tcPr>
            <w:tcW w:w="20" w:type="dxa"/>
            <w:vAlign w:val="bottom"/>
          </w:tcPr>
          <w:p>
            <w:pPr>
              <w:spacing w:after="0"/>
              <w:rPr>
                <w:sz w:val="14"/>
                <w:szCs w:val="14"/>
                <w:color w:val="auto"/>
              </w:rPr>
            </w:pPr>
          </w:p>
        </w:tc>
      </w:tr>
      <w:tr>
        <w:trPr>
          <w:trHeight w:val="210"/>
        </w:trPr>
        <w:tc>
          <w:tcPr>
            <w:tcW w:w="500" w:type="dxa"/>
            <w:vAlign w:val="bottom"/>
          </w:tcPr>
          <w:p>
            <w:pPr>
              <w:spacing w:after="0"/>
              <w:rPr>
                <w:sz w:val="18"/>
                <w:szCs w:val="18"/>
                <w:color w:val="auto"/>
              </w:rPr>
            </w:pPr>
          </w:p>
        </w:tc>
        <w:tc>
          <w:tcPr>
            <w:tcW w:w="7480" w:type="dxa"/>
            <w:vAlign w:val="bottom"/>
            <w:gridSpan w:val="5"/>
            <w:shd w:val="clear" w:color="auto" w:fill="E5FFFF"/>
          </w:tcPr>
          <w:p>
            <w:pPr>
              <w:spacing w:after="0" w:line="210" w:lineRule="exact"/>
              <w:rPr>
                <w:sz w:val="20"/>
                <w:szCs w:val="20"/>
                <w:color w:val="auto"/>
              </w:rPr>
            </w:pPr>
            <w:r>
              <w:rPr>
                <w:rFonts w:ascii="Arial" w:cs="Arial" w:eastAsia="Arial" w:hAnsi="Arial"/>
                <w:sz w:val="19"/>
                <w:szCs w:val="19"/>
                <w:color w:val="auto"/>
              </w:rPr>
              <w:t>Actuarial assumptions used to determine benefit obligations as of December 31:</w:t>
            </w:r>
          </w:p>
        </w:tc>
        <w:tc>
          <w:tcPr>
            <w:tcW w:w="6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600" w:type="dxa"/>
            <w:vAlign w:val="bottom"/>
            <w:tcBorders>
              <w:top w:val="single" w:sz="8" w:color="auto"/>
            </w:tcBorders>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500" w:type="dxa"/>
            <w:vAlign w:val="bottom"/>
          </w:tcPr>
          <w:p>
            <w:pPr>
              <w:spacing w:after="0"/>
              <w:rPr>
                <w:sz w:val="21"/>
                <w:szCs w:val="21"/>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Discount rate</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jc w:val="center"/>
              <w:ind w:left="203"/>
              <w:spacing w:after="0"/>
              <w:rPr>
                <w:sz w:val="20"/>
                <w:szCs w:val="20"/>
                <w:color w:val="auto"/>
              </w:rPr>
            </w:pPr>
            <w:r>
              <w:rPr>
                <w:rFonts w:ascii="Arial" w:cs="Arial" w:eastAsia="Arial" w:hAnsi="Arial"/>
                <w:sz w:val="19"/>
                <w:szCs w:val="19"/>
                <w:color w:val="auto"/>
              </w:rPr>
              <w:t>3.45%</w:t>
            </w:r>
          </w:p>
        </w:tc>
        <w:tc>
          <w:tcPr>
            <w:tcW w:w="60" w:type="dxa"/>
            <w:vAlign w:val="bottom"/>
          </w:tcPr>
          <w:p>
            <w:pPr>
              <w:spacing w:after="0"/>
              <w:rPr>
                <w:sz w:val="21"/>
                <w:szCs w:val="21"/>
                <w:color w:val="auto"/>
              </w:rPr>
            </w:pPr>
          </w:p>
        </w:tc>
        <w:tc>
          <w:tcPr>
            <w:tcW w:w="900" w:type="dxa"/>
            <w:vAlign w:val="bottom"/>
            <w:gridSpan w:val="3"/>
          </w:tcPr>
          <w:p>
            <w:pPr>
              <w:jc w:val="center"/>
              <w:ind w:left="210"/>
              <w:spacing w:after="0"/>
              <w:rPr>
                <w:sz w:val="20"/>
                <w:szCs w:val="20"/>
                <w:color w:val="auto"/>
              </w:rPr>
            </w:pPr>
            <w:r>
              <w:rPr>
                <w:rFonts w:ascii="Arial" w:cs="Arial" w:eastAsia="Arial" w:hAnsi="Arial"/>
                <w:sz w:val="19"/>
                <w:szCs w:val="19"/>
                <w:color w:val="auto"/>
              </w:rPr>
              <w:t>4.05%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3.40%</w:t>
            </w:r>
          </w:p>
        </w:tc>
        <w:tc>
          <w:tcPr>
            <w:tcW w:w="2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8120" w:type="dxa"/>
            <w:vAlign w:val="bottom"/>
            <w:gridSpan w:val="6"/>
            <w:shd w:val="clear" w:color="auto" w:fill="E5FFFF"/>
          </w:tcPr>
          <w:p>
            <w:pPr>
              <w:spacing w:after="0" w:line="216" w:lineRule="exact"/>
              <w:rPr>
                <w:sz w:val="20"/>
                <w:szCs w:val="20"/>
                <w:color w:val="auto"/>
              </w:rPr>
            </w:pPr>
            <w:r>
              <w:rPr>
                <w:rFonts w:ascii="Arial" w:cs="Arial" w:eastAsia="Arial" w:hAnsi="Arial"/>
                <w:sz w:val="19"/>
                <w:szCs w:val="19"/>
                <w:color w:val="auto"/>
              </w:rPr>
              <w:t>Actuarial assumptions used to determine net periodic benefit cost for years ended December</w:t>
            </w: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620" w:type="dxa"/>
            <w:vAlign w:val="bottom"/>
            <w:shd w:val="clear" w:color="auto" w:fill="E5FFFF"/>
          </w:tcPr>
          <w:p>
            <w:pPr>
              <w:ind w:left="180"/>
              <w:spacing w:after="0" w:line="216" w:lineRule="exact"/>
              <w:rPr>
                <w:sz w:val="20"/>
                <w:szCs w:val="20"/>
                <w:color w:val="auto"/>
              </w:rPr>
            </w:pPr>
            <w:r>
              <w:rPr>
                <w:rFonts w:ascii="Arial" w:cs="Arial" w:eastAsia="Arial" w:hAnsi="Arial"/>
                <w:sz w:val="19"/>
                <w:szCs w:val="19"/>
                <w:color w:val="auto"/>
              </w:rPr>
              <w:t>31:</w:t>
            </w:r>
          </w:p>
        </w:tc>
        <w:tc>
          <w:tcPr>
            <w:tcW w:w="6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61"/>
        </w:trPr>
        <w:tc>
          <w:tcPr>
            <w:tcW w:w="500" w:type="dxa"/>
            <w:vAlign w:val="bottom"/>
          </w:tcPr>
          <w:p>
            <w:pPr>
              <w:spacing w:after="0"/>
              <w:rPr>
                <w:sz w:val="22"/>
                <w:szCs w:val="22"/>
                <w:color w:val="auto"/>
              </w:rPr>
            </w:pPr>
          </w:p>
        </w:tc>
        <w:tc>
          <w:tcPr>
            <w:tcW w:w="5620" w:type="dxa"/>
            <w:vAlign w:val="bottom"/>
          </w:tcPr>
          <w:p>
            <w:pPr>
              <w:ind w:left="360"/>
              <w:spacing w:after="0"/>
              <w:rPr>
                <w:sz w:val="20"/>
                <w:szCs w:val="20"/>
                <w:color w:val="auto"/>
              </w:rPr>
            </w:pPr>
            <w:r>
              <w:rPr>
                <w:rFonts w:ascii="Arial" w:cs="Arial" w:eastAsia="Arial" w:hAnsi="Arial"/>
                <w:sz w:val="19"/>
                <w:szCs w:val="19"/>
                <w:color w:val="auto"/>
              </w:rPr>
              <w:t>Discount rate</w:t>
            </w: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gridSpan w:val="3"/>
          </w:tcPr>
          <w:p>
            <w:pPr>
              <w:jc w:val="center"/>
              <w:ind w:left="203"/>
              <w:spacing w:after="0"/>
              <w:rPr>
                <w:sz w:val="20"/>
                <w:szCs w:val="20"/>
                <w:color w:val="auto"/>
              </w:rPr>
            </w:pPr>
            <w:r>
              <w:rPr>
                <w:rFonts w:ascii="Arial" w:cs="Arial" w:eastAsia="Arial" w:hAnsi="Arial"/>
                <w:sz w:val="19"/>
                <w:szCs w:val="19"/>
                <w:color w:val="auto"/>
              </w:rPr>
              <w:t>4.05%</w:t>
            </w:r>
          </w:p>
        </w:tc>
        <w:tc>
          <w:tcPr>
            <w:tcW w:w="60" w:type="dxa"/>
            <w:vAlign w:val="bottom"/>
          </w:tcPr>
          <w:p>
            <w:pPr>
              <w:spacing w:after="0"/>
              <w:rPr>
                <w:sz w:val="22"/>
                <w:szCs w:val="22"/>
                <w:color w:val="auto"/>
              </w:rPr>
            </w:pPr>
          </w:p>
        </w:tc>
        <w:tc>
          <w:tcPr>
            <w:tcW w:w="900" w:type="dxa"/>
            <w:vAlign w:val="bottom"/>
            <w:gridSpan w:val="3"/>
          </w:tcPr>
          <w:p>
            <w:pPr>
              <w:jc w:val="center"/>
              <w:ind w:left="210"/>
              <w:spacing w:after="0"/>
              <w:rPr>
                <w:sz w:val="20"/>
                <w:szCs w:val="20"/>
                <w:color w:val="auto"/>
              </w:rPr>
            </w:pPr>
            <w:r>
              <w:rPr>
                <w:rFonts w:ascii="Arial" w:cs="Arial" w:eastAsia="Arial" w:hAnsi="Arial"/>
                <w:sz w:val="19"/>
                <w:szCs w:val="19"/>
                <w:color w:val="auto"/>
              </w:rPr>
              <w:t>3.40%</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9"/>
                <w:szCs w:val="19"/>
                <w:color w:val="auto"/>
              </w:rPr>
              <w:t>4.00%</w:t>
            </w:r>
          </w:p>
        </w:tc>
        <w:tc>
          <w:tcPr>
            <w:tcW w:w="20" w:type="dxa"/>
            <w:vAlign w:val="bottom"/>
          </w:tcPr>
          <w:p>
            <w:pPr>
              <w:spacing w:after="0"/>
              <w:rPr>
                <w:sz w:val="22"/>
                <w:szCs w:val="22"/>
                <w:color w:val="auto"/>
              </w:rPr>
            </w:pPr>
          </w:p>
        </w:tc>
      </w:tr>
    </w:tbl>
    <w:p>
      <w:pPr>
        <w:spacing w:after="0" w:line="9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The discount rate for our U.S. pension and other postretirement benefits plans reflects the current rate at which the associated liabilities could be settled at the measurement date of December 31. To determine discount rates for our U.S. pension and other postretirement benefit plans, we use a modeling process that involves matching the expected cash outflows of our benefit plans to a yield curve constructed from a portfolio of high quality, fixed-income debt instruments. We use the average yield of this hypothetical portfolio as a discount rate benchmark. The discount rate used to determine the other postretirement benefit obligation is lower principally due to a shorter expected duration of other postretirement plan obligations as compared to pension plan obligations.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Our expected rate of return on U.S. plan assets of 7.75% is a long-term rate based on historical plan asset returns over varying long-term periods combined with current market conditions and broad asset mix considerations. We review the expected rate of return on an annual basis and revise it as appropriate.</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non-U.S. benefit plans actuarial assumptions reflect economic and market factors relevant to each country.</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Pension Benefits</w:t>
      </w:r>
    </w:p>
    <w:p>
      <w:pPr>
        <w:spacing w:after="0" w:line="116" w:lineRule="exact"/>
        <w:rPr>
          <w:sz w:val="20"/>
          <w:szCs w:val="20"/>
          <w:color w:val="auto"/>
        </w:rPr>
      </w:pPr>
    </w:p>
    <w:p>
      <w:pPr>
        <w:jc w:val="both"/>
        <w:ind w:firstLine="357"/>
        <w:spacing w:after="0" w:line="246" w:lineRule="auto"/>
        <w:rPr>
          <w:sz w:val="20"/>
          <w:szCs w:val="20"/>
          <w:color w:val="auto"/>
        </w:rPr>
      </w:pPr>
      <w:r>
        <w:rPr>
          <w:rFonts w:ascii="Arial" w:cs="Arial" w:eastAsia="Arial" w:hAnsi="Arial"/>
          <w:sz w:val="19"/>
          <w:szCs w:val="19"/>
          <w:color w:val="auto"/>
        </w:rPr>
        <w:t>Included in the aggregate data in the tables above are the amounts applicable to our pension plans with accumulated benefit obligations exceeding the fair value of plan assets. Amounts related to such plans were as follows:</w:t>
      </w:r>
    </w:p>
    <w:p>
      <w:pPr>
        <w:spacing w:after="0" w:line="2"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635</wp:posOffset>
            </wp:positionV>
            <wp:extent cx="22466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7720"/>
        <w:spacing w:after="0"/>
        <w:tabs>
          <w:tab w:leader="none" w:pos="9440" w:val="left"/>
        </w:tabs>
        <w:rPr>
          <w:sz w:val="20"/>
          <w:szCs w:val="20"/>
          <w:color w:val="auto"/>
        </w:rPr>
      </w:pPr>
      <w:r>
        <w:rPr>
          <w:rFonts w:ascii="Arial" w:cs="Arial" w:eastAsia="Arial" w:hAnsi="Arial"/>
          <w:sz w:val="16"/>
          <w:szCs w:val="16"/>
          <w:b w:val="1"/>
          <w:bCs w:val="1"/>
          <w:color w:val="auto"/>
        </w:rPr>
        <w:t>U.S. Plans</w:t>
      </w:r>
      <w:r>
        <w:rPr>
          <w:sz w:val="20"/>
          <w:szCs w:val="20"/>
          <w:color w:val="auto"/>
        </w:rPr>
        <w:tab/>
      </w:r>
      <w:r>
        <w:rPr>
          <w:rFonts w:ascii="Arial" w:cs="Arial" w:eastAsia="Arial" w:hAnsi="Arial"/>
          <w:sz w:val="15"/>
          <w:szCs w:val="15"/>
          <w:b w:val="1"/>
          <w:bCs w:val="1"/>
          <w:color w:val="auto"/>
        </w:rPr>
        <w:t>Non-U.S.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-8255</wp:posOffset>
            </wp:positionV>
            <wp:extent cx="22466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7480"/>
        <w:spacing w:after="0" w:line="228" w:lineRule="auto"/>
        <w:tabs>
          <w:tab w:leader="none" w:pos="8360" w:val="left"/>
          <w:tab w:leader="none" w:pos="9340" w:val="left"/>
          <w:tab w:leader="none" w:pos="10380" w:val="left"/>
        </w:tabs>
        <w:rPr>
          <w:sz w:val="20"/>
          <w:szCs w:val="20"/>
          <w:color w:val="auto"/>
        </w:rPr>
      </w:pP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r>
        <w:rPr>
          <w:sz w:val="20"/>
          <w:szCs w:val="20"/>
          <w:color w:val="auto"/>
        </w:rPr>
        <w:tab/>
      </w:r>
      <w:r>
        <w:rPr>
          <w:rFonts w:ascii="Arial" w:cs="Arial" w:eastAsia="Arial" w:hAnsi="Arial"/>
          <w:sz w:val="16"/>
          <w:szCs w:val="16"/>
          <w:b w:val="1"/>
          <w:bCs w:val="1"/>
          <w:color w:val="auto"/>
        </w:rPr>
        <w:t>2014</w:t>
      </w:r>
      <w:r>
        <w:rPr>
          <w:sz w:val="20"/>
          <w:szCs w:val="20"/>
          <w:color w:val="auto"/>
        </w:rPr>
        <w:tab/>
      </w:r>
      <w:r>
        <w:rPr>
          <w:rFonts w:ascii="Arial" w:cs="Arial" w:eastAsia="Arial" w:hAnsi="Arial"/>
          <w:sz w:val="16"/>
          <w:szCs w:val="16"/>
          <w:b w:val="1"/>
          <w:bCs w:val="1"/>
          <w:color w:val="auto"/>
        </w:rPr>
        <w:t>2013</w:t>
      </w:r>
    </w:p>
    <w:tbl>
      <w:tblPr>
        <w:tblLayout w:type="fixed"/>
        <w:tblInd w:w="500" w:type="dxa"/>
        <w:tblCellMar>
          <w:top w:w="0" w:type="dxa"/>
          <w:left w:w="0" w:type="dxa"/>
          <w:bottom w:w="0" w:type="dxa"/>
          <w:right w:w="0" w:type="dxa"/>
        </w:tblCellMar>
      </w:tblPr>
      <w:tr>
        <w:trPr>
          <w:trHeight w:val="237"/>
        </w:trPr>
        <w:tc>
          <w:tcPr>
            <w:tcW w:w="6860" w:type="dxa"/>
            <w:vAlign w:val="bottom"/>
            <w:shd w:val="clear" w:color="auto" w:fill="E5FFFF"/>
          </w:tcPr>
          <w:p>
            <w:pPr>
              <w:spacing w:after="0"/>
              <w:rPr>
                <w:sz w:val="20"/>
                <w:szCs w:val="20"/>
                <w:color w:val="auto"/>
              </w:rPr>
            </w:pPr>
            <w:r>
              <w:rPr>
                <w:rFonts w:ascii="Arial" w:cs="Arial" w:eastAsia="Arial" w:hAnsi="Arial"/>
                <w:sz w:val="19"/>
                <w:szCs w:val="19"/>
                <w:color w:val="auto"/>
              </w:rPr>
              <w:t>Projected benefit obligation</w:t>
            </w:r>
          </w:p>
        </w:tc>
        <w:tc>
          <w:tcPr>
            <w:tcW w:w="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$ 626</w:t>
            </w:r>
          </w:p>
        </w:tc>
        <w:tc>
          <w:tcPr>
            <w:tcW w:w="320" w:type="dxa"/>
            <w:vAlign w:val="bottom"/>
            <w:shd w:val="clear" w:color="auto" w:fill="E5FFFF"/>
          </w:tcPr>
          <w:p>
            <w:pPr>
              <w:spacing w:after="0"/>
              <w:rPr>
                <w:sz w:val="20"/>
                <w:szCs w:val="20"/>
                <w:color w:val="auto"/>
              </w:rPr>
            </w:pPr>
          </w:p>
        </w:tc>
        <w:tc>
          <w:tcPr>
            <w:tcW w:w="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$ 576</w:t>
            </w:r>
          </w:p>
        </w:tc>
        <w:tc>
          <w:tcPr>
            <w:tcW w:w="320" w:type="dxa"/>
            <w:vAlign w:val="bottom"/>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1,686</w:t>
            </w:r>
          </w:p>
        </w:tc>
        <w:tc>
          <w:tcPr>
            <w:tcW w:w="320" w:type="dxa"/>
            <w:vAlign w:val="bottom"/>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4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911</w:t>
            </w:r>
          </w:p>
        </w:tc>
      </w:tr>
      <w:tr>
        <w:trPr>
          <w:trHeight w:val="243"/>
        </w:trPr>
        <w:tc>
          <w:tcPr>
            <w:tcW w:w="6860" w:type="dxa"/>
            <w:vAlign w:val="bottom"/>
          </w:tcPr>
          <w:p>
            <w:pPr>
              <w:spacing w:after="0"/>
              <w:rPr>
                <w:sz w:val="20"/>
                <w:szCs w:val="20"/>
                <w:color w:val="auto"/>
              </w:rPr>
            </w:pPr>
            <w:r>
              <w:rPr>
                <w:rFonts w:ascii="Arial" w:cs="Arial" w:eastAsia="Arial" w:hAnsi="Arial"/>
                <w:sz w:val="19"/>
                <w:szCs w:val="19"/>
                <w:color w:val="auto"/>
              </w:rPr>
              <w:t>Accumulated benefit obligation</w:t>
            </w:r>
          </w:p>
        </w:tc>
        <w:tc>
          <w:tcPr>
            <w:tcW w:w="580" w:type="dxa"/>
            <w:vAlign w:val="bottom"/>
          </w:tcPr>
          <w:p>
            <w:pPr>
              <w:jc w:val="right"/>
              <w:spacing w:after="0"/>
              <w:rPr>
                <w:sz w:val="20"/>
                <w:szCs w:val="20"/>
                <w:color w:val="auto"/>
              </w:rPr>
            </w:pPr>
            <w:r>
              <w:rPr>
                <w:rFonts w:ascii="Arial" w:cs="Arial" w:eastAsia="Arial" w:hAnsi="Arial"/>
                <w:sz w:val="19"/>
                <w:szCs w:val="19"/>
                <w:color w:val="auto"/>
              </w:rPr>
              <w:t>$ 618</w:t>
            </w:r>
          </w:p>
        </w:tc>
        <w:tc>
          <w:tcPr>
            <w:tcW w:w="900" w:type="dxa"/>
            <w:vAlign w:val="bottom"/>
            <w:gridSpan w:val="2"/>
          </w:tcPr>
          <w:p>
            <w:pPr>
              <w:jc w:val="right"/>
              <w:spacing w:after="0"/>
              <w:rPr>
                <w:sz w:val="20"/>
                <w:szCs w:val="20"/>
                <w:color w:val="auto"/>
              </w:rPr>
            </w:pPr>
            <w:r>
              <w:rPr>
                <w:rFonts w:ascii="Arial" w:cs="Arial" w:eastAsia="Arial" w:hAnsi="Arial"/>
                <w:sz w:val="19"/>
                <w:szCs w:val="19"/>
                <w:color w:val="auto"/>
              </w:rPr>
              <w:t>$ 569</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1,584</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460" w:type="dxa"/>
            <w:vAlign w:val="bottom"/>
          </w:tcPr>
          <w:p>
            <w:pPr>
              <w:jc w:val="right"/>
              <w:spacing w:after="0"/>
              <w:rPr>
                <w:sz w:val="20"/>
                <w:szCs w:val="20"/>
                <w:color w:val="auto"/>
              </w:rPr>
            </w:pPr>
            <w:r>
              <w:rPr>
                <w:rFonts w:ascii="Arial" w:cs="Arial" w:eastAsia="Arial" w:hAnsi="Arial"/>
                <w:sz w:val="19"/>
                <w:szCs w:val="19"/>
                <w:color w:val="auto"/>
              </w:rPr>
              <w:t>855</w:t>
            </w:r>
          </w:p>
        </w:tc>
      </w:tr>
      <w:tr>
        <w:trPr>
          <w:trHeight w:val="243"/>
        </w:trPr>
        <w:tc>
          <w:tcPr>
            <w:tcW w:w="6860" w:type="dxa"/>
            <w:vAlign w:val="bottom"/>
            <w:shd w:val="clear" w:color="auto" w:fill="E5FFFF"/>
          </w:tcPr>
          <w:p>
            <w:pPr>
              <w:spacing w:after="0"/>
              <w:rPr>
                <w:sz w:val="20"/>
                <w:szCs w:val="20"/>
                <w:color w:val="auto"/>
              </w:rPr>
            </w:pPr>
            <w:r>
              <w:rPr>
                <w:rFonts w:ascii="Arial" w:cs="Arial" w:eastAsia="Arial" w:hAnsi="Arial"/>
                <w:sz w:val="19"/>
                <w:szCs w:val="19"/>
                <w:color w:val="auto"/>
              </w:rPr>
              <w:t>Fair value of plan assets</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$ 194</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$ 174</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994</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307</w:t>
            </w:r>
          </w:p>
        </w:tc>
      </w:tr>
    </w:tbl>
    <w:p>
      <w:pPr>
        <w:spacing w:after="0" w:line="108" w:lineRule="exact"/>
        <w:rPr>
          <w:sz w:val="20"/>
          <w:szCs w:val="20"/>
          <w:color w:val="auto"/>
        </w:rPr>
      </w:pPr>
    </w:p>
    <w:p>
      <w:pPr>
        <w:jc w:val="both"/>
        <w:ind w:right="20" w:firstLine="357"/>
        <w:spacing w:after="0" w:line="253" w:lineRule="auto"/>
        <w:rPr>
          <w:sz w:val="20"/>
          <w:szCs w:val="20"/>
          <w:color w:val="auto"/>
        </w:rPr>
      </w:pPr>
      <w:r>
        <w:rPr>
          <w:rFonts w:ascii="Arial" w:cs="Arial" w:eastAsia="Arial" w:hAnsi="Arial"/>
          <w:sz w:val="19"/>
          <w:szCs w:val="19"/>
          <w:color w:val="auto"/>
        </w:rPr>
        <w:t>Accumulated benefit obligation for our U.S. defined benefit pension plans were $ 17.2 billion and $15.7 billion and for our Non-U.S. defined benefit plans were $5.5 billion and $5.3 billion at December 31, 2014 and 2013, respectively.</w:t>
      </w:r>
    </w:p>
    <w:p>
      <w:pPr>
        <w:spacing w:after="0" w:line="80"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Our asset investment strategy for our U.S. pension plans focuses on maintaining a diversified portfolio using various asset classes in order to achieve our long-term investment objectives on a risk adjusted basis. Our actual invested positions in various securities change over time based on short and longer- term investment opportunities. To achieve our objectives, we have established long-term target allocations as follows: 60% -70% equity securities, 10%-20% fixed income securities and cash, 5%-15% real estate investments, and 10%-20% other types of investments. Equity securities include publicly-traded stock of companies located both inside and outside the United States. Fixed income securities include corporate bonds of companies from diversified industries, mortgage-backed securities, and U.S. Treasuries. Real estate investments include direct investments in commercial properties and investments in real estate funds. Other types of investments include investments in private equity and hedge funds that follow several different strategies. We review our assets on a regular basis to ensure that we are within the targeted asset allocation ranges and, if necessary, asset balances are adjusted back within target allocations.</w:t>
      </w:r>
    </w:p>
    <w:p>
      <w:pPr>
        <w:spacing w:after="0" w:line="93"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Our non-U.S. pension assets are typically managed by decentralized fiduciary committees with the Honeywell Corporate Investments group providing standard funding and investment guidance. Local regulations, local funding rules, and local financial and tax considerations are part of the funding and investment allocation process in each country. While our non-U.S. investment policies are different for each country, the long-term investment objectives are generally the same as those for the U.S. pension assets.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fair values of both our U.S. and non-U.S. pension plans assets by asset category are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U.S. Plans</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44"/>
              <w:spacing w:after="0" w:line="169" w:lineRule="exact"/>
              <w:rPr>
                <w:sz w:val="20"/>
                <w:szCs w:val="20"/>
                <w:color w:val="auto"/>
              </w:rPr>
            </w:pPr>
            <w:r>
              <w:rPr>
                <w:rFonts w:ascii="Arial" w:cs="Arial" w:eastAsia="Arial" w:hAnsi="Arial"/>
                <w:sz w:val="16"/>
                <w:szCs w:val="16"/>
                <w:b w:val="1"/>
                <w:bCs w:val="1"/>
                <w:color w:val="auto"/>
              </w:rPr>
              <w:t>December 31, 2014</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w w:val="99"/>
              </w:rPr>
              <w:t>Level 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Common stock/preferred stock:</w:t>
            </w:r>
          </w:p>
        </w:tc>
        <w:tc>
          <w:tcPr>
            <w:tcW w:w="2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Honeywell common stock</w:t>
            </w:r>
          </w:p>
        </w:tc>
        <w:tc>
          <w:tcPr>
            <w:tcW w:w="2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1,851</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1,851</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large cap stocks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3,913</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3,867</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U.S. mid cap stocks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1,028</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1,018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small cap stocks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219</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219</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International stocks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2,576</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2,400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176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investment trusts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204</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204</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 investments: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 term investments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1,078</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1,078</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438</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438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2,988</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2,988</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635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635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Investments in private funds: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999</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999</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Hedge funds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funds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226</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226</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Direct investments: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Direct private investments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301</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301</w:t>
            </w: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properties</w:t>
            </w:r>
          </w:p>
        </w:tc>
        <w:tc>
          <w:tcPr>
            <w:tcW w:w="2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600</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600</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1"/>
                <w:szCs w:val="21"/>
                <w:color w:val="auto"/>
              </w:rPr>
            </w:pPr>
          </w:p>
        </w:tc>
        <w:tc>
          <w:tcPr>
            <w:tcW w:w="256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17,066</w:t>
            </w:r>
          </w:p>
        </w:tc>
        <w:tc>
          <w:tcPr>
            <w:tcW w:w="3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10,637</w:t>
            </w:r>
          </w:p>
        </w:tc>
        <w:tc>
          <w:tcPr>
            <w:tcW w:w="3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4,300</w:t>
            </w:r>
          </w:p>
        </w:tc>
        <w:tc>
          <w:tcPr>
            <w:tcW w:w="3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2,129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U.S. Plans</w:t>
            </w: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44"/>
              <w:spacing w:after="0" w:line="169" w:lineRule="exact"/>
              <w:rPr>
                <w:sz w:val="20"/>
                <w:szCs w:val="20"/>
                <w:color w:val="auto"/>
              </w:rPr>
            </w:pPr>
            <w:r>
              <w:rPr>
                <w:rFonts w:ascii="Arial" w:cs="Arial" w:eastAsia="Arial" w:hAnsi="Arial"/>
                <w:sz w:val="16"/>
                <w:szCs w:val="16"/>
                <w:b w:val="1"/>
                <w:bCs w:val="1"/>
                <w:color w:val="auto"/>
              </w:rPr>
              <w:t>December 31, 2013</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w w:val="99"/>
              </w:rPr>
              <w:t>Level 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4"/>
              <w:spacing w:after="0" w:line="169" w:lineRule="exact"/>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Common stock/preferred stock:</w:t>
            </w:r>
          </w:p>
        </w:tc>
        <w:tc>
          <w:tcPr>
            <w:tcW w:w="25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Honeywell common stock</w:t>
            </w:r>
          </w:p>
        </w:tc>
        <w:tc>
          <w:tcPr>
            <w:tcW w:w="27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1,697</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1,697</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large cap stocks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4,147</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4,107</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U.S. mid cap stocks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757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752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U.S. small cap stocks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215</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210</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International stocks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2,685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2,503</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182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investment trusts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 investments: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 term investments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956</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955</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266</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266</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2,931</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2,931</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770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770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Investments in private funds: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1,058</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1,058</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Hedge funds</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6</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funds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237</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237</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Direct investments: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Direct private investments</w:t>
            </w:r>
          </w:p>
        </w:tc>
        <w:tc>
          <w:tcPr>
            <w:tcW w:w="25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278</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278</w:t>
            </w:r>
          </w:p>
        </w:tc>
        <w:tc>
          <w:tcPr>
            <w:tcW w:w="0" w:type="dxa"/>
            <w:vAlign w:val="bottom"/>
          </w:tcPr>
          <w:p>
            <w:pPr>
              <w:spacing w:after="0"/>
              <w:rPr>
                <w:sz w:val="1"/>
                <w:szCs w:val="1"/>
                <w:color w:val="auto"/>
              </w:rPr>
            </w:pPr>
          </w:p>
        </w:tc>
      </w:tr>
      <w:tr>
        <w:trPr>
          <w:trHeight w:val="250"/>
        </w:trPr>
        <w:tc>
          <w:tcPr>
            <w:tcW w:w="4440" w:type="dxa"/>
            <w:vAlign w:val="bottom"/>
          </w:tcPr>
          <w:p>
            <w:pPr>
              <w:ind w:left="360"/>
              <w:spacing w:after="0"/>
              <w:rPr>
                <w:sz w:val="20"/>
                <w:szCs w:val="20"/>
                <w:color w:val="auto"/>
              </w:rPr>
            </w:pPr>
            <w:r>
              <w:rPr>
                <w:rFonts w:ascii="Arial" w:cs="Arial" w:eastAsia="Arial" w:hAnsi="Arial"/>
                <w:sz w:val="19"/>
                <w:szCs w:val="19"/>
                <w:color w:val="auto"/>
              </w:rPr>
              <w:t>Real estate properties</w:t>
            </w:r>
          </w:p>
        </w:tc>
        <w:tc>
          <w:tcPr>
            <w:tcW w:w="25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627</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627</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spacing w:after="0"/>
              <w:rPr>
                <w:sz w:val="21"/>
                <w:szCs w:val="21"/>
                <w:color w:val="auto"/>
              </w:rPr>
            </w:pPr>
          </w:p>
        </w:tc>
        <w:tc>
          <w:tcPr>
            <w:tcW w:w="27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16,727</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10,314</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4,207</w:t>
            </w:r>
          </w:p>
        </w:tc>
        <w:tc>
          <w:tcPr>
            <w:tcW w:w="4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2,206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560" w:type="dxa"/>
            <w:vAlign w:val="bottom"/>
            <w:vMerge w:val="restart"/>
          </w:tcPr>
          <w:p>
            <w:pPr>
              <w:jc w:val="right"/>
              <w:ind w:right="1083"/>
              <w:spacing w:after="0"/>
              <w:rPr>
                <w:sz w:val="20"/>
                <w:szCs w:val="20"/>
                <w:color w:val="auto"/>
              </w:rPr>
            </w:pPr>
            <w:r>
              <w:rPr>
                <w:rFonts w:ascii="Arial" w:cs="Arial" w:eastAsia="Arial" w:hAnsi="Arial"/>
                <w:sz w:val="19"/>
                <w:szCs w:val="19"/>
                <w:color w:val="auto"/>
              </w:rPr>
              <w:t>73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4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85"/>
              <w:spacing w:after="0"/>
              <w:rPr>
                <w:sz w:val="20"/>
                <w:szCs w:val="20"/>
                <w:color w:val="auto"/>
              </w:rPr>
            </w:pPr>
            <w:r>
              <w:rPr>
                <w:rFonts w:ascii="Arial" w:cs="Arial" w:eastAsia="Arial" w:hAnsi="Arial"/>
                <w:sz w:val="16"/>
                <w:szCs w:val="16"/>
                <w:b w:val="1"/>
                <w:bCs w:val="1"/>
                <w:color w:val="auto"/>
                <w:w w:val="99"/>
              </w:rPr>
              <w:t>Non-U.S. Plans</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5"/>
              <w:spacing w:after="0" w:line="169" w:lineRule="exact"/>
              <w:rPr>
                <w:sz w:val="20"/>
                <w:szCs w:val="20"/>
                <w:color w:val="auto"/>
              </w:rPr>
            </w:pPr>
            <w:r>
              <w:rPr>
                <w:rFonts w:ascii="Arial" w:cs="Arial" w:eastAsia="Arial" w:hAnsi="Arial"/>
                <w:sz w:val="16"/>
                <w:szCs w:val="16"/>
                <w:b w:val="1"/>
                <w:bCs w:val="1"/>
                <w:color w:val="auto"/>
                <w:w w:val="98"/>
              </w:rPr>
              <w:t>December 31, 2014</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6"/>
                <w:szCs w:val="16"/>
                <w:b w:val="1"/>
                <w:bCs w:val="1"/>
                <w:color w:val="auto"/>
                <w:w w:val="99"/>
              </w:rPr>
              <w:t>Total</w:t>
            </w:r>
          </w:p>
        </w:tc>
        <w:tc>
          <w:tcPr>
            <w:tcW w:w="30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6"/>
              <w:spacing w:after="0" w:line="169" w:lineRule="exact"/>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Common stock/preferred stock:</w:t>
            </w:r>
          </w:p>
        </w:tc>
        <w:tc>
          <w:tcPr>
            <w:tcW w:w="30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U.S. companies</w:t>
            </w:r>
          </w:p>
        </w:tc>
        <w:tc>
          <w:tcPr>
            <w:tcW w:w="3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534</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464</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70</w:t>
            </w:r>
          </w:p>
        </w:tc>
        <w:tc>
          <w:tcPr>
            <w:tcW w:w="540" w:type="dxa"/>
            <w:vAlign w:val="bottom"/>
            <w:gridSpan w:val="2"/>
          </w:tcPr>
          <w:p>
            <w:pPr>
              <w:jc w:val="right"/>
              <w:ind w:right="15"/>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Non-U.S. companies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1,876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225</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1,651</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 investments:</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Short-term investments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1,495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1,495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857</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19</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186</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Investments in private funds:</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Hedge funds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funds</w:t>
            </w:r>
          </w:p>
        </w:tc>
        <w:tc>
          <w:tcPr>
            <w:tcW w:w="30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185</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185</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5,333</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802</w:t>
            </w:r>
          </w:p>
        </w:tc>
        <w:tc>
          <w:tcPr>
            <w:tcW w:w="3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4,282</w:t>
            </w:r>
          </w:p>
        </w:tc>
        <w:tc>
          <w:tcPr>
            <w:tcW w:w="320" w:type="dxa"/>
            <w:vAlign w:val="bottom"/>
          </w:tcPr>
          <w:p>
            <w:pPr>
              <w:spacing w:after="0"/>
              <w:rPr>
                <w:sz w:val="21"/>
                <w:szCs w:val="21"/>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9"/>
                <w:szCs w:val="19"/>
                <w:color w:val="auto"/>
                <w:w w:val="9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85"/>
              <w:spacing w:after="0"/>
              <w:rPr>
                <w:sz w:val="20"/>
                <w:szCs w:val="20"/>
                <w:color w:val="auto"/>
              </w:rPr>
            </w:pPr>
            <w:r>
              <w:rPr>
                <w:rFonts w:ascii="Arial" w:cs="Arial" w:eastAsia="Arial" w:hAnsi="Arial"/>
                <w:sz w:val="16"/>
                <w:szCs w:val="16"/>
                <w:b w:val="1"/>
                <w:bCs w:val="1"/>
                <w:color w:val="auto"/>
                <w:w w:val="99"/>
              </w:rPr>
              <w:t>Non-U.S. Plans</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85"/>
              <w:spacing w:after="0" w:line="169" w:lineRule="exact"/>
              <w:rPr>
                <w:sz w:val="20"/>
                <w:szCs w:val="20"/>
                <w:color w:val="auto"/>
              </w:rPr>
            </w:pPr>
            <w:r>
              <w:rPr>
                <w:rFonts w:ascii="Arial" w:cs="Arial" w:eastAsia="Arial" w:hAnsi="Arial"/>
                <w:sz w:val="16"/>
                <w:szCs w:val="16"/>
                <w:b w:val="1"/>
                <w:bCs w:val="1"/>
                <w:color w:val="auto"/>
                <w:w w:val="98"/>
              </w:rPr>
              <w:t>December 31, 2013</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6"/>
                <w:szCs w:val="16"/>
                <w:b w:val="1"/>
                <w:bCs w:val="1"/>
                <w:color w:val="auto"/>
                <w:w w:val="99"/>
              </w:rPr>
              <w:t>Total</w:t>
            </w:r>
          </w:p>
        </w:tc>
        <w:tc>
          <w:tcPr>
            <w:tcW w:w="30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6"/>
              <w:spacing w:after="0" w:line="169" w:lineRule="exact"/>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b w:val="1"/>
                <w:bCs w:val="1"/>
                <w:color w:val="auto"/>
                <w:w w:val="95"/>
              </w:rPr>
              <w:t>Level 2</w:t>
            </w: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jc w:val="right"/>
              <w:ind w:right="3"/>
              <w:spacing w:after="0" w:line="169" w:lineRule="exact"/>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0"/>
        </w:trPr>
        <w:tc>
          <w:tcPr>
            <w:tcW w:w="44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Common stock/preferred stock:</w:t>
            </w:r>
          </w:p>
        </w:tc>
        <w:tc>
          <w:tcPr>
            <w:tcW w:w="30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U.S. companies</w:t>
            </w:r>
          </w:p>
        </w:tc>
        <w:tc>
          <w:tcPr>
            <w:tcW w:w="3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459</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394</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65</w:t>
            </w:r>
          </w:p>
        </w:tc>
        <w:tc>
          <w:tcPr>
            <w:tcW w:w="540" w:type="dxa"/>
            <w:vAlign w:val="bottom"/>
            <w:gridSpan w:val="2"/>
          </w:tcPr>
          <w:p>
            <w:pPr>
              <w:jc w:val="right"/>
              <w:ind w:right="15"/>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Non-U.S. companies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1,929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244</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1,685</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Fixed income investments:</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Short-term investments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140</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Government securities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1,303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1,303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 bonds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656</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Mortgage/Asset-backed securities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25</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25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Insurance contracts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208</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line="216" w:lineRule="exact"/>
              <w:rPr>
                <w:sz w:val="20"/>
                <w:szCs w:val="20"/>
                <w:color w:val="auto"/>
              </w:rPr>
            </w:pPr>
            <w:r>
              <w:rPr>
                <w:rFonts w:ascii="Arial" w:cs="Arial" w:eastAsia="Arial" w:hAnsi="Arial"/>
                <w:sz w:val="19"/>
                <w:szCs w:val="19"/>
                <w:color w:val="auto"/>
              </w:rPr>
              <w:t>Investments in private funds:</w:t>
            </w: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Private funds</w:t>
            </w:r>
          </w:p>
        </w:tc>
        <w:tc>
          <w:tcPr>
            <w:tcW w:w="30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w:t>
            </w:r>
          </w:p>
        </w:tc>
        <w:tc>
          <w:tcPr>
            <w:tcW w:w="0" w:type="dxa"/>
            <w:vAlign w:val="bottom"/>
          </w:tcPr>
          <w:p>
            <w:pPr>
              <w:spacing w:after="0"/>
              <w:rPr>
                <w:sz w:val="1"/>
                <w:szCs w:val="1"/>
                <w:color w:val="auto"/>
              </w:rPr>
            </w:pPr>
          </w:p>
        </w:tc>
      </w:tr>
      <w:tr>
        <w:trPr>
          <w:trHeight w:val="243"/>
        </w:trPr>
        <w:tc>
          <w:tcPr>
            <w:tcW w:w="4440" w:type="dxa"/>
            <w:vAlign w:val="bottom"/>
          </w:tcPr>
          <w:p>
            <w:pPr>
              <w:ind w:left="360"/>
              <w:spacing w:after="0"/>
              <w:rPr>
                <w:sz w:val="20"/>
                <w:szCs w:val="20"/>
                <w:color w:val="auto"/>
              </w:rPr>
            </w:pPr>
            <w:r>
              <w:rPr>
                <w:rFonts w:ascii="Arial" w:cs="Arial" w:eastAsia="Arial" w:hAnsi="Arial"/>
                <w:sz w:val="19"/>
                <w:szCs w:val="19"/>
                <w:color w:val="auto"/>
              </w:rPr>
              <w:t>Hedge funds</w:t>
            </w: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62</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9"/>
                <w:szCs w:val="19"/>
                <w:color w:val="auto"/>
              </w:rPr>
              <w:t>62</w:t>
            </w:r>
          </w:p>
        </w:tc>
        <w:tc>
          <w:tcPr>
            <w:tcW w:w="0" w:type="dxa"/>
            <w:vAlign w:val="bottom"/>
          </w:tcPr>
          <w:p>
            <w:pPr>
              <w:spacing w:after="0"/>
              <w:rPr>
                <w:sz w:val="1"/>
                <w:szCs w:val="1"/>
                <w:color w:val="auto"/>
              </w:rPr>
            </w:pPr>
          </w:p>
        </w:tc>
      </w:tr>
      <w:tr>
        <w:trPr>
          <w:trHeight w:val="243"/>
        </w:trPr>
        <w:tc>
          <w:tcPr>
            <w:tcW w:w="44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Real estate funds</w:t>
            </w:r>
          </w:p>
        </w:tc>
        <w:tc>
          <w:tcPr>
            <w:tcW w:w="30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2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181</w:t>
            </w: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31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5,037</w:t>
            </w:r>
          </w:p>
        </w:tc>
        <w:tc>
          <w:tcPr>
            <w:tcW w:w="46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rPr>
              <w:t>778</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3,949</w:t>
            </w:r>
          </w:p>
        </w:tc>
        <w:tc>
          <w:tcPr>
            <w:tcW w:w="540" w:type="dxa"/>
            <w:vAlign w:val="bottom"/>
            <w:gridSpan w:val="2"/>
          </w:tcPr>
          <w:p>
            <w:pPr>
              <w:jc w:val="right"/>
              <w:ind w:right="15"/>
              <w:spacing w:after="0"/>
              <w:rPr>
                <w:sz w:val="20"/>
                <w:szCs w:val="20"/>
                <w:color w:val="auto"/>
              </w:rPr>
            </w:pPr>
            <w:r>
              <w:rPr>
                <w:rFonts w:ascii="Arial" w:cs="Arial" w:eastAsia="Arial" w:hAnsi="Arial"/>
                <w:sz w:val="19"/>
                <w:szCs w:val="19"/>
                <w:color w:val="auto"/>
              </w:rPr>
              <w:t>$</w:t>
            </w:r>
          </w:p>
        </w:tc>
        <w:tc>
          <w:tcPr>
            <w:tcW w:w="520" w:type="dxa"/>
            <w:vAlign w:val="bottom"/>
          </w:tcPr>
          <w:p>
            <w:pPr>
              <w:jc w:val="right"/>
              <w:spacing w:after="0"/>
              <w:rPr>
                <w:sz w:val="20"/>
                <w:szCs w:val="20"/>
                <w:color w:val="auto"/>
              </w:rPr>
            </w:pPr>
            <w:r>
              <w:rPr>
                <w:rFonts w:ascii="Arial" w:cs="Arial" w:eastAsia="Arial" w:hAnsi="Arial"/>
                <w:sz w:val="19"/>
                <w:szCs w:val="19"/>
                <w:color w:val="auto"/>
              </w:rPr>
              <w:t>310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000" w:type="dxa"/>
            <w:vAlign w:val="bottom"/>
            <w:vMerge w:val="restart"/>
          </w:tcPr>
          <w:p>
            <w:pPr>
              <w:jc w:val="right"/>
              <w:ind w:right="1523"/>
              <w:spacing w:after="0"/>
              <w:rPr>
                <w:sz w:val="20"/>
                <w:szCs w:val="20"/>
                <w:color w:val="auto"/>
              </w:rPr>
            </w:pPr>
            <w:r>
              <w:rPr>
                <w:rFonts w:ascii="Arial" w:cs="Arial" w:eastAsia="Arial" w:hAnsi="Arial"/>
                <w:sz w:val="19"/>
                <w:szCs w:val="19"/>
                <w:color w:val="auto"/>
              </w:rPr>
              <w:t>74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4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tables summarize changes in the fair value of Level 3 assets: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7"/>
              </w:rPr>
              <w:t>U.S. Plans</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155"/>
        </w:trPr>
        <w:tc>
          <w:tcPr>
            <w:tcW w:w="5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27"/>
              <w:spacing w:after="0" w:line="155" w:lineRule="exact"/>
              <w:rPr>
                <w:sz w:val="20"/>
                <w:szCs w:val="20"/>
                <w:color w:val="auto"/>
              </w:rPr>
            </w:pPr>
            <w:r>
              <w:rPr>
                <w:rFonts w:ascii="Arial" w:cs="Arial" w:eastAsia="Arial" w:hAnsi="Arial"/>
                <w:sz w:val="16"/>
                <w:szCs w:val="16"/>
                <w:b w:val="1"/>
                <w:bCs w:val="1"/>
                <w:color w:val="auto"/>
                <w:w w:val="96"/>
              </w:rPr>
              <w:t>Direct</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76"/>
        </w:trPr>
        <w:tc>
          <w:tcPr>
            <w:tcW w:w="5540" w:type="dxa"/>
            <w:vAlign w:val="bottom"/>
          </w:tcPr>
          <w:p>
            <w:pPr>
              <w:spacing w:after="0"/>
              <w:rPr>
                <w:sz w:val="15"/>
                <w:szCs w:val="15"/>
                <w:color w:val="auto"/>
              </w:rPr>
            </w:pPr>
          </w:p>
        </w:tc>
        <w:tc>
          <w:tcPr>
            <w:tcW w:w="740" w:type="dxa"/>
            <w:vAlign w:val="bottom"/>
            <w:gridSpan w:val="2"/>
          </w:tcPr>
          <w:p>
            <w:pPr>
              <w:jc w:val="right"/>
              <w:ind w:right="5"/>
              <w:spacing w:after="0" w:line="176" w:lineRule="exact"/>
              <w:rPr>
                <w:sz w:val="20"/>
                <w:szCs w:val="20"/>
                <w:color w:val="auto"/>
              </w:rPr>
            </w:pPr>
            <w:r>
              <w:rPr>
                <w:rFonts w:ascii="Arial" w:cs="Arial" w:eastAsia="Arial" w:hAnsi="Arial"/>
                <w:sz w:val="16"/>
                <w:szCs w:val="16"/>
                <w:b w:val="1"/>
                <w:bCs w:val="1"/>
                <w:color w:val="auto"/>
              </w:rPr>
              <w:t>Private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27"/>
              <w:spacing w:after="0" w:line="176" w:lineRule="exact"/>
              <w:rPr>
                <w:sz w:val="20"/>
                <w:szCs w:val="20"/>
                <w:color w:val="auto"/>
              </w:rPr>
            </w:pPr>
            <w:r>
              <w:rPr>
                <w:rFonts w:ascii="Arial" w:cs="Arial" w:eastAsia="Arial" w:hAnsi="Arial"/>
                <w:sz w:val="16"/>
                <w:szCs w:val="16"/>
                <w:b w:val="1"/>
                <w:bCs w:val="1"/>
                <w:color w:val="auto"/>
                <w:w w:val="97"/>
              </w:rPr>
              <w:t>Private</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ind w:left="60"/>
              <w:spacing w:after="0" w:line="176" w:lineRule="exact"/>
              <w:rPr>
                <w:sz w:val="20"/>
                <w:szCs w:val="20"/>
                <w:color w:val="auto"/>
              </w:rPr>
            </w:pPr>
            <w:r>
              <w:rPr>
                <w:rFonts w:ascii="Arial" w:cs="Arial" w:eastAsia="Arial" w:hAnsi="Arial"/>
                <w:sz w:val="16"/>
                <w:szCs w:val="16"/>
                <w:b w:val="1"/>
                <w:bCs w:val="1"/>
                <w:color w:val="auto"/>
              </w:rPr>
              <w:t>Hedge</w:t>
            </w:r>
          </w:p>
        </w:tc>
        <w:tc>
          <w:tcPr>
            <w:tcW w:w="40" w:type="dxa"/>
            <w:vAlign w:val="bottom"/>
          </w:tcPr>
          <w:p>
            <w:pPr>
              <w:spacing w:after="0"/>
              <w:rPr>
                <w:sz w:val="15"/>
                <w:szCs w:val="15"/>
                <w:color w:val="auto"/>
              </w:rPr>
            </w:pPr>
          </w:p>
        </w:tc>
        <w:tc>
          <w:tcPr>
            <w:tcW w:w="100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97"/>
              </w:rPr>
              <w:t>Real Estate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jc w:val="right"/>
              <w:ind w:right="23"/>
              <w:spacing w:after="0" w:line="176" w:lineRule="exact"/>
              <w:rPr>
                <w:sz w:val="20"/>
                <w:szCs w:val="20"/>
                <w:color w:val="auto"/>
              </w:rPr>
            </w:pPr>
            <w:r>
              <w:rPr>
                <w:rFonts w:ascii="Arial" w:cs="Arial" w:eastAsia="Arial" w:hAnsi="Arial"/>
                <w:sz w:val="16"/>
                <w:szCs w:val="16"/>
                <w:b w:val="1"/>
                <w:bCs w:val="1"/>
                <w:color w:val="auto"/>
              </w:rPr>
              <w:t>Real Estate</w:t>
            </w:r>
          </w:p>
        </w:tc>
      </w:tr>
      <w:tr>
        <w:trPr>
          <w:trHeight w:val="190"/>
        </w:trPr>
        <w:tc>
          <w:tcPr>
            <w:tcW w:w="5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w w:val="95"/>
              </w:rPr>
              <w:t>Funds</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7"/>
              <w:spacing w:after="0"/>
              <w:rPr>
                <w:sz w:val="20"/>
                <w:szCs w:val="20"/>
                <w:color w:val="auto"/>
              </w:rPr>
            </w:pPr>
            <w:r>
              <w:rPr>
                <w:rFonts w:ascii="Arial" w:cs="Arial" w:eastAsia="Arial" w:hAnsi="Arial"/>
                <w:sz w:val="16"/>
                <w:szCs w:val="16"/>
                <w:b w:val="1"/>
                <w:bCs w:val="1"/>
                <w:color w:val="auto"/>
                <w:w w:val="98"/>
              </w:rPr>
              <w:t>Investments</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Funds</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9"/>
              </w:rPr>
              <w:t>Funds</w:t>
            </w:r>
          </w:p>
        </w:tc>
        <w:tc>
          <w:tcPr>
            <w:tcW w:w="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b w:val="1"/>
                <w:bCs w:val="1"/>
                <w:color w:val="auto"/>
              </w:rPr>
              <w:t>Properties</w:t>
            </w:r>
          </w:p>
        </w:tc>
      </w:tr>
      <w:tr>
        <w:trPr>
          <w:trHeight w:val="237"/>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2012</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1,100</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0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227</w:t>
            </w:r>
          </w:p>
        </w:tc>
        <w:tc>
          <w:tcPr>
            <w:tcW w:w="460" w:type="dxa"/>
            <w:vAlign w:val="bottom"/>
            <w:gridSpan w:val="3"/>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52</w:t>
            </w:r>
          </w:p>
        </w:tc>
        <w:tc>
          <w:tcPr>
            <w:tcW w:w="260" w:type="dxa"/>
            <w:vAlign w:val="bottom"/>
            <w:shd w:val="clear" w:color="auto" w:fill="E5FFFF"/>
          </w:tcPr>
          <w:p>
            <w:pPr>
              <w:spacing w:after="0"/>
              <w:rPr>
                <w:sz w:val="20"/>
                <w:szCs w:val="20"/>
                <w:color w:val="auto"/>
              </w:rPr>
            </w:pPr>
          </w:p>
        </w:tc>
        <w:tc>
          <w:tcPr>
            <w:tcW w:w="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0" w:type="dxa"/>
            <w:vAlign w:val="bottom"/>
            <w:shd w:val="clear" w:color="auto" w:fill="E5FFFF"/>
          </w:tcPr>
          <w:p>
            <w:pPr>
              <w:spacing w:after="0"/>
              <w:rPr>
                <w:sz w:val="20"/>
                <w:szCs w:val="20"/>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254</w:t>
            </w:r>
          </w:p>
        </w:tc>
        <w:tc>
          <w:tcPr>
            <w:tcW w:w="980" w:type="dxa"/>
            <w:vAlign w:val="bottom"/>
            <w:tcBorders>
              <w:right w:val="single" w:sz="8" w:color="E5FFFF"/>
            </w:tcBorders>
            <w:gridSpan w:val="3"/>
            <w:shd w:val="clear" w:color="auto" w:fill="E5FFFF"/>
          </w:tcPr>
          <w:p>
            <w:pPr>
              <w:jc w:val="right"/>
              <w:ind w:right="375"/>
              <w:spacing w:after="0"/>
              <w:rPr>
                <w:sz w:val="20"/>
                <w:szCs w:val="20"/>
                <w:color w:val="auto"/>
              </w:rPr>
            </w:pPr>
            <w:r>
              <w:rPr>
                <w:rFonts w:ascii="Arial" w:cs="Arial" w:eastAsia="Arial" w:hAnsi="Arial"/>
                <w:sz w:val="19"/>
                <w:szCs w:val="19"/>
                <w:color w:val="auto"/>
              </w:rPr>
              <w:t>$</w:t>
            </w:r>
          </w:p>
        </w:tc>
        <w:tc>
          <w:tcPr>
            <w:tcW w:w="5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595</w:t>
            </w:r>
          </w:p>
        </w:tc>
      </w:tr>
      <w:tr>
        <w:trPr>
          <w:trHeight w:val="216"/>
        </w:trPr>
        <w:tc>
          <w:tcPr>
            <w:tcW w:w="5540" w:type="dxa"/>
            <w:vAlign w:val="bottom"/>
          </w:tcPr>
          <w:p>
            <w:pPr>
              <w:spacing w:after="0" w:line="216" w:lineRule="exact"/>
              <w:rPr>
                <w:sz w:val="20"/>
                <w:szCs w:val="20"/>
                <w:color w:val="auto"/>
              </w:rPr>
            </w:pPr>
            <w:r>
              <w:rPr>
                <w:rFonts w:ascii="Arial" w:cs="Arial" w:eastAsia="Arial" w:hAnsi="Arial"/>
                <w:sz w:val="19"/>
                <w:szCs w:val="19"/>
                <w:color w:val="auto"/>
              </w:rPr>
              <w:t>Actual return on plan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3"/>
        </w:trPr>
        <w:tc>
          <w:tcPr>
            <w:tcW w:w="5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Relating to assets still held at year-end</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34</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11</w:t>
            </w: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580" w:type="dxa"/>
            <w:vAlign w:val="bottom"/>
            <w:tcBorders>
              <w:right w:val="single" w:sz="8" w:color="E5FFFF"/>
            </w:tcBorders>
            <w:shd w:val="clear" w:color="auto" w:fill="E5FFFF"/>
          </w:tcPr>
          <w:p>
            <w:pPr>
              <w:spacing w:after="0"/>
              <w:rPr>
                <w:sz w:val="21"/>
                <w:szCs w:val="21"/>
                <w:color w:val="auto"/>
              </w:rPr>
            </w:pPr>
          </w:p>
        </w:tc>
        <w:tc>
          <w:tcPr>
            <w:tcW w:w="5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61</w:t>
            </w:r>
          </w:p>
        </w:tc>
      </w:tr>
      <w:tr>
        <w:trPr>
          <w:trHeight w:val="243"/>
        </w:trPr>
        <w:tc>
          <w:tcPr>
            <w:tcW w:w="5540" w:type="dxa"/>
            <w:vAlign w:val="bottom"/>
          </w:tcPr>
          <w:p>
            <w:pPr>
              <w:ind w:left="360"/>
              <w:spacing w:after="0"/>
              <w:rPr>
                <w:sz w:val="20"/>
                <w:szCs w:val="20"/>
                <w:color w:val="auto"/>
              </w:rPr>
            </w:pPr>
            <w:r>
              <w:rPr>
                <w:rFonts w:ascii="Arial" w:cs="Arial" w:eastAsia="Arial" w:hAnsi="Arial"/>
                <w:sz w:val="19"/>
                <w:szCs w:val="19"/>
                <w:color w:val="auto"/>
              </w:rPr>
              <w:t>Relating to assets sold during the year</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117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67"/>
              <w:spacing w:after="0"/>
              <w:rPr>
                <w:sz w:val="20"/>
                <w:szCs w:val="20"/>
                <w:color w:val="auto"/>
              </w:rPr>
            </w:pPr>
            <w:r>
              <w:rPr>
                <w:rFonts w:ascii="Arial" w:cs="Arial" w:eastAsia="Arial" w:hAnsi="Arial"/>
                <w:sz w:val="19"/>
                <w:szCs w:val="19"/>
                <w:color w:val="auto"/>
              </w:rPr>
              <w:t>1</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
              <w:spacing w:after="0"/>
              <w:rPr>
                <w:sz w:val="20"/>
                <w:szCs w:val="20"/>
                <w:color w:val="auto"/>
              </w:rPr>
            </w:pPr>
            <w:r>
              <w:rPr>
                <w:rFonts w:ascii="Arial" w:cs="Arial" w:eastAsia="Arial" w:hAnsi="Arial"/>
                <w:sz w:val="19"/>
                <w:szCs w:val="19"/>
                <w:color w:val="auto"/>
              </w:rPr>
              <w:t>22</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jc w:val="right"/>
              <w:ind w:right="43"/>
              <w:spacing w:after="0"/>
              <w:rPr>
                <w:sz w:val="20"/>
                <w:szCs w:val="20"/>
                <w:color w:val="auto"/>
              </w:rPr>
            </w:pPr>
            <w:r>
              <w:rPr>
                <w:rFonts w:ascii="Arial" w:cs="Arial" w:eastAsia="Arial" w:hAnsi="Arial"/>
                <w:sz w:val="19"/>
                <w:szCs w:val="19"/>
                <w:color w:val="auto"/>
              </w:rPr>
              <w:t>4</w:t>
            </w: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Purchases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94</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37</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9</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15</w:t>
            </w: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580" w:type="dxa"/>
            <w:vAlign w:val="bottom"/>
            <w:tcBorders>
              <w:right w:val="single" w:sz="8" w:color="E5FFFF"/>
            </w:tcBorders>
            <w:shd w:val="clear" w:color="auto" w:fill="E5FFFF"/>
          </w:tcPr>
          <w:p>
            <w:pPr>
              <w:spacing w:after="0"/>
              <w:rPr>
                <w:sz w:val="21"/>
                <w:szCs w:val="21"/>
                <w:color w:val="auto"/>
              </w:rPr>
            </w:pPr>
          </w:p>
        </w:tc>
        <w:tc>
          <w:tcPr>
            <w:tcW w:w="5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15</w:t>
            </w:r>
          </w:p>
        </w:tc>
      </w:tr>
      <w:tr>
        <w:trPr>
          <w:trHeight w:val="250"/>
        </w:trPr>
        <w:tc>
          <w:tcPr>
            <w:tcW w:w="5540" w:type="dxa"/>
            <w:vAlign w:val="bottom"/>
          </w:tcPr>
          <w:p>
            <w:pPr>
              <w:spacing w:after="0"/>
              <w:rPr>
                <w:sz w:val="20"/>
                <w:szCs w:val="20"/>
                <w:color w:val="auto"/>
              </w:rPr>
            </w:pPr>
            <w:r>
              <w:rPr>
                <w:rFonts w:ascii="Arial" w:cs="Arial" w:eastAsia="Arial" w:hAnsi="Arial"/>
                <w:sz w:val="19"/>
                <w:szCs w:val="19"/>
                <w:color w:val="auto"/>
              </w:rPr>
              <w:t>Sales and settlements</w:t>
            </w: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(243)</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(21)</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(44)</w:t>
            </w:r>
          </w:p>
        </w:tc>
        <w:tc>
          <w:tcPr>
            <w:tcW w:w="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w:t>
            </w: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2013</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1,058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278</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6</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237</w:t>
            </w: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580" w:type="dxa"/>
            <w:vAlign w:val="bottom"/>
            <w:tcBorders>
              <w:right w:val="single" w:sz="8" w:color="E5FFFF"/>
            </w:tcBorders>
            <w:shd w:val="clear" w:color="auto" w:fill="E5FFFF"/>
          </w:tcPr>
          <w:p>
            <w:pPr>
              <w:spacing w:after="0"/>
              <w:rPr>
                <w:sz w:val="21"/>
                <w:szCs w:val="21"/>
                <w:color w:val="auto"/>
              </w:rPr>
            </w:pPr>
          </w:p>
        </w:tc>
        <w:tc>
          <w:tcPr>
            <w:tcW w:w="5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627</w:t>
            </w:r>
          </w:p>
        </w:tc>
      </w:tr>
      <w:tr>
        <w:trPr>
          <w:trHeight w:val="216"/>
        </w:trPr>
        <w:tc>
          <w:tcPr>
            <w:tcW w:w="5540" w:type="dxa"/>
            <w:vAlign w:val="bottom"/>
          </w:tcPr>
          <w:p>
            <w:pPr>
              <w:spacing w:after="0" w:line="216" w:lineRule="exact"/>
              <w:rPr>
                <w:sz w:val="20"/>
                <w:szCs w:val="20"/>
                <w:color w:val="auto"/>
              </w:rPr>
            </w:pPr>
            <w:r>
              <w:rPr>
                <w:rFonts w:ascii="Arial" w:cs="Arial" w:eastAsia="Arial" w:hAnsi="Arial"/>
                <w:sz w:val="19"/>
                <w:szCs w:val="19"/>
                <w:color w:val="auto"/>
              </w:rPr>
              <w:t>Actual return on plan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3"/>
        </w:trPr>
        <w:tc>
          <w:tcPr>
            <w:tcW w:w="5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Relating to assets still held at year-end</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(10)</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21</w:t>
            </w: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580" w:type="dxa"/>
            <w:vAlign w:val="bottom"/>
            <w:tcBorders>
              <w:right w:val="single" w:sz="8" w:color="E5FFFF"/>
            </w:tcBorders>
            <w:shd w:val="clear" w:color="auto" w:fill="E5FFFF"/>
          </w:tcPr>
          <w:p>
            <w:pPr>
              <w:spacing w:after="0"/>
              <w:rPr>
                <w:sz w:val="21"/>
                <w:szCs w:val="21"/>
                <w:color w:val="auto"/>
              </w:rPr>
            </w:pPr>
          </w:p>
        </w:tc>
        <w:tc>
          <w:tcPr>
            <w:tcW w:w="5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10</w:t>
            </w:r>
          </w:p>
        </w:tc>
      </w:tr>
      <w:tr>
        <w:trPr>
          <w:trHeight w:val="243"/>
        </w:trPr>
        <w:tc>
          <w:tcPr>
            <w:tcW w:w="5540" w:type="dxa"/>
            <w:vAlign w:val="bottom"/>
          </w:tcPr>
          <w:p>
            <w:pPr>
              <w:ind w:left="360"/>
              <w:spacing w:after="0"/>
              <w:rPr>
                <w:sz w:val="20"/>
                <w:szCs w:val="20"/>
                <w:color w:val="auto"/>
              </w:rPr>
            </w:pPr>
            <w:r>
              <w:rPr>
                <w:rFonts w:ascii="Arial" w:cs="Arial" w:eastAsia="Arial" w:hAnsi="Arial"/>
                <w:sz w:val="19"/>
                <w:szCs w:val="19"/>
                <w:color w:val="auto"/>
              </w:rPr>
              <w:t>Relating to assets sold during the year</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94</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67"/>
              <w:spacing w:after="0"/>
              <w:rPr>
                <w:sz w:val="20"/>
                <w:szCs w:val="20"/>
                <w:color w:val="auto"/>
              </w:rPr>
            </w:pPr>
            <w:r>
              <w:rPr>
                <w:rFonts w:ascii="Arial" w:cs="Arial" w:eastAsia="Arial" w:hAnsi="Arial"/>
                <w:sz w:val="19"/>
                <w:szCs w:val="19"/>
                <w:color w:val="auto"/>
              </w:rPr>
              <w:t>59</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
              <w:spacing w:after="0"/>
              <w:rPr>
                <w:sz w:val="20"/>
                <w:szCs w:val="20"/>
                <w:color w:val="auto"/>
              </w:rPr>
            </w:pPr>
            <w:r>
              <w:rPr>
                <w:rFonts w:ascii="Arial" w:cs="Arial" w:eastAsia="Arial" w:hAnsi="Arial"/>
                <w:sz w:val="19"/>
                <w:szCs w:val="19"/>
                <w:color w:val="auto"/>
              </w:rPr>
              <w:t>2</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jc w:val="right"/>
              <w:ind w:right="43"/>
              <w:spacing w:after="0"/>
              <w:rPr>
                <w:sz w:val="20"/>
                <w:szCs w:val="20"/>
                <w:color w:val="auto"/>
              </w:rPr>
            </w:pPr>
            <w:r>
              <w:rPr>
                <w:rFonts w:ascii="Arial" w:cs="Arial" w:eastAsia="Arial" w:hAnsi="Arial"/>
                <w:sz w:val="19"/>
                <w:szCs w:val="19"/>
                <w:color w:val="auto"/>
              </w:rPr>
              <w:t>53</w:t>
            </w: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Purchases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168</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67"/>
              <w:spacing w:after="0"/>
              <w:rPr>
                <w:sz w:val="20"/>
                <w:szCs w:val="20"/>
                <w:color w:val="auto"/>
              </w:rPr>
            </w:pPr>
            <w:r>
              <w:rPr>
                <w:rFonts w:ascii="Arial" w:cs="Arial" w:eastAsia="Arial" w:hAnsi="Arial"/>
                <w:sz w:val="19"/>
                <w:szCs w:val="19"/>
                <w:color w:val="auto"/>
              </w:rPr>
              <w:t>92</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rPr>
              <w:t>3</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8</w:t>
            </w:r>
          </w:p>
        </w:tc>
        <w:tc>
          <w:tcPr>
            <w:tcW w:w="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580" w:type="dxa"/>
            <w:vAlign w:val="bottom"/>
            <w:tcBorders>
              <w:right w:val="single" w:sz="8" w:color="E5FFFF"/>
            </w:tcBorders>
            <w:shd w:val="clear" w:color="auto" w:fill="E5FFFF"/>
          </w:tcPr>
          <w:p>
            <w:pPr>
              <w:spacing w:after="0"/>
              <w:rPr>
                <w:sz w:val="21"/>
                <w:szCs w:val="21"/>
                <w:color w:val="auto"/>
              </w:rPr>
            </w:pPr>
          </w:p>
        </w:tc>
        <w:tc>
          <w:tcPr>
            <w:tcW w:w="5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38</w:t>
            </w:r>
          </w:p>
        </w:tc>
      </w:tr>
      <w:tr>
        <w:trPr>
          <w:trHeight w:val="250"/>
        </w:trPr>
        <w:tc>
          <w:tcPr>
            <w:tcW w:w="5540" w:type="dxa"/>
            <w:vAlign w:val="bottom"/>
          </w:tcPr>
          <w:p>
            <w:pPr>
              <w:spacing w:after="0"/>
              <w:rPr>
                <w:sz w:val="20"/>
                <w:szCs w:val="20"/>
                <w:color w:val="auto"/>
              </w:rPr>
            </w:pPr>
            <w:r>
              <w:rPr>
                <w:rFonts w:ascii="Arial" w:cs="Arial" w:eastAsia="Arial" w:hAnsi="Arial"/>
                <w:sz w:val="19"/>
                <w:szCs w:val="19"/>
                <w:color w:val="auto"/>
              </w:rPr>
              <w:t>Sales and settlements</w:t>
            </w: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(271)</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(118)</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color w:val="auto"/>
              </w:rPr>
              <w:t>(40)</w:t>
            </w:r>
          </w:p>
        </w:tc>
        <w:tc>
          <w:tcPr>
            <w:tcW w:w="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(128)</w:t>
            </w: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2014</w:t>
            </w:r>
          </w:p>
        </w:tc>
        <w:tc>
          <w:tcPr>
            <w:tcW w:w="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999</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040" w:type="dxa"/>
            <w:vAlign w:val="bottom"/>
            <w:tcBorders>
              <w:bottom w:val="single" w:sz="8" w:color="auto"/>
            </w:tcBorders>
            <w:shd w:val="clear" w:color="auto" w:fill="E5FFFF"/>
          </w:tcPr>
          <w:p>
            <w:pPr>
              <w:jc w:val="right"/>
              <w:ind w:right="67"/>
              <w:spacing w:after="0"/>
              <w:rPr>
                <w:sz w:val="20"/>
                <w:szCs w:val="20"/>
                <w:color w:val="auto"/>
              </w:rPr>
            </w:pPr>
            <w:r>
              <w:rPr>
                <w:rFonts w:ascii="Arial" w:cs="Arial" w:eastAsia="Arial" w:hAnsi="Arial"/>
                <w:sz w:val="19"/>
                <w:szCs w:val="19"/>
                <w:color w:val="auto"/>
              </w:rPr>
              <w:t>301</w:t>
            </w:r>
          </w:p>
        </w:tc>
        <w:tc>
          <w:tcPr>
            <w:tcW w:w="300" w:type="dxa"/>
            <w:vAlign w:val="bottom"/>
            <w:gridSpan w:val="2"/>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w:t>
            </w:r>
          </w:p>
        </w:tc>
        <w:tc>
          <w:tcPr>
            <w:tcW w:w="420" w:type="dxa"/>
            <w:vAlign w:val="bottom"/>
            <w:tcBorders>
              <w:bottom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3</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400" w:type="dxa"/>
            <w:vAlign w:val="bottom"/>
            <w:tcBorders>
              <w:bottom w:val="single" w:sz="8" w:color="auto"/>
            </w:tcBorders>
            <w:shd w:val="clear" w:color="auto" w:fill="E5FFFF"/>
          </w:tcPr>
          <w:p>
            <w:pPr>
              <w:spacing w:after="0"/>
              <w:rPr>
                <w:sz w:val="21"/>
                <w:szCs w:val="21"/>
                <w:color w:val="auto"/>
              </w:rPr>
            </w:pPr>
          </w:p>
        </w:tc>
        <w:tc>
          <w:tcPr>
            <w:tcW w:w="44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9"/>
                <w:szCs w:val="19"/>
                <w:color w:val="auto"/>
              </w:rPr>
              <w:t>226</w:t>
            </w:r>
          </w:p>
        </w:tc>
        <w:tc>
          <w:tcPr>
            <w:tcW w:w="80" w:type="dxa"/>
            <w:vAlign w:val="bottom"/>
            <w:tcBorders>
              <w:bottom w:val="single" w:sz="8" w:color="auto"/>
            </w:tcBorders>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580" w:type="dxa"/>
            <w:vAlign w:val="bottom"/>
            <w:tcBorders>
              <w:bottom w:val="single" w:sz="8" w:color="auto"/>
              <w:right w:val="single" w:sz="8" w:color="E5FFFF"/>
            </w:tcBorders>
            <w:shd w:val="clear" w:color="auto" w:fill="E5FFFF"/>
          </w:tcPr>
          <w:p>
            <w:pPr>
              <w:jc w:val="right"/>
              <w:ind w:right="375"/>
              <w:spacing w:after="0"/>
              <w:rPr>
                <w:sz w:val="20"/>
                <w:szCs w:val="20"/>
                <w:color w:val="auto"/>
              </w:rPr>
            </w:pPr>
            <w:r>
              <w:rPr>
                <w:rFonts w:ascii="Arial" w:cs="Arial" w:eastAsia="Arial" w:hAnsi="Arial"/>
                <w:sz w:val="19"/>
                <w:szCs w:val="19"/>
                <w:color w:val="auto"/>
                <w:w w:val="94"/>
              </w:rPr>
              <w:t>$</w:t>
            </w:r>
          </w:p>
        </w:tc>
        <w:tc>
          <w:tcPr>
            <w:tcW w:w="520" w:type="dxa"/>
            <w:vAlign w:val="bottom"/>
            <w:tcBorders>
              <w:bottom w:val="single" w:sz="8" w:color="auto"/>
            </w:tcBorders>
            <w:shd w:val="clear" w:color="auto" w:fill="E5FFFF"/>
          </w:tcPr>
          <w:p>
            <w:pPr>
              <w:jc w:val="right"/>
              <w:ind w:right="43"/>
              <w:spacing w:after="0"/>
              <w:rPr>
                <w:sz w:val="20"/>
                <w:szCs w:val="20"/>
                <w:color w:val="auto"/>
              </w:rPr>
            </w:pPr>
            <w:r>
              <w:rPr>
                <w:rFonts w:ascii="Arial" w:cs="Arial" w:eastAsia="Arial" w:hAnsi="Arial"/>
                <w:sz w:val="19"/>
                <w:szCs w:val="19"/>
                <w:color w:val="auto"/>
              </w:rPr>
              <w:t>600</w:t>
            </w: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440"/>
        </w:trPr>
        <w:tc>
          <w:tcPr>
            <w:tcW w:w="5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jc w:val="center"/>
              <w:ind w:right="795"/>
              <w:spacing w:after="0"/>
              <w:rPr>
                <w:sz w:val="20"/>
                <w:szCs w:val="20"/>
                <w:color w:val="auto"/>
              </w:rPr>
            </w:pPr>
            <w:r>
              <w:rPr>
                <w:rFonts w:ascii="Arial" w:cs="Arial" w:eastAsia="Arial" w:hAnsi="Arial"/>
                <w:sz w:val="16"/>
                <w:szCs w:val="16"/>
                <w:b w:val="1"/>
                <w:bCs w:val="1"/>
                <w:color w:val="auto"/>
                <w:w w:val="99"/>
              </w:rPr>
              <w:t>Non-U.S. Plans</w:t>
            </w:r>
          </w:p>
        </w:tc>
        <w:tc>
          <w:tcPr>
            <w:tcW w:w="520" w:type="dxa"/>
            <w:vAlign w:val="bottom"/>
          </w:tcPr>
          <w:p>
            <w:pPr>
              <w:spacing w:after="0"/>
              <w:rPr>
                <w:sz w:val="24"/>
                <w:szCs w:val="24"/>
                <w:color w:val="auto"/>
              </w:rPr>
            </w:pPr>
          </w:p>
        </w:tc>
      </w:tr>
      <w:tr>
        <w:trPr>
          <w:trHeight w:val="155"/>
        </w:trPr>
        <w:tc>
          <w:tcPr>
            <w:tcW w:w="5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rPr>
              <w:t>Private</w:t>
            </w:r>
          </w:p>
        </w:tc>
        <w:tc>
          <w:tcPr>
            <w:tcW w:w="4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Hedge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right"/>
              <w:ind w:right="35"/>
              <w:spacing w:after="0" w:line="155" w:lineRule="exact"/>
              <w:rPr>
                <w:sz w:val="20"/>
                <w:szCs w:val="20"/>
                <w:color w:val="auto"/>
              </w:rPr>
            </w:pPr>
            <w:r>
              <w:rPr>
                <w:rFonts w:ascii="Arial" w:cs="Arial" w:eastAsia="Arial" w:hAnsi="Arial"/>
                <w:sz w:val="16"/>
                <w:szCs w:val="16"/>
                <w:b w:val="1"/>
                <w:bCs w:val="1"/>
                <w:color w:val="auto"/>
                <w:w w:val="97"/>
              </w:rPr>
              <w:t>Real Estate</w:t>
            </w:r>
          </w:p>
        </w:tc>
        <w:tc>
          <w:tcPr>
            <w:tcW w:w="520" w:type="dxa"/>
            <w:vAlign w:val="bottom"/>
          </w:tcPr>
          <w:p>
            <w:pPr>
              <w:spacing w:after="0"/>
              <w:rPr>
                <w:sz w:val="13"/>
                <w:szCs w:val="13"/>
                <w:color w:val="auto"/>
              </w:rPr>
            </w:pPr>
          </w:p>
        </w:tc>
      </w:tr>
      <w:tr>
        <w:trPr>
          <w:trHeight w:val="190"/>
        </w:trPr>
        <w:tc>
          <w:tcPr>
            <w:tcW w:w="5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Funds</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Funds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35"/>
              <w:spacing w:after="0"/>
              <w:rPr>
                <w:sz w:val="20"/>
                <w:szCs w:val="20"/>
                <w:color w:val="auto"/>
              </w:rPr>
            </w:pPr>
            <w:r>
              <w:rPr>
                <w:rFonts w:ascii="Arial" w:cs="Arial" w:eastAsia="Arial" w:hAnsi="Arial"/>
                <w:sz w:val="16"/>
                <w:szCs w:val="16"/>
                <w:b w:val="1"/>
                <w:bCs w:val="1"/>
                <w:color w:val="auto"/>
              </w:rPr>
              <w:t>Funds</w:t>
            </w:r>
          </w:p>
        </w:tc>
        <w:tc>
          <w:tcPr>
            <w:tcW w:w="520" w:type="dxa"/>
            <w:vAlign w:val="bottom"/>
          </w:tcPr>
          <w:p>
            <w:pPr>
              <w:spacing w:after="0"/>
              <w:rPr>
                <w:sz w:val="16"/>
                <w:szCs w:val="16"/>
                <w:color w:val="auto"/>
              </w:rPr>
            </w:pPr>
          </w:p>
        </w:tc>
      </w:tr>
      <w:tr>
        <w:trPr>
          <w:trHeight w:val="237"/>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2012</w:t>
            </w:r>
          </w:p>
        </w:tc>
        <w:tc>
          <w:tcPr>
            <w:tcW w:w="140" w:type="dxa"/>
            <w:vAlign w:val="bottom"/>
            <w:shd w:val="clear" w:color="auto" w:fill="E5FFFF"/>
          </w:tcPr>
          <w:p>
            <w:pPr>
              <w:spacing w:after="0"/>
              <w:rPr>
                <w:sz w:val="20"/>
                <w:szCs w:val="20"/>
                <w:color w:val="auto"/>
              </w:rPr>
            </w:pPr>
          </w:p>
        </w:tc>
        <w:tc>
          <w:tcPr>
            <w:tcW w:w="60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040" w:type="dxa"/>
            <w:vAlign w:val="bottom"/>
            <w:shd w:val="clear" w:color="auto" w:fill="E5FFFF"/>
          </w:tcPr>
          <w:p>
            <w:pPr>
              <w:spacing w:after="0"/>
              <w:rPr>
                <w:sz w:val="20"/>
                <w:szCs w:val="20"/>
                <w:color w:val="auto"/>
              </w:rPr>
            </w:pPr>
          </w:p>
        </w:tc>
        <w:tc>
          <w:tcPr>
            <w:tcW w:w="880" w:type="dxa"/>
            <w:vAlign w:val="bottom"/>
            <w:gridSpan w:val="4"/>
            <w:shd w:val="clear" w:color="auto" w:fill="E5FFFF"/>
          </w:tcPr>
          <w:p>
            <w:pPr>
              <w:jc w:val="right"/>
              <w:spacing w:after="0"/>
              <w:rPr>
                <w:sz w:val="20"/>
                <w:szCs w:val="20"/>
                <w:color w:val="auto"/>
              </w:rPr>
            </w:pPr>
            <w:r>
              <w:rPr>
                <w:rFonts w:ascii="Arial" w:cs="Arial" w:eastAsia="Arial" w:hAnsi="Arial"/>
                <w:sz w:val="19"/>
                <w:szCs w:val="19"/>
                <w:color w:val="auto"/>
              </w:rPr>
              <w:t>$ 136</w:t>
            </w:r>
          </w:p>
        </w:tc>
        <w:tc>
          <w:tcPr>
            <w:tcW w:w="260" w:type="dxa"/>
            <w:vAlign w:val="bottom"/>
            <w:shd w:val="clear" w:color="auto" w:fill="E5FFFF"/>
          </w:tcPr>
          <w:p>
            <w:pPr>
              <w:spacing w:after="0"/>
              <w:rPr>
                <w:sz w:val="20"/>
                <w:szCs w:val="20"/>
                <w:color w:val="auto"/>
              </w:rPr>
            </w:pPr>
          </w:p>
        </w:tc>
        <w:tc>
          <w:tcPr>
            <w:tcW w:w="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tcBorders>
              <w:right w:val="single" w:sz="8" w:color="E5FFFF"/>
            </w:tcBorders>
            <w:gridSpan w:val="3"/>
            <w:shd w:val="clear" w:color="auto" w:fill="E5FFFF"/>
          </w:tcPr>
          <w:p>
            <w:pPr>
              <w:jc w:val="right"/>
              <w:ind w:right="75"/>
              <w:spacing w:after="0"/>
              <w:rPr>
                <w:sz w:val="20"/>
                <w:szCs w:val="20"/>
                <w:color w:val="auto"/>
              </w:rPr>
            </w:pPr>
            <w:r>
              <w:rPr>
                <w:rFonts w:ascii="Arial" w:cs="Arial" w:eastAsia="Arial" w:hAnsi="Arial"/>
                <w:sz w:val="19"/>
                <w:szCs w:val="19"/>
                <w:color w:val="auto"/>
              </w:rPr>
              <w:t>157</w:t>
            </w:r>
          </w:p>
        </w:tc>
        <w:tc>
          <w:tcPr>
            <w:tcW w:w="520" w:type="dxa"/>
            <w:vAlign w:val="bottom"/>
          </w:tcPr>
          <w:p>
            <w:pPr>
              <w:spacing w:after="0"/>
              <w:rPr>
                <w:sz w:val="20"/>
                <w:szCs w:val="20"/>
                <w:color w:val="auto"/>
              </w:rPr>
            </w:pPr>
          </w:p>
        </w:tc>
      </w:tr>
      <w:tr>
        <w:trPr>
          <w:trHeight w:val="216"/>
        </w:trPr>
        <w:tc>
          <w:tcPr>
            <w:tcW w:w="5540" w:type="dxa"/>
            <w:vAlign w:val="bottom"/>
          </w:tcPr>
          <w:p>
            <w:pPr>
              <w:spacing w:after="0" w:line="216" w:lineRule="exact"/>
              <w:rPr>
                <w:sz w:val="20"/>
                <w:szCs w:val="20"/>
                <w:color w:val="auto"/>
              </w:rPr>
            </w:pPr>
            <w:r>
              <w:rPr>
                <w:rFonts w:ascii="Arial" w:cs="Arial" w:eastAsia="Arial" w:hAnsi="Arial"/>
                <w:sz w:val="19"/>
                <w:szCs w:val="19"/>
                <w:color w:val="auto"/>
              </w:rPr>
              <w:t>Actual return on plan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3"/>
        </w:trPr>
        <w:tc>
          <w:tcPr>
            <w:tcW w:w="5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Relating to assets still held at year-end</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tcBorders>
              <w:right w:val="single" w:sz="8" w:color="E5FFFF"/>
            </w:tcBorders>
            <w:gridSpan w:val="3"/>
            <w:shd w:val="clear" w:color="auto" w:fill="E5FFFF"/>
          </w:tcPr>
          <w:p>
            <w:pPr>
              <w:jc w:val="right"/>
              <w:ind w:right="75"/>
              <w:spacing w:after="0"/>
              <w:rPr>
                <w:sz w:val="20"/>
                <w:szCs w:val="20"/>
                <w:color w:val="auto"/>
              </w:rPr>
            </w:pPr>
            <w:r>
              <w:rPr>
                <w:rFonts w:ascii="Arial" w:cs="Arial" w:eastAsia="Arial" w:hAnsi="Arial"/>
                <w:sz w:val="19"/>
                <w:szCs w:val="19"/>
                <w:color w:val="auto"/>
              </w:rPr>
              <w:t>18</w:t>
            </w:r>
          </w:p>
        </w:tc>
        <w:tc>
          <w:tcPr>
            <w:tcW w:w="520" w:type="dxa"/>
            <w:vAlign w:val="bottom"/>
          </w:tcPr>
          <w:p>
            <w:pPr>
              <w:spacing w:after="0"/>
              <w:rPr>
                <w:sz w:val="21"/>
                <w:szCs w:val="21"/>
                <w:color w:val="auto"/>
              </w:rPr>
            </w:pPr>
          </w:p>
        </w:tc>
      </w:tr>
      <w:tr>
        <w:trPr>
          <w:trHeight w:val="243"/>
        </w:trPr>
        <w:tc>
          <w:tcPr>
            <w:tcW w:w="5540" w:type="dxa"/>
            <w:vAlign w:val="bottom"/>
          </w:tcPr>
          <w:p>
            <w:pPr>
              <w:ind w:left="360"/>
              <w:spacing w:after="0"/>
              <w:rPr>
                <w:sz w:val="20"/>
                <w:szCs w:val="20"/>
                <w:color w:val="auto"/>
              </w:rPr>
            </w:pPr>
            <w:r>
              <w:rPr>
                <w:rFonts w:ascii="Arial" w:cs="Arial" w:eastAsia="Arial" w:hAnsi="Arial"/>
                <w:sz w:val="19"/>
                <w:szCs w:val="19"/>
                <w:color w:val="auto"/>
              </w:rPr>
              <w:t>Relating to assets sold during the year</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3</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5"/>
              <w:spacing w:after="0"/>
              <w:rPr>
                <w:sz w:val="20"/>
                <w:szCs w:val="20"/>
                <w:color w:val="auto"/>
              </w:rPr>
            </w:pPr>
            <w:r>
              <w:rPr>
                <w:rFonts w:ascii="Arial" w:cs="Arial" w:eastAsia="Arial" w:hAnsi="Arial"/>
                <w:sz w:val="19"/>
                <w:szCs w:val="19"/>
                <w:color w:val="auto"/>
              </w:rPr>
              <w:t>(1)</w:t>
            </w:r>
          </w:p>
        </w:tc>
        <w:tc>
          <w:tcPr>
            <w:tcW w:w="520" w:type="dxa"/>
            <w:vAlign w:val="bottom"/>
          </w:tcPr>
          <w:p>
            <w:pPr>
              <w:spacing w:after="0"/>
              <w:rPr>
                <w:sz w:val="21"/>
                <w:szCs w:val="21"/>
                <w:color w:val="auto"/>
              </w:rPr>
            </w:pP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Purchases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tcBorders>
              <w:right w:val="single" w:sz="8" w:color="E5FFFF"/>
            </w:tcBorders>
            <w:gridSpan w:val="3"/>
            <w:shd w:val="clear" w:color="auto" w:fill="E5FFFF"/>
          </w:tcPr>
          <w:p>
            <w:pPr>
              <w:jc w:val="right"/>
              <w:ind w:right="75"/>
              <w:spacing w:after="0"/>
              <w:rPr>
                <w:sz w:val="20"/>
                <w:szCs w:val="20"/>
                <w:color w:val="auto"/>
              </w:rPr>
            </w:pPr>
            <w:r>
              <w:rPr>
                <w:rFonts w:ascii="Arial" w:cs="Arial" w:eastAsia="Arial" w:hAnsi="Arial"/>
                <w:sz w:val="19"/>
                <w:szCs w:val="19"/>
                <w:color w:val="auto"/>
              </w:rPr>
              <w:t>12</w:t>
            </w:r>
          </w:p>
        </w:tc>
        <w:tc>
          <w:tcPr>
            <w:tcW w:w="520" w:type="dxa"/>
            <w:vAlign w:val="bottom"/>
          </w:tcPr>
          <w:p>
            <w:pPr>
              <w:spacing w:after="0"/>
              <w:rPr>
                <w:sz w:val="21"/>
                <w:szCs w:val="2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9"/>
                <w:szCs w:val="19"/>
                <w:color w:val="auto"/>
              </w:rPr>
              <w:t>Sales and settlements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(70)</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9"/>
                <w:szCs w:val="19"/>
                <w:color w:val="auto"/>
              </w:rPr>
              <w:t>(5)</w:t>
            </w:r>
          </w:p>
        </w:tc>
        <w:tc>
          <w:tcPr>
            <w:tcW w:w="520" w:type="dxa"/>
            <w:vAlign w:val="bottom"/>
          </w:tcPr>
          <w:p>
            <w:pPr>
              <w:spacing w:after="0"/>
              <w:rPr>
                <w:sz w:val="21"/>
                <w:szCs w:val="21"/>
                <w:color w:val="auto"/>
              </w:rPr>
            </w:pP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2013</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67</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tcBorders>
              <w:right w:val="single" w:sz="8" w:color="E5FFFF"/>
            </w:tcBorders>
            <w:gridSpan w:val="3"/>
            <w:shd w:val="clear" w:color="auto" w:fill="E5FFFF"/>
          </w:tcPr>
          <w:p>
            <w:pPr>
              <w:jc w:val="right"/>
              <w:ind w:right="75"/>
              <w:spacing w:after="0"/>
              <w:rPr>
                <w:sz w:val="20"/>
                <w:szCs w:val="20"/>
                <w:color w:val="auto"/>
              </w:rPr>
            </w:pPr>
            <w:r>
              <w:rPr>
                <w:rFonts w:ascii="Arial" w:cs="Arial" w:eastAsia="Arial" w:hAnsi="Arial"/>
                <w:sz w:val="19"/>
                <w:szCs w:val="19"/>
                <w:color w:val="auto"/>
              </w:rPr>
              <w:t>181</w:t>
            </w:r>
          </w:p>
        </w:tc>
        <w:tc>
          <w:tcPr>
            <w:tcW w:w="520" w:type="dxa"/>
            <w:vAlign w:val="bottom"/>
          </w:tcPr>
          <w:p>
            <w:pPr>
              <w:spacing w:after="0"/>
              <w:rPr>
                <w:sz w:val="21"/>
                <w:szCs w:val="21"/>
                <w:color w:val="auto"/>
              </w:rPr>
            </w:pPr>
          </w:p>
        </w:tc>
      </w:tr>
      <w:tr>
        <w:trPr>
          <w:trHeight w:val="216"/>
        </w:trPr>
        <w:tc>
          <w:tcPr>
            <w:tcW w:w="5540" w:type="dxa"/>
            <w:vAlign w:val="bottom"/>
          </w:tcPr>
          <w:p>
            <w:pPr>
              <w:spacing w:after="0" w:line="216" w:lineRule="exact"/>
              <w:rPr>
                <w:sz w:val="20"/>
                <w:szCs w:val="20"/>
                <w:color w:val="auto"/>
              </w:rPr>
            </w:pPr>
            <w:r>
              <w:rPr>
                <w:rFonts w:ascii="Arial" w:cs="Arial" w:eastAsia="Arial" w:hAnsi="Arial"/>
                <w:sz w:val="19"/>
                <w:szCs w:val="19"/>
                <w:color w:val="auto"/>
              </w:rPr>
              <w:t>Actual return on plan assets: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3"/>
        </w:trPr>
        <w:tc>
          <w:tcPr>
            <w:tcW w:w="55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Relating to assets still held at year-end</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w:t>
            </w: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tcBorders>
              <w:right w:val="single" w:sz="8" w:color="E5FFFF"/>
            </w:tcBorders>
            <w:gridSpan w:val="3"/>
            <w:shd w:val="clear" w:color="auto" w:fill="E5FFFF"/>
          </w:tcPr>
          <w:p>
            <w:pPr>
              <w:jc w:val="right"/>
              <w:ind w:right="75"/>
              <w:spacing w:after="0"/>
              <w:rPr>
                <w:sz w:val="20"/>
                <w:szCs w:val="20"/>
                <w:color w:val="auto"/>
              </w:rPr>
            </w:pPr>
            <w:r>
              <w:rPr>
                <w:rFonts w:ascii="Arial" w:cs="Arial" w:eastAsia="Arial" w:hAnsi="Arial"/>
                <w:sz w:val="19"/>
                <w:szCs w:val="19"/>
                <w:color w:val="auto"/>
              </w:rPr>
              <w:t>17</w:t>
            </w:r>
          </w:p>
        </w:tc>
        <w:tc>
          <w:tcPr>
            <w:tcW w:w="520" w:type="dxa"/>
            <w:vAlign w:val="bottom"/>
          </w:tcPr>
          <w:p>
            <w:pPr>
              <w:spacing w:after="0"/>
              <w:rPr>
                <w:sz w:val="21"/>
                <w:szCs w:val="21"/>
                <w:color w:val="auto"/>
              </w:rPr>
            </w:pPr>
          </w:p>
        </w:tc>
      </w:tr>
      <w:tr>
        <w:trPr>
          <w:trHeight w:val="243"/>
        </w:trPr>
        <w:tc>
          <w:tcPr>
            <w:tcW w:w="5540" w:type="dxa"/>
            <w:vAlign w:val="bottom"/>
          </w:tcPr>
          <w:p>
            <w:pPr>
              <w:ind w:left="360"/>
              <w:spacing w:after="0"/>
              <w:rPr>
                <w:sz w:val="20"/>
                <w:szCs w:val="20"/>
                <w:color w:val="auto"/>
              </w:rPr>
            </w:pPr>
            <w:r>
              <w:rPr>
                <w:rFonts w:ascii="Arial" w:cs="Arial" w:eastAsia="Arial" w:hAnsi="Arial"/>
                <w:sz w:val="19"/>
                <w:szCs w:val="19"/>
                <w:color w:val="auto"/>
              </w:rPr>
              <w:t>Relating to assets sold during the year</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9"/>
                <w:szCs w:val="19"/>
                <w:color w:val="auto"/>
              </w:rPr>
              <w:t>6</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9"/>
                <w:szCs w:val="19"/>
                <w:color w:val="auto"/>
              </w:rPr>
              <w:t>12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75"/>
              <w:spacing w:after="0"/>
              <w:rPr>
                <w:sz w:val="20"/>
                <w:szCs w:val="20"/>
                <w:color w:val="auto"/>
              </w:rPr>
            </w:pPr>
            <w:r>
              <w:rPr>
                <w:rFonts w:ascii="Arial" w:cs="Arial" w:eastAsia="Arial" w:hAnsi="Arial"/>
                <w:sz w:val="19"/>
                <w:szCs w:val="19"/>
                <w:color w:val="auto"/>
              </w:rPr>
              <w:t>1</w:t>
            </w:r>
          </w:p>
        </w:tc>
        <w:tc>
          <w:tcPr>
            <w:tcW w:w="520" w:type="dxa"/>
            <w:vAlign w:val="bottom"/>
          </w:tcPr>
          <w:p>
            <w:pPr>
              <w:spacing w:after="0"/>
              <w:rPr>
                <w:sz w:val="21"/>
                <w:szCs w:val="21"/>
                <w:color w:val="auto"/>
              </w:rPr>
            </w:pP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Purchases</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80" w:type="dxa"/>
            <w:vAlign w:val="bottom"/>
            <w:gridSpan w:val="2"/>
            <w:shd w:val="clear" w:color="auto" w:fill="E5FFFF"/>
          </w:tcPr>
          <w:p>
            <w:pPr>
              <w:jc w:val="right"/>
              <w:ind w:right="340"/>
              <w:spacing w:after="0"/>
              <w:rPr>
                <w:sz w:val="20"/>
                <w:szCs w:val="20"/>
                <w:color w:val="auto"/>
              </w:rPr>
            </w:pPr>
            <w:r>
              <w:rPr>
                <w:rFonts w:ascii="Arial" w:cs="Arial" w:eastAsia="Arial" w:hAnsi="Arial"/>
                <w:sz w:val="19"/>
                <w:szCs w:val="19"/>
                <w:color w:val="auto"/>
              </w:rPr>
              <w:t>—</w:t>
            </w:r>
          </w:p>
        </w:tc>
        <w:tc>
          <w:tcPr>
            <w:tcW w:w="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80" w:type="dxa"/>
            <w:vAlign w:val="bottom"/>
            <w:tcBorders>
              <w:right w:val="single" w:sz="8" w:color="E5FFFF"/>
            </w:tcBorders>
            <w:gridSpan w:val="3"/>
            <w:shd w:val="clear" w:color="auto" w:fill="E5FFFF"/>
          </w:tcPr>
          <w:p>
            <w:pPr>
              <w:jc w:val="right"/>
              <w:ind w:right="75"/>
              <w:spacing w:after="0"/>
              <w:rPr>
                <w:sz w:val="20"/>
                <w:szCs w:val="20"/>
                <w:color w:val="auto"/>
              </w:rPr>
            </w:pPr>
            <w:r>
              <w:rPr>
                <w:rFonts w:ascii="Arial" w:cs="Arial" w:eastAsia="Arial" w:hAnsi="Arial"/>
                <w:sz w:val="19"/>
                <w:szCs w:val="19"/>
                <w:color w:val="auto"/>
              </w:rPr>
              <w:t>4</w:t>
            </w:r>
          </w:p>
        </w:tc>
        <w:tc>
          <w:tcPr>
            <w:tcW w:w="520" w:type="dxa"/>
            <w:vAlign w:val="bottom"/>
          </w:tcPr>
          <w:p>
            <w:pPr>
              <w:spacing w:after="0"/>
              <w:rPr>
                <w:sz w:val="21"/>
                <w:szCs w:val="2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9"/>
                <w:szCs w:val="19"/>
                <w:color w:val="auto"/>
              </w:rPr>
              <w:t>Sales and settlements</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(61)</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9"/>
                <w:szCs w:val="19"/>
                <w:color w:val="auto"/>
              </w:rPr>
              <w:t>(18)</w:t>
            </w:r>
          </w:p>
        </w:tc>
        <w:tc>
          <w:tcPr>
            <w:tcW w:w="520" w:type="dxa"/>
            <w:vAlign w:val="bottom"/>
          </w:tcPr>
          <w:p>
            <w:pPr>
              <w:spacing w:after="0"/>
              <w:rPr>
                <w:sz w:val="21"/>
                <w:szCs w:val="21"/>
                <w:color w:val="auto"/>
              </w:rPr>
            </w:pPr>
          </w:p>
        </w:tc>
      </w:tr>
      <w:tr>
        <w:trPr>
          <w:trHeight w:val="243"/>
        </w:trPr>
        <w:tc>
          <w:tcPr>
            <w:tcW w:w="5540" w:type="dxa"/>
            <w:vAlign w:val="bottom"/>
            <w:shd w:val="clear" w:color="auto" w:fill="E5FFFF"/>
          </w:tcPr>
          <w:p>
            <w:pPr>
              <w:spacing w:after="0"/>
              <w:rPr>
                <w:sz w:val="20"/>
                <w:szCs w:val="20"/>
                <w:color w:val="auto"/>
              </w:rPr>
            </w:pPr>
            <w:r>
              <w:rPr>
                <w:rFonts w:ascii="Arial" w:cs="Arial" w:eastAsia="Arial" w:hAnsi="Arial"/>
                <w:sz w:val="19"/>
                <w:szCs w:val="19"/>
                <w:color w:val="auto"/>
              </w:rPr>
              <w:t>Balance at December 31, 2014</w:t>
            </w: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4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62</w:t>
            </w:r>
          </w:p>
        </w:tc>
        <w:tc>
          <w:tcPr>
            <w:tcW w:w="260" w:type="dxa"/>
            <w:vAlign w:val="bottom"/>
            <w:shd w:val="clear" w:color="auto" w:fill="E5FFFF"/>
          </w:tcPr>
          <w:p>
            <w:pPr>
              <w:spacing w:after="0"/>
              <w:rPr>
                <w:sz w:val="21"/>
                <w:szCs w:val="21"/>
                <w:color w:val="auto"/>
              </w:rPr>
            </w:pPr>
          </w:p>
        </w:tc>
        <w:tc>
          <w:tcPr>
            <w:tcW w:w="2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4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980" w:type="dxa"/>
            <w:vAlign w:val="bottom"/>
            <w:tcBorders>
              <w:right w:val="single" w:sz="8" w:color="E5FFFF"/>
            </w:tcBorders>
            <w:gridSpan w:val="3"/>
            <w:shd w:val="clear" w:color="auto" w:fill="E5FFFF"/>
          </w:tcPr>
          <w:p>
            <w:pPr>
              <w:jc w:val="right"/>
              <w:ind w:right="75"/>
              <w:spacing w:after="0"/>
              <w:rPr>
                <w:sz w:val="20"/>
                <w:szCs w:val="20"/>
                <w:color w:val="auto"/>
              </w:rPr>
            </w:pPr>
            <w:r>
              <w:rPr>
                <w:rFonts w:ascii="Arial" w:cs="Arial" w:eastAsia="Arial" w:hAnsi="Arial"/>
                <w:sz w:val="19"/>
                <w:szCs w:val="19"/>
                <w:color w:val="auto"/>
              </w:rPr>
              <w:t>185</w:t>
            </w:r>
          </w:p>
        </w:tc>
        <w:tc>
          <w:tcPr>
            <w:tcW w:w="520" w:type="dxa"/>
            <w:vAlign w:val="bottom"/>
          </w:tcPr>
          <w:p>
            <w:pPr>
              <w:spacing w:after="0"/>
              <w:rPr>
                <w:sz w:val="21"/>
                <w:szCs w:val="21"/>
                <w:color w:val="auto"/>
              </w:rPr>
            </w:pP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22"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The Company enters into futures contracts to gain exposure to certain markets. Sufficient cash or cash equivalents are held by our pension plans to cover the notional value of the futures contracts. At December 31, 2014 and 2013, our U.S. plans had contracts with notional amounts of $2,354 million and $1,938 million, respectively. At December 31, 2014 and 2013, our non-U.S. plans had contracts with notional amounts of $65 million and $61 million, respectively. In both our U.S. and non-U.S. pension plans, the notional derivative exposure is primarily related to outstanding equity futures contracts.</w:t>
      </w:r>
    </w:p>
    <w:p>
      <w:pPr>
        <w:spacing w:after="0" w:line="91"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Common stocks, preferred stocks, real estate investment trusts, and short-term investments are valued at the closing price reported in the active market in which the individual securities are traded. Corporate bonds, mortgages, 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commingled funds which are valued using net asset values provided by the administrators of the funds. Investments in private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9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w:t>
      </w:r>
    </w:p>
    <w:p>
      <w:pPr>
        <w:spacing w:after="0" w:line="87"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Our general funding policy for qualified defined benefit pension plans is to contribute amounts at least sufficient to satisfy regulatory funding standards. In 2014, 2013 and 2012, we were not required to make contributions to our U.S. pension plans and no contributions were made in 2014 and 2013. In 2012 we made voluntary contributions of $792 million to our U.S. pension plans primarily to improve the funded status. We are not required to make any contributions to our U.S. pension plans in 2015. In 2014, contributions of $160 million were made to our non-U.S. pension plans to satisfy regulatory funding requirements. In 2015, we expect to make contributions of cash and/or marketable securities of approximately $140 million to our non-U.S. pension plans to satisfy regulatory funding standards. Contributions for both our U.S. and non-U.S. pension plans do not reflect benefits paid directly from Company assets.</w:t>
      </w:r>
    </w:p>
    <w:p>
      <w:pPr>
        <w:spacing w:after="0" w:line="307" w:lineRule="exact"/>
        <w:rPr>
          <w:sz w:val="20"/>
          <w:szCs w:val="20"/>
          <w:color w:val="auto"/>
        </w:rPr>
      </w:pPr>
    </w:p>
    <w:p>
      <w:pPr>
        <w:jc w:val="both"/>
        <w:ind w:right="20" w:firstLine="357"/>
        <w:spacing w:after="0" w:line="246" w:lineRule="auto"/>
        <w:rPr>
          <w:sz w:val="20"/>
          <w:szCs w:val="20"/>
          <w:color w:val="auto"/>
        </w:rPr>
      </w:pPr>
      <w:r>
        <w:rPr>
          <w:rFonts w:ascii="Arial" w:cs="Arial" w:eastAsia="Arial" w:hAnsi="Arial"/>
          <w:sz w:val="19"/>
          <w:szCs w:val="19"/>
          <w:color w:val="auto"/>
        </w:rPr>
        <w:t>Benefit payments, including amounts to be paid from Company assets, and reflecting expected future service, as appropriate, are expected to be paid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U.S. Plans</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Non-U.S. Plans</w:t>
            </w: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9"/>
                <w:szCs w:val="19"/>
                <w:color w:val="auto"/>
              </w:rPr>
              <w:t>2015</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1,133</w:t>
            </w:r>
          </w:p>
        </w:tc>
        <w:tc>
          <w:tcPr>
            <w:tcW w:w="740" w:type="dxa"/>
            <w:vAlign w:val="bottom"/>
            <w:gridSpan w:val="3"/>
            <w:shd w:val="clear" w:color="auto" w:fill="E5FFFF"/>
          </w:tcPr>
          <w:p>
            <w:pPr>
              <w:jc w:val="right"/>
              <w:ind w:right="241"/>
              <w:spacing w:after="0"/>
              <w:rPr>
                <w:sz w:val="20"/>
                <w:szCs w:val="20"/>
                <w:color w:val="auto"/>
              </w:rPr>
            </w:pPr>
            <w:r>
              <w:rPr>
                <w:rFonts w:ascii="Arial" w:cs="Arial" w:eastAsia="Arial" w:hAnsi="Arial"/>
                <w:sz w:val="19"/>
                <w:szCs w:val="19"/>
                <w:color w:val="auto"/>
              </w:rPr>
              <w:t>$</w:t>
            </w: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196</w:t>
            </w:r>
          </w:p>
        </w:tc>
        <w:tc>
          <w:tcPr>
            <w:tcW w:w="0" w:type="dxa"/>
            <w:vAlign w:val="bottom"/>
          </w:tcPr>
          <w:p>
            <w:pPr>
              <w:spacing w:after="0"/>
              <w:rPr>
                <w:sz w:val="1"/>
                <w:szCs w:val="1"/>
                <w:color w:val="auto"/>
              </w:rPr>
            </w:pPr>
          </w:p>
        </w:tc>
      </w:tr>
      <w:tr>
        <w:trPr>
          <w:trHeight w:val="243"/>
        </w:trPr>
        <w:tc>
          <w:tcPr>
            <w:tcW w:w="8200" w:type="dxa"/>
            <w:vAlign w:val="bottom"/>
            <w:gridSpan w:val="2"/>
          </w:tcPr>
          <w:p>
            <w:pPr>
              <w:ind w:left="500"/>
              <w:spacing w:after="0"/>
              <w:rPr>
                <w:sz w:val="20"/>
                <w:szCs w:val="20"/>
                <w:color w:val="auto"/>
              </w:rPr>
            </w:pPr>
            <w:r>
              <w:rPr>
                <w:rFonts w:ascii="Arial" w:cs="Arial" w:eastAsia="Arial" w:hAnsi="Arial"/>
                <w:sz w:val="19"/>
                <w:szCs w:val="19"/>
                <w:color w:val="auto"/>
              </w:rPr>
              <w:t>2016</w:t>
            </w:r>
          </w:p>
        </w:tc>
        <w:tc>
          <w:tcPr>
            <w:tcW w:w="960" w:type="dxa"/>
            <w:vAlign w:val="bottom"/>
          </w:tcPr>
          <w:p>
            <w:pPr>
              <w:jc w:val="right"/>
              <w:spacing w:after="0"/>
              <w:rPr>
                <w:sz w:val="20"/>
                <w:szCs w:val="20"/>
                <w:color w:val="auto"/>
              </w:rPr>
            </w:pPr>
            <w:r>
              <w:rPr>
                <w:rFonts w:ascii="Arial" w:cs="Arial" w:eastAsia="Arial" w:hAnsi="Arial"/>
                <w:sz w:val="19"/>
                <w:szCs w:val="19"/>
                <w:color w:val="auto"/>
              </w:rPr>
              <w:t>1,104</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200</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9"/>
                <w:szCs w:val="19"/>
                <w:color w:val="auto"/>
              </w:rPr>
              <w:t>2017</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1,103</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205</w:t>
            </w:r>
          </w:p>
        </w:tc>
        <w:tc>
          <w:tcPr>
            <w:tcW w:w="0" w:type="dxa"/>
            <w:vAlign w:val="bottom"/>
          </w:tcPr>
          <w:p>
            <w:pPr>
              <w:spacing w:after="0"/>
              <w:rPr>
                <w:sz w:val="1"/>
                <w:szCs w:val="1"/>
                <w:color w:val="auto"/>
              </w:rPr>
            </w:pPr>
          </w:p>
        </w:tc>
      </w:tr>
      <w:tr>
        <w:trPr>
          <w:trHeight w:val="243"/>
        </w:trPr>
        <w:tc>
          <w:tcPr>
            <w:tcW w:w="8200" w:type="dxa"/>
            <w:vAlign w:val="bottom"/>
            <w:gridSpan w:val="2"/>
          </w:tcPr>
          <w:p>
            <w:pPr>
              <w:ind w:left="500"/>
              <w:spacing w:after="0"/>
              <w:rPr>
                <w:sz w:val="20"/>
                <w:szCs w:val="20"/>
                <w:color w:val="auto"/>
              </w:rPr>
            </w:pPr>
            <w:r>
              <w:rPr>
                <w:rFonts w:ascii="Arial" w:cs="Arial" w:eastAsia="Arial" w:hAnsi="Arial"/>
                <w:sz w:val="19"/>
                <w:szCs w:val="19"/>
                <w:color w:val="auto"/>
              </w:rPr>
              <w:t>2018</w:t>
            </w:r>
          </w:p>
        </w:tc>
        <w:tc>
          <w:tcPr>
            <w:tcW w:w="960" w:type="dxa"/>
            <w:vAlign w:val="bottom"/>
          </w:tcPr>
          <w:p>
            <w:pPr>
              <w:jc w:val="right"/>
              <w:spacing w:after="0"/>
              <w:rPr>
                <w:sz w:val="20"/>
                <w:szCs w:val="20"/>
                <w:color w:val="auto"/>
              </w:rPr>
            </w:pPr>
            <w:r>
              <w:rPr>
                <w:rFonts w:ascii="Arial" w:cs="Arial" w:eastAsia="Arial" w:hAnsi="Arial"/>
                <w:sz w:val="19"/>
                <w:szCs w:val="19"/>
                <w:color w:val="auto"/>
              </w:rPr>
              <w:t>1,117</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211</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shd w:val="clear" w:color="auto" w:fill="E5FFFF"/>
          </w:tcPr>
          <w:p>
            <w:pPr>
              <w:spacing w:after="0"/>
              <w:rPr>
                <w:sz w:val="20"/>
                <w:szCs w:val="20"/>
                <w:color w:val="auto"/>
              </w:rPr>
            </w:pPr>
            <w:r>
              <w:rPr>
                <w:rFonts w:ascii="Arial" w:cs="Arial" w:eastAsia="Arial" w:hAnsi="Arial"/>
                <w:sz w:val="19"/>
                <w:szCs w:val="19"/>
                <w:color w:val="auto"/>
              </w:rPr>
              <w:t>2019</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1,132</w:t>
            </w:r>
          </w:p>
        </w:tc>
        <w:tc>
          <w:tcPr>
            <w:tcW w:w="4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9"/>
                <w:szCs w:val="19"/>
                <w:color w:val="auto"/>
              </w:rPr>
              <w:t>217</w:t>
            </w:r>
          </w:p>
        </w:tc>
        <w:tc>
          <w:tcPr>
            <w:tcW w:w="0" w:type="dxa"/>
            <w:vAlign w:val="bottom"/>
          </w:tcPr>
          <w:p>
            <w:pPr>
              <w:spacing w:after="0"/>
              <w:rPr>
                <w:sz w:val="1"/>
                <w:szCs w:val="1"/>
                <w:color w:val="auto"/>
              </w:rPr>
            </w:pPr>
          </w:p>
        </w:tc>
      </w:tr>
      <w:tr>
        <w:trPr>
          <w:trHeight w:val="261"/>
        </w:trPr>
        <w:tc>
          <w:tcPr>
            <w:tcW w:w="8200" w:type="dxa"/>
            <w:vAlign w:val="bottom"/>
            <w:gridSpan w:val="2"/>
          </w:tcPr>
          <w:p>
            <w:pPr>
              <w:ind w:left="500"/>
              <w:spacing w:after="0"/>
              <w:rPr>
                <w:sz w:val="20"/>
                <w:szCs w:val="20"/>
                <w:color w:val="auto"/>
              </w:rPr>
            </w:pPr>
            <w:r>
              <w:rPr>
                <w:rFonts w:ascii="Arial" w:cs="Arial" w:eastAsia="Arial" w:hAnsi="Arial"/>
                <w:sz w:val="19"/>
                <w:szCs w:val="19"/>
                <w:color w:val="auto"/>
              </w:rPr>
              <w:t>2020-2024</w:t>
            </w:r>
          </w:p>
        </w:tc>
        <w:tc>
          <w:tcPr>
            <w:tcW w:w="960" w:type="dxa"/>
            <w:vAlign w:val="bottom"/>
          </w:tcPr>
          <w:p>
            <w:pPr>
              <w:jc w:val="right"/>
              <w:spacing w:after="0"/>
              <w:rPr>
                <w:sz w:val="20"/>
                <w:szCs w:val="20"/>
                <w:color w:val="auto"/>
              </w:rPr>
            </w:pPr>
            <w:r>
              <w:rPr>
                <w:rFonts w:ascii="Arial" w:cs="Arial" w:eastAsia="Arial" w:hAnsi="Arial"/>
                <w:sz w:val="19"/>
                <w:szCs w:val="19"/>
                <w:color w:val="auto"/>
              </w:rPr>
              <w:t>5,799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9"/>
                <w:szCs w:val="19"/>
                <w:color w:val="auto"/>
              </w:rPr>
              <w:t>1,187</w:t>
            </w:r>
          </w:p>
        </w:tc>
        <w:tc>
          <w:tcPr>
            <w:tcW w:w="0" w:type="dxa"/>
            <w:vAlign w:val="bottom"/>
          </w:tcPr>
          <w:p>
            <w:pPr>
              <w:spacing w:after="0"/>
              <w:rPr>
                <w:sz w:val="1"/>
                <w:szCs w:val="1"/>
                <w:color w:val="auto"/>
              </w:rPr>
            </w:pPr>
          </w:p>
        </w:tc>
      </w:tr>
      <w:tr>
        <w:trPr>
          <w:trHeight w:val="527"/>
        </w:trPr>
        <w:tc>
          <w:tcPr>
            <w:tcW w:w="8200" w:type="dxa"/>
            <w:vAlign w:val="bottom"/>
            <w:gridSpan w:val="2"/>
          </w:tcPr>
          <w:p>
            <w:pPr>
              <w:spacing w:after="0"/>
              <w:rPr>
                <w:sz w:val="20"/>
                <w:szCs w:val="20"/>
                <w:color w:val="auto"/>
              </w:rPr>
            </w:pPr>
            <w:r>
              <w:rPr>
                <w:rFonts w:ascii="Arial" w:cs="Arial" w:eastAsia="Arial" w:hAnsi="Arial"/>
                <w:sz w:val="19"/>
                <w:szCs w:val="19"/>
                <w:b w:val="1"/>
                <w:bCs w:val="1"/>
                <w:color w:val="auto"/>
              </w:rPr>
              <w:t>Other Postretirement Benefits</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vMerge w:val="restart"/>
          </w:tcPr>
          <w:p>
            <w:pPr>
              <w:jc w:val="right"/>
              <w:ind w:right="34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ind w:right="101"/>
              <w:spacing w:after="0" w:line="169" w:lineRule="exact"/>
              <w:rPr>
                <w:sz w:val="20"/>
                <w:szCs w:val="20"/>
                <w:color w:val="auto"/>
              </w:rPr>
            </w:pPr>
            <w:r>
              <w:rPr>
                <w:rFonts w:ascii="Arial" w:cs="Arial" w:eastAsia="Arial" w:hAnsi="Arial"/>
                <w:sz w:val="16"/>
                <w:szCs w:val="16"/>
                <w:b w:val="1"/>
                <w:bCs w:val="1"/>
                <w:color w:val="auto"/>
              </w:rPr>
              <w:t>2014</w:t>
            </w:r>
          </w:p>
        </w:tc>
        <w:tc>
          <w:tcPr>
            <w:tcW w:w="1000" w:type="dxa"/>
            <w:vAlign w:val="bottom"/>
            <w:gridSpan w:val="2"/>
          </w:tcPr>
          <w:p>
            <w:pPr>
              <w:jc w:val="right"/>
              <w:ind w:right="180"/>
              <w:spacing w:after="0" w:line="169" w:lineRule="exact"/>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7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Assumed health care cost trend rate:</w:t>
            </w:r>
          </w:p>
        </w:tc>
        <w:tc>
          <w:tcPr>
            <w:tcW w:w="9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auto"/>
            </w:tcBorders>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2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tcPr>
          <w:p>
            <w:pPr>
              <w:ind w:left="360"/>
              <w:spacing w:after="0"/>
              <w:rPr>
                <w:sz w:val="20"/>
                <w:szCs w:val="20"/>
                <w:color w:val="auto"/>
              </w:rPr>
            </w:pPr>
            <w:r>
              <w:rPr>
                <w:rFonts w:ascii="Arial" w:cs="Arial" w:eastAsia="Arial" w:hAnsi="Arial"/>
                <w:sz w:val="19"/>
                <w:szCs w:val="19"/>
                <w:color w:val="auto"/>
              </w:rPr>
              <w:t>Health care cost trend rate assumed for next year</w:t>
            </w:r>
          </w:p>
        </w:tc>
        <w:tc>
          <w:tcPr>
            <w:tcW w:w="96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7.00%</w:t>
            </w:r>
          </w:p>
        </w:tc>
        <w:tc>
          <w:tcPr>
            <w:tcW w:w="1000" w:type="dxa"/>
            <w:vAlign w:val="bottom"/>
            <w:gridSpan w:val="2"/>
          </w:tcPr>
          <w:p>
            <w:pPr>
              <w:jc w:val="right"/>
              <w:ind w:right="20"/>
              <w:spacing w:after="0"/>
              <w:rPr>
                <w:sz w:val="20"/>
                <w:szCs w:val="20"/>
                <w:color w:val="auto"/>
              </w:rPr>
            </w:pPr>
            <w:r>
              <w:rPr>
                <w:rFonts w:ascii="Arial" w:cs="Arial" w:eastAsia="Arial" w:hAnsi="Arial"/>
                <w:sz w:val="19"/>
                <w:szCs w:val="19"/>
                <w:color w:val="auto"/>
              </w:rPr>
              <w:t>7.00%</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7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Rate that the cost trend rate gradually declines to</w:t>
            </w:r>
          </w:p>
        </w:tc>
        <w:tc>
          <w:tcPr>
            <w:tcW w:w="960" w:type="dxa"/>
            <w:vAlign w:val="bottom"/>
            <w:shd w:val="clear" w:color="auto" w:fill="E5FFFF"/>
          </w:tcPr>
          <w:p>
            <w:pPr>
              <w:spacing w:after="0"/>
              <w:rPr>
                <w:sz w:val="21"/>
                <w:szCs w:val="21"/>
                <w:color w:val="auto"/>
              </w:rPr>
            </w:pPr>
          </w:p>
        </w:tc>
        <w:tc>
          <w:tcPr>
            <w:tcW w:w="74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5.00%</w:t>
            </w:r>
          </w:p>
        </w:tc>
        <w:tc>
          <w:tcPr>
            <w:tcW w:w="10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5.00%</w:t>
            </w:r>
          </w:p>
        </w:tc>
        <w:tc>
          <w:tcPr>
            <w:tcW w:w="0" w:type="dxa"/>
            <w:vAlign w:val="bottom"/>
          </w:tcPr>
          <w:p>
            <w:pPr>
              <w:spacing w:after="0"/>
              <w:rPr>
                <w:sz w:val="1"/>
                <w:szCs w:val="1"/>
                <w:color w:val="auto"/>
              </w:rPr>
            </w:pPr>
          </w:p>
        </w:tc>
      </w:tr>
      <w:tr>
        <w:trPr>
          <w:trHeight w:val="261"/>
        </w:trPr>
        <w:tc>
          <w:tcPr>
            <w:tcW w:w="500" w:type="dxa"/>
            <w:vAlign w:val="bottom"/>
          </w:tcPr>
          <w:p>
            <w:pPr>
              <w:spacing w:after="0"/>
              <w:rPr>
                <w:sz w:val="22"/>
                <w:szCs w:val="22"/>
                <w:color w:val="auto"/>
              </w:rPr>
            </w:pPr>
          </w:p>
        </w:tc>
        <w:tc>
          <w:tcPr>
            <w:tcW w:w="7700" w:type="dxa"/>
            <w:vAlign w:val="bottom"/>
          </w:tcPr>
          <w:p>
            <w:pPr>
              <w:ind w:left="360"/>
              <w:spacing w:after="0"/>
              <w:rPr>
                <w:sz w:val="20"/>
                <w:szCs w:val="20"/>
                <w:color w:val="auto"/>
              </w:rPr>
            </w:pPr>
            <w:r>
              <w:rPr>
                <w:rFonts w:ascii="Arial" w:cs="Arial" w:eastAsia="Arial" w:hAnsi="Arial"/>
                <w:sz w:val="19"/>
                <w:szCs w:val="19"/>
                <w:color w:val="auto"/>
              </w:rPr>
              <w:t>Year that the rate reaches the rate it is assumed to remain at</w:t>
            </w:r>
          </w:p>
        </w:tc>
        <w:tc>
          <w:tcPr>
            <w:tcW w:w="960" w:type="dxa"/>
            <w:vAlign w:val="bottom"/>
          </w:tcPr>
          <w:p>
            <w:pPr>
              <w:spacing w:after="0"/>
              <w:rPr>
                <w:sz w:val="22"/>
                <w:szCs w:val="22"/>
                <w:color w:val="auto"/>
              </w:rPr>
            </w:pPr>
          </w:p>
        </w:tc>
        <w:tc>
          <w:tcPr>
            <w:tcW w:w="740" w:type="dxa"/>
            <w:vAlign w:val="bottom"/>
            <w:gridSpan w:val="3"/>
          </w:tcPr>
          <w:p>
            <w:pPr>
              <w:jc w:val="right"/>
              <w:ind w:right="121"/>
              <w:spacing w:after="0"/>
              <w:rPr>
                <w:sz w:val="20"/>
                <w:szCs w:val="20"/>
                <w:color w:val="auto"/>
              </w:rPr>
            </w:pPr>
            <w:r>
              <w:rPr>
                <w:rFonts w:ascii="Arial" w:cs="Arial" w:eastAsia="Arial" w:hAnsi="Arial"/>
                <w:sz w:val="19"/>
                <w:szCs w:val="19"/>
                <w:color w:val="auto"/>
              </w:rPr>
              <w:t>2023</w:t>
            </w:r>
          </w:p>
        </w:tc>
        <w:tc>
          <w:tcPr>
            <w:tcW w:w="1000" w:type="dxa"/>
            <w:vAlign w:val="bottom"/>
            <w:gridSpan w:val="2"/>
          </w:tcPr>
          <w:p>
            <w:pPr>
              <w:jc w:val="right"/>
              <w:ind w:right="200"/>
              <w:spacing w:after="0"/>
              <w:rPr>
                <w:sz w:val="20"/>
                <w:szCs w:val="20"/>
                <w:color w:val="auto"/>
              </w:rPr>
            </w:pPr>
            <w:r>
              <w:rPr>
                <w:rFonts w:ascii="Arial" w:cs="Arial" w:eastAsia="Arial" w:hAnsi="Arial"/>
                <w:sz w:val="19"/>
                <w:szCs w:val="19"/>
                <w:color w:val="auto"/>
              </w:rPr>
              <w:t>2019</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firstLine="357"/>
        <w:spacing w:after="0" w:line="246" w:lineRule="auto"/>
        <w:rPr>
          <w:sz w:val="20"/>
          <w:szCs w:val="20"/>
          <w:color w:val="auto"/>
        </w:rPr>
      </w:pPr>
      <w:r>
        <w:rPr>
          <w:rFonts w:ascii="Arial" w:cs="Arial" w:eastAsia="Arial" w:hAnsi="Arial"/>
          <w:sz w:val="19"/>
          <w:szCs w:val="19"/>
          <w:color w:val="auto"/>
        </w:rPr>
        <w:t>The assumed health care cost trend rate has a significant effect on the amounts reported. A one-percentage-point change in the assumed health care cost trend rate would have the following effects:</w:t>
      </w:r>
    </w:p>
    <w:p>
      <w:pPr>
        <w:spacing w:after="0" w:line="2"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1 percentage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635</wp:posOffset>
            </wp:positionV>
            <wp:extent cx="12350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9020"/>
        <w:spacing w:after="0"/>
        <w:tabs>
          <w:tab w:leader="none" w:pos="10100" w:val="left"/>
        </w:tabs>
        <w:rPr>
          <w:sz w:val="20"/>
          <w:szCs w:val="20"/>
          <w:color w:val="auto"/>
        </w:rPr>
      </w:pPr>
      <w:r>
        <w:rPr>
          <w:rFonts w:ascii="Arial" w:cs="Arial" w:eastAsia="Arial" w:hAnsi="Arial"/>
          <w:sz w:val="16"/>
          <w:szCs w:val="16"/>
          <w:b w:val="1"/>
          <w:bCs w:val="1"/>
          <w:color w:val="auto"/>
        </w:rPr>
        <w:t>Increase</w:t>
      </w:r>
      <w:r>
        <w:rPr>
          <w:sz w:val="20"/>
          <w:szCs w:val="20"/>
          <w:color w:val="auto"/>
        </w:rPr>
        <w:tab/>
      </w:r>
      <w:r>
        <w:rPr>
          <w:rFonts w:ascii="Arial" w:cs="Arial" w:eastAsia="Arial" w:hAnsi="Arial"/>
          <w:sz w:val="16"/>
          <w:szCs w:val="16"/>
          <w:b w:val="1"/>
          <w:bCs w:val="1"/>
          <w:color w:val="auto"/>
        </w:rPr>
        <w:t>Decrease</w:t>
      </w:r>
    </w:p>
    <w:tbl>
      <w:tblPr>
        <w:tblLayout w:type="fixed"/>
        <w:tblInd w:w="500" w:type="dxa"/>
        <w:tblCellMar>
          <w:top w:w="0" w:type="dxa"/>
          <w:left w:w="0" w:type="dxa"/>
          <w:bottom w:w="0" w:type="dxa"/>
          <w:right w:w="0" w:type="dxa"/>
        </w:tblCellMar>
      </w:tblPr>
      <w:tr>
        <w:trPr>
          <w:trHeight w:val="237"/>
        </w:trPr>
        <w:tc>
          <w:tcPr>
            <w:tcW w:w="8460" w:type="dxa"/>
            <w:vAlign w:val="bottom"/>
            <w:shd w:val="clear" w:color="auto" w:fill="E5FFFF"/>
          </w:tcPr>
          <w:p>
            <w:pPr>
              <w:spacing w:after="0"/>
              <w:rPr>
                <w:sz w:val="20"/>
                <w:szCs w:val="20"/>
                <w:color w:val="auto"/>
              </w:rPr>
            </w:pPr>
            <w:r>
              <w:rPr>
                <w:rFonts w:ascii="Arial" w:cs="Arial" w:eastAsia="Arial" w:hAnsi="Arial"/>
                <w:sz w:val="19"/>
                <w:szCs w:val="19"/>
                <w:color w:val="auto"/>
              </w:rPr>
              <w:t>Effect on total of service and interest cost components</w:t>
            </w:r>
          </w:p>
        </w:tc>
        <w:tc>
          <w:tcPr>
            <w:tcW w:w="280" w:type="dxa"/>
            <w:vAlign w:val="bottom"/>
            <w:tcBorders>
              <w:top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94"/>
              </w:rPr>
              <w:t>$</w:t>
            </w:r>
          </w:p>
        </w:tc>
        <w:tc>
          <w:tcPr>
            <w:tcW w:w="480" w:type="dxa"/>
            <w:vAlign w:val="bottom"/>
            <w:tcBorders>
              <w:top w:val="single" w:sz="8" w:color="auto"/>
            </w:tcBorders>
            <w:shd w:val="clear" w:color="auto" w:fill="E5FFFF"/>
          </w:tcPr>
          <w:p>
            <w:pPr>
              <w:jc w:val="right"/>
              <w:ind w:right="3"/>
              <w:spacing w:after="0"/>
              <w:rPr>
                <w:sz w:val="20"/>
                <w:szCs w:val="20"/>
                <w:color w:val="auto"/>
              </w:rPr>
            </w:pPr>
            <w:r>
              <w:rPr>
                <w:rFonts w:ascii="Arial" w:cs="Arial" w:eastAsia="Arial" w:hAnsi="Arial"/>
                <w:sz w:val="19"/>
                <w:szCs w:val="19"/>
                <w:color w:val="auto"/>
              </w:rPr>
              <w:t>2</w:t>
            </w:r>
          </w:p>
        </w:tc>
        <w:tc>
          <w:tcPr>
            <w:tcW w:w="300" w:type="dxa"/>
            <w:vAlign w:val="bottom"/>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jc w:val="right"/>
              <w:ind w:right="63"/>
              <w:spacing w:after="0"/>
              <w:rPr>
                <w:sz w:val="20"/>
                <w:szCs w:val="20"/>
                <w:color w:val="auto"/>
              </w:rPr>
            </w:pPr>
            <w:r>
              <w:rPr>
                <w:rFonts w:ascii="Arial" w:cs="Arial" w:eastAsia="Arial" w:hAnsi="Arial"/>
                <w:sz w:val="19"/>
                <w:szCs w:val="19"/>
                <w:color w:val="auto"/>
                <w:w w:val="94"/>
              </w:rPr>
              <w:t>$</w:t>
            </w:r>
          </w:p>
        </w:tc>
        <w:tc>
          <w:tcPr>
            <w:tcW w:w="6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w:t>
            </w:r>
          </w:p>
        </w:tc>
      </w:tr>
      <w:tr>
        <w:trPr>
          <w:trHeight w:val="261"/>
        </w:trPr>
        <w:tc>
          <w:tcPr>
            <w:tcW w:w="8460" w:type="dxa"/>
            <w:vAlign w:val="bottom"/>
          </w:tcPr>
          <w:p>
            <w:pPr>
              <w:spacing w:after="0"/>
              <w:rPr>
                <w:sz w:val="20"/>
                <w:szCs w:val="20"/>
                <w:color w:val="auto"/>
              </w:rPr>
            </w:pPr>
            <w:r>
              <w:rPr>
                <w:rFonts w:ascii="Arial" w:cs="Arial" w:eastAsia="Arial" w:hAnsi="Arial"/>
                <w:sz w:val="19"/>
                <w:szCs w:val="19"/>
                <w:color w:val="auto"/>
              </w:rPr>
              <w:t>Effect on postretirement benefit obligation</w:t>
            </w:r>
          </w:p>
        </w:tc>
        <w:tc>
          <w:tcPr>
            <w:tcW w:w="280" w:type="dxa"/>
            <w:vAlign w:val="bottom"/>
          </w:tcPr>
          <w:p>
            <w:pPr>
              <w:jc w:val="right"/>
              <w:ind w:right="63"/>
              <w:spacing w:after="0"/>
              <w:rPr>
                <w:sz w:val="20"/>
                <w:szCs w:val="20"/>
                <w:color w:val="auto"/>
              </w:rPr>
            </w:pPr>
            <w:r>
              <w:rPr>
                <w:rFonts w:ascii="Arial" w:cs="Arial" w:eastAsia="Arial" w:hAnsi="Arial"/>
                <w:sz w:val="19"/>
                <w:szCs w:val="19"/>
                <w:color w:val="auto"/>
                <w:w w:val="94"/>
              </w:rPr>
              <w:t>$</w:t>
            </w:r>
          </w:p>
        </w:tc>
        <w:tc>
          <w:tcPr>
            <w:tcW w:w="480" w:type="dxa"/>
            <w:vAlign w:val="bottom"/>
          </w:tcPr>
          <w:p>
            <w:pPr>
              <w:jc w:val="right"/>
              <w:ind w:right="3"/>
              <w:spacing w:after="0"/>
              <w:rPr>
                <w:sz w:val="20"/>
                <w:szCs w:val="20"/>
                <w:color w:val="auto"/>
              </w:rPr>
            </w:pPr>
            <w:r>
              <w:rPr>
                <w:rFonts w:ascii="Arial" w:cs="Arial" w:eastAsia="Arial" w:hAnsi="Arial"/>
                <w:sz w:val="19"/>
                <w:szCs w:val="19"/>
                <w:color w:val="auto"/>
              </w:rPr>
              <w:t>73</w:t>
            </w:r>
          </w:p>
        </w:tc>
        <w:tc>
          <w:tcPr>
            <w:tcW w:w="5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(49)</w:t>
            </w:r>
          </w:p>
        </w:tc>
      </w:tr>
    </w:tbl>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Benefit payments reflecting expected future service, as appropriate, are expected to be paid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88"/>
              <w:spacing w:after="0"/>
              <w:rPr>
                <w:sz w:val="20"/>
                <w:szCs w:val="20"/>
                <w:color w:val="auto"/>
              </w:rPr>
            </w:pPr>
            <w:r>
              <w:rPr>
                <w:rFonts w:ascii="Arial" w:cs="Arial" w:eastAsia="Arial" w:hAnsi="Arial"/>
                <w:sz w:val="16"/>
                <w:szCs w:val="16"/>
                <w:b w:val="1"/>
                <w:bCs w:val="1"/>
                <w:color w:val="auto"/>
                <w:w w:val="99"/>
              </w:rPr>
              <w:t>Without Impact of</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548"/>
              <w:spacing w:after="0"/>
              <w:rPr>
                <w:sz w:val="20"/>
                <w:szCs w:val="20"/>
                <w:color w:val="auto"/>
              </w:rPr>
            </w:pPr>
            <w:r>
              <w:rPr>
                <w:rFonts w:ascii="Arial" w:cs="Arial" w:eastAsia="Arial" w:hAnsi="Arial"/>
                <w:sz w:val="16"/>
                <w:szCs w:val="16"/>
                <w:b w:val="1"/>
                <w:bCs w:val="1"/>
                <w:color w:val="auto"/>
              </w:rPr>
              <w:t>Net of</w:t>
            </w:r>
          </w:p>
        </w:tc>
        <w:tc>
          <w:tcPr>
            <w:tcW w:w="520" w:type="dxa"/>
            <w:vAlign w:val="bottom"/>
          </w:tcPr>
          <w:p>
            <w:pPr>
              <w:spacing w:after="0"/>
              <w:rPr>
                <w:sz w:val="16"/>
                <w:szCs w:val="16"/>
                <w:color w:val="auto"/>
              </w:rPr>
            </w:pPr>
          </w:p>
        </w:tc>
      </w:tr>
      <w:tr>
        <w:trPr>
          <w:trHeight w:val="190"/>
        </w:trPr>
        <w:tc>
          <w:tcPr>
            <w:tcW w:w="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8"/>
              </w:rPr>
              <w:t>Medicare Subsidy</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8"/>
              <w:spacing w:after="0"/>
              <w:rPr>
                <w:sz w:val="20"/>
                <w:szCs w:val="20"/>
                <w:color w:val="auto"/>
              </w:rPr>
            </w:pPr>
            <w:r>
              <w:rPr>
                <w:rFonts w:ascii="Arial" w:cs="Arial" w:eastAsia="Arial" w:hAnsi="Arial"/>
                <w:sz w:val="16"/>
                <w:szCs w:val="16"/>
                <w:b w:val="1"/>
                <w:bCs w:val="1"/>
                <w:color w:val="auto"/>
                <w:w w:val="99"/>
              </w:rPr>
              <w:t>Medicare Subsidy</w:t>
            </w:r>
          </w:p>
        </w:tc>
        <w:tc>
          <w:tcPr>
            <w:tcW w:w="520" w:type="dxa"/>
            <w:vAlign w:val="bottom"/>
          </w:tcPr>
          <w:p>
            <w:pPr>
              <w:spacing w:after="0"/>
              <w:rPr>
                <w:sz w:val="16"/>
                <w:szCs w:val="16"/>
                <w:color w:val="auto"/>
              </w:rPr>
            </w:pPr>
          </w:p>
        </w:tc>
      </w:tr>
      <w:tr>
        <w:trPr>
          <w:trHeight w:val="237"/>
        </w:trPr>
        <w:tc>
          <w:tcPr>
            <w:tcW w:w="500" w:type="dxa"/>
            <w:vAlign w:val="bottom"/>
          </w:tcPr>
          <w:p>
            <w:pPr>
              <w:spacing w:after="0"/>
              <w:rPr>
                <w:sz w:val="20"/>
                <w:szCs w:val="20"/>
                <w:color w:val="auto"/>
              </w:rPr>
            </w:pPr>
          </w:p>
        </w:tc>
        <w:tc>
          <w:tcPr>
            <w:tcW w:w="3020" w:type="dxa"/>
            <w:vAlign w:val="bottom"/>
            <w:shd w:val="clear" w:color="auto" w:fill="E5FFFF"/>
          </w:tcPr>
          <w:p>
            <w:pPr>
              <w:spacing w:after="0"/>
              <w:rPr>
                <w:sz w:val="20"/>
                <w:szCs w:val="20"/>
                <w:color w:val="auto"/>
              </w:rPr>
            </w:pPr>
            <w:r>
              <w:rPr>
                <w:rFonts w:ascii="Arial" w:cs="Arial" w:eastAsia="Arial" w:hAnsi="Arial"/>
                <w:sz w:val="19"/>
                <w:szCs w:val="19"/>
                <w:color w:val="auto"/>
              </w:rPr>
              <w:t>2015</w:t>
            </w:r>
          </w:p>
        </w:tc>
        <w:tc>
          <w:tcPr>
            <w:tcW w:w="38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54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119</w:t>
            </w:r>
          </w:p>
        </w:tc>
        <w:tc>
          <w:tcPr>
            <w:tcW w:w="4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56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111</w:t>
            </w:r>
          </w:p>
        </w:tc>
        <w:tc>
          <w:tcPr>
            <w:tcW w:w="520" w:type="dxa"/>
            <w:vAlign w:val="bottom"/>
          </w:tcPr>
          <w:p>
            <w:pPr>
              <w:spacing w:after="0"/>
              <w:rPr>
                <w:sz w:val="20"/>
                <w:szCs w:val="20"/>
                <w:color w:val="auto"/>
              </w:rPr>
            </w:pPr>
          </w:p>
        </w:tc>
      </w:tr>
      <w:tr>
        <w:trPr>
          <w:trHeight w:val="243"/>
        </w:trPr>
        <w:tc>
          <w:tcPr>
            <w:tcW w:w="500" w:type="dxa"/>
            <w:vAlign w:val="bottom"/>
          </w:tcPr>
          <w:p>
            <w:pPr>
              <w:spacing w:after="0"/>
              <w:rPr>
                <w:sz w:val="21"/>
                <w:szCs w:val="21"/>
                <w:color w:val="auto"/>
              </w:rPr>
            </w:pPr>
          </w:p>
        </w:tc>
        <w:tc>
          <w:tcPr>
            <w:tcW w:w="3020" w:type="dxa"/>
            <w:vAlign w:val="bottom"/>
          </w:tcPr>
          <w:p>
            <w:pPr>
              <w:spacing w:after="0"/>
              <w:rPr>
                <w:sz w:val="20"/>
                <w:szCs w:val="20"/>
                <w:color w:val="auto"/>
              </w:rPr>
            </w:pPr>
            <w:r>
              <w:rPr>
                <w:rFonts w:ascii="Arial" w:cs="Arial" w:eastAsia="Arial" w:hAnsi="Arial"/>
                <w:sz w:val="19"/>
                <w:szCs w:val="19"/>
                <w:color w:val="auto"/>
              </w:rPr>
              <w:t>2016</w:t>
            </w:r>
          </w:p>
        </w:tc>
        <w:tc>
          <w:tcPr>
            <w:tcW w:w="3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88"/>
              <w:spacing w:after="0"/>
              <w:rPr>
                <w:sz w:val="20"/>
                <w:szCs w:val="20"/>
                <w:color w:val="auto"/>
              </w:rPr>
            </w:pPr>
            <w:r>
              <w:rPr>
                <w:rFonts w:ascii="Arial" w:cs="Arial" w:eastAsia="Arial" w:hAnsi="Arial"/>
                <w:sz w:val="19"/>
                <w:szCs w:val="19"/>
                <w:color w:val="auto"/>
              </w:rPr>
              <w:t>106</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88"/>
              <w:spacing w:after="0"/>
              <w:rPr>
                <w:sz w:val="20"/>
                <w:szCs w:val="20"/>
                <w:color w:val="auto"/>
              </w:rPr>
            </w:pPr>
            <w:r>
              <w:rPr>
                <w:rFonts w:ascii="Arial" w:cs="Arial" w:eastAsia="Arial" w:hAnsi="Arial"/>
                <w:sz w:val="19"/>
                <w:szCs w:val="19"/>
                <w:color w:val="auto"/>
              </w:rPr>
              <w:t>99</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3020" w:type="dxa"/>
            <w:vAlign w:val="bottom"/>
            <w:shd w:val="clear" w:color="auto" w:fill="E5FFFF"/>
          </w:tcPr>
          <w:p>
            <w:pPr>
              <w:spacing w:after="0"/>
              <w:rPr>
                <w:sz w:val="20"/>
                <w:szCs w:val="20"/>
                <w:color w:val="auto"/>
              </w:rPr>
            </w:pPr>
            <w:r>
              <w:rPr>
                <w:rFonts w:ascii="Arial" w:cs="Arial" w:eastAsia="Arial" w:hAnsi="Arial"/>
                <w:sz w:val="19"/>
                <w:szCs w:val="19"/>
                <w:color w:val="auto"/>
              </w:rPr>
              <w:t>2017</w:t>
            </w:r>
          </w:p>
        </w:tc>
        <w:tc>
          <w:tcPr>
            <w:tcW w:w="36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54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102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56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94</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3020" w:type="dxa"/>
            <w:vAlign w:val="bottom"/>
          </w:tcPr>
          <w:p>
            <w:pPr>
              <w:spacing w:after="0"/>
              <w:rPr>
                <w:sz w:val="20"/>
                <w:szCs w:val="20"/>
                <w:color w:val="auto"/>
              </w:rPr>
            </w:pPr>
            <w:r>
              <w:rPr>
                <w:rFonts w:ascii="Arial" w:cs="Arial" w:eastAsia="Arial" w:hAnsi="Arial"/>
                <w:sz w:val="19"/>
                <w:szCs w:val="19"/>
                <w:color w:val="auto"/>
              </w:rPr>
              <w:t>2018</w:t>
            </w:r>
          </w:p>
        </w:tc>
        <w:tc>
          <w:tcPr>
            <w:tcW w:w="3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88"/>
              <w:spacing w:after="0"/>
              <w:rPr>
                <w:sz w:val="20"/>
                <w:szCs w:val="20"/>
                <w:color w:val="auto"/>
              </w:rPr>
            </w:pPr>
            <w:r>
              <w:rPr>
                <w:rFonts w:ascii="Arial" w:cs="Arial" w:eastAsia="Arial" w:hAnsi="Arial"/>
                <w:sz w:val="19"/>
                <w:szCs w:val="19"/>
                <w:color w:val="auto"/>
              </w:rPr>
              <w:t>97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88"/>
              <w:spacing w:after="0"/>
              <w:rPr>
                <w:sz w:val="20"/>
                <w:szCs w:val="20"/>
                <w:color w:val="auto"/>
              </w:rPr>
            </w:pPr>
            <w:r>
              <w:rPr>
                <w:rFonts w:ascii="Arial" w:cs="Arial" w:eastAsia="Arial" w:hAnsi="Arial"/>
                <w:sz w:val="19"/>
                <w:szCs w:val="19"/>
                <w:color w:val="auto"/>
              </w:rPr>
              <w:t>90</w:t>
            </w:r>
          </w:p>
        </w:tc>
        <w:tc>
          <w:tcPr>
            <w:tcW w:w="520" w:type="dxa"/>
            <w:vAlign w:val="bottom"/>
          </w:tcPr>
          <w:p>
            <w:pPr>
              <w:spacing w:after="0"/>
              <w:rPr>
                <w:sz w:val="21"/>
                <w:szCs w:val="21"/>
                <w:color w:val="auto"/>
              </w:rPr>
            </w:pPr>
          </w:p>
        </w:tc>
      </w:tr>
      <w:tr>
        <w:trPr>
          <w:trHeight w:val="243"/>
        </w:trPr>
        <w:tc>
          <w:tcPr>
            <w:tcW w:w="500" w:type="dxa"/>
            <w:vAlign w:val="bottom"/>
          </w:tcPr>
          <w:p>
            <w:pPr>
              <w:spacing w:after="0"/>
              <w:rPr>
                <w:sz w:val="21"/>
                <w:szCs w:val="21"/>
                <w:color w:val="auto"/>
              </w:rPr>
            </w:pPr>
          </w:p>
        </w:tc>
        <w:tc>
          <w:tcPr>
            <w:tcW w:w="3020" w:type="dxa"/>
            <w:vAlign w:val="bottom"/>
            <w:shd w:val="clear" w:color="auto" w:fill="E5FFFF"/>
          </w:tcPr>
          <w:p>
            <w:pPr>
              <w:spacing w:after="0"/>
              <w:rPr>
                <w:sz w:val="20"/>
                <w:szCs w:val="20"/>
                <w:color w:val="auto"/>
              </w:rPr>
            </w:pPr>
            <w:r>
              <w:rPr>
                <w:rFonts w:ascii="Arial" w:cs="Arial" w:eastAsia="Arial" w:hAnsi="Arial"/>
                <w:sz w:val="19"/>
                <w:szCs w:val="19"/>
                <w:color w:val="auto"/>
              </w:rPr>
              <w:t>2019</w:t>
            </w:r>
          </w:p>
        </w:tc>
        <w:tc>
          <w:tcPr>
            <w:tcW w:w="366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54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92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560" w:type="dxa"/>
            <w:vAlign w:val="bottom"/>
            <w:shd w:val="clear" w:color="auto" w:fill="E5FFFF"/>
          </w:tcPr>
          <w:p>
            <w:pPr>
              <w:jc w:val="right"/>
              <w:ind w:right="88"/>
              <w:spacing w:after="0"/>
              <w:rPr>
                <w:sz w:val="20"/>
                <w:szCs w:val="20"/>
                <w:color w:val="auto"/>
              </w:rPr>
            </w:pPr>
            <w:r>
              <w:rPr>
                <w:rFonts w:ascii="Arial" w:cs="Arial" w:eastAsia="Arial" w:hAnsi="Arial"/>
                <w:sz w:val="19"/>
                <w:szCs w:val="19"/>
                <w:color w:val="auto"/>
              </w:rPr>
              <w:t>85</w:t>
            </w:r>
          </w:p>
        </w:tc>
        <w:tc>
          <w:tcPr>
            <w:tcW w:w="520" w:type="dxa"/>
            <w:vAlign w:val="bottom"/>
          </w:tcPr>
          <w:p>
            <w:pPr>
              <w:spacing w:after="0"/>
              <w:rPr>
                <w:sz w:val="21"/>
                <w:szCs w:val="21"/>
                <w:color w:val="auto"/>
              </w:rPr>
            </w:pPr>
          </w:p>
        </w:tc>
      </w:tr>
      <w:tr>
        <w:trPr>
          <w:trHeight w:val="261"/>
        </w:trPr>
        <w:tc>
          <w:tcPr>
            <w:tcW w:w="500" w:type="dxa"/>
            <w:vAlign w:val="bottom"/>
          </w:tcPr>
          <w:p>
            <w:pPr>
              <w:spacing w:after="0"/>
              <w:rPr>
                <w:sz w:val="22"/>
                <w:szCs w:val="22"/>
                <w:color w:val="auto"/>
              </w:rPr>
            </w:pPr>
          </w:p>
        </w:tc>
        <w:tc>
          <w:tcPr>
            <w:tcW w:w="3020" w:type="dxa"/>
            <w:vAlign w:val="bottom"/>
          </w:tcPr>
          <w:p>
            <w:pPr>
              <w:spacing w:after="0"/>
              <w:rPr>
                <w:sz w:val="20"/>
                <w:szCs w:val="20"/>
                <w:color w:val="auto"/>
              </w:rPr>
            </w:pPr>
            <w:r>
              <w:rPr>
                <w:rFonts w:ascii="Arial" w:cs="Arial" w:eastAsia="Arial" w:hAnsi="Arial"/>
                <w:sz w:val="19"/>
                <w:szCs w:val="19"/>
                <w:color w:val="auto"/>
              </w:rPr>
              <w:t>2020-2024</w:t>
            </w:r>
          </w:p>
        </w:tc>
        <w:tc>
          <w:tcPr>
            <w:tcW w:w="3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88"/>
              <w:spacing w:after="0"/>
              <w:rPr>
                <w:sz w:val="20"/>
                <w:szCs w:val="20"/>
                <w:color w:val="auto"/>
              </w:rPr>
            </w:pPr>
            <w:r>
              <w:rPr>
                <w:rFonts w:ascii="Arial" w:cs="Arial" w:eastAsia="Arial" w:hAnsi="Arial"/>
                <w:sz w:val="19"/>
                <w:szCs w:val="19"/>
                <w:color w:val="auto"/>
              </w:rPr>
              <w:t>363</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88"/>
              <w:spacing w:after="0"/>
              <w:rPr>
                <w:sz w:val="20"/>
                <w:szCs w:val="20"/>
                <w:color w:val="auto"/>
              </w:rPr>
            </w:pPr>
            <w:r>
              <w:rPr>
                <w:rFonts w:ascii="Arial" w:cs="Arial" w:eastAsia="Arial" w:hAnsi="Arial"/>
                <w:sz w:val="19"/>
                <w:szCs w:val="19"/>
                <w:color w:val="auto"/>
              </w:rPr>
              <w:t>329</w:t>
            </w:r>
          </w:p>
        </w:tc>
        <w:tc>
          <w:tcPr>
            <w:tcW w:w="520" w:type="dxa"/>
            <w:vAlign w:val="bottom"/>
          </w:tcPr>
          <w:p>
            <w:pPr>
              <w:spacing w:after="0"/>
              <w:rPr>
                <w:sz w:val="22"/>
                <w:szCs w:val="22"/>
                <w:color w:val="auto"/>
              </w:rPr>
            </w:pPr>
          </w:p>
        </w:tc>
      </w:tr>
      <w:tr>
        <w:trPr>
          <w:trHeight w:val="324"/>
        </w:trPr>
        <w:tc>
          <w:tcPr>
            <w:tcW w:w="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60" w:type="dxa"/>
            <w:vAlign w:val="bottom"/>
          </w:tcPr>
          <w:p>
            <w:pPr>
              <w:jc w:val="right"/>
              <w:ind w:right="1263"/>
              <w:spacing w:after="0"/>
              <w:rPr>
                <w:sz w:val="20"/>
                <w:szCs w:val="20"/>
                <w:color w:val="auto"/>
              </w:rPr>
            </w:pPr>
            <w:r>
              <w:rPr>
                <w:rFonts w:ascii="Arial" w:cs="Arial" w:eastAsia="Arial" w:hAnsi="Arial"/>
                <w:sz w:val="19"/>
                <w:szCs w:val="19"/>
                <w:color w:val="auto"/>
              </w:rPr>
              <w:t>76</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21. Segment Financial Data</w:t>
      </w:r>
    </w:p>
    <w:p>
      <w:pPr>
        <w:spacing w:after="0" w:line="130" w:lineRule="exact"/>
        <w:rPr>
          <w:sz w:val="20"/>
          <w:szCs w:val="20"/>
          <w:color w:val="auto"/>
        </w:rPr>
      </w:pPr>
    </w:p>
    <w:p>
      <w:pPr>
        <w:jc w:val="both"/>
        <w:ind w:firstLine="357"/>
        <w:spacing w:after="0" w:line="247" w:lineRule="auto"/>
        <w:rPr>
          <w:sz w:val="20"/>
          <w:szCs w:val="20"/>
          <w:color w:val="auto"/>
        </w:rPr>
      </w:pPr>
      <w:r>
        <w:rPr>
          <w:rFonts w:ascii="Arial" w:cs="Arial" w:eastAsia="Arial" w:hAnsi="Arial"/>
          <w:sz w:val="19"/>
          <w:szCs w:val="19"/>
          <w:color w:val="auto"/>
        </w:rPr>
        <w:t>We globally manage our business operations through three reportable operating segments. Segment information is consistent with how management reviews the businesses, makes investing and resource allocation decisions and assesses operating performance.</w:t>
      </w:r>
    </w:p>
    <w:p>
      <w:pPr>
        <w:spacing w:after="0" w:line="307"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benefits (expense), stock compensation expense, repositioning and other charges and accounting changes.</w:t>
      </w:r>
    </w:p>
    <w:p>
      <w:pPr>
        <w:spacing w:after="0" w:line="9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In April 2014, the Company announced the realignment of our Honeywell Process Solutions business from Automation and Control Solutions into Performance Materials and Technologies. The Company has reported its financial performance based on the inclusion of Honeywell Process Solutions in Performance Materials and Technologies for all periods presented.</w:t>
      </w:r>
    </w:p>
    <w:p>
      <w:pPr>
        <w:spacing w:after="0" w:line="74"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In July 2014, following the closing of the sale of its Friction Materials business, the Company announced the realignment of its Transportation Systems business segment with its Aerospace business segment. Under the realigned segment reporting structure, the Company has three business segments: Aerospace, Automation and Control Solutions and Performance Materials and Technologies. The Company has reported its financial performance based on the inclusion of Transportation Systems in Aerospace for all periods presented.</w:t>
      </w:r>
    </w:p>
    <w:p>
      <w:pPr>
        <w:spacing w:after="0" w:line="91" w:lineRule="exact"/>
        <w:rPr>
          <w:sz w:val="20"/>
          <w:szCs w:val="20"/>
          <w:color w:val="auto"/>
        </w:rPr>
      </w:pPr>
    </w:p>
    <w:p>
      <w:pPr>
        <w:jc w:val="both"/>
        <w:ind w:right="20" w:firstLine="357"/>
        <w:spacing w:after="0" w:line="246" w:lineRule="auto"/>
        <w:rPr>
          <w:sz w:val="20"/>
          <w:szCs w:val="20"/>
          <w:color w:val="auto"/>
        </w:rPr>
      </w:pPr>
      <w:r>
        <w:rPr>
          <w:rFonts w:ascii="Arial" w:cs="Arial" w:eastAsia="Arial" w:hAnsi="Arial"/>
          <w:sz w:val="19"/>
          <w:szCs w:val="19"/>
          <w:color w:val="auto"/>
        </w:rPr>
        <w:t>These realignments have no impact on the Company’s historical consolidated financial position, results of operations, or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jc w:val="right"/>
              <w:ind w:right="504"/>
              <w:spacing w:after="0"/>
              <w:rPr>
                <w:sz w:val="20"/>
                <w:szCs w:val="20"/>
                <w:color w:val="auto"/>
              </w:rPr>
            </w:pPr>
            <w:r>
              <w:rPr>
                <w:rFonts w:ascii="Arial" w:cs="Arial" w:eastAsia="Arial" w:hAnsi="Arial"/>
                <w:sz w:val="16"/>
                <w:szCs w:val="16"/>
                <w:b w:val="1"/>
                <w:bCs w:val="1"/>
                <w:color w:val="auto"/>
              </w:rPr>
              <w:t>Years Ended December 31,</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10"/>
        </w:trPr>
        <w:tc>
          <w:tcPr>
            <w:tcW w:w="47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Net Sales</w:t>
            </w:r>
          </w:p>
        </w:tc>
        <w:tc>
          <w:tcPr>
            <w:tcW w:w="34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9"/>
                <w:szCs w:val="19"/>
                <w:color w:val="auto"/>
              </w:rPr>
              <w:t>Aerospace</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360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10,773</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10,798</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10,560</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Service</w:t>
            </w:r>
          </w:p>
        </w:tc>
        <w:tc>
          <w:tcPr>
            <w:tcW w:w="3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4,825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4,937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5,041</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34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15,598</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15,735</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15,601</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9"/>
                <w:szCs w:val="19"/>
                <w:color w:val="auto"/>
              </w:rPr>
              <w:t>Automation and Control Solutions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34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13,219</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12,253</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11,581</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Service</w:t>
            </w:r>
          </w:p>
        </w:tc>
        <w:tc>
          <w:tcPr>
            <w:tcW w:w="3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1,268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1,212</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1,206</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34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14,487</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13,465</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12,787</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Arial" w:cs="Arial" w:eastAsia="Arial" w:hAnsi="Arial"/>
                <w:sz w:val="19"/>
                <w:szCs w:val="19"/>
                <w:color w:val="auto"/>
              </w:rPr>
              <w:t>Performance Materials and Technologies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Product</w:t>
            </w:r>
          </w:p>
        </w:tc>
        <w:tc>
          <w:tcPr>
            <w:tcW w:w="34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8,406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8,163</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7,671</w:t>
            </w:r>
          </w:p>
        </w:tc>
        <w:tc>
          <w:tcPr>
            <w:tcW w:w="0" w:type="dxa"/>
            <w:vAlign w:val="bottom"/>
          </w:tcPr>
          <w:p>
            <w:pPr>
              <w:spacing w:after="0"/>
              <w:rPr>
                <w:sz w:val="1"/>
                <w:szCs w:val="1"/>
                <w:color w:val="auto"/>
              </w:rPr>
            </w:pPr>
          </w:p>
        </w:tc>
      </w:tr>
      <w:tr>
        <w:trPr>
          <w:trHeight w:val="250"/>
        </w:trPr>
        <w:tc>
          <w:tcPr>
            <w:tcW w:w="4740" w:type="dxa"/>
            <w:vAlign w:val="bottom"/>
          </w:tcPr>
          <w:p>
            <w:pPr>
              <w:ind w:left="360"/>
              <w:spacing w:after="0"/>
              <w:rPr>
                <w:sz w:val="20"/>
                <w:szCs w:val="20"/>
                <w:color w:val="auto"/>
              </w:rPr>
            </w:pPr>
            <w:r>
              <w:rPr>
                <w:rFonts w:ascii="Arial" w:cs="Arial" w:eastAsia="Arial" w:hAnsi="Arial"/>
                <w:sz w:val="19"/>
                <w:szCs w:val="19"/>
                <w:color w:val="auto"/>
              </w:rPr>
              <w:t>Service</w:t>
            </w:r>
          </w:p>
        </w:tc>
        <w:tc>
          <w:tcPr>
            <w:tcW w:w="3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1,815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1,692</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9"/>
                <w:szCs w:val="19"/>
                <w:color w:val="auto"/>
              </w:rPr>
              <w:t>1,606</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720"/>
              <w:spacing w:after="0"/>
              <w:rPr>
                <w:sz w:val="20"/>
                <w:szCs w:val="20"/>
                <w:color w:val="auto"/>
              </w:rPr>
            </w:pPr>
            <w:r>
              <w:rPr>
                <w:rFonts w:ascii="Arial" w:cs="Arial" w:eastAsia="Arial" w:hAnsi="Arial"/>
                <w:sz w:val="19"/>
                <w:szCs w:val="19"/>
                <w:color w:val="auto"/>
              </w:rPr>
              <w:t>Total</w:t>
            </w:r>
          </w:p>
        </w:tc>
        <w:tc>
          <w:tcPr>
            <w:tcW w:w="34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10,221</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9,855</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9,277</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36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40,306</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39,055</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37,665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Depreciation and amortization</w:t>
            </w:r>
          </w:p>
        </w:tc>
        <w:tc>
          <w:tcPr>
            <w:tcW w:w="34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36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277</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290</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296</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Automation and Control Solutions</w:t>
            </w:r>
          </w:p>
        </w:tc>
        <w:tc>
          <w:tcPr>
            <w:tcW w:w="34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306</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302</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302</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284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336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265</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w:t>
            </w:r>
          </w:p>
        </w:tc>
        <w:tc>
          <w:tcPr>
            <w:tcW w:w="34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57</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61</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4"/>
              <w:spacing w:after="0"/>
              <w:rPr>
                <w:sz w:val="20"/>
                <w:szCs w:val="20"/>
                <w:color w:val="auto"/>
              </w:rPr>
            </w:pPr>
            <w:r>
              <w:rPr>
                <w:rFonts w:ascii="Arial" w:cs="Arial" w:eastAsia="Arial" w:hAnsi="Arial"/>
                <w:sz w:val="19"/>
                <w:szCs w:val="19"/>
                <w:color w:val="auto"/>
              </w:rPr>
              <w:t>63</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36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924</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989</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926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Segment Profit</w:t>
            </w:r>
          </w:p>
        </w:tc>
        <w:tc>
          <w:tcPr>
            <w:tcW w:w="34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36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2,915</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2,870</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2,711</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Automation and Control Solutions</w:t>
            </w:r>
          </w:p>
        </w:tc>
        <w:tc>
          <w:tcPr>
            <w:tcW w:w="34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2,200</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1,983</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4"/>
              <w:spacing w:after="0"/>
              <w:rPr>
                <w:sz w:val="20"/>
                <w:szCs w:val="20"/>
                <w:color w:val="auto"/>
              </w:rPr>
            </w:pPr>
            <w:r>
              <w:rPr>
                <w:rFonts w:ascii="Arial" w:cs="Arial" w:eastAsia="Arial" w:hAnsi="Arial"/>
                <w:sz w:val="19"/>
                <w:szCs w:val="19"/>
                <w:color w:val="auto"/>
              </w:rPr>
              <w:t>1,836</w:t>
            </w:r>
          </w:p>
        </w:tc>
        <w:tc>
          <w:tcPr>
            <w:tcW w:w="0" w:type="dxa"/>
            <w:vAlign w:val="bottom"/>
          </w:tcPr>
          <w:p>
            <w:pPr>
              <w:spacing w:after="0"/>
              <w:rPr>
                <w:sz w:val="1"/>
                <w:szCs w:val="1"/>
                <w:color w:val="auto"/>
              </w:rPr>
            </w:pPr>
          </w:p>
        </w:tc>
      </w:tr>
      <w:tr>
        <w:trPr>
          <w:trHeight w:val="243"/>
        </w:trPr>
        <w:tc>
          <w:tcPr>
            <w:tcW w:w="474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3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1,817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1,725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1,550</w:t>
            </w: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w:t>
            </w:r>
          </w:p>
        </w:tc>
        <w:tc>
          <w:tcPr>
            <w:tcW w:w="346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(236)</w:t>
            </w:r>
          </w:p>
        </w:tc>
        <w:tc>
          <w:tcPr>
            <w:tcW w:w="30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(227)</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(218)</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360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6,696</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6,351</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720" w:type="dxa"/>
            <w:vAlign w:val="bottom"/>
          </w:tcPr>
          <w:p>
            <w:pPr>
              <w:jc w:val="right"/>
              <w:ind w:right="4"/>
              <w:spacing w:after="0"/>
              <w:rPr>
                <w:sz w:val="20"/>
                <w:szCs w:val="20"/>
                <w:color w:val="auto"/>
              </w:rPr>
            </w:pPr>
            <w:r>
              <w:rPr>
                <w:rFonts w:ascii="Arial" w:cs="Arial" w:eastAsia="Arial" w:hAnsi="Arial"/>
                <w:sz w:val="19"/>
                <w:szCs w:val="19"/>
                <w:color w:val="auto"/>
              </w:rPr>
              <w:t>5,879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60" w:type="dxa"/>
            <w:vAlign w:val="bottom"/>
            <w:vMerge w:val="restart"/>
          </w:tcPr>
          <w:p>
            <w:pPr>
              <w:jc w:val="right"/>
              <w:ind w:right="2283"/>
              <w:spacing w:after="0"/>
              <w:rPr>
                <w:sz w:val="20"/>
                <w:szCs w:val="20"/>
                <w:color w:val="auto"/>
              </w:rPr>
            </w:pPr>
            <w:r>
              <w:rPr>
                <w:rFonts w:ascii="Arial" w:cs="Arial" w:eastAsia="Arial" w:hAnsi="Arial"/>
                <w:sz w:val="19"/>
                <w:szCs w:val="19"/>
                <w:color w:val="auto"/>
              </w:rPr>
              <w:t>77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7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0"/>
          </w:tcPr>
          <w:p>
            <w:pPr>
              <w:jc w:val="center"/>
              <w:ind w:right="106"/>
              <w:spacing w:after="0"/>
              <w:rPr>
                <w:sz w:val="20"/>
                <w:szCs w:val="20"/>
                <w:color w:val="auto"/>
              </w:rPr>
            </w:pPr>
            <w:r>
              <w:rPr>
                <w:rFonts w:ascii="Arial" w:cs="Arial" w:eastAsia="Arial" w:hAnsi="Arial"/>
                <w:sz w:val="16"/>
                <w:szCs w:val="16"/>
                <w:b w:val="1"/>
                <w:bCs w:val="1"/>
                <w:color w:val="auto"/>
                <w:w w:val="98"/>
              </w:rPr>
              <w:t>Years Ended December 31,</w:t>
            </w:r>
          </w:p>
        </w:tc>
      </w:tr>
      <w:tr>
        <w:trPr>
          <w:trHeight w:val="169"/>
        </w:trPr>
        <w:tc>
          <w:tcPr>
            <w:tcW w:w="8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7"/>
              <w:spacing w:after="0" w:line="169" w:lineRule="exact"/>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7"/>
              <w:spacing w:after="0" w:line="169" w:lineRule="exact"/>
              <w:rPr>
                <w:sz w:val="20"/>
                <w:szCs w:val="20"/>
                <w:color w:val="auto"/>
              </w:rPr>
            </w:pPr>
            <w:r>
              <w:rPr>
                <w:rFonts w:ascii="Arial" w:cs="Arial" w:eastAsia="Arial" w:hAnsi="Arial"/>
                <w:sz w:val="16"/>
                <w:szCs w:val="16"/>
                <w:b w:val="1"/>
                <w:bCs w:val="1"/>
                <w:color w:val="auto"/>
              </w:rPr>
              <w:t>2013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6"/>
              <w:spacing w:after="0" w:line="169" w:lineRule="exact"/>
              <w:rPr>
                <w:sz w:val="20"/>
                <w:szCs w:val="20"/>
                <w:color w:val="auto"/>
              </w:rPr>
            </w:pPr>
            <w:r>
              <w:rPr>
                <w:rFonts w:ascii="Arial" w:cs="Arial" w:eastAsia="Arial" w:hAnsi="Arial"/>
                <w:sz w:val="16"/>
                <w:szCs w:val="16"/>
                <w:b w:val="1"/>
                <w:bCs w:val="1"/>
                <w:color w:val="auto"/>
              </w:rPr>
              <w:t>2012</w:t>
            </w:r>
          </w:p>
        </w:tc>
      </w:tr>
      <w:tr>
        <w:trPr>
          <w:trHeight w:val="210"/>
        </w:trPr>
        <w:tc>
          <w:tcPr>
            <w:tcW w:w="81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Capital expenditures</w:t>
            </w:r>
          </w:p>
        </w:tc>
        <w:tc>
          <w:tcPr>
            <w:tcW w:w="18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315</w:t>
            </w:r>
          </w:p>
        </w:tc>
        <w:tc>
          <w:tcPr>
            <w:tcW w:w="480" w:type="dxa"/>
            <w:vAlign w:val="bottom"/>
            <w:gridSpan w:val="4"/>
          </w:tcPr>
          <w:p>
            <w:pPr>
              <w:jc w:val="right"/>
              <w:ind w:right="60"/>
              <w:spacing w:after="0"/>
              <w:rPr>
                <w:sz w:val="20"/>
                <w:szCs w:val="20"/>
                <w:color w:val="auto"/>
              </w:rPr>
            </w:pPr>
            <w:r>
              <w:rPr>
                <w:rFonts w:ascii="Arial" w:cs="Arial" w:eastAsia="Arial" w:hAnsi="Arial"/>
                <w:sz w:val="19"/>
                <w:szCs w:val="19"/>
                <w:color w:val="auto"/>
              </w:rPr>
              <w:t>$</w:t>
            </w:r>
          </w:p>
        </w:tc>
        <w:tc>
          <w:tcPr>
            <w:tcW w:w="700" w:type="dxa"/>
            <w:vAlign w:val="bottom"/>
          </w:tcPr>
          <w:p>
            <w:pPr>
              <w:jc w:val="right"/>
              <w:ind w:right="7"/>
              <w:spacing w:after="0"/>
              <w:rPr>
                <w:sz w:val="20"/>
                <w:szCs w:val="20"/>
                <w:color w:val="auto"/>
              </w:rPr>
            </w:pPr>
            <w:r>
              <w:rPr>
                <w:rFonts w:ascii="Arial" w:cs="Arial" w:eastAsia="Arial" w:hAnsi="Arial"/>
                <w:sz w:val="19"/>
                <w:szCs w:val="19"/>
                <w:color w:val="auto"/>
              </w:rPr>
              <w:t>310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ind w:right="6"/>
              <w:spacing w:after="0"/>
              <w:rPr>
                <w:sz w:val="20"/>
                <w:szCs w:val="20"/>
                <w:color w:val="auto"/>
              </w:rPr>
            </w:pPr>
            <w:r>
              <w:rPr>
                <w:rFonts w:ascii="Arial" w:cs="Arial" w:eastAsia="Arial" w:hAnsi="Arial"/>
                <w:sz w:val="19"/>
                <w:szCs w:val="19"/>
                <w:color w:val="auto"/>
              </w:rPr>
              <w:t>320</w:t>
            </w: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Automation and Control Solutions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145</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7"/>
              <w:spacing w:after="0"/>
              <w:rPr>
                <w:sz w:val="20"/>
                <w:szCs w:val="20"/>
                <w:color w:val="auto"/>
              </w:rPr>
            </w:pPr>
            <w:r>
              <w:rPr>
                <w:rFonts w:ascii="Arial" w:cs="Arial" w:eastAsia="Arial" w:hAnsi="Arial"/>
                <w:sz w:val="19"/>
                <w:szCs w:val="19"/>
                <w:color w:val="auto"/>
              </w:rPr>
              <w:t>132</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114</w:t>
            </w: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537</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Arial" w:cs="Arial" w:eastAsia="Arial" w:hAnsi="Arial"/>
                <w:sz w:val="19"/>
                <w:szCs w:val="19"/>
                <w:color w:val="auto"/>
              </w:rPr>
              <w:t>448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6"/>
              <w:spacing w:after="0"/>
              <w:rPr>
                <w:sz w:val="20"/>
                <w:szCs w:val="20"/>
                <w:color w:val="auto"/>
              </w:rPr>
            </w:pPr>
            <w:r>
              <w:rPr>
                <w:rFonts w:ascii="Arial" w:cs="Arial" w:eastAsia="Arial" w:hAnsi="Arial"/>
                <w:sz w:val="19"/>
                <w:szCs w:val="19"/>
                <w:color w:val="auto"/>
              </w:rPr>
              <w:t>357</w:t>
            </w: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w:t>
            </w:r>
          </w:p>
        </w:tc>
        <w:tc>
          <w:tcPr>
            <w:tcW w:w="1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97</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7"/>
              <w:spacing w:after="0"/>
              <w:rPr>
                <w:sz w:val="20"/>
                <w:szCs w:val="20"/>
                <w:color w:val="auto"/>
              </w:rPr>
            </w:pPr>
            <w:r>
              <w:rPr>
                <w:rFonts w:ascii="Arial" w:cs="Arial" w:eastAsia="Arial" w:hAnsi="Arial"/>
                <w:sz w:val="19"/>
                <w:szCs w:val="19"/>
                <w:color w:val="auto"/>
              </w:rPr>
              <w:t>57</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6"/>
              <w:spacing w:after="0"/>
              <w:rPr>
                <w:sz w:val="20"/>
                <w:szCs w:val="20"/>
                <w:color w:val="auto"/>
              </w:rPr>
            </w:pPr>
            <w:r>
              <w:rPr>
                <w:rFonts w:ascii="Arial" w:cs="Arial" w:eastAsia="Arial" w:hAnsi="Arial"/>
                <w:sz w:val="19"/>
                <w:szCs w:val="19"/>
                <w:color w:val="auto"/>
              </w:rPr>
              <w:t>93</w:t>
            </w:r>
          </w:p>
        </w:tc>
      </w:tr>
      <w:tr>
        <w:trPr>
          <w:trHeight w:val="250"/>
        </w:trPr>
        <w:tc>
          <w:tcPr>
            <w:tcW w:w="81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1,094</w:t>
            </w:r>
          </w:p>
        </w:tc>
        <w:tc>
          <w:tcPr>
            <w:tcW w:w="300" w:type="dxa"/>
            <w:vAlign w:val="bottom"/>
            <w:gridSpan w:val="2"/>
          </w:tcPr>
          <w:p>
            <w:pPr>
              <w:spacing w:after="0"/>
              <w:rPr>
                <w:sz w:val="21"/>
                <w:szCs w:val="21"/>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auto"/>
            </w:tcBorders>
          </w:tcPr>
          <w:p>
            <w:pPr>
              <w:jc w:val="right"/>
              <w:ind w:right="7"/>
              <w:spacing w:after="0"/>
              <w:rPr>
                <w:sz w:val="20"/>
                <w:szCs w:val="20"/>
                <w:color w:val="auto"/>
              </w:rPr>
            </w:pPr>
            <w:r>
              <w:rPr>
                <w:rFonts w:ascii="Arial" w:cs="Arial" w:eastAsia="Arial" w:hAnsi="Arial"/>
                <w:sz w:val="19"/>
                <w:szCs w:val="19"/>
                <w:color w:val="auto"/>
              </w:rPr>
              <w:t>947</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884</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40"/>
        </w:trPr>
        <w:tc>
          <w:tcPr>
            <w:tcW w:w="8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9"/>
              </w:rPr>
              <w:t>December 31,</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69"/>
        </w:trPr>
        <w:tc>
          <w:tcPr>
            <w:tcW w:w="8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6"/>
                <w:szCs w:val="16"/>
                <w:b w:val="1"/>
                <w:bCs w:val="1"/>
                <w:color w:val="auto"/>
              </w:rPr>
              <w:t>2014</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67"/>
              <w:spacing w:after="0" w:line="169" w:lineRule="exact"/>
              <w:rPr>
                <w:sz w:val="20"/>
                <w:szCs w:val="20"/>
                <w:color w:val="auto"/>
              </w:rPr>
            </w:pPr>
            <w:r>
              <w:rPr>
                <w:rFonts w:ascii="Arial" w:cs="Arial" w:eastAsia="Arial" w:hAnsi="Arial"/>
                <w:sz w:val="16"/>
                <w:szCs w:val="16"/>
                <w:b w:val="1"/>
                <w:bCs w:val="1"/>
                <w:color w:val="auto"/>
                <w:w w:val="95"/>
              </w:rPr>
              <w:t>2013</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6"/>
                <w:szCs w:val="16"/>
                <w:b w:val="1"/>
                <w:bCs w:val="1"/>
                <w:color w:val="auto"/>
              </w:rPr>
              <w:t>2012</w:t>
            </w:r>
          </w:p>
        </w:tc>
      </w:tr>
      <w:tr>
        <w:trPr>
          <w:trHeight w:val="210"/>
        </w:trPr>
        <w:tc>
          <w:tcPr>
            <w:tcW w:w="818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Total Assets</w:t>
            </w:r>
          </w:p>
        </w:tc>
        <w:tc>
          <w:tcPr>
            <w:tcW w:w="18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00" w:type="dxa"/>
            <w:vAlign w:val="bottom"/>
            <w:shd w:val="clear" w:color="auto" w:fill="E5FFFF"/>
          </w:tcPr>
          <w:p>
            <w:pPr>
              <w:spacing w:after="0"/>
              <w:rPr>
                <w:sz w:val="18"/>
                <w:szCs w:val="18"/>
                <w:color w:val="auto"/>
              </w:rPr>
            </w:pP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Aerospace</w:t>
            </w: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11,151</w:t>
            </w:r>
          </w:p>
        </w:tc>
        <w:tc>
          <w:tcPr>
            <w:tcW w:w="1180" w:type="dxa"/>
            <w:vAlign w:val="bottom"/>
            <w:gridSpan w:val="5"/>
          </w:tcPr>
          <w:p>
            <w:pPr>
              <w:jc w:val="right"/>
              <w:spacing w:after="0"/>
              <w:rPr>
                <w:sz w:val="20"/>
                <w:szCs w:val="20"/>
                <w:color w:val="auto"/>
              </w:rPr>
            </w:pPr>
            <w:r>
              <w:rPr>
                <w:rFonts w:ascii="Arial" w:cs="Arial" w:eastAsia="Arial" w:hAnsi="Arial"/>
                <w:sz w:val="19"/>
                <w:szCs w:val="19"/>
                <w:color w:val="auto"/>
              </w:rPr>
              <w:t>$ 11,379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11,024</w:t>
            </w: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Automation and Control Solutions</w:t>
            </w:r>
          </w:p>
        </w:tc>
        <w:tc>
          <w:tcPr>
            <w:tcW w:w="18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17,191</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17,675</w:t>
            </w:r>
          </w:p>
        </w:tc>
        <w:tc>
          <w:tcPr>
            <w:tcW w:w="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15,996</w:t>
            </w:r>
          </w:p>
        </w:tc>
      </w:tr>
      <w:tr>
        <w:trPr>
          <w:trHeight w:val="243"/>
        </w:trPr>
        <w:tc>
          <w:tcPr>
            <w:tcW w:w="8180" w:type="dxa"/>
            <w:vAlign w:val="bottom"/>
          </w:tcPr>
          <w:p>
            <w:pPr>
              <w:ind w:left="360"/>
              <w:spacing w:after="0"/>
              <w:rPr>
                <w:sz w:val="20"/>
                <w:szCs w:val="20"/>
                <w:color w:val="auto"/>
              </w:rPr>
            </w:pPr>
            <w:r>
              <w:rPr>
                <w:rFonts w:ascii="Arial" w:cs="Arial" w:eastAsia="Arial" w:hAnsi="Arial"/>
                <w:sz w:val="19"/>
                <w:szCs w:val="19"/>
                <w:color w:val="auto"/>
              </w:rPr>
              <w:t>Performance Materials and Technologies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9,699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9,534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9,154</w:t>
            </w:r>
          </w:p>
        </w:tc>
      </w:tr>
      <w:tr>
        <w:trPr>
          <w:trHeight w:val="243"/>
        </w:trPr>
        <w:tc>
          <w:tcPr>
            <w:tcW w:w="8180" w:type="dxa"/>
            <w:vAlign w:val="bottom"/>
            <w:shd w:val="clear" w:color="auto" w:fill="E5FFFF"/>
          </w:tcPr>
          <w:p>
            <w:pPr>
              <w:ind w:left="360"/>
              <w:spacing w:after="0"/>
              <w:rPr>
                <w:sz w:val="20"/>
                <w:szCs w:val="20"/>
                <w:color w:val="auto"/>
              </w:rPr>
            </w:pPr>
            <w:r>
              <w:rPr>
                <w:rFonts w:ascii="Arial" w:cs="Arial" w:eastAsia="Arial" w:hAnsi="Arial"/>
                <w:sz w:val="19"/>
                <w:szCs w:val="19"/>
                <w:color w:val="auto"/>
              </w:rPr>
              <w:t>Corporate</w:t>
            </w:r>
          </w:p>
        </w:tc>
        <w:tc>
          <w:tcPr>
            <w:tcW w:w="18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7,410</w:t>
            </w:r>
          </w:p>
        </w:tc>
        <w:tc>
          <w:tcPr>
            <w:tcW w:w="20" w:type="dxa"/>
            <w:vAlign w:val="bottom"/>
            <w:tcBorders>
              <w:bottom w:val="single" w:sz="8" w:color="auto"/>
            </w:tcBorders>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6,847</w:t>
            </w:r>
          </w:p>
        </w:tc>
        <w:tc>
          <w:tcPr>
            <w:tcW w:w="20" w:type="dxa"/>
            <w:vAlign w:val="bottom"/>
            <w:tcBorders>
              <w:bottom w:val="single" w:sz="8" w:color="auto"/>
            </w:tcBorders>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5,679</w:t>
            </w:r>
          </w:p>
        </w:tc>
      </w:tr>
      <w:tr>
        <w:trPr>
          <w:trHeight w:val="250"/>
        </w:trPr>
        <w:tc>
          <w:tcPr>
            <w:tcW w:w="8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80" w:type="dxa"/>
            <w:vAlign w:val="bottom"/>
          </w:tcPr>
          <w:p>
            <w:pPr>
              <w:jc w:val="right"/>
              <w:spacing w:after="0"/>
              <w:rPr>
                <w:sz w:val="20"/>
                <w:szCs w:val="20"/>
                <w:color w:val="auto"/>
              </w:rPr>
            </w:pPr>
            <w:r>
              <w:rPr>
                <w:rFonts w:ascii="Arial" w:cs="Arial" w:eastAsia="Arial" w:hAnsi="Arial"/>
                <w:sz w:val="19"/>
                <w:szCs w:val="19"/>
                <w:color w:val="auto"/>
              </w:rPr>
              <w:t>45,451</w:t>
            </w:r>
          </w:p>
        </w:tc>
        <w:tc>
          <w:tcPr>
            <w:tcW w:w="1180" w:type="dxa"/>
            <w:vAlign w:val="bottom"/>
            <w:gridSpan w:val="5"/>
          </w:tcPr>
          <w:p>
            <w:pPr>
              <w:jc w:val="right"/>
              <w:spacing w:after="0"/>
              <w:rPr>
                <w:sz w:val="20"/>
                <w:szCs w:val="20"/>
                <w:color w:val="auto"/>
              </w:rPr>
            </w:pPr>
            <w:r>
              <w:rPr>
                <w:rFonts w:ascii="Arial" w:cs="Arial" w:eastAsia="Arial" w:hAnsi="Arial"/>
                <w:sz w:val="19"/>
                <w:szCs w:val="19"/>
                <w:color w:val="auto"/>
              </w:rPr>
              <w:t>$ 45,435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41,853</w:t>
            </w:r>
          </w:p>
        </w:tc>
      </w:tr>
      <w:tr>
        <w:trPr>
          <w:trHeight w:val="20"/>
        </w:trPr>
        <w:tc>
          <w:tcPr>
            <w:tcW w:w="8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 reconciliation of segment profit to consolidated income from continuing operations before taxes are as follows:</w:t>
      </w:r>
    </w:p>
    <w:p>
      <w:pPr>
        <w:spacing w:after="0" w:line="253"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6"/>
                <w:szCs w:val="16"/>
                <w:b w:val="1"/>
                <w:bCs w:val="1"/>
                <w:color w:val="auto"/>
              </w:rPr>
              <w:t>Years Ended December 31,</w:t>
            </w:r>
          </w:p>
        </w:tc>
      </w:tr>
      <w:tr>
        <w:trPr>
          <w:trHeight w:val="169"/>
        </w:trPr>
        <w:tc>
          <w:tcPr>
            <w:tcW w:w="7480" w:type="dxa"/>
            <w:vAlign w:val="bottom"/>
          </w:tcPr>
          <w:p>
            <w:pPr>
              <w:spacing w:after="0"/>
              <w:rPr>
                <w:sz w:val="14"/>
                <w:szCs w:val="14"/>
                <w:color w:val="auto"/>
              </w:rPr>
            </w:pPr>
          </w:p>
        </w:tc>
        <w:tc>
          <w:tcPr>
            <w:tcW w:w="76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12"/>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Segment Profit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$ 6,696</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$ 6,351</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$ 5,879</w:t>
            </w:r>
          </w:p>
        </w:tc>
      </w:tr>
      <w:tr>
        <w:trPr>
          <w:trHeight w:val="243"/>
        </w:trPr>
        <w:tc>
          <w:tcPr>
            <w:tcW w:w="7480" w:type="dxa"/>
            <w:vAlign w:val="bottom"/>
          </w:tcPr>
          <w:p>
            <w:pPr>
              <w:spacing w:after="0"/>
              <w:rPr>
                <w:sz w:val="20"/>
                <w:szCs w:val="20"/>
                <w:color w:val="auto"/>
              </w:rPr>
            </w:pPr>
            <w:r>
              <w:rPr>
                <w:rFonts w:ascii="Arial" w:cs="Arial" w:eastAsia="Arial" w:hAnsi="Arial"/>
                <w:sz w:val="19"/>
                <w:szCs w:val="19"/>
                <w:color w:val="auto"/>
              </w:rPr>
              <w:t>Other income (expense)(1)</w:t>
            </w:r>
          </w:p>
        </w:tc>
        <w:tc>
          <w:tcPr>
            <w:tcW w:w="760" w:type="dxa"/>
            <w:vAlign w:val="bottom"/>
          </w:tcPr>
          <w:p>
            <w:pPr>
              <w:jc w:val="right"/>
              <w:spacing w:after="0"/>
              <w:rPr>
                <w:sz w:val="20"/>
                <w:szCs w:val="20"/>
                <w:color w:val="auto"/>
              </w:rPr>
            </w:pPr>
            <w:r>
              <w:rPr>
                <w:rFonts w:ascii="Arial" w:cs="Arial" w:eastAsia="Arial" w:hAnsi="Arial"/>
                <w:sz w:val="19"/>
                <w:szCs w:val="19"/>
                <w:color w:val="auto"/>
              </w:rPr>
              <w:t>269</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202</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25</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Interest and other financial charges</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(318)</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(327)</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(351)</w:t>
            </w:r>
          </w:p>
        </w:tc>
      </w:tr>
      <w:tr>
        <w:trPr>
          <w:trHeight w:val="243"/>
        </w:trPr>
        <w:tc>
          <w:tcPr>
            <w:tcW w:w="7480" w:type="dxa"/>
            <w:vAlign w:val="bottom"/>
          </w:tcPr>
          <w:p>
            <w:pPr>
              <w:spacing w:after="0"/>
              <w:rPr>
                <w:sz w:val="20"/>
                <w:szCs w:val="20"/>
                <w:color w:val="auto"/>
              </w:rPr>
            </w:pPr>
            <w:r>
              <w:rPr>
                <w:rFonts w:ascii="Arial" w:cs="Arial" w:eastAsia="Arial" w:hAnsi="Arial"/>
                <w:sz w:val="19"/>
                <w:szCs w:val="19"/>
                <w:color w:val="auto"/>
              </w:rPr>
              <w:t>Stock compensation expense(2)</w:t>
            </w:r>
          </w:p>
        </w:tc>
        <w:tc>
          <w:tcPr>
            <w:tcW w:w="760" w:type="dxa"/>
            <w:vAlign w:val="bottom"/>
          </w:tcPr>
          <w:p>
            <w:pPr>
              <w:jc w:val="right"/>
              <w:spacing w:after="0"/>
              <w:rPr>
                <w:sz w:val="20"/>
                <w:szCs w:val="20"/>
                <w:color w:val="auto"/>
              </w:rPr>
            </w:pPr>
            <w:r>
              <w:rPr>
                <w:rFonts w:ascii="Arial" w:cs="Arial" w:eastAsia="Arial" w:hAnsi="Arial"/>
                <w:sz w:val="19"/>
                <w:szCs w:val="19"/>
                <w:color w:val="auto"/>
              </w:rPr>
              <w:t>(187)</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(170)</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(170)</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Pension ongoing income (expense)(2)</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254</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90</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(36)</w:t>
            </w:r>
          </w:p>
        </w:tc>
      </w:tr>
      <w:tr>
        <w:trPr>
          <w:trHeight w:val="243"/>
        </w:trPr>
        <w:tc>
          <w:tcPr>
            <w:tcW w:w="7480" w:type="dxa"/>
            <w:vAlign w:val="bottom"/>
          </w:tcPr>
          <w:p>
            <w:pPr>
              <w:spacing w:after="0"/>
              <w:rPr>
                <w:sz w:val="20"/>
                <w:szCs w:val="20"/>
                <w:color w:val="auto"/>
              </w:rPr>
            </w:pPr>
            <w:r>
              <w:rPr>
                <w:rFonts w:ascii="Arial" w:cs="Arial" w:eastAsia="Arial" w:hAnsi="Arial"/>
                <w:sz w:val="19"/>
                <w:szCs w:val="19"/>
                <w:color w:val="auto"/>
              </w:rPr>
              <w:t>Pension mark-to-market expense(2)</w:t>
            </w:r>
          </w:p>
        </w:tc>
        <w:tc>
          <w:tcPr>
            <w:tcW w:w="760" w:type="dxa"/>
            <w:vAlign w:val="bottom"/>
          </w:tcPr>
          <w:p>
            <w:pPr>
              <w:jc w:val="right"/>
              <w:spacing w:after="0"/>
              <w:rPr>
                <w:sz w:val="20"/>
                <w:szCs w:val="20"/>
                <w:color w:val="auto"/>
              </w:rPr>
            </w:pPr>
            <w:r>
              <w:rPr>
                <w:rFonts w:ascii="Arial" w:cs="Arial" w:eastAsia="Arial" w:hAnsi="Arial"/>
                <w:sz w:val="19"/>
                <w:szCs w:val="19"/>
                <w:color w:val="auto"/>
              </w:rPr>
              <w:t>(249)</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(51)</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(957)</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Other postretirement income (expense)(2)</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(49)</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(20)</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(72)</w:t>
            </w:r>
          </w:p>
        </w:tc>
      </w:tr>
      <w:tr>
        <w:trPr>
          <w:trHeight w:val="250"/>
        </w:trPr>
        <w:tc>
          <w:tcPr>
            <w:tcW w:w="7480" w:type="dxa"/>
            <w:vAlign w:val="bottom"/>
          </w:tcPr>
          <w:p>
            <w:pPr>
              <w:spacing w:after="0"/>
              <w:rPr>
                <w:sz w:val="20"/>
                <w:szCs w:val="20"/>
                <w:color w:val="auto"/>
              </w:rPr>
            </w:pPr>
            <w:r>
              <w:rPr>
                <w:rFonts w:ascii="Arial" w:cs="Arial" w:eastAsia="Arial" w:hAnsi="Arial"/>
                <w:sz w:val="19"/>
                <w:szCs w:val="19"/>
                <w:color w:val="auto"/>
              </w:rPr>
              <w:t>Repositioning and other charges(2)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(598)</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(663)</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(443)</w:t>
            </w:r>
          </w:p>
        </w:tc>
      </w:tr>
      <w:tr>
        <w:trPr>
          <w:trHeight w:val="243"/>
        </w:trPr>
        <w:tc>
          <w:tcPr>
            <w:tcW w:w="7480" w:type="dxa"/>
            <w:vAlign w:val="bottom"/>
            <w:shd w:val="clear" w:color="auto" w:fill="E5FFFF"/>
          </w:tcPr>
          <w:p>
            <w:pPr>
              <w:spacing w:after="0"/>
              <w:rPr>
                <w:sz w:val="20"/>
                <w:szCs w:val="20"/>
                <w:color w:val="auto"/>
              </w:rPr>
            </w:pPr>
            <w:r>
              <w:rPr>
                <w:rFonts w:ascii="Arial" w:cs="Arial" w:eastAsia="Arial" w:hAnsi="Arial"/>
                <w:sz w:val="19"/>
                <w:szCs w:val="19"/>
                <w:color w:val="auto"/>
              </w:rPr>
              <w:t>Income from continuing operations before taxes</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$ 5,818</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$ 5,412</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$ 3,875</w:t>
            </w:r>
          </w:p>
        </w:tc>
      </w:tr>
      <w:tr>
        <w:trPr>
          <w:trHeight w:val="20"/>
        </w:trPr>
        <w:tc>
          <w:tcPr>
            <w:tcW w:w="7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420" w:hanging="338"/>
        <w:spacing w:after="0"/>
        <w:tabs>
          <w:tab w:leader="none" w:pos="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Equity income (loss) of affiliated companies is included in Segment Profit.</w:t>
      </w:r>
    </w:p>
    <w:p>
      <w:pPr>
        <w:spacing w:after="0" w:line="92" w:lineRule="exact"/>
        <w:rPr>
          <w:rFonts w:ascii="Arial" w:cs="Arial" w:eastAsia="Arial" w:hAnsi="Arial"/>
          <w:sz w:val="19"/>
          <w:szCs w:val="19"/>
          <w:color w:val="auto"/>
        </w:rPr>
      </w:pPr>
    </w:p>
    <w:p>
      <w:pPr>
        <w:ind w:left="420" w:hanging="338"/>
        <w:spacing w:after="0"/>
        <w:tabs>
          <w:tab w:leader="none" w:pos="4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Amounts included in cost of products and services sold and selling, general and administrative expenses.</w:t>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22. Geographic Areas—Financial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Net Sales(1)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Long-lived Assets(2)</w:t>
            </w:r>
          </w:p>
        </w:tc>
        <w:tc>
          <w:tcPr>
            <w:tcW w:w="620" w:type="dxa"/>
            <w:vAlign w:val="bottom"/>
            <w:tcBorders>
              <w:bottom w:val="single" w:sz="8" w:color="auto"/>
            </w:tcBorders>
          </w:tcPr>
          <w:p>
            <w:pPr>
              <w:spacing w:after="0"/>
              <w:rPr>
                <w:sz w:val="16"/>
                <w:szCs w:val="16"/>
                <w:color w:val="auto"/>
              </w:rPr>
            </w:pPr>
          </w:p>
        </w:tc>
      </w:tr>
      <w:tr>
        <w:trPr>
          <w:trHeight w:val="169"/>
        </w:trPr>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right"/>
              <w:ind w:right="527"/>
              <w:spacing w:after="0" w:line="169" w:lineRule="exact"/>
              <w:rPr>
                <w:sz w:val="20"/>
                <w:szCs w:val="20"/>
                <w:color w:val="auto"/>
              </w:rPr>
            </w:pPr>
            <w:r>
              <w:rPr>
                <w:rFonts w:ascii="Arial" w:cs="Arial" w:eastAsia="Arial" w:hAnsi="Arial"/>
                <w:sz w:val="16"/>
                <w:szCs w:val="16"/>
                <w:b w:val="1"/>
                <w:bCs w:val="1"/>
                <w:color w:val="auto"/>
              </w:rPr>
              <w:t>Years Ended December 31,</w:t>
            </w:r>
          </w:p>
        </w:tc>
        <w:tc>
          <w:tcPr>
            <w:tcW w:w="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00"/>
              <w:spacing w:after="0" w:line="169" w:lineRule="exact"/>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9"/>
        </w:trPr>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9"/>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7"/>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7"/>
              <w:spacing w:after="0" w:line="169" w:lineRule="exact"/>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ind w:right="115"/>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12"/>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7"/>
              <w:spacing w:after="0" w:line="169" w:lineRule="exact"/>
              <w:rPr>
                <w:sz w:val="20"/>
                <w:szCs w:val="20"/>
                <w:color w:val="auto"/>
              </w:rPr>
            </w:pPr>
            <w:r>
              <w:rPr>
                <w:rFonts w:ascii="Arial" w:cs="Arial" w:eastAsia="Arial" w:hAnsi="Arial"/>
                <w:sz w:val="16"/>
                <w:szCs w:val="16"/>
                <w:b w:val="1"/>
                <w:bCs w:val="1"/>
                <w:color w:val="auto"/>
              </w:rPr>
              <w:t>2012</w:t>
            </w:r>
          </w:p>
        </w:tc>
      </w:tr>
      <w:tr>
        <w:trPr>
          <w:trHeight w:val="237"/>
        </w:trPr>
        <w:tc>
          <w:tcPr>
            <w:tcW w:w="500" w:type="dxa"/>
            <w:vAlign w:val="bottom"/>
          </w:tcPr>
          <w:p>
            <w:pPr>
              <w:spacing w:after="0"/>
              <w:rPr>
                <w:sz w:val="20"/>
                <w:szCs w:val="20"/>
                <w:color w:val="auto"/>
              </w:rPr>
            </w:pPr>
          </w:p>
        </w:tc>
        <w:tc>
          <w:tcPr>
            <w:tcW w:w="39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United States</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23,911</w:t>
            </w:r>
          </w:p>
        </w:tc>
        <w:tc>
          <w:tcPr>
            <w:tcW w:w="480" w:type="dxa"/>
            <w:vAlign w:val="bottom"/>
            <w:gridSpan w:val="2"/>
            <w:shd w:val="clear" w:color="auto" w:fill="E5FFFF"/>
          </w:tcPr>
          <w:p>
            <w:pPr>
              <w:ind w:left="320"/>
              <w:spacing w:after="0"/>
              <w:rPr>
                <w:sz w:val="20"/>
                <w:szCs w:val="20"/>
                <w:color w:val="auto"/>
              </w:rPr>
            </w:pPr>
            <w:r>
              <w:rPr>
                <w:rFonts w:ascii="Arial" w:cs="Arial" w:eastAsia="Arial" w:hAnsi="Arial"/>
                <w:sz w:val="19"/>
                <w:szCs w:val="19"/>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22,978</w:t>
            </w: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22,379</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$ 3,612</w:t>
            </w:r>
          </w:p>
        </w:tc>
        <w:tc>
          <w:tcPr>
            <w:tcW w:w="10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$ 3,393</w:t>
            </w: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6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3,118</w:t>
            </w:r>
          </w:p>
        </w:tc>
      </w:tr>
      <w:tr>
        <w:trPr>
          <w:trHeight w:val="243"/>
        </w:trPr>
        <w:tc>
          <w:tcPr>
            <w:tcW w:w="500" w:type="dxa"/>
            <w:vAlign w:val="bottom"/>
          </w:tcPr>
          <w:p>
            <w:pPr>
              <w:spacing w:after="0"/>
              <w:rPr>
                <w:sz w:val="21"/>
                <w:szCs w:val="21"/>
                <w:color w:val="auto"/>
              </w:rPr>
            </w:pPr>
          </w:p>
        </w:tc>
        <w:tc>
          <w:tcPr>
            <w:tcW w:w="3960" w:type="dxa"/>
            <w:vAlign w:val="bottom"/>
            <w:gridSpan w:val="2"/>
          </w:tcPr>
          <w:p>
            <w:pPr>
              <w:spacing w:after="0"/>
              <w:rPr>
                <w:sz w:val="20"/>
                <w:szCs w:val="20"/>
                <w:color w:val="auto"/>
              </w:rPr>
            </w:pPr>
            <w:r>
              <w:rPr>
                <w:rFonts w:ascii="Arial" w:cs="Arial" w:eastAsia="Arial" w:hAnsi="Arial"/>
                <w:sz w:val="19"/>
                <w:szCs w:val="19"/>
                <w:color w:val="auto"/>
              </w:rPr>
              <w:t>Europe</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9,870</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9"/>
                <w:szCs w:val="19"/>
                <w:color w:val="auto"/>
              </w:rPr>
              <w:t>9,804</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9"/>
                <w:szCs w:val="19"/>
                <w:color w:val="auto"/>
              </w:rPr>
              <w:t>9,118</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741</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905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9"/>
                <w:szCs w:val="19"/>
                <w:color w:val="auto"/>
              </w:rPr>
              <w:t>932</w:t>
            </w:r>
          </w:p>
        </w:tc>
      </w:tr>
      <w:tr>
        <w:trPr>
          <w:trHeight w:val="243"/>
        </w:trPr>
        <w:tc>
          <w:tcPr>
            <w:tcW w:w="500" w:type="dxa"/>
            <w:vAlign w:val="bottom"/>
          </w:tcPr>
          <w:p>
            <w:pPr>
              <w:spacing w:after="0"/>
              <w:rPr>
                <w:sz w:val="21"/>
                <w:szCs w:val="21"/>
                <w:color w:val="auto"/>
              </w:rPr>
            </w:pPr>
          </w:p>
        </w:tc>
        <w:tc>
          <w:tcPr>
            <w:tcW w:w="39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Other International</w:t>
            </w:r>
          </w:p>
        </w:tc>
        <w:tc>
          <w:tcPr>
            <w:tcW w:w="16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6,525</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6,273</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6,168</w:t>
            </w:r>
          </w:p>
        </w:tc>
        <w:tc>
          <w:tcPr>
            <w:tcW w:w="28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1,030</w:t>
            </w:r>
          </w:p>
        </w:tc>
        <w:tc>
          <w:tcPr>
            <w:tcW w:w="300" w:type="dxa"/>
            <w:vAlign w:val="bottom"/>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980</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951</w:t>
            </w:r>
          </w:p>
        </w:tc>
      </w:tr>
      <w:tr>
        <w:trPr>
          <w:trHeight w:val="250"/>
        </w:trPr>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40,306</w:t>
            </w:r>
          </w:p>
        </w:tc>
        <w:tc>
          <w:tcPr>
            <w:tcW w:w="480" w:type="dxa"/>
            <w:vAlign w:val="bottom"/>
            <w:gridSpan w:val="2"/>
          </w:tcPr>
          <w:p>
            <w:pPr>
              <w:ind w:left="320"/>
              <w:spacing w:after="0"/>
              <w:rPr>
                <w:sz w:val="20"/>
                <w:szCs w:val="20"/>
                <w:color w:val="auto"/>
              </w:rPr>
            </w:pPr>
            <w:r>
              <w:rPr>
                <w:rFonts w:ascii="Arial" w:cs="Arial" w:eastAsia="Arial" w:hAnsi="Arial"/>
                <w:sz w:val="19"/>
                <w:szCs w:val="19"/>
                <w:color w:val="auto"/>
              </w:rPr>
              <w:t>$</w:t>
            </w:r>
          </w:p>
        </w:tc>
        <w:tc>
          <w:tcPr>
            <w:tcW w:w="700" w:type="dxa"/>
            <w:vAlign w:val="bottom"/>
          </w:tcPr>
          <w:p>
            <w:pPr>
              <w:jc w:val="right"/>
              <w:spacing w:after="0"/>
              <w:rPr>
                <w:sz w:val="20"/>
                <w:szCs w:val="20"/>
                <w:color w:val="auto"/>
              </w:rPr>
            </w:pPr>
            <w:r>
              <w:rPr>
                <w:rFonts w:ascii="Arial" w:cs="Arial" w:eastAsia="Arial" w:hAnsi="Arial"/>
                <w:sz w:val="19"/>
                <w:szCs w:val="19"/>
                <w:color w:val="auto"/>
              </w:rPr>
              <w:t>39,055</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37,665</w:t>
            </w:r>
          </w:p>
        </w:tc>
        <w:tc>
          <w:tcPr>
            <w:tcW w:w="1040" w:type="dxa"/>
            <w:vAlign w:val="bottom"/>
            <w:gridSpan w:val="2"/>
          </w:tcPr>
          <w:p>
            <w:pPr>
              <w:jc w:val="right"/>
              <w:spacing w:after="0"/>
              <w:rPr>
                <w:sz w:val="20"/>
                <w:szCs w:val="20"/>
                <w:color w:val="auto"/>
              </w:rPr>
            </w:pPr>
            <w:r>
              <w:rPr>
                <w:rFonts w:ascii="Arial" w:cs="Arial" w:eastAsia="Arial" w:hAnsi="Arial"/>
                <w:sz w:val="19"/>
                <w:szCs w:val="19"/>
                <w:color w:val="auto"/>
              </w:rPr>
              <w:t>$ 5,383</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$ 5,278</w:t>
            </w:r>
          </w:p>
        </w:tc>
        <w:tc>
          <w:tcPr>
            <w:tcW w:w="3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620" w:type="dxa"/>
            <w:vAlign w:val="bottom"/>
          </w:tcPr>
          <w:p>
            <w:pPr>
              <w:jc w:val="right"/>
              <w:spacing w:after="0"/>
              <w:rPr>
                <w:sz w:val="20"/>
                <w:szCs w:val="20"/>
                <w:color w:val="auto"/>
              </w:rPr>
            </w:pPr>
            <w:r>
              <w:rPr>
                <w:rFonts w:ascii="Arial" w:cs="Arial" w:eastAsia="Arial" w:hAnsi="Arial"/>
                <w:sz w:val="19"/>
                <w:szCs w:val="19"/>
                <w:color w:val="auto"/>
              </w:rPr>
              <w:t>5,001</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bl>
    <w:p>
      <w:pPr>
        <w:spacing w:after="0" w:line="162" w:lineRule="exact"/>
        <w:rPr>
          <w:sz w:val="20"/>
          <w:szCs w:val="20"/>
          <w:color w:val="auto"/>
        </w:rPr>
      </w:pPr>
    </w:p>
    <w:p>
      <w:pPr>
        <w:jc w:val="both"/>
        <w:ind w:left="420" w:hanging="338"/>
        <w:spacing w:after="0" w:line="245" w:lineRule="auto"/>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Sales between geographic areas approximate market and are not significant. Net sales are classified according to their country of origin. Included in United States net sales are export sales of $5,647 million, $5,431 million and $5,126 million in 2014, 2013 and 2012, respectively.</w:t>
      </w:r>
    </w:p>
    <w:p>
      <w:pPr>
        <w:spacing w:after="0" w:line="73" w:lineRule="exact"/>
        <w:rPr>
          <w:rFonts w:ascii="Arial" w:cs="Arial" w:eastAsia="Arial" w:hAnsi="Arial"/>
          <w:sz w:val="19"/>
          <w:szCs w:val="19"/>
          <w:color w:val="auto"/>
        </w:rPr>
      </w:pPr>
    </w:p>
    <w:p>
      <w:pPr>
        <w:ind w:left="420" w:hanging="338"/>
        <w:spacing w:after="0"/>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Long-lived assets are comprised of property, plant and equipment—net.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3"/>
          <w:szCs w:val="23"/>
          <w:b w:val="1"/>
          <w:bCs w:val="1"/>
          <w:color w:val="auto"/>
        </w:rPr>
        <w:t>HONEYWELL INTERNATIONAL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FINANCIAL STATEMENTS—(Continued)</w:t>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23. Supplemental Cash Flow Information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10"/>
          </w:tcPr>
          <w:p>
            <w:pPr>
              <w:ind w:left="240"/>
              <w:spacing w:after="0"/>
              <w:rPr>
                <w:sz w:val="20"/>
                <w:szCs w:val="20"/>
                <w:color w:val="auto"/>
              </w:rPr>
            </w:pPr>
            <w:r>
              <w:rPr>
                <w:rFonts w:ascii="Arial" w:cs="Arial" w:eastAsia="Arial" w:hAnsi="Arial"/>
                <w:sz w:val="16"/>
                <w:szCs w:val="16"/>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gridSpan w:val="3"/>
          </w:tcPr>
          <w:p>
            <w:pPr>
              <w:jc w:val="right"/>
              <w:ind w:right="104"/>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gridSpan w:val="2"/>
          </w:tcPr>
          <w:p>
            <w:pPr>
              <w:jc w:val="center"/>
              <w:ind w:left="45"/>
              <w:spacing w:after="0" w:line="169" w:lineRule="exact"/>
              <w:rPr>
                <w:sz w:val="20"/>
                <w:szCs w:val="20"/>
                <w:color w:val="auto"/>
              </w:rPr>
            </w:pPr>
            <w:r>
              <w:rPr>
                <w:rFonts w:ascii="Arial" w:cs="Arial" w:eastAsia="Arial" w:hAnsi="Arial"/>
                <w:sz w:val="16"/>
                <w:szCs w:val="16"/>
                <w:b w:val="1"/>
                <w:bCs w:val="1"/>
                <w:color w:val="auto"/>
              </w:rPr>
              <w:t>2012</w:t>
            </w:r>
          </w:p>
        </w:tc>
        <w:tc>
          <w:tcPr>
            <w:tcW w:w="1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80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Payments for repositioning and other charges:</w:t>
            </w:r>
          </w:p>
        </w:tc>
        <w:tc>
          <w:tcPr>
            <w:tcW w:w="4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00" w:type="dxa"/>
            <w:vAlign w:val="bottom"/>
          </w:tcPr>
          <w:p>
            <w:pPr>
              <w:ind w:left="360"/>
              <w:spacing w:after="0" w:line="216" w:lineRule="exact"/>
              <w:rPr>
                <w:sz w:val="20"/>
                <w:szCs w:val="20"/>
                <w:color w:val="auto"/>
              </w:rPr>
            </w:pPr>
            <w:r>
              <w:rPr>
                <w:rFonts w:ascii="Arial" w:cs="Arial" w:eastAsia="Arial" w:hAnsi="Arial"/>
                <w:sz w:val="19"/>
                <w:szCs w:val="19"/>
                <w:color w:val="auto"/>
              </w:rPr>
              <w:t>Severance and exit cost payments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gridSpan w:val="2"/>
          </w:tcPr>
          <w:p>
            <w:pPr>
              <w:jc w:val="right"/>
              <w:ind w:right="40"/>
              <w:spacing w:after="0" w:line="216" w:lineRule="exact"/>
              <w:rPr>
                <w:sz w:val="20"/>
                <w:szCs w:val="20"/>
                <w:color w:val="auto"/>
              </w:rPr>
            </w:pPr>
            <w:r>
              <w:rPr>
                <w:rFonts w:ascii="Arial" w:cs="Arial" w:eastAsia="Arial" w:hAnsi="Arial"/>
                <w:sz w:val="19"/>
                <w:szCs w:val="19"/>
                <w:color w:val="auto"/>
                <w:w w:val="94"/>
              </w:rPr>
              <w:t>$</w:t>
            </w:r>
          </w:p>
        </w:tc>
        <w:tc>
          <w:tcPr>
            <w:tcW w:w="600" w:type="dxa"/>
            <w:vAlign w:val="bottom"/>
          </w:tcPr>
          <w:p>
            <w:pPr>
              <w:jc w:val="right"/>
              <w:spacing w:after="0" w:line="216" w:lineRule="exact"/>
              <w:rPr>
                <w:sz w:val="20"/>
                <w:szCs w:val="20"/>
                <w:color w:val="auto"/>
              </w:rPr>
            </w:pPr>
            <w:r>
              <w:rPr>
                <w:rFonts w:ascii="Arial" w:cs="Arial" w:eastAsia="Arial" w:hAnsi="Arial"/>
                <w:sz w:val="19"/>
                <w:szCs w:val="19"/>
                <w:color w:val="auto"/>
              </w:rPr>
              <w:t>(161)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line="216" w:lineRule="exact"/>
              <w:rPr>
                <w:sz w:val="20"/>
                <w:szCs w:val="20"/>
                <w:color w:val="auto"/>
              </w:rPr>
            </w:pPr>
            <w:r>
              <w:rPr>
                <w:rFonts w:ascii="Arial" w:cs="Arial" w:eastAsia="Arial" w:hAnsi="Arial"/>
                <w:sz w:val="19"/>
                <w:szCs w:val="19"/>
                <w:color w:val="auto"/>
                <w:w w:val="94"/>
              </w:rPr>
              <w:t>$</w:t>
            </w:r>
          </w:p>
        </w:tc>
        <w:tc>
          <w:tcPr>
            <w:tcW w:w="120" w:type="dxa"/>
            <w:vAlign w:val="bottom"/>
          </w:tcPr>
          <w:p>
            <w:pPr>
              <w:spacing w:after="0"/>
              <w:rPr>
                <w:sz w:val="18"/>
                <w:szCs w:val="18"/>
                <w:color w:val="auto"/>
              </w:rPr>
            </w:pPr>
          </w:p>
        </w:tc>
        <w:tc>
          <w:tcPr>
            <w:tcW w:w="460" w:type="dxa"/>
            <w:vAlign w:val="bottom"/>
          </w:tcPr>
          <w:p>
            <w:pPr>
              <w:jc w:val="right"/>
              <w:spacing w:after="0" w:line="216" w:lineRule="exact"/>
              <w:rPr>
                <w:sz w:val="20"/>
                <w:szCs w:val="20"/>
                <w:color w:val="auto"/>
              </w:rPr>
            </w:pPr>
            <w:r>
              <w:rPr>
                <w:rFonts w:ascii="Arial" w:cs="Arial" w:eastAsia="Arial" w:hAnsi="Arial"/>
                <w:sz w:val="19"/>
                <w:szCs w:val="19"/>
                <w:color w:val="auto"/>
                <w:w w:val="99"/>
              </w:rPr>
              <w:t>(160)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spacing w:after="0" w:line="216" w:lineRule="exact"/>
              <w:rPr>
                <w:sz w:val="20"/>
                <w:szCs w:val="20"/>
                <w:color w:val="auto"/>
              </w:rPr>
            </w:pPr>
            <w:r>
              <w:rPr>
                <w:rFonts w:ascii="Arial" w:cs="Arial" w:eastAsia="Arial" w:hAnsi="Arial"/>
                <w:sz w:val="19"/>
                <w:szCs w:val="19"/>
                <w:color w:val="auto"/>
              </w:rPr>
              <w:t>$ (136)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8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Environmental payments</w:t>
            </w:r>
          </w:p>
        </w:tc>
        <w:tc>
          <w:tcPr>
            <w:tcW w:w="4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(321)</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9"/>
              </w:rPr>
              <w:t>(304)</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(320)</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800" w:type="dxa"/>
            <w:vAlign w:val="bottom"/>
          </w:tcPr>
          <w:p>
            <w:pPr>
              <w:ind w:left="360"/>
              <w:spacing w:after="0"/>
              <w:rPr>
                <w:sz w:val="20"/>
                <w:szCs w:val="20"/>
                <w:color w:val="auto"/>
              </w:rPr>
            </w:pPr>
            <w:r>
              <w:rPr>
                <w:rFonts w:ascii="Arial" w:cs="Arial" w:eastAsia="Arial" w:hAnsi="Arial"/>
                <w:sz w:val="19"/>
                <w:szCs w:val="19"/>
                <w:color w:val="auto"/>
              </w:rPr>
              <w:t>Insurance receipts for asbestos related liabilities</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211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58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9"/>
                <w:szCs w:val="19"/>
                <w:color w:val="auto"/>
              </w:rPr>
              <w:t>122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800" w:type="dxa"/>
            <w:vAlign w:val="bottom"/>
            <w:shd w:val="clear" w:color="auto" w:fill="E5FFFF"/>
          </w:tcPr>
          <w:p>
            <w:pPr>
              <w:ind w:left="360"/>
              <w:spacing w:after="0"/>
              <w:rPr>
                <w:sz w:val="20"/>
                <w:szCs w:val="20"/>
                <w:color w:val="auto"/>
              </w:rPr>
            </w:pPr>
            <w:r>
              <w:rPr>
                <w:rFonts w:ascii="Arial" w:cs="Arial" w:eastAsia="Arial" w:hAnsi="Arial"/>
                <w:sz w:val="19"/>
                <w:szCs w:val="19"/>
                <w:color w:val="auto"/>
              </w:rPr>
              <w:t>Asbestos related liability payments</w:t>
            </w:r>
          </w:p>
        </w:tc>
        <w:tc>
          <w:tcPr>
            <w:tcW w:w="4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(259)</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4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9"/>
              </w:rPr>
              <w:t>(357)</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9"/>
                <w:szCs w:val="19"/>
                <w:color w:val="auto"/>
              </w:rPr>
              <w:t>(169)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color w:val="auto"/>
                <w:w w:val="9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4"/>
              </w:rPr>
              <w:t>$</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(763)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 (503)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4800" w:type="dxa"/>
            <w:vAlign w:val="bottom"/>
            <w:shd w:val="clear" w:color="auto" w:fill="E5FFFF"/>
          </w:tcPr>
          <w:p>
            <w:pPr>
              <w:spacing w:after="0"/>
              <w:rPr>
                <w:sz w:val="20"/>
                <w:szCs w:val="20"/>
                <w:color w:val="auto"/>
              </w:rPr>
            </w:pPr>
            <w:r>
              <w:rPr>
                <w:rFonts w:ascii="Arial" w:cs="Arial" w:eastAsia="Arial" w:hAnsi="Arial"/>
                <w:sz w:val="19"/>
                <w:szCs w:val="19"/>
                <w:color w:val="auto"/>
              </w:rPr>
              <w:t>Interest paid, net of amounts capitalized</w:t>
            </w:r>
          </w:p>
        </w:tc>
        <w:tc>
          <w:tcPr>
            <w:tcW w:w="4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74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312</w:t>
            </w:r>
          </w:p>
        </w:tc>
        <w:tc>
          <w:tcPr>
            <w:tcW w:w="16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120" w:type="dxa"/>
            <w:vAlign w:val="bottom"/>
            <w:shd w:val="clear" w:color="auto" w:fill="E5FFFF"/>
          </w:tcPr>
          <w:p>
            <w:pPr>
              <w:spacing w:after="0"/>
              <w:rPr>
                <w:sz w:val="20"/>
                <w:szCs w:val="20"/>
                <w:color w:val="auto"/>
              </w:rPr>
            </w:pPr>
          </w:p>
        </w:tc>
        <w:tc>
          <w:tcPr>
            <w:tcW w:w="4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330</w:t>
            </w: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9"/>
                <w:szCs w:val="19"/>
                <w:color w:val="auto"/>
              </w:rPr>
              <w:t>$  344</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800" w:type="dxa"/>
            <w:vAlign w:val="bottom"/>
          </w:tcPr>
          <w:p>
            <w:pPr>
              <w:spacing w:after="0"/>
              <w:rPr>
                <w:sz w:val="20"/>
                <w:szCs w:val="20"/>
                <w:color w:val="auto"/>
              </w:rPr>
            </w:pPr>
            <w:r>
              <w:rPr>
                <w:rFonts w:ascii="Arial" w:cs="Arial" w:eastAsia="Arial" w:hAnsi="Arial"/>
                <w:sz w:val="19"/>
                <w:szCs w:val="19"/>
                <w:color w:val="auto"/>
              </w:rPr>
              <w:t>Income taxes paid, net of refunds</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1,142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9"/>
                <w:szCs w:val="19"/>
                <w:color w:val="auto"/>
              </w:rPr>
              <w:t>1,271</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9"/>
                <w:szCs w:val="19"/>
                <w:color w:val="auto"/>
              </w:rPr>
              <w:t>919</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80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Non-cash investing and financing activities:</w:t>
            </w:r>
          </w:p>
        </w:tc>
        <w:tc>
          <w:tcPr>
            <w:tcW w:w="4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4800" w:type="dxa"/>
            <w:vAlign w:val="bottom"/>
          </w:tcPr>
          <w:p>
            <w:pPr>
              <w:ind w:left="360"/>
              <w:spacing w:after="0"/>
              <w:rPr>
                <w:sz w:val="20"/>
                <w:szCs w:val="20"/>
                <w:color w:val="auto"/>
              </w:rPr>
            </w:pPr>
            <w:r>
              <w:rPr>
                <w:rFonts w:ascii="Arial" w:cs="Arial" w:eastAsia="Arial" w:hAnsi="Arial"/>
                <w:sz w:val="19"/>
                <w:szCs w:val="19"/>
                <w:color w:val="auto"/>
              </w:rPr>
              <w:t>Common stock contributed to savings plans</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168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159</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9"/>
                <w:szCs w:val="19"/>
                <w:color w:val="auto"/>
              </w:rPr>
              <w:t>144</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160" w:type="dxa"/>
            <w:vAlign w:val="bottom"/>
            <w:gridSpan w:val="4"/>
            <w:shd w:val="clear" w:color="auto" w:fill="E5FFFF"/>
          </w:tcPr>
          <w:p>
            <w:pPr>
              <w:ind w:left="360"/>
              <w:spacing w:after="0"/>
              <w:rPr>
                <w:sz w:val="20"/>
                <w:szCs w:val="20"/>
                <w:color w:val="auto"/>
              </w:rPr>
            </w:pPr>
            <w:r>
              <w:rPr>
                <w:rFonts w:ascii="Arial" w:cs="Arial" w:eastAsia="Arial" w:hAnsi="Arial"/>
                <w:sz w:val="19"/>
                <w:szCs w:val="19"/>
                <w:color w:val="auto"/>
              </w:rPr>
              <w:t>Marketable securities contributed to non-U.S. pension plans</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w:t>
            </w:r>
          </w:p>
        </w:tc>
        <w:tc>
          <w:tcPr>
            <w:tcW w:w="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80" w:type="dxa"/>
            <w:vAlign w:val="bottom"/>
            <w:gridSpan w:val="3"/>
            <w:shd w:val="clear" w:color="auto" w:fill="E5FFFF"/>
          </w:tcPr>
          <w:p>
            <w:pPr>
              <w:jc w:val="right"/>
              <w:ind w:right="400"/>
              <w:spacing w:after="0"/>
              <w:rPr>
                <w:sz w:val="20"/>
                <w:szCs w:val="20"/>
                <w:color w:val="auto"/>
              </w:rPr>
            </w:pPr>
            <w:r>
              <w:rPr>
                <w:rFonts w:ascii="Arial" w:cs="Arial" w:eastAsia="Arial" w:hAnsi="Arial"/>
                <w:sz w:val="19"/>
                <w:szCs w:val="19"/>
                <w:color w:val="auto"/>
              </w:rPr>
              <w:t>—</w:t>
            </w:r>
          </w:p>
        </w:tc>
        <w:tc>
          <w:tcPr>
            <w:tcW w:w="300" w:type="dxa"/>
            <w:vAlign w:val="bottom"/>
            <w:shd w:val="clear" w:color="auto" w:fill="E5FFFF"/>
          </w:tcPr>
          <w:p>
            <w:pPr>
              <w:spacing w:after="0"/>
              <w:rPr>
                <w:sz w:val="21"/>
                <w:szCs w:val="21"/>
                <w:color w:val="auto"/>
              </w:rPr>
            </w:pPr>
          </w:p>
        </w:tc>
        <w:tc>
          <w:tcPr>
            <w:tcW w:w="3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8"/>
        </w:trPr>
        <w:tc>
          <w:tcPr>
            <w:tcW w:w="5300" w:type="dxa"/>
            <w:vAlign w:val="bottom"/>
            <w:gridSpan w:val="2"/>
          </w:tcPr>
          <w:p>
            <w:pPr>
              <w:spacing w:after="0"/>
              <w:rPr>
                <w:sz w:val="20"/>
                <w:szCs w:val="20"/>
                <w:color w:val="auto"/>
              </w:rPr>
            </w:pPr>
            <w:r>
              <w:rPr>
                <w:rFonts w:ascii="Arial" w:cs="Arial" w:eastAsia="Arial" w:hAnsi="Arial"/>
                <w:sz w:val="19"/>
                <w:szCs w:val="19"/>
                <w:b w:val="1"/>
                <w:bCs w:val="1"/>
                <w:color w:val="auto"/>
              </w:rPr>
              <w:t>Note 24. Unaudited Quarterly Financial Information</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6"/>
                <w:szCs w:val="16"/>
                <w:b w:val="1"/>
                <w:bCs w:val="1"/>
                <w:color w:val="auto"/>
                <w:w w:val="97"/>
              </w:rPr>
              <w:t>Mar. 31</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b w:val="1"/>
                <w:bCs w:val="1"/>
                <w:color w:val="auto"/>
                <w:w w:val="97"/>
              </w:rPr>
              <w:t>June 30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0"/>
              <w:spacing w:after="0" w:line="169" w:lineRule="exact"/>
              <w:rPr>
                <w:sz w:val="20"/>
                <w:szCs w:val="20"/>
                <w:color w:val="auto"/>
              </w:rPr>
            </w:pPr>
            <w:r>
              <w:rPr>
                <w:rFonts w:ascii="Arial" w:cs="Arial" w:eastAsia="Arial" w:hAnsi="Arial"/>
                <w:sz w:val="16"/>
                <w:szCs w:val="16"/>
                <w:b w:val="1"/>
                <w:bCs w:val="1"/>
                <w:color w:val="auto"/>
                <w:w w:val="97"/>
              </w:rPr>
              <w:t>Sept.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Dec.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80"/>
              <w:spacing w:after="0" w:line="169" w:lineRule="exact"/>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237"/>
        </w:trPr>
        <w:tc>
          <w:tcPr>
            <w:tcW w:w="53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6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9,679</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10,253</w:t>
            </w:r>
          </w:p>
        </w:tc>
        <w:tc>
          <w:tcPr>
            <w:tcW w:w="280" w:type="dxa"/>
            <w:vAlign w:val="bottom"/>
            <w:shd w:val="clear" w:color="auto" w:fill="E5FFFF"/>
          </w:tcPr>
          <w:p>
            <w:pPr>
              <w:spacing w:after="0"/>
              <w:rPr>
                <w:sz w:val="20"/>
                <w:szCs w:val="20"/>
                <w:color w:val="auto"/>
              </w:rPr>
            </w:pPr>
          </w:p>
        </w:tc>
        <w:tc>
          <w:tcPr>
            <w:tcW w:w="1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10,108</w:t>
            </w:r>
          </w:p>
        </w:tc>
        <w:tc>
          <w:tcPr>
            <w:tcW w:w="140" w:type="dxa"/>
            <w:vAlign w:val="bottom"/>
            <w:shd w:val="clear" w:color="auto" w:fill="E5FFFF"/>
          </w:tcPr>
          <w:p>
            <w:pPr>
              <w:spacing w:after="0"/>
              <w:rPr>
                <w:sz w:val="20"/>
                <w:szCs w:val="20"/>
                <w:color w:val="auto"/>
              </w:rPr>
            </w:pPr>
          </w:p>
        </w:tc>
        <w:tc>
          <w:tcPr>
            <w:tcW w:w="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10,266</w:t>
            </w:r>
          </w:p>
        </w:tc>
        <w:tc>
          <w:tcPr>
            <w:tcW w:w="20" w:type="dxa"/>
            <w:vAlign w:val="bottom"/>
            <w:shd w:val="clear" w:color="auto" w:fill="E5FFFF"/>
          </w:tcPr>
          <w:p>
            <w:pPr>
              <w:spacing w:after="0"/>
              <w:rPr>
                <w:sz w:val="20"/>
                <w:szCs w:val="20"/>
                <w:color w:val="auto"/>
              </w:rPr>
            </w:pPr>
          </w:p>
        </w:tc>
        <w:tc>
          <w:tcPr>
            <w:tcW w:w="540" w:type="dxa"/>
            <w:vAlign w:val="bottom"/>
            <w:gridSpan w:val="2"/>
            <w:shd w:val="clear" w:color="auto" w:fill="E5FFFF"/>
          </w:tcPr>
          <w:p>
            <w:pPr>
              <w:jc w:val="center"/>
              <w:ind w:left="85"/>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w w:val="99"/>
              </w:rPr>
              <w:t>40,306</w:t>
            </w: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Arial" w:cs="Arial" w:eastAsia="Arial" w:hAnsi="Arial"/>
                <w:sz w:val="19"/>
                <w:szCs w:val="19"/>
                <w:color w:val="auto"/>
              </w:rPr>
              <w:t>Gross Profit</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2,712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2,957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2,980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9"/>
                <w:szCs w:val="19"/>
                <w:color w:val="auto"/>
              </w:rPr>
              <w:t>2,700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w w:val="99"/>
              </w:rPr>
              <w:t>11,349</w:t>
            </w: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E5FFFF"/>
          </w:tcPr>
          <w:p>
            <w:pPr>
              <w:ind w:left="180"/>
              <w:spacing w:after="0"/>
              <w:rPr>
                <w:sz w:val="20"/>
                <w:szCs w:val="20"/>
                <w:color w:val="auto"/>
              </w:rPr>
            </w:pPr>
            <w:r>
              <w:rPr>
                <w:rFonts w:ascii="Arial" w:cs="Arial" w:eastAsia="Arial" w:hAnsi="Arial"/>
                <w:sz w:val="19"/>
                <w:szCs w:val="19"/>
                <w:color w:val="auto"/>
              </w:rPr>
              <w:t>Net income attributable to Honeywell</w:t>
            </w:r>
          </w:p>
        </w:tc>
        <w:tc>
          <w:tcPr>
            <w:tcW w:w="4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1,017</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1,099</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1,167</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956</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4,239</w:t>
            </w: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Arial" w:cs="Arial" w:eastAsia="Arial" w:hAnsi="Arial"/>
                <w:sz w:val="19"/>
                <w:szCs w:val="19"/>
                <w:color w:val="auto"/>
              </w:rPr>
              <w:t>Earnings per share—basic</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1.40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1.49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9"/>
                <w:szCs w:val="19"/>
                <w:color w:val="auto"/>
              </w:rPr>
              <w:t>1.22</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rPr>
              <w:t>5.40</w:t>
            </w: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Earnings per share—assuming dilution</w:t>
            </w:r>
          </w:p>
        </w:tc>
        <w:tc>
          <w:tcPr>
            <w:tcW w:w="4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1.28</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1.38</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1.47</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1.20</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5.33</w:t>
            </w: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Arial" w:cs="Arial" w:eastAsia="Arial" w:hAnsi="Arial"/>
                <w:sz w:val="19"/>
                <w:szCs w:val="19"/>
                <w:color w:val="auto"/>
              </w:rPr>
              <w:t>Dividends paid per share</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0.4500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0.4500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0.4500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9"/>
                <w:szCs w:val="19"/>
                <w:color w:val="auto"/>
              </w:rPr>
              <w:t>0.5175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rPr>
              <w:t>1.87</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E5FFFF"/>
          </w:tcPr>
          <w:p>
            <w:pPr>
              <w:spacing w:after="0" w:line="216" w:lineRule="exact"/>
              <w:rPr>
                <w:sz w:val="20"/>
                <w:szCs w:val="20"/>
                <w:color w:val="auto"/>
              </w:rPr>
            </w:pPr>
            <w:r>
              <w:rPr>
                <w:rFonts w:ascii="Arial" w:cs="Arial" w:eastAsia="Arial" w:hAnsi="Arial"/>
                <w:sz w:val="19"/>
                <w:szCs w:val="19"/>
                <w:color w:val="auto"/>
              </w:rPr>
              <w:t>Market Price per share</w:t>
            </w:r>
          </w:p>
        </w:tc>
        <w:tc>
          <w:tcPr>
            <w:tcW w:w="4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360"/>
              <w:spacing w:after="0"/>
              <w:rPr>
                <w:sz w:val="20"/>
                <w:szCs w:val="20"/>
                <w:color w:val="auto"/>
              </w:rPr>
            </w:pPr>
            <w:r>
              <w:rPr>
                <w:rFonts w:ascii="Arial" w:cs="Arial" w:eastAsia="Arial" w:hAnsi="Arial"/>
                <w:sz w:val="19"/>
                <w:szCs w:val="19"/>
                <w:color w:val="auto"/>
              </w:rPr>
              <w:t>High</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95.44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95.81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97.34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9"/>
                <w:szCs w:val="19"/>
                <w:color w:val="auto"/>
              </w:rPr>
              <w:t>101.98</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w w:val="99"/>
              </w:rPr>
              <w:t>101.98</w:t>
            </w: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Low</w:t>
            </w:r>
          </w:p>
        </w:tc>
        <w:tc>
          <w:tcPr>
            <w:tcW w:w="4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88.47</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90.36</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90.56</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85.11</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85.11</w:t>
            </w:r>
          </w:p>
        </w:tc>
        <w:tc>
          <w:tcPr>
            <w:tcW w:w="0" w:type="dxa"/>
            <w:vAlign w:val="bottom"/>
          </w:tcPr>
          <w:p>
            <w:pPr>
              <w:spacing w:after="0"/>
              <w:rPr>
                <w:sz w:val="1"/>
                <w:szCs w:val="1"/>
                <w:color w:val="auto"/>
              </w:rPr>
            </w:pPr>
          </w:p>
        </w:tc>
      </w:tr>
      <w:tr>
        <w:trPr>
          <w:trHeight w:val="446"/>
        </w:trPr>
        <w:tc>
          <w:tcPr>
            <w:tcW w:w="5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6"/>
                <w:szCs w:val="16"/>
                <w:b w:val="1"/>
                <w:bCs w:val="1"/>
                <w:color w:val="auto"/>
                <w:w w:val="97"/>
              </w:rPr>
              <w:t>Mar. 31</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6"/>
                <w:szCs w:val="16"/>
                <w:b w:val="1"/>
                <w:bCs w:val="1"/>
                <w:color w:val="auto"/>
                <w:w w:val="97"/>
              </w:rPr>
              <w:t>June 30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0"/>
              <w:spacing w:after="0" w:line="169" w:lineRule="exact"/>
              <w:rPr>
                <w:sz w:val="20"/>
                <w:szCs w:val="20"/>
                <w:color w:val="auto"/>
              </w:rPr>
            </w:pPr>
            <w:r>
              <w:rPr>
                <w:rFonts w:ascii="Arial" w:cs="Arial" w:eastAsia="Arial" w:hAnsi="Arial"/>
                <w:sz w:val="16"/>
                <w:szCs w:val="16"/>
                <w:b w:val="1"/>
                <w:bCs w:val="1"/>
                <w:color w:val="auto"/>
                <w:w w:val="97"/>
              </w:rPr>
              <w:t>Sept.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Dec. 31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80"/>
              <w:spacing w:after="0" w:line="169" w:lineRule="exact"/>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237"/>
        </w:trPr>
        <w:tc>
          <w:tcPr>
            <w:tcW w:w="53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Net Sales</w:t>
            </w:r>
          </w:p>
        </w:tc>
        <w:tc>
          <w:tcPr>
            <w:tcW w:w="62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9,328</w:t>
            </w:r>
          </w:p>
        </w:tc>
        <w:tc>
          <w:tcPr>
            <w:tcW w:w="42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9,693</w:t>
            </w:r>
          </w:p>
        </w:tc>
        <w:tc>
          <w:tcPr>
            <w:tcW w:w="280" w:type="dxa"/>
            <w:vAlign w:val="bottom"/>
            <w:shd w:val="clear" w:color="auto" w:fill="E5FFFF"/>
          </w:tcPr>
          <w:p>
            <w:pPr>
              <w:spacing w:after="0"/>
              <w:rPr>
                <w:sz w:val="20"/>
                <w:szCs w:val="20"/>
                <w:color w:val="auto"/>
              </w:rPr>
            </w:pPr>
          </w:p>
        </w:tc>
        <w:tc>
          <w:tcPr>
            <w:tcW w:w="16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9,647</w:t>
            </w:r>
          </w:p>
        </w:tc>
        <w:tc>
          <w:tcPr>
            <w:tcW w:w="140" w:type="dxa"/>
            <w:vAlign w:val="bottom"/>
            <w:shd w:val="clear" w:color="auto" w:fill="E5FFFF"/>
          </w:tcPr>
          <w:p>
            <w:pPr>
              <w:spacing w:after="0"/>
              <w:rPr>
                <w:sz w:val="20"/>
                <w:szCs w:val="20"/>
                <w:color w:val="auto"/>
              </w:rPr>
            </w:pPr>
          </w:p>
        </w:tc>
        <w:tc>
          <w:tcPr>
            <w:tcW w:w="2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10,387</w:t>
            </w:r>
          </w:p>
        </w:tc>
        <w:tc>
          <w:tcPr>
            <w:tcW w:w="20" w:type="dxa"/>
            <w:vAlign w:val="bottom"/>
            <w:shd w:val="clear" w:color="auto" w:fill="E5FFFF"/>
          </w:tcPr>
          <w:p>
            <w:pPr>
              <w:spacing w:after="0"/>
              <w:rPr>
                <w:sz w:val="20"/>
                <w:szCs w:val="20"/>
                <w:color w:val="auto"/>
              </w:rPr>
            </w:pPr>
          </w:p>
        </w:tc>
        <w:tc>
          <w:tcPr>
            <w:tcW w:w="540" w:type="dxa"/>
            <w:vAlign w:val="bottom"/>
            <w:gridSpan w:val="2"/>
            <w:shd w:val="clear" w:color="auto" w:fill="E5FFFF"/>
          </w:tcPr>
          <w:p>
            <w:pPr>
              <w:jc w:val="center"/>
              <w:ind w:left="85"/>
              <w:spacing w:after="0"/>
              <w:rPr>
                <w:sz w:val="20"/>
                <w:szCs w:val="20"/>
                <w:color w:val="auto"/>
              </w:rPr>
            </w:pPr>
            <w:r>
              <w:rPr>
                <w:rFonts w:ascii="Arial" w:cs="Arial" w:eastAsia="Arial" w:hAnsi="Arial"/>
                <w:sz w:val="19"/>
                <w:szCs w:val="19"/>
                <w:color w:val="auto"/>
              </w:rPr>
              <w:t>$</w:t>
            </w:r>
          </w:p>
        </w:tc>
        <w:tc>
          <w:tcPr>
            <w:tcW w:w="6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w w:val="99"/>
              </w:rPr>
              <w:t>39,055</w:t>
            </w: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Arial" w:cs="Arial" w:eastAsia="Arial" w:hAnsi="Arial"/>
                <w:sz w:val="19"/>
                <w:szCs w:val="19"/>
                <w:color w:val="auto"/>
              </w:rPr>
              <w:t>Gross Profit</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2,545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2,666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2,705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9"/>
                <w:szCs w:val="19"/>
                <w:color w:val="auto"/>
              </w:rPr>
              <w:t>2,775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w w:val="99"/>
              </w:rPr>
              <w:t>10,691</w:t>
            </w: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E5FFFF"/>
          </w:tcPr>
          <w:p>
            <w:pPr>
              <w:ind w:left="180"/>
              <w:spacing w:after="0"/>
              <w:rPr>
                <w:sz w:val="20"/>
                <w:szCs w:val="20"/>
                <w:color w:val="auto"/>
              </w:rPr>
            </w:pPr>
            <w:r>
              <w:rPr>
                <w:rFonts w:ascii="Arial" w:cs="Arial" w:eastAsia="Arial" w:hAnsi="Arial"/>
                <w:sz w:val="19"/>
                <w:szCs w:val="19"/>
                <w:color w:val="auto"/>
              </w:rPr>
              <w:t>Net income attributable to Honeywell</w:t>
            </w:r>
          </w:p>
        </w:tc>
        <w:tc>
          <w:tcPr>
            <w:tcW w:w="4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966</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1,021</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990</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947</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3,924</w:t>
            </w: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Arial" w:cs="Arial" w:eastAsia="Arial" w:hAnsi="Arial"/>
                <w:sz w:val="19"/>
                <w:szCs w:val="19"/>
                <w:color w:val="auto"/>
              </w:rPr>
              <w:t>Earnings per share—basic</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1.23</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1.30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1.26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9"/>
                <w:szCs w:val="19"/>
                <w:color w:val="auto"/>
              </w:rPr>
              <w:t>1.20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rPr>
              <w:t>4.99</w:t>
            </w: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Earnings per share—assuming dilution</w:t>
            </w:r>
          </w:p>
        </w:tc>
        <w:tc>
          <w:tcPr>
            <w:tcW w:w="4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1.21</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1.28</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1.24</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1.19</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4.92</w:t>
            </w: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Arial" w:cs="Arial" w:eastAsia="Arial" w:hAnsi="Arial"/>
                <w:sz w:val="19"/>
                <w:szCs w:val="19"/>
                <w:color w:val="auto"/>
              </w:rPr>
              <w:t>Dividends paid per share</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0.4100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0.4100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0.4100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9"/>
                <w:szCs w:val="19"/>
                <w:color w:val="auto"/>
              </w:rPr>
              <w:t>0.4510</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rPr>
              <w:t>1.68</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E5FFFF"/>
          </w:tcPr>
          <w:p>
            <w:pPr>
              <w:spacing w:after="0" w:line="216" w:lineRule="exact"/>
              <w:rPr>
                <w:sz w:val="20"/>
                <w:szCs w:val="20"/>
                <w:color w:val="auto"/>
              </w:rPr>
            </w:pPr>
            <w:r>
              <w:rPr>
                <w:rFonts w:ascii="Arial" w:cs="Arial" w:eastAsia="Arial" w:hAnsi="Arial"/>
                <w:sz w:val="19"/>
                <w:szCs w:val="19"/>
                <w:color w:val="auto"/>
              </w:rPr>
              <w:t>Market Price per share</w:t>
            </w:r>
          </w:p>
        </w:tc>
        <w:tc>
          <w:tcPr>
            <w:tcW w:w="4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ind w:left="360"/>
              <w:spacing w:after="0"/>
              <w:rPr>
                <w:sz w:val="20"/>
                <w:szCs w:val="20"/>
                <w:color w:val="auto"/>
              </w:rPr>
            </w:pPr>
            <w:r>
              <w:rPr>
                <w:rFonts w:ascii="Arial" w:cs="Arial" w:eastAsia="Arial" w:hAnsi="Arial"/>
                <w:sz w:val="19"/>
                <w:szCs w:val="19"/>
                <w:color w:val="auto"/>
              </w:rPr>
              <w:t>High</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75.48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9"/>
                <w:szCs w:val="19"/>
                <w:color w:val="auto"/>
              </w:rPr>
              <w:t>80.85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9"/>
                <w:szCs w:val="19"/>
                <w:color w:val="auto"/>
              </w:rPr>
              <w:t>86.79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9"/>
                <w:szCs w:val="19"/>
                <w:color w:val="auto"/>
              </w:rPr>
              <w:t>91.37</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9"/>
                <w:szCs w:val="19"/>
                <w:color w:val="auto"/>
              </w:rPr>
              <w:t>91.37</w:t>
            </w: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E5FFFF"/>
          </w:tcPr>
          <w:p>
            <w:pPr>
              <w:ind w:left="360"/>
              <w:spacing w:after="0"/>
              <w:rPr>
                <w:sz w:val="20"/>
                <w:szCs w:val="20"/>
                <w:color w:val="auto"/>
              </w:rPr>
            </w:pPr>
            <w:r>
              <w:rPr>
                <w:rFonts w:ascii="Arial" w:cs="Arial" w:eastAsia="Arial" w:hAnsi="Arial"/>
                <w:sz w:val="19"/>
                <w:szCs w:val="19"/>
                <w:color w:val="auto"/>
              </w:rPr>
              <w:t>Low</w:t>
            </w:r>
          </w:p>
        </w:tc>
        <w:tc>
          <w:tcPr>
            <w:tcW w:w="4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64.75</w:t>
            </w:r>
          </w:p>
        </w:tc>
        <w:tc>
          <w:tcPr>
            <w:tcW w:w="2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71.47</w:t>
            </w:r>
          </w:p>
        </w:tc>
        <w:tc>
          <w:tcPr>
            <w:tcW w:w="2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77.88</w:t>
            </w:r>
          </w:p>
        </w:tc>
        <w:tc>
          <w:tcPr>
            <w:tcW w:w="1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81.45</w:t>
            </w:r>
          </w:p>
        </w:tc>
        <w:tc>
          <w:tcPr>
            <w:tcW w:w="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64.75</w:t>
            </w:r>
          </w:p>
        </w:tc>
        <w:tc>
          <w:tcPr>
            <w:tcW w:w="0" w:type="dxa"/>
            <w:vAlign w:val="bottom"/>
          </w:tcPr>
          <w:p>
            <w:pPr>
              <w:spacing w:after="0"/>
              <w:rPr>
                <w:sz w:val="1"/>
                <w:szCs w:val="1"/>
                <w:color w:val="auto"/>
              </w:rPr>
            </w:pPr>
          </w:p>
        </w:tc>
      </w:tr>
      <w:tr>
        <w:trPr>
          <w:trHeight w:val="342"/>
        </w:trPr>
        <w:tc>
          <w:tcPr>
            <w:tcW w:w="5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9"/>
                <w:szCs w:val="19"/>
                <w:color w:val="auto"/>
              </w:rPr>
              <w:t>79</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81" w:name="page82"/>
    <w:bookmarkEnd w:id="81"/>
    <w:p>
      <w:pPr>
        <w:ind w:left="244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Shareholders of</w:t>
      </w:r>
    </w:p>
    <w:p>
      <w:pPr>
        <w:spacing w:after="0"/>
        <w:rPr>
          <w:sz w:val="20"/>
          <w:szCs w:val="20"/>
          <w:color w:val="auto"/>
        </w:rPr>
      </w:pPr>
      <w:r>
        <w:rPr>
          <w:rFonts w:ascii="Arial" w:cs="Arial" w:eastAsia="Arial" w:hAnsi="Arial"/>
          <w:sz w:val="19"/>
          <w:szCs w:val="19"/>
          <w:color w:val="auto"/>
        </w:rPr>
        <w:t>Honeywell International Inc.;</w:t>
      </w:r>
    </w:p>
    <w:p>
      <w:pPr>
        <w:spacing w:after="0" w:line="106" w:lineRule="exact"/>
        <w:rPr>
          <w:sz w:val="20"/>
          <w:szCs w:val="20"/>
          <w:color w:val="auto"/>
        </w:rPr>
      </w:pPr>
    </w:p>
    <w:p>
      <w:pPr>
        <w:jc w:val="both"/>
        <w:ind w:firstLine="357"/>
        <w:spacing w:after="0" w:line="238" w:lineRule="auto"/>
        <w:rPr>
          <w:sz w:val="20"/>
          <w:szCs w:val="20"/>
          <w:color w:val="auto"/>
        </w:rPr>
      </w:pPr>
      <w:r>
        <w:rPr>
          <w:rFonts w:ascii="Arial" w:cs="Arial" w:eastAsia="Arial" w:hAnsi="Arial"/>
          <w:sz w:val="19"/>
          <w:szCs w:val="19"/>
          <w:color w:val="auto"/>
        </w:rPr>
        <w:t xml:space="preserve">In our opinion, the consolidated financial statements listed in the index appearing under Item 15(a)(1) present fairly, in all material respects, the financial position of Honeywell International Inc. and its subsidiaries at December 31, 2014 and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Control—Integrated Framework (2013) </w:t>
      </w:r>
      <w:r>
        <w:rPr>
          <w:rFonts w:ascii="Arial" w:cs="Arial" w:eastAsia="Arial" w:hAnsi="Arial"/>
          <w:sz w:val="19"/>
          <w:szCs w:val="19"/>
          <w:color w:val="auto"/>
        </w:rPr>
        <w:t>issued by the Committee of Sponsoring Organizations of the Treadway Commission (COSO).</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Company’s management is responsible for these financial statements and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7" w:lineRule="exact"/>
        <w:rPr>
          <w:sz w:val="20"/>
          <w:szCs w:val="20"/>
          <w:color w:val="auto"/>
        </w:rPr>
      </w:pPr>
    </w:p>
    <w:p>
      <w:pPr>
        <w:jc w:val="both"/>
        <w:ind w:firstLine="357"/>
        <w:spacing w:after="0" w:line="23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color w:val="auto"/>
        </w:rPr>
        <w:t>/s/ PricewaterhouseCoopers LLP</w:t>
      </w:r>
    </w:p>
    <w:p>
      <w:pPr>
        <w:spacing w:after="0" w:line="237" w:lineRule="auto"/>
        <w:rPr>
          <w:sz w:val="20"/>
          <w:szCs w:val="20"/>
          <w:color w:val="auto"/>
        </w:rPr>
      </w:pPr>
      <w:r>
        <w:rPr>
          <w:rFonts w:ascii="Arial" w:cs="Arial" w:eastAsia="Arial" w:hAnsi="Arial"/>
          <w:sz w:val="19"/>
          <w:szCs w:val="19"/>
          <w:color w:val="auto"/>
        </w:rPr>
        <w:t>Florham Park, New Jersey</w:t>
      </w:r>
    </w:p>
    <w:p>
      <w:pPr>
        <w:spacing w:after="0"/>
        <w:rPr>
          <w:sz w:val="20"/>
          <w:szCs w:val="20"/>
          <w:color w:val="auto"/>
        </w:rPr>
      </w:pPr>
      <w:r>
        <w:rPr>
          <w:rFonts w:ascii="Arial" w:cs="Arial" w:eastAsia="Arial" w:hAnsi="Arial"/>
          <w:sz w:val="19"/>
          <w:szCs w:val="19"/>
          <w:color w:val="auto"/>
        </w:rPr>
        <w:t>February 13, 2015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82" w:name="page83"/>
    <w:bookmarkEnd w:id="82"/>
    <w:p>
      <w:pPr>
        <w:spacing w:after="0"/>
        <w:rPr>
          <w:sz w:val="20"/>
          <w:szCs w:val="20"/>
          <w:color w:val="auto"/>
        </w:rPr>
      </w:pPr>
      <w:r>
        <w:rPr>
          <w:rFonts w:ascii="Arial" w:cs="Arial" w:eastAsia="Arial" w:hAnsi="Arial"/>
          <w:sz w:val="23"/>
          <w:szCs w:val="23"/>
          <w:b w:val="1"/>
          <w:bCs w:val="1"/>
          <w:color w:val="auto"/>
        </w:rPr>
        <w:t>Item 9. Changes in and Disagreements with Accountants on Accounting and Financial Disclosure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9A. Controls and Procedures</w:t>
      </w:r>
    </w:p>
    <w:p>
      <w:pPr>
        <w:spacing w:after="0" w:line="14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Honeywell management maintains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78" w:lineRule="exact"/>
        <w:rPr>
          <w:sz w:val="20"/>
          <w:szCs w:val="20"/>
          <w:color w:val="auto"/>
        </w:rPr>
      </w:pPr>
    </w:p>
    <w:p>
      <w:pPr>
        <w:jc w:val="both"/>
        <w:ind w:firstLine="357"/>
        <w:spacing w:after="0" w:line="242" w:lineRule="auto"/>
        <w:rPr>
          <w:sz w:val="20"/>
          <w:szCs w:val="20"/>
          <w:color w:val="auto"/>
        </w:rPr>
      </w:pPr>
      <w:r>
        <w:rPr>
          <w:rFonts w:ascii="Arial" w:cs="Arial" w:eastAsia="Arial" w:hAnsi="Arial"/>
          <w:sz w:val="19"/>
          <w:szCs w:val="19"/>
          <w:color w:val="auto"/>
        </w:rPr>
        <w:t>Our management, with the participation of our CEO and CFO, evaluated the effectiveness of our disclosure controls and procedures (as defined in Rules 13a-15(e) or 15d-15(e) promulgated under the Exchange Act) at December 31, 2014. Based on these evaluations, our CEO and CFO concluded that our disclosure controls and procedures required by paragraph (b) of Rules 13a-15 or 15d-15 were effective as of December 31, 2014.</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Management’s Report on Internal Control Over Financial Reporting</w:t>
      </w:r>
    </w:p>
    <w:p>
      <w:pPr>
        <w:spacing w:after="0" w:line="130"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Honeywell management is responsible for establishing and maintaining adequate internal control over financial reporting and for its assessment of the effectiveness of internal control over financial reporting as defined in Rules 13a-15(f) and 15d-15(f) under the Securities Exchange Act of 1934. Honeywell’s internal control over financial reporting is a process designed to provide reasonable assurance to our management and board of directors regarding the reliability of financial reporting and the preparation of financial statements for external purposes in accordance with generally accepted accounting principles.</w:t>
      </w:r>
    </w:p>
    <w:p>
      <w:pPr>
        <w:spacing w:after="0" w:line="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w:t>
      </w:r>
    </w:p>
    <w:p>
      <w:pPr>
        <w:spacing w:after="0" w:line="106"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 xml:space="preserve">Management assessed the effectiveness of Honeywell’s internal control over financial reporting as of December 31, 2014. In making this assessment, management used the criteria set forth by the Committee of Sponsoring Organizations of the Treadway Commission (COSO) in </w:t>
      </w:r>
      <w:r>
        <w:rPr>
          <w:rFonts w:ascii="Arial" w:cs="Arial" w:eastAsia="Arial" w:hAnsi="Arial"/>
          <w:sz w:val="19"/>
          <w:szCs w:val="19"/>
          <w:i w:val="1"/>
          <w:iCs w:val="1"/>
          <w:color w:val="auto"/>
        </w:rPr>
        <w:t>Internal Control—Integrated Framework (2013).</w:t>
      </w:r>
    </w:p>
    <w:p>
      <w:pPr>
        <w:spacing w:after="0" w:line="87"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Based on this assessment, management determined that Honeywell maintained effective internal control over financial reporting as of December 31, 2014.</w:t>
      </w:r>
    </w:p>
    <w:p>
      <w:pPr>
        <w:spacing w:after="0" w:line="80" w:lineRule="exact"/>
        <w:rPr>
          <w:sz w:val="20"/>
          <w:szCs w:val="20"/>
          <w:color w:val="auto"/>
        </w:rPr>
      </w:pPr>
    </w:p>
    <w:p>
      <w:pPr>
        <w:jc w:val="both"/>
        <w:ind w:right="20" w:firstLine="357"/>
        <w:spacing w:after="0" w:line="245" w:lineRule="auto"/>
        <w:rPr>
          <w:sz w:val="20"/>
          <w:szCs w:val="20"/>
          <w:color w:val="auto"/>
        </w:rPr>
      </w:pPr>
      <w:r>
        <w:rPr>
          <w:rFonts w:ascii="Arial" w:cs="Arial" w:eastAsia="Arial" w:hAnsi="Arial"/>
          <w:sz w:val="19"/>
          <w:szCs w:val="19"/>
          <w:color w:val="auto"/>
        </w:rPr>
        <w:t>The effectiveness of Honeywell’s internal control over financial reporting as of December 31, 2014 has been audited by PricewaterhouseCoopers LLP, an independent registered public accounting firm, as stated in their report which is included in Item 8. Financial Statements and Supplementary Data.</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9B. Other Information</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10. Directors and Executive Officers of the Registrant</w:t>
      </w:r>
    </w:p>
    <w:p>
      <w:pPr>
        <w:spacing w:after="0" w:line="147" w:lineRule="exact"/>
        <w:rPr>
          <w:sz w:val="20"/>
          <w:szCs w:val="20"/>
          <w:color w:val="auto"/>
        </w:rPr>
      </w:pPr>
    </w:p>
    <w:p>
      <w:pPr>
        <w:jc w:val="both"/>
        <w:ind w:firstLine="357"/>
        <w:spacing w:after="0" w:line="241" w:lineRule="auto"/>
        <w:rPr>
          <w:sz w:val="20"/>
          <w:szCs w:val="20"/>
          <w:color w:val="auto"/>
        </w:rPr>
      </w:pPr>
      <w:r>
        <w:rPr>
          <w:rFonts w:ascii="Arial" w:cs="Arial" w:eastAsia="Arial" w:hAnsi="Arial"/>
          <w:sz w:val="19"/>
          <w:szCs w:val="19"/>
          <w:color w:val="auto"/>
        </w:rPr>
        <w:t>Information relating to the Directors of Honeywell, as well as information relating to compliance with Section 16(a) of the Securities Exchange Act of 1934, will be contained in our definitive Proxy Statement involving the election of the Directors, which will be filed with the SEC pursuant to Regulation 14A not later than 120 days after December 31, 2014, and such information is incorporated herein by reference. Certain other information relating to the Executive Officers of Honeywell appears in Part I of this Annual Report on Form 10-K under the heading “Executive Officers of the Registrant”.</w:t>
      </w:r>
    </w:p>
    <w:p>
      <w:pPr>
        <w:spacing w:after="0" w:line="91" w:lineRule="exact"/>
        <w:rPr>
          <w:sz w:val="20"/>
          <w:szCs w:val="20"/>
          <w:color w:val="auto"/>
        </w:rPr>
      </w:pPr>
    </w:p>
    <w:p>
      <w:pPr>
        <w:jc w:val="both"/>
        <w:ind w:right="20" w:firstLine="357"/>
        <w:spacing w:after="0" w:line="253" w:lineRule="auto"/>
        <w:rPr>
          <w:sz w:val="20"/>
          <w:szCs w:val="20"/>
          <w:color w:val="auto"/>
        </w:rPr>
      </w:pPr>
      <w:r>
        <w:rPr>
          <w:rFonts w:ascii="Arial" w:cs="Arial" w:eastAsia="Arial" w:hAnsi="Arial"/>
          <w:sz w:val="19"/>
          <w:szCs w:val="19"/>
          <w:color w:val="auto"/>
        </w:rPr>
        <w:t>The members of the Audit Committee of our Board of Directors are: George Paz (Chair), Kevin Burke, D. Scott Davis, Linnet Deily, Judd Gregg and Robin L. Washington. The Board has determined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83" w:name="page84"/>
    <w:bookmarkEnd w:id="83"/>
    <w:p>
      <w:pPr>
        <w:jc w:val="both"/>
        <w:spacing w:after="0" w:line="245" w:lineRule="auto"/>
        <w:rPr>
          <w:sz w:val="20"/>
          <w:szCs w:val="20"/>
          <w:color w:val="auto"/>
        </w:rPr>
      </w:pPr>
      <w:r>
        <w:rPr>
          <w:rFonts w:ascii="Arial" w:cs="Arial" w:eastAsia="Arial" w:hAnsi="Arial"/>
          <w:sz w:val="19"/>
          <w:szCs w:val="19"/>
          <w:color w:val="auto"/>
        </w:rPr>
        <w:t>that Mr. Paz is the “audit committee financial expert” as defined by applicable SEC rules and that Mr. Paz, Mr. Burke, Mr. Davis, Ms. Deily and Ms. Washington satisfy the “accounting or related financial management expertise” criteria established by the NYSE. All members of the Audit Committee are “independent” as that term is defined in applicable SEC Rules and NYSE listing standards.</w:t>
      </w:r>
    </w:p>
    <w:p>
      <w:pPr>
        <w:spacing w:after="0" w:line="87" w:lineRule="exact"/>
        <w:rPr>
          <w:sz w:val="20"/>
          <w:szCs w:val="20"/>
          <w:color w:val="auto"/>
        </w:rPr>
      </w:pPr>
    </w:p>
    <w:p>
      <w:pPr>
        <w:jc w:val="both"/>
        <w:ind w:firstLine="357"/>
        <w:spacing w:after="0"/>
        <w:rPr>
          <w:sz w:val="20"/>
          <w:szCs w:val="20"/>
          <w:color w:val="auto"/>
        </w:rPr>
      </w:pPr>
      <w:r>
        <w:rPr>
          <w:rFonts w:ascii="Arial" w:cs="Arial" w:eastAsia="Arial" w:hAnsi="Arial"/>
          <w:sz w:val="19"/>
          <w:szCs w:val="19"/>
          <w:color w:val="auto"/>
        </w:rPr>
        <w:t>Honeywell’s corporate governance policies and procedures, including the Code of Business Conduct, Corporate Governance Guidelines and Charters of the Committees of the Board of Directors are available, free of charge, on our website under the heading “Investor Relations” (see “Corporate Governance”), or by writing to Honeywell, 101 Columbia Road, Morris Township, New Jersey 07962, c/o Vice President and Corporate Secretary. Honeywell’s Code of Business Conduct applies to all Honeywell directors, officers (including the Chief Executive Officer, Chief Financial Officer and Controller) and employees. Amendments to or waivers of the Code of Business Conduct granted to any of Honeywell’s directors or executive officers will be published on our website within five business days of such amendment or waiver.</w:t>
      </w:r>
    </w:p>
    <w:p>
      <w:pPr>
        <w:spacing w:after="0" w:line="2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11. Executive Compensation</w:t>
      </w:r>
    </w:p>
    <w:p>
      <w:pPr>
        <w:spacing w:after="0" w:line="147" w:lineRule="exact"/>
        <w:rPr>
          <w:sz w:val="20"/>
          <w:szCs w:val="20"/>
          <w:color w:val="auto"/>
        </w:rPr>
      </w:pPr>
    </w:p>
    <w:p>
      <w:pPr>
        <w:jc w:val="both"/>
        <w:ind w:firstLine="357"/>
        <w:spacing w:after="0" w:line="253" w:lineRule="auto"/>
        <w:rPr>
          <w:sz w:val="20"/>
          <w:szCs w:val="20"/>
          <w:color w:val="auto"/>
        </w:rPr>
      </w:pPr>
      <w:r>
        <w:rPr>
          <w:rFonts w:ascii="Arial" w:cs="Arial" w:eastAsia="Arial" w:hAnsi="Arial"/>
          <w:sz w:val="19"/>
          <w:szCs w:val="19"/>
          <w:color w:val="auto"/>
        </w:rPr>
        <w:t>Information relating to executive compensation is contained in the Proxy Statement referred to above in “Item 10. Directors and Executive Officers of the Registrant,” and such information is incorporated herein by reference.</w:t>
      </w:r>
    </w:p>
    <w:p>
      <w:pPr>
        <w:spacing w:after="0" w:line="249" w:lineRule="exact"/>
        <w:rPr>
          <w:sz w:val="20"/>
          <w:szCs w:val="20"/>
          <w:color w:val="auto"/>
        </w:rPr>
      </w:pPr>
    </w:p>
    <w:p>
      <w:pPr>
        <w:ind w:left="960" w:right="460" w:hanging="948"/>
        <w:spacing w:after="0" w:line="280" w:lineRule="auto"/>
        <w:rPr>
          <w:sz w:val="20"/>
          <w:szCs w:val="20"/>
          <w:color w:val="auto"/>
        </w:rPr>
      </w:pPr>
      <w:r>
        <w:rPr>
          <w:rFonts w:ascii="Arial" w:cs="Arial" w:eastAsia="Arial" w:hAnsi="Arial"/>
          <w:sz w:val="23"/>
          <w:szCs w:val="23"/>
          <w:b w:val="1"/>
          <w:bCs w:val="1"/>
          <w:color w:val="auto"/>
        </w:rPr>
        <w:t>Item 12. Security Ownership of Certain Beneficial Owners and Management and Related Stockholder Matters</w:t>
      </w:r>
    </w:p>
    <w:p>
      <w:pPr>
        <w:spacing w:after="0" w:line="64"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Information relating to security ownership of certain beneficial owners and management and related stockholder matters is contained in the Proxy Statement referred to above in “Item 10. Directors and Executive Officers of the Registrant,” and such information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COMPENSATION PLANS</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As of December 31, 2014 information about our equity compensation plans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Securities</w:t>
            </w: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Remaining</w:t>
            </w: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Number of</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Available for</w:t>
            </w: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Shares to be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8"/>
              </w:rPr>
              <w:t>Weighted-</w:t>
            </w: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Future Issuance</w:t>
            </w: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Issued Upon</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6"/>
              <w:spacing w:after="0" w:line="176" w:lineRule="exact"/>
              <w:rPr>
                <w:sz w:val="20"/>
                <w:szCs w:val="20"/>
                <w:color w:val="auto"/>
              </w:rPr>
            </w:pPr>
            <w:r>
              <w:rPr>
                <w:rFonts w:ascii="Arial" w:cs="Arial" w:eastAsia="Arial" w:hAnsi="Arial"/>
                <w:sz w:val="16"/>
                <w:szCs w:val="16"/>
                <w:b w:val="1"/>
                <w:bCs w:val="1"/>
                <w:color w:val="auto"/>
                <w:w w:val="98"/>
              </w:rPr>
              <w:t>Average</w:t>
            </w: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Under Equity</w:t>
            </w: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Exercise of</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8"/>
              </w:rPr>
              <w:t>Exercise Price</w:t>
            </w: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Compensation</w:t>
            </w: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Outstanding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8"/>
              </w:rPr>
              <w:t>of Outstanding</w:t>
            </w: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Plans (Excluding</w:t>
            </w: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8"/>
              </w:rPr>
              <w:t>Options,</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8"/>
              </w:rPr>
              <w:t>Options,</w:t>
            </w: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Securities</w:t>
            </w:r>
          </w:p>
        </w:tc>
      </w:tr>
      <w:tr>
        <w:trPr>
          <w:trHeight w:val="176"/>
        </w:trPr>
        <w:tc>
          <w:tcPr>
            <w:tcW w:w="6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Warrants and</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6"/>
              <w:spacing w:after="0" w:line="176" w:lineRule="exact"/>
              <w:rPr>
                <w:sz w:val="20"/>
                <w:szCs w:val="20"/>
                <w:color w:val="auto"/>
              </w:rPr>
            </w:pPr>
            <w:r>
              <w:rPr>
                <w:rFonts w:ascii="Arial" w:cs="Arial" w:eastAsia="Arial" w:hAnsi="Arial"/>
                <w:sz w:val="16"/>
                <w:szCs w:val="16"/>
                <w:b w:val="1"/>
                <w:bCs w:val="1"/>
                <w:color w:val="auto"/>
                <w:w w:val="97"/>
              </w:rPr>
              <w:t>Warrants and</w:t>
            </w:r>
          </w:p>
        </w:tc>
        <w:tc>
          <w:tcPr>
            <w:tcW w:w="30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9"/>
              </w:rPr>
              <w:t>Reflected in</w:t>
            </w:r>
          </w:p>
        </w:tc>
      </w:tr>
      <w:tr>
        <w:trPr>
          <w:trHeight w:val="190"/>
        </w:trPr>
        <w:tc>
          <w:tcPr>
            <w:tcW w:w="6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Plan category</w:t>
            </w:r>
          </w:p>
        </w:tc>
        <w:tc>
          <w:tcPr>
            <w:tcW w:w="3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Rights</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rPr>
              <w:t>Rights</w:t>
            </w:r>
          </w:p>
        </w:tc>
        <w:tc>
          <w:tcPr>
            <w:tcW w:w="3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Column (a))</w:t>
            </w:r>
          </w:p>
        </w:tc>
      </w:tr>
      <w:tr>
        <w:trPr>
          <w:trHeight w:val="237"/>
        </w:trPr>
        <w:tc>
          <w:tcPr>
            <w:tcW w:w="6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(a)</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76"/>
              <w:spacing w:after="0"/>
              <w:rPr>
                <w:sz w:val="20"/>
                <w:szCs w:val="20"/>
                <w:color w:val="auto"/>
              </w:rPr>
            </w:pPr>
            <w:r>
              <w:rPr>
                <w:rFonts w:ascii="Arial" w:cs="Arial" w:eastAsia="Arial" w:hAnsi="Arial"/>
                <w:sz w:val="16"/>
                <w:szCs w:val="16"/>
                <w:b w:val="1"/>
                <w:bCs w:val="1"/>
                <w:color w:val="auto"/>
                <w:w w:val="97"/>
              </w:rPr>
              <w:t>(b)</w:t>
            </w:r>
          </w:p>
        </w:tc>
        <w:tc>
          <w:tcPr>
            <w:tcW w:w="3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(c)</w:t>
            </w:r>
          </w:p>
        </w:tc>
      </w:tr>
      <w:tr>
        <w:trPr>
          <w:trHeight w:val="243"/>
        </w:trPr>
        <w:tc>
          <w:tcPr>
            <w:tcW w:w="6160" w:type="dxa"/>
            <w:vAlign w:val="bottom"/>
            <w:shd w:val="clear" w:color="auto" w:fill="E5FFFF"/>
          </w:tcPr>
          <w:p>
            <w:pPr>
              <w:spacing w:after="0"/>
              <w:rPr>
                <w:sz w:val="20"/>
                <w:szCs w:val="20"/>
                <w:color w:val="auto"/>
              </w:rPr>
            </w:pPr>
            <w:r>
              <w:rPr>
                <w:rFonts w:ascii="Arial" w:cs="Arial" w:eastAsia="Arial" w:hAnsi="Arial"/>
                <w:sz w:val="19"/>
                <w:szCs w:val="19"/>
                <w:color w:val="auto"/>
              </w:rPr>
              <w:t>Equity compensation plans approved by security holders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37,358,105(1)</w:t>
            </w:r>
          </w:p>
        </w:tc>
        <w:tc>
          <w:tcPr>
            <w:tcW w:w="440" w:type="dxa"/>
            <w:vAlign w:val="bottom"/>
            <w:gridSpan w:val="2"/>
            <w:shd w:val="clear" w:color="auto" w:fill="E5FFFF"/>
          </w:tcPr>
          <w:p>
            <w:pPr>
              <w:jc w:val="right"/>
              <w:ind w:right="20"/>
              <w:spacing w:after="0"/>
              <w:rPr>
                <w:sz w:val="20"/>
                <w:szCs w:val="20"/>
                <w:color w:val="auto"/>
              </w:rPr>
            </w:pPr>
            <w:r>
              <w:rPr>
                <w:rFonts w:ascii="Arial" w:cs="Arial" w:eastAsia="Arial" w:hAnsi="Arial"/>
                <w:sz w:val="19"/>
                <w:szCs w:val="19"/>
                <w:color w:val="auto"/>
              </w:rPr>
              <w:t>$</w:t>
            </w:r>
          </w:p>
        </w:tc>
        <w:tc>
          <w:tcPr>
            <w:tcW w:w="1280" w:type="dxa"/>
            <w:vAlign w:val="bottom"/>
            <w:shd w:val="clear" w:color="auto" w:fill="E5FFFF"/>
          </w:tcPr>
          <w:p>
            <w:pPr>
              <w:jc w:val="right"/>
              <w:ind w:right="96"/>
              <w:spacing w:after="0"/>
              <w:rPr>
                <w:sz w:val="20"/>
                <w:szCs w:val="20"/>
                <w:color w:val="auto"/>
              </w:rPr>
            </w:pPr>
            <w:r>
              <w:rPr>
                <w:rFonts w:ascii="Arial" w:cs="Arial" w:eastAsia="Arial" w:hAnsi="Arial"/>
                <w:sz w:val="19"/>
                <w:szCs w:val="19"/>
                <w:color w:val="auto"/>
              </w:rPr>
              <w:t>61.80(2)</w:t>
            </w:r>
          </w:p>
        </w:tc>
        <w:tc>
          <w:tcPr>
            <w:tcW w:w="194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21,908,233(3)</w:t>
            </w:r>
          </w:p>
        </w:tc>
      </w:tr>
      <w:tr>
        <w:trPr>
          <w:trHeight w:val="250"/>
        </w:trPr>
        <w:tc>
          <w:tcPr>
            <w:tcW w:w="6160" w:type="dxa"/>
            <w:vAlign w:val="bottom"/>
          </w:tcPr>
          <w:p>
            <w:pPr>
              <w:spacing w:after="0"/>
              <w:rPr>
                <w:sz w:val="20"/>
                <w:szCs w:val="20"/>
                <w:color w:val="auto"/>
              </w:rPr>
            </w:pPr>
            <w:r>
              <w:rPr>
                <w:rFonts w:ascii="Arial" w:cs="Arial" w:eastAsia="Arial" w:hAnsi="Arial"/>
                <w:sz w:val="19"/>
                <w:szCs w:val="19"/>
                <w:color w:val="auto"/>
              </w:rPr>
              <w:t>Equity compensation plans not approved by security holders</w:t>
            </w:r>
          </w:p>
        </w:tc>
        <w:tc>
          <w:tcPr>
            <w:tcW w:w="30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524,072(4)</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9"/>
                <w:szCs w:val="19"/>
                <w:color w:val="auto"/>
              </w:rPr>
              <w:t>N/A(5)</w:t>
            </w:r>
          </w:p>
        </w:tc>
        <w:tc>
          <w:tcPr>
            <w:tcW w:w="30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N/A(6)</w:t>
            </w:r>
          </w:p>
        </w:tc>
      </w:tr>
      <w:tr>
        <w:trPr>
          <w:trHeight w:val="243"/>
        </w:trPr>
        <w:tc>
          <w:tcPr>
            <w:tcW w:w="616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1600" w:type="dxa"/>
            <w:vAlign w:val="bottom"/>
            <w:gridSpan w:val="2"/>
            <w:shd w:val="clear" w:color="auto" w:fill="E5FFFF"/>
          </w:tcPr>
          <w:p>
            <w:pPr>
              <w:jc w:val="right"/>
              <w:ind w:right="179"/>
              <w:spacing w:after="0"/>
              <w:rPr>
                <w:sz w:val="20"/>
                <w:szCs w:val="20"/>
                <w:color w:val="auto"/>
              </w:rPr>
            </w:pPr>
            <w:r>
              <w:rPr>
                <w:rFonts w:ascii="Arial" w:cs="Arial" w:eastAsia="Arial" w:hAnsi="Arial"/>
                <w:sz w:val="19"/>
                <w:szCs w:val="19"/>
                <w:color w:val="auto"/>
              </w:rPr>
              <w:t>37,882,177</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80" w:type="dxa"/>
            <w:vAlign w:val="bottom"/>
            <w:shd w:val="clear" w:color="auto" w:fill="E5FFFF"/>
          </w:tcPr>
          <w:p>
            <w:pPr>
              <w:jc w:val="right"/>
              <w:ind w:right="336"/>
              <w:spacing w:after="0"/>
              <w:rPr>
                <w:sz w:val="20"/>
                <w:szCs w:val="20"/>
                <w:color w:val="auto"/>
              </w:rPr>
            </w:pPr>
            <w:r>
              <w:rPr>
                <w:rFonts w:ascii="Arial" w:cs="Arial" w:eastAsia="Arial" w:hAnsi="Arial"/>
                <w:sz w:val="19"/>
                <w:szCs w:val="19"/>
                <w:color w:val="auto"/>
              </w:rPr>
              <w:t>61.80</w:t>
            </w:r>
          </w:p>
        </w:tc>
        <w:tc>
          <w:tcPr>
            <w:tcW w:w="1940" w:type="dxa"/>
            <w:vAlign w:val="bottom"/>
            <w:gridSpan w:val="2"/>
            <w:shd w:val="clear" w:color="auto" w:fill="E5FFFF"/>
          </w:tcPr>
          <w:p>
            <w:pPr>
              <w:jc w:val="right"/>
              <w:ind w:right="240"/>
              <w:spacing w:after="0"/>
              <w:rPr>
                <w:sz w:val="20"/>
                <w:szCs w:val="20"/>
                <w:color w:val="auto"/>
              </w:rPr>
            </w:pPr>
            <w:r>
              <w:rPr>
                <w:rFonts w:ascii="Arial" w:cs="Arial" w:eastAsia="Arial" w:hAnsi="Arial"/>
                <w:sz w:val="19"/>
                <w:szCs w:val="19"/>
                <w:color w:val="auto"/>
              </w:rPr>
              <w:t>21,908,233</w:t>
            </w:r>
          </w:p>
        </w:tc>
      </w:tr>
      <w:tr>
        <w:trPr>
          <w:trHeight w:val="20"/>
        </w:trPr>
        <w:tc>
          <w:tcPr>
            <w:tcW w:w="6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left="420" w:hanging="338"/>
        <w:spacing w:after="0" w:line="239" w:lineRule="auto"/>
        <w:tabs>
          <w:tab w:leader="none" w:pos="4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Equity compensation plans approved by shareowners which are included in column (a) of the table are the 2011 Stock Incentive Plan (the 2011 Stock Incentive Plan), and similar prior plans, the 2006 Stock Incentive Plan (the 2006 Stock Incentive Plan), and the 2003 Stock Incentive Plan (the 2003 Stock Incentive Plan) (including 29,128,350 shares of common stock to be issued for options; 16,000 shares to be issued for stock appreciation rights; 5,868,451 RSUs subject to continued employment; and 1,963,299 deferred RSUs); and the 2006 Stock Plan for Non-Employee Directors (the 2006 Non-Employee Director Plan) and the 1994 Stock Plan for Non-Employee Directors (the 1994 Non-Employee Director Plan) (351,262 shares of common stock to be issued for options; and 30,743 RSUs subject to continued services). RSUs included in column (a) of the table represent the full number of RSUs awarded and outstanding whereas the number of shares of common stock</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84" w:name="page85"/>
    <w:bookmarkEnd w:id="84"/>
    <w:p>
      <w:pPr>
        <w:jc w:val="both"/>
        <w:ind w:left="340"/>
        <w:spacing w:after="0" w:line="253" w:lineRule="auto"/>
        <w:rPr>
          <w:sz w:val="20"/>
          <w:szCs w:val="20"/>
          <w:color w:val="auto"/>
        </w:rPr>
      </w:pPr>
      <w:r>
        <w:rPr>
          <w:rFonts w:ascii="Arial" w:cs="Arial" w:eastAsia="Arial" w:hAnsi="Arial"/>
          <w:sz w:val="19"/>
          <w:szCs w:val="19"/>
          <w:color w:val="auto"/>
        </w:rPr>
        <w:t>to be issued upon vesting will be lower than what is reflected on the table because the value of shares required to meet employee statutory minimum tax withholding requirements are not issued.</w:t>
      </w:r>
    </w:p>
    <w:p>
      <w:pPr>
        <w:spacing w:after="0" w:line="66" w:lineRule="exact"/>
        <w:rPr>
          <w:sz w:val="20"/>
          <w:szCs w:val="20"/>
          <w:color w:val="auto"/>
        </w:rPr>
      </w:pPr>
    </w:p>
    <w:p>
      <w:pPr>
        <w:jc w:val="both"/>
        <w:ind w:left="340"/>
        <w:spacing w:after="0" w:line="245" w:lineRule="auto"/>
        <w:rPr>
          <w:sz w:val="20"/>
          <w:szCs w:val="20"/>
          <w:color w:val="auto"/>
        </w:rPr>
      </w:pPr>
      <w:r>
        <w:rPr>
          <w:rFonts w:ascii="Arial" w:cs="Arial" w:eastAsia="Arial" w:hAnsi="Arial"/>
          <w:sz w:val="19"/>
          <w:szCs w:val="19"/>
          <w:color w:val="auto"/>
        </w:rPr>
        <w:t>2,969,601 growth plan units were issued and remain outstanding for the performance cycles commencing January 1, 2012 and January 1, 2014 pursuant to the 2011 Stock Incentive Plan. The ultimate value of any growth plan award may be paid in cash or shares of common stock and, thus, growth plan units are not included in the table above.</w:t>
      </w:r>
    </w:p>
    <w:p>
      <w:pPr>
        <w:spacing w:after="0" w:line="74"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9"/>
          <w:szCs w:val="19"/>
          <w:color w:val="auto"/>
        </w:rPr>
        <w:t>Because the number of future shares that may be distributed to employees participating in the Honeywell Global Stock Plan is unknown, no shares attributable to that plan are included in column (a) of the table above.</w:t>
      </w:r>
    </w:p>
    <w:p>
      <w:pPr>
        <w:spacing w:after="0" w:line="66" w:lineRule="exact"/>
        <w:rPr>
          <w:sz w:val="20"/>
          <w:szCs w:val="20"/>
          <w:color w:val="auto"/>
        </w:rPr>
      </w:pPr>
    </w:p>
    <w:p>
      <w:pPr>
        <w:jc w:val="both"/>
        <w:ind w:left="340" w:hanging="338"/>
        <w:spacing w:after="0" w:line="245" w:lineRule="auto"/>
        <w:tabs>
          <w:tab w:leader="none" w:pos="3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Column (b) relates to stock options and does not include any exercise price for RSUs because an RSU’s value is dependent upon attainment of certain performance goals or continued employment or service and they are settled for shares of common stock on a one-for-one basis.</w:t>
      </w:r>
    </w:p>
    <w:p>
      <w:pPr>
        <w:spacing w:after="0" w:line="73" w:lineRule="exact"/>
        <w:rPr>
          <w:rFonts w:ascii="Arial" w:cs="Arial" w:eastAsia="Arial" w:hAnsi="Arial"/>
          <w:sz w:val="19"/>
          <w:szCs w:val="19"/>
          <w:color w:val="auto"/>
        </w:rPr>
      </w:pPr>
    </w:p>
    <w:p>
      <w:pPr>
        <w:jc w:val="both"/>
        <w:ind w:left="340" w:hanging="338"/>
        <w:spacing w:after="0"/>
        <w:tabs>
          <w:tab w:leader="none" w:pos="3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number of shares that may be issued under the 2011 Stock Incentive Plan as of December 31, 2014 is 19,752,482 which includes the following additional shares that may again be available for issuance: shares that are settled for cash, expire, are canceled, or under similar prior plans, are tendered as option exercise price or tax withholding obligations, are reacquired with cash option exercise price or with monies attributable to any tax deduction enjoyed by Honeywell to the exercise of an option, or are under any outstanding awards assumed under any equity compensation plan of an entity acquired by Honeywell. No securities are available for future issuance under the 2006 Stock Incentive Plan, the 2003 Stock Incentive Plan, or the 1994 Non-Employee Director Plan.</w:t>
      </w:r>
    </w:p>
    <w:p>
      <w:pPr>
        <w:spacing w:after="0" w:line="77" w:lineRule="exact"/>
        <w:rPr>
          <w:rFonts w:ascii="Arial" w:cs="Arial" w:eastAsia="Arial" w:hAnsi="Arial"/>
          <w:sz w:val="19"/>
          <w:szCs w:val="19"/>
          <w:color w:val="auto"/>
        </w:rPr>
      </w:pPr>
    </w:p>
    <w:p>
      <w:pPr>
        <w:jc w:val="both"/>
        <w:ind w:left="340"/>
        <w:spacing w:after="0" w:line="245" w:lineRule="auto"/>
        <w:rPr>
          <w:rFonts w:ascii="Arial" w:cs="Arial" w:eastAsia="Arial" w:hAnsi="Arial"/>
          <w:sz w:val="19"/>
          <w:szCs w:val="19"/>
          <w:color w:val="auto"/>
        </w:rPr>
      </w:pPr>
      <w:r>
        <w:rPr>
          <w:rFonts w:ascii="Arial" w:cs="Arial" w:eastAsia="Arial" w:hAnsi="Arial"/>
          <w:sz w:val="19"/>
          <w:szCs w:val="19"/>
          <w:color w:val="auto"/>
        </w:rPr>
        <w:t>The number of shares that may be issued under the Honeywell Global Stock Plan as of December 31, 2014 is 2,047,756. This plan is an umbrella plan for three plans described below maintained solely for eligible employees of participating non-U.S. countries.</w:t>
      </w:r>
    </w:p>
    <w:p>
      <w:pPr>
        <w:spacing w:after="0" w:line="73" w:lineRule="exact"/>
        <w:rPr>
          <w:rFonts w:ascii="Arial" w:cs="Arial" w:eastAsia="Arial" w:hAnsi="Arial"/>
          <w:sz w:val="19"/>
          <w:szCs w:val="19"/>
          <w:color w:val="auto"/>
        </w:rPr>
      </w:pPr>
    </w:p>
    <w:p>
      <w:pPr>
        <w:jc w:val="both"/>
        <w:ind w:left="340"/>
        <w:spacing w:after="0" w:line="245" w:lineRule="auto"/>
        <w:rPr>
          <w:rFonts w:ascii="Arial" w:cs="Arial" w:eastAsia="Arial" w:hAnsi="Arial"/>
          <w:sz w:val="19"/>
          <w:szCs w:val="19"/>
          <w:color w:val="auto"/>
        </w:rPr>
      </w:pPr>
      <w:r>
        <w:rPr>
          <w:rFonts w:ascii="Arial" w:cs="Arial" w:eastAsia="Arial" w:hAnsi="Arial"/>
          <w:sz w:val="19"/>
          <w:szCs w:val="19"/>
          <w:color w:val="auto"/>
        </w:rPr>
        <w:t>The UK Sharebuilder Plan, allows an eligible UK employee to invest taxable earnings in common stock. The Company matches those shares and dividends paid are used to purchase additional shares of common stock. For the year ending December 31, 2014, 74,256 shares were credited to participants’ accounts under the UK Sharebuilder Plan.</w:t>
      </w:r>
    </w:p>
    <w:p>
      <w:pPr>
        <w:spacing w:after="0" w:line="73" w:lineRule="exact"/>
        <w:rPr>
          <w:rFonts w:ascii="Arial" w:cs="Arial" w:eastAsia="Arial" w:hAnsi="Arial"/>
          <w:sz w:val="19"/>
          <w:szCs w:val="19"/>
          <w:color w:val="auto"/>
        </w:rPr>
      </w:pPr>
    </w:p>
    <w:p>
      <w:pPr>
        <w:jc w:val="both"/>
        <w:ind w:left="340"/>
        <w:spacing w:after="0" w:line="242" w:lineRule="auto"/>
        <w:rPr>
          <w:rFonts w:ascii="Arial" w:cs="Arial" w:eastAsia="Arial" w:hAnsi="Arial"/>
          <w:sz w:val="19"/>
          <w:szCs w:val="19"/>
          <w:color w:val="auto"/>
        </w:rPr>
      </w:pPr>
      <w:r>
        <w:rPr>
          <w:rFonts w:ascii="Arial" w:cs="Arial" w:eastAsia="Arial" w:hAnsi="Arial"/>
          <w:sz w:val="19"/>
          <w:szCs w:val="19"/>
          <w:color w:val="auto"/>
        </w:rPr>
        <w:t>The Honeywell International Technologies Employees Share Ownership Plan (Ireland) and the Honeywell Measurex (Ireland) Limited Group Employee Profit Sharing Scheme, allow eligible employees in Ireland to contribute specified percentages of base pay, bonus or performance pay that are then invested in common stock. For the year ending December 31, 2014, 11,583 shares of common stock were credited to participants’ accounts under these two plans.</w:t>
      </w:r>
    </w:p>
    <w:p>
      <w:pPr>
        <w:spacing w:after="0" w:line="77" w:lineRule="exact"/>
        <w:rPr>
          <w:rFonts w:ascii="Arial" w:cs="Arial" w:eastAsia="Arial" w:hAnsi="Arial"/>
          <w:sz w:val="19"/>
          <w:szCs w:val="19"/>
          <w:color w:val="auto"/>
        </w:rPr>
      </w:pPr>
    </w:p>
    <w:p>
      <w:pPr>
        <w:ind w:left="340" w:right="20"/>
        <w:spacing w:after="0" w:line="253" w:lineRule="auto"/>
        <w:rPr>
          <w:rFonts w:ascii="Arial" w:cs="Arial" w:eastAsia="Arial" w:hAnsi="Arial"/>
          <w:sz w:val="19"/>
          <w:szCs w:val="19"/>
          <w:color w:val="auto"/>
        </w:rPr>
      </w:pPr>
      <w:r>
        <w:rPr>
          <w:rFonts w:ascii="Arial" w:cs="Arial" w:eastAsia="Arial" w:hAnsi="Arial"/>
          <w:sz w:val="19"/>
          <w:szCs w:val="19"/>
          <w:color w:val="auto"/>
        </w:rPr>
        <w:t>The remaining 107,995 shares included in column (c) are shares remaining for future grants under the 2006 Non-Employee Director Plan.</w:t>
      </w:r>
    </w:p>
    <w:p>
      <w:pPr>
        <w:spacing w:after="0" w:line="66" w:lineRule="exact"/>
        <w:rPr>
          <w:rFonts w:ascii="Arial" w:cs="Arial" w:eastAsia="Arial" w:hAnsi="Arial"/>
          <w:sz w:val="19"/>
          <w:szCs w:val="19"/>
          <w:color w:val="auto"/>
        </w:rPr>
      </w:pPr>
    </w:p>
    <w:p>
      <w:pPr>
        <w:ind w:left="340" w:hanging="338"/>
        <w:spacing w:after="0" w:line="253" w:lineRule="auto"/>
        <w:tabs>
          <w:tab w:leader="none" w:pos="3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Equity compensation plans not approved by shareowners included in the table refer to the Supplemental Non-Qualified Savings Plan for Highly Compensated Employees.</w:t>
      </w:r>
    </w:p>
    <w:p>
      <w:pPr>
        <w:spacing w:after="0" w:line="66" w:lineRule="exact"/>
        <w:rPr>
          <w:rFonts w:ascii="Arial" w:cs="Arial" w:eastAsia="Arial" w:hAnsi="Arial"/>
          <w:sz w:val="19"/>
          <w:szCs w:val="19"/>
          <w:color w:val="auto"/>
        </w:rPr>
      </w:pPr>
    </w:p>
    <w:p>
      <w:pPr>
        <w:jc w:val="both"/>
        <w:ind w:left="340"/>
        <w:spacing w:after="0"/>
        <w:rPr>
          <w:rFonts w:ascii="Arial" w:cs="Arial" w:eastAsia="Arial" w:hAnsi="Arial"/>
          <w:sz w:val="19"/>
          <w:szCs w:val="19"/>
          <w:color w:val="auto"/>
        </w:rPr>
      </w:pPr>
      <w:r>
        <w:rPr>
          <w:rFonts w:ascii="Arial" w:cs="Arial" w:eastAsia="Arial" w:hAnsi="Arial"/>
          <w:sz w:val="19"/>
          <w:szCs w:val="19"/>
          <w:color w:val="auto"/>
        </w:rPr>
        <w:t>The Supplemental Non-Qualified Savings Plan for Highly Compensated Employees is an unfunded, non-tax qualified plan that provides benefits equal to the employee deferrals and company matching allocations that would have been provided under Honeywell’s U.S. tax-qualified savings plan if the Internal Revenue Code limitations on compensation and contributions did not apply. The Company matching contribution is credited to participants’ accounts in the form of notional shares of common stock. The notional shares are distributed in the form of actual shares of common stock. The number of shares to be issued under this plan based on the value of the notional shares as of December 31, 2014 is 505,494.</w:t>
      </w:r>
    </w:p>
    <w:p>
      <w:pPr>
        <w:spacing w:after="0" w:line="80" w:lineRule="exact"/>
        <w:rPr>
          <w:rFonts w:ascii="Arial" w:cs="Arial" w:eastAsia="Arial" w:hAnsi="Arial"/>
          <w:sz w:val="19"/>
          <w:szCs w:val="19"/>
          <w:color w:val="auto"/>
        </w:rPr>
      </w:pPr>
    </w:p>
    <w:p>
      <w:pPr>
        <w:jc w:val="both"/>
        <w:ind w:left="340"/>
        <w:spacing w:after="0" w:line="242" w:lineRule="auto"/>
        <w:rPr>
          <w:rFonts w:ascii="Arial" w:cs="Arial" w:eastAsia="Arial" w:hAnsi="Arial"/>
          <w:sz w:val="19"/>
          <w:szCs w:val="19"/>
          <w:color w:val="auto"/>
        </w:rPr>
      </w:pPr>
      <w:r>
        <w:rPr>
          <w:rFonts w:ascii="Arial" w:cs="Arial" w:eastAsia="Arial" w:hAnsi="Arial"/>
          <w:sz w:val="19"/>
          <w:szCs w:val="19"/>
          <w:color w:val="auto"/>
        </w:rPr>
        <w:t>The AlliedSignal Incentive Compensation Plan for Executive Employees was a cash incentive compensation plan maintained by AlliedSignal Inc. This plan has expired. Employees were permitted to defer receipt of a cash bonus payable under the plan and invest the deferred bonus in notional shares of common stock. The notional shares are distributed in the form of actual shares of common stock. The number of shares of common stock that remain to be issued as of December 31, 2014 is 18,578.</w:t>
      </w:r>
    </w:p>
    <w:p>
      <w:pPr>
        <w:spacing w:after="0" w:line="91"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64770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320" w:top="653" w:right="239" w:bottom="1440" w:gutter="0" w:footer="0" w:header="0"/>
        </w:sectPr>
      </w:pPr>
    </w:p>
    <w:bookmarkStart w:id="85" w:name="page86"/>
    <w:bookmarkEnd w:id="85"/>
    <w:p>
      <w:pPr>
        <w:jc w:val="both"/>
        <w:ind w:left="420" w:hanging="338"/>
        <w:spacing w:after="0" w:line="245" w:lineRule="auto"/>
        <w:tabs>
          <w:tab w:leader="none" w:pos="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Column (b) does not include any exercise price for notional shares allocated to employees under Honeywell’s equity compensation plans not approved by shareowners because all of these shares are only settled for shares of common stock on a one-for-one basis.</w:t>
      </w:r>
    </w:p>
    <w:p>
      <w:pPr>
        <w:spacing w:after="0" w:line="73" w:lineRule="exact"/>
        <w:rPr>
          <w:rFonts w:ascii="Arial" w:cs="Arial" w:eastAsia="Arial" w:hAnsi="Arial"/>
          <w:sz w:val="19"/>
          <w:szCs w:val="19"/>
          <w:color w:val="auto"/>
        </w:rPr>
      </w:pPr>
    </w:p>
    <w:p>
      <w:pPr>
        <w:jc w:val="both"/>
        <w:ind w:left="420" w:hanging="338"/>
        <w:spacing w:after="0" w:line="245" w:lineRule="auto"/>
        <w:tabs>
          <w:tab w:leader="none" w:pos="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amount of securities available for future issuance under the Supplemental Non-Qualified Savings Plan for Highly Compensated Employees is not determinable because the number of securities that may be issued under this plan depends upon the amount deferred to the plan by participants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13. Certain Relationships and Related Transactions</w:t>
      </w:r>
    </w:p>
    <w:p>
      <w:pPr>
        <w:spacing w:after="0" w:line="147" w:lineRule="exact"/>
        <w:rPr>
          <w:sz w:val="20"/>
          <w:szCs w:val="20"/>
          <w:color w:val="auto"/>
        </w:rPr>
      </w:pPr>
    </w:p>
    <w:p>
      <w:pPr>
        <w:ind w:firstLine="357"/>
        <w:spacing w:after="0" w:line="253" w:lineRule="auto"/>
        <w:rPr>
          <w:sz w:val="20"/>
          <w:szCs w:val="20"/>
          <w:color w:val="auto"/>
        </w:rPr>
      </w:pPr>
      <w:r>
        <w:rPr>
          <w:rFonts w:ascii="Arial" w:cs="Arial" w:eastAsia="Arial" w:hAnsi="Arial"/>
          <w:sz w:val="19"/>
          <w:szCs w:val="19"/>
          <w:color w:val="auto"/>
        </w:rPr>
        <w:t>Information relating to certain relationships and related transactions is contained in the Proxy Statement referred to above in Item 10. Directors and Executive Officers of the Registrant, and such information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14. Principal Accounting Fees and Services</w:t>
      </w:r>
    </w:p>
    <w:p>
      <w:pPr>
        <w:spacing w:after="0" w:line="133" w:lineRule="exact"/>
        <w:rPr>
          <w:sz w:val="20"/>
          <w:szCs w:val="20"/>
          <w:color w:val="auto"/>
        </w:rPr>
      </w:pPr>
    </w:p>
    <w:p>
      <w:pPr>
        <w:jc w:val="both"/>
        <w:ind w:firstLine="357"/>
        <w:spacing w:after="0" w:line="245" w:lineRule="auto"/>
        <w:rPr>
          <w:sz w:val="20"/>
          <w:szCs w:val="20"/>
          <w:color w:val="auto"/>
        </w:rPr>
      </w:pPr>
      <w:r>
        <w:rPr>
          <w:rFonts w:ascii="Arial" w:cs="Arial" w:eastAsia="Arial" w:hAnsi="Arial"/>
          <w:sz w:val="19"/>
          <w:szCs w:val="19"/>
          <w:color w:val="auto"/>
        </w:rPr>
        <w:t>Information relating to fees paid to and services performed by PricewaterhouseCoopers LLP in 2014 and 2013 and our Audit Committee’s pre-approval policies and procedures with respect to non-audit services are contained in the Proxy Statement referred to above in Item 10. Directors and Executive Officers of the Registrant, and such information is incorporated herein by reference.</w:t>
      </w:r>
    </w:p>
    <w:p>
      <w:pPr>
        <w:spacing w:after="0" w:line="2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15. Exhibits and Financial Statement Schedules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920" w:type="dxa"/>
            <w:vAlign w:val="bottom"/>
          </w:tcPr>
          <w:p>
            <w:pPr>
              <w:spacing w:after="0"/>
              <w:rPr>
                <w:sz w:val="16"/>
                <w:szCs w:val="16"/>
                <w:color w:val="auto"/>
              </w:rPr>
            </w:pPr>
          </w:p>
        </w:tc>
        <w:tc>
          <w:tcPr>
            <w:tcW w:w="1500" w:type="dxa"/>
            <w:vAlign w:val="bottom"/>
          </w:tcPr>
          <w:p>
            <w:pPr>
              <w:jc w:val="right"/>
              <w:ind w:right="149"/>
              <w:spacing w:after="0"/>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190"/>
        </w:trPr>
        <w:tc>
          <w:tcPr>
            <w:tcW w:w="9920" w:type="dxa"/>
            <w:vAlign w:val="bottom"/>
          </w:tcPr>
          <w:p>
            <w:pPr>
              <w:spacing w:after="0"/>
              <w:rPr>
                <w:sz w:val="16"/>
                <w:szCs w:val="16"/>
                <w:color w:val="auto"/>
              </w:rPr>
            </w:pPr>
          </w:p>
        </w:tc>
        <w:tc>
          <w:tcPr>
            <w:tcW w:w="150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in Form 10-K</w:t>
            </w:r>
          </w:p>
        </w:tc>
        <w:tc>
          <w:tcPr>
            <w:tcW w:w="0" w:type="dxa"/>
            <w:vAlign w:val="bottom"/>
          </w:tcPr>
          <w:p>
            <w:pPr>
              <w:spacing w:after="0"/>
              <w:rPr>
                <w:sz w:val="1"/>
                <w:szCs w:val="1"/>
                <w:color w:val="auto"/>
              </w:rPr>
            </w:pPr>
          </w:p>
        </w:tc>
      </w:tr>
      <w:tr>
        <w:trPr>
          <w:trHeight w:val="210"/>
        </w:trPr>
        <w:tc>
          <w:tcPr>
            <w:tcW w:w="9920" w:type="dxa"/>
            <w:vAlign w:val="bottom"/>
            <w:shd w:val="clear" w:color="auto" w:fill="E5FFFF"/>
          </w:tcPr>
          <w:p>
            <w:pPr>
              <w:spacing w:after="0" w:line="210" w:lineRule="exact"/>
              <w:rPr>
                <w:sz w:val="20"/>
                <w:szCs w:val="20"/>
                <w:color w:val="auto"/>
              </w:rPr>
            </w:pPr>
            <w:r>
              <w:rPr>
                <w:rFonts w:ascii="Arial" w:cs="Arial" w:eastAsia="Arial" w:hAnsi="Arial"/>
                <w:sz w:val="19"/>
                <w:szCs w:val="19"/>
                <w:color w:val="auto"/>
              </w:rPr>
              <w:t>(a)(1.) Consolidated Financial Statements:</w:t>
            </w:r>
          </w:p>
        </w:tc>
        <w:tc>
          <w:tcPr>
            <w:tcW w:w="15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920" w:type="dxa"/>
            <w:vAlign w:val="bottom"/>
          </w:tcPr>
          <w:p>
            <w:pPr>
              <w:ind w:left="1300"/>
              <w:spacing w:after="0"/>
              <w:rPr>
                <w:sz w:val="20"/>
                <w:szCs w:val="20"/>
                <w:color w:val="auto"/>
              </w:rPr>
            </w:pPr>
            <w:r>
              <w:rPr>
                <w:rFonts w:ascii="Arial" w:cs="Arial" w:eastAsia="Arial" w:hAnsi="Arial"/>
                <w:sz w:val="19"/>
                <w:szCs w:val="19"/>
                <w:color w:val="auto"/>
              </w:rPr>
              <w:t>Consolidated Statement of Operations for the years ended December 31, 2014, 2013 and 2012</w:t>
            </w:r>
          </w:p>
        </w:tc>
        <w:tc>
          <w:tcPr>
            <w:tcW w:w="1500" w:type="dxa"/>
            <w:vAlign w:val="bottom"/>
          </w:tcPr>
          <w:p>
            <w:pPr>
              <w:jc w:val="right"/>
              <w:ind w:right="189"/>
              <w:spacing w:after="0"/>
              <w:rPr>
                <w:sz w:val="20"/>
                <w:szCs w:val="20"/>
                <w:color w:val="auto"/>
              </w:rPr>
            </w:pPr>
            <w:r>
              <w:rPr>
                <w:rFonts w:ascii="Arial" w:cs="Arial" w:eastAsia="Arial" w:hAnsi="Arial"/>
                <w:sz w:val="19"/>
                <w:szCs w:val="19"/>
                <w:color w:val="auto"/>
              </w:rPr>
              <w:t>33</w:t>
            </w:r>
          </w:p>
        </w:tc>
        <w:tc>
          <w:tcPr>
            <w:tcW w:w="0" w:type="dxa"/>
            <w:vAlign w:val="bottom"/>
          </w:tcPr>
          <w:p>
            <w:pPr>
              <w:spacing w:after="0"/>
              <w:rPr>
                <w:sz w:val="1"/>
                <w:szCs w:val="1"/>
                <w:color w:val="auto"/>
              </w:rPr>
            </w:pPr>
          </w:p>
        </w:tc>
      </w:tr>
      <w:tr>
        <w:trPr>
          <w:trHeight w:val="216"/>
        </w:trPr>
        <w:tc>
          <w:tcPr>
            <w:tcW w:w="9920" w:type="dxa"/>
            <w:vAlign w:val="bottom"/>
            <w:shd w:val="clear" w:color="auto" w:fill="E5FFFF"/>
          </w:tcPr>
          <w:p>
            <w:pPr>
              <w:ind w:left="1300"/>
              <w:spacing w:after="0" w:line="216" w:lineRule="exact"/>
              <w:rPr>
                <w:sz w:val="20"/>
                <w:szCs w:val="20"/>
                <w:color w:val="auto"/>
              </w:rPr>
            </w:pPr>
            <w:r>
              <w:rPr>
                <w:rFonts w:ascii="Arial" w:cs="Arial" w:eastAsia="Arial" w:hAnsi="Arial"/>
                <w:sz w:val="19"/>
                <w:szCs w:val="19"/>
                <w:color w:val="auto"/>
              </w:rPr>
              <w:t>Consolidated Statement of Comprehensive Income for the years ended December 31, 2014,</w:t>
            </w:r>
          </w:p>
        </w:tc>
        <w:tc>
          <w:tcPr>
            <w:tcW w:w="15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E5FFFF"/>
          </w:tcPr>
          <w:p>
            <w:pPr>
              <w:ind w:left="1520"/>
              <w:spacing w:after="0" w:line="216" w:lineRule="exact"/>
              <w:rPr>
                <w:sz w:val="20"/>
                <w:szCs w:val="20"/>
                <w:color w:val="auto"/>
              </w:rPr>
            </w:pPr>
            <w:r>
              <w:rPr>
                <w:rFonts w:ascii="Arial" w:cs="Arial" w:eastAsia="Arial" w:hAnsi="Arial"/>
                <w:sz w:val="19"/>
                <w:szCs w:val="19"/>
                <w:color w:val="auto"/>
              </w:rPr>
              <w:t>2013 and 2012</w:t>
            </w:r>
          </w:p>
        </w:tc>
        <w:tc>
          <w:tcPr>
            <w:tcW w:w="1500" w:type="dxa"/>
            <w:vAlign w:val="bottom"/>
            <w:shd w:val="clear" w:color="auto" w:fill="E5FFFF"/>
          </w:tcPr>
          <w:p>
            <w:pPr>
              <w:jc w:val="right"/>
              <w:ind w:right="189"/>
              <w:spacing w:after="0" w:line="216" w:lineRule="exact"/>
              <w:rPr>
                <w:sz w:val="20"/>
                <w:szCs w:val="20"/>
                <w:color w:val="auto"/>
              </w:rPr>
            </w:pPr>
            <w:r>
              <w:rPr>
                <w:rFonts w:ascii="Arial" w:cs="Arial" w:eastAsia="Arial" w:hAnsi="Arial"/>
                <w:sz w:val="19"/>
                <w:szCs w:val="19"/>
                <w:color w:val="auto"/>
              </w:rPr>
              <w:t>34</w:t>
            </w:r>
          </w:p>
        </w:tc>
        <w:tc>
          <w:tcPr>
            <w:tcW w:w="0" w:type="dxa"/>
            <w:vAlign w:val="bottom"/>
          </w:tcPr>
          <w:p>
            <w:pPr>
              <w:spacing w:after="0"/>
              <w:rPr>
                <w:sz w:val="1"/>
                <w:szCs w:val="1"/>
                <w:color w:val="auto"/>
              </w:rPr>
            </w:pPr>
          </w:p>
        </w:tc>
      </w:tr>
      <w:tr>
        <w:trPr>
          <w:trHeight w:val="243"/>
        </w:trPr>
        <w:tc>
          <w:tcPr>
            <w:tcW w:w="9920" w:type="dxa"/>
            <w:vAlign w:val="bottom"/>
          </w:tcPr>
          <w:p>
            <w:pPr>
              <w:ind w:left="1300"/>
              <w:spacing w:after="0"/>
              <w:rPr>
                <w:sz w:val="20"/>
                <w:szCs w:val="20"/>
                <w:color w:val="auto"/>
              </w:rPr>
            </w:pPr>
            <w:r>
              <w:rPr>
                <w:rFonts w:ascii="Arial" w:cs="Arial" w:eastAsia="Arial" w:hAnsi="Arial"/>
                <w:sz w:val="19"/>
                <w:szCs w:val="19"/>
                <w:color w:val="auto"/>
              </w:rPr>
              <w:t>Consolidated Balance Sheet at December 31, 2014 and 2013</w:t>
            </w:r>
          </w:p>
        </w:tc>
        <w:tc>
          <w:tcPr>
            <w:tcW w:w="1500" w:type="dxa"/>
            <w:vAlign w:val="bottom"/>
          </w:tcPr>
          <w:p>
            <w:pPr>
              <w:jc w:val="right"/>
              <w:ind w:right="189"/>
              <w:spacing w:after="0"/>
              <w:rPr>
                <w:sz w:val="20"/>
                <w:szCs w:val="20"/>
                <w:color w:val="auto"/>
              </w:rPr>
            </w:pPr>
            <w:r>
              <w:rPr>
                <w:rFonts w:ascii="Arial" w:cs="Arial" w:eastAsia="Arial" w:hAnsi="Arial"/>
                <w:sz w:val="19"/>
                <w:szCs w:val="19"/>
                <w:color w:val="auto"/>
              </w:rPr>
              <w:t>35</w:t>
            </w:r>
          </w:p>
        </w:tc>
        <w:tc>
          <w:tcPr>
            <w:tcW w:w="0" w:type="dxa"/>
            <w:vAlign w:val="bottom"/>
          </w:tcPr>
          <w:p>
            <w:pPr>
              <w:spacing w:after="0"/>
              <w:rPr>
                <w:sz w:val="1"/>
                <w:szCs w:val="1"/>
                <w:color w:val="auto"/>
              </w:rPr>
            </w:pPr>
          </w:p>
        </w:tc>
      </w:tr>
      <w:tr>
        <w:trPr>
          <w:trHeight w:val="243"/>
        </w:trPr>
        <w:tc>
          <w:tcPr>
            <w:tcW w:w="9920" w:type="dxa"/>
            <w:vAlign w:val="bottom"/>
            <w:shd w:val="clear" w:color="auto" w:fill="E5FFFF"/>
          </w:tcPr>
          <w:p>
            <w:pPr>
              <w:ind w:left="1300"/>
              <w:spacing w:after="0"/>
              <w:rPr>
                <w:sz w:val="20"/>
                <w:szCs w:val="20"/>
                <w:color w:val="auto"/>
              </w:rPr>
            </w:pPr>
            <w:r>
              <w:rPr>
                <w:rFonts w:ascii="Arial" w:cs="Arial" w:eastAsia="Arial" w:hAnsi="Arial"/>
                <w:sz w:val="19"/>
                <w:szCs w:val="19"/>
                <w:color w:val="auto"/>
              </w:rPr>
              <w:t>Consolidated Statement of Cash Flows for the years ended December 31, 2014, 2013 and 2012</w:t>
            </w:r>
          </w:p>
        </w:tc>
        <w:tc>
          <w:tcPr>
            <w:tcW w:w="1500" w:type="dxa"/>
            <w:vAlign w:val="bottom"/>
            <w:shd w:val="clear" w:color="auto" w:fill="E5FFFF"/>
          </w:tcPr>
          <w:p>
            <w:pPr>
              <w:jc w:val="right"/>
              <w:ind w:right="189"/>
              <w:spacing w:after="0"/>
              <w:rPr>
                <w:sz w:val="20"/>
                <w:szCs w:val="20"/>
                <w:color w:val="auto"/>
              </w:rPr>
            </w:pPr>
            <w:r>
              <w:rPr>
                <w:rFonts w:ascii="Arial" w:cs="Arial" w:eastAsia="Arial" w:hAnsi="Arial"/>
                <w:sz w:val="19"/>
                <w:szCs w:val="19"/>
                <w:color w:val="auto"/>
              </w:rPr>
              <w:t>36</w:t>
            </w:r>
          </w:p>
        </w:tc>
        <w:tc>
          <w:tcPr>
            <w:tcW w:w="0" w:type="dxa"/>
            <w:vAlign w:val="bottom"/>
          </w:tcPr>
          <w:p>
            <w:pPr>
              <w:spacing w:after="0"/>
              <w:rPr>
                <w:sz w:val="1"/>
                <w:szCs w:val="1"/>
                <w:color w:val="auto"/>
              </w:rPr>
            </w:pPr>
          </w:p>
        </w:tc>
      </w:tr>
      <w:tr>
        <w:trPr>
          <w:trHeight w:val="216"/>
        </w:trPr>
        <w:tc>
          <w:tcPr>
            <w:tcW w:w="9920" w:type="dxa"/>
            <w:vAlign w:val="bottom"/>
          </w:tcPr>
          <w:p>
            <w:pPr>
              <w:ind w:left="1300"/>
              <w:spacing w:after="0" w:line="216" w:lineRule="exact"/>
              <w:rPr>
                <w:sz w:val="20"/>
                <w:szCs w:val="20"/>
                <w:color w:val="auto"/>
              </w:rPr>
            </w:pPr>
            <w:r>
              <w:rPr>
                <w:rFonts w:ascii="Arial" w:cs="Arial" w:eastAsia="Arial" w:hAnsi="Arial"/>
                <w:sz w:val="19"/>
                <w:szCs w:val="19"/>
                <w:color w:val="auto"/>
              </w:rPr>
              <w:t>Consolidated Statement of Shareowners’ Equity for the years ended December 31, 2014, 2013</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ind w:left="1520"/>
              <w:spacing w:after="0" w:line="216" w:lineRule="exact"/>
              <w:rPr>
                <w:sz w:val="20"/>
                <w:szCs w:val="20"/>
                <w:color w:val="auto"/>
              </w:rPr>
            </w:pPr>
            <w:r>
              <w:rPr>
                <w:rFonts w:ascii="Arial" w:cs="Arial" w:eastAsia="Arial" w:hAnsi="Arial"/>
                <w:sz w:val="19"/>
                <w:szCs w:val="19"/>
                <w:color w:val="auto"/>
              </w:rPr>
              <w:t>and 2012</w:t>
            </w:r>
          </w:p>
        </w:tc>
        <w:tc>
          <w:tcPr>
            <w:tcW w:w="1500" w:type="dxa"/>
            <w:vAlign w:val="bottom"/>
          </w:tcPr>
          <w:p>
            <w:pPr>
              <w:jc w:val="right"/>
              <w:ind w:right="189"/>
              <w:spacing w:after="0" w:line="216" w:lineRule="exact"/>
              <w:rPr>
                <w:sz w:val="20"/>
                <w:szCs w:val="20"/>
                <w:color w:val="auto"/>
              </w:rPr>
            </w:pPr>
            <w:r>
              <w:rPr>
                <w:rFonts w:ascii="Arial" w:cs="Arial" w:eastAsia="Arial" w:hAnsi="Arial"/>
                <w:sz w:val="19"/>
                <w:szCs w:val="19"/>
                <w:color w:val="auto"/>
              </w:rPr>
              <w:t>37</w:t>
            </w:r>
          </w:p>
        </w:tc>
        <w:tc>
          <w:tcPr>
            <w:tcW w:w="0" w:type="dxa"/>
            <w:vAlign w:val="bottom"/>
          </w:tcPr>
          <w:p>
            <w:pPr>
              <w:spacing w:after="0"/>
              <w:rPr>
                <w:sz w:val="1"/>
                <w:szCs w:val="1"/>
                <w:color w:val="auto"/>
              </w:rPr>
            </w:pPr>
          </w:p>
        </w:tc>
      </w:tr>
      <w:tr>
        <w:trPr>
          <w:trHeight w:val="243"/>
        </w:trPr>
        <w:tc>
          <w:tcPr>
            <w:tcW w:w="9920" w:type="dxa"/>
            <w:vAlign w:val="bottom"/>
            <w:shd w:val="clear" w:color="auto" w:fill="E5FFFF"/>
          </w:tcPr>
          <w:p>
            <w:pPr>
              <w:ind w:left="1300"/>
              <w:spacing w:after="0"/>
              <w:rPr>
                <w:sz w:val="20"/>
                <w:szCs w:val="20"/>
                <w:color w:val="auto"/>
              </w:rPr>
            </w:pPr>
            <w:r>
              <w:rPr>
                <w:rFonts w:ascii="Arial" w:cs="Arial" w:eastAsia="Arial" w:hAnsi="Arial"/>
                <w:sz w:val="19"/>
                <w:szCs w:val="19"/>
                <w:color w:val="auto"/>
              </w:rPr>
              <w:t>Notes to Financial Statements</w:t>
            </w:r>
          </w:p>
        </w:tc>
        <w:tc>
          <w:tcPr>
            <w:tcW w:w="1500" w:type="dxa"/>
            <w:vAlign w:val="bottom"/>
            <w:shd w:val="clear" w:color="auto" w:fill="E5FFFF"/>
          </w:tcPr>
          <w:p>
            <w:pPr>
              <w:jc w:val="right"/>
              <w:ind w:right="189"/>
              <w:spacing w:after="0"/>
              <w:rPr>
                <w:sz w:val="20"/>
                <w:szCs w:val="20"/>
                <w:color w:val="auto"/>
              </w:rPr>
            </w:pPr>
            <w:r>
              <w:rPr>
                <w:rFonts w:ascii="Arial" w:cs="Arial" w:eastAsia="Arial" w:hAnsi="Arial"/>
                <w:sz w:val="19"/>
                <w:szCs w:val="19"/>
                <w:color w:val="auto"/>
              </w:rPr>
              <w:t>38</w:t>
            </w:r>
          </w:p>
        </w:tc>
        <w:tc>
          <w:tcPr>
            <w:tcW w:w="0" w:type="dxa"/>
            <w:vAlign w:val="bottom"/>
          </w:tcPr>
          <w:p>
            <w:pPr>
              <w:spacing w:after="0"/>
              <w:rPr>
                <w:sz w:val="1"/>
                <w:szCs w:val="1"/>
                <w:color w:val="auto"/>
              </w:rPr>
            </w:pPr>
          </w:p>
        </w:tc>
      </w:tr>
      <w:tr>
        <w:trPr>
          <w:trHeight w:val="256"/>
        </w:trPr>
        <w:tc>
          <w:tcPr>
            <w:tcW w:w="9920" w:type="dxa"/>
            <w:vAlign w:val="bottom"/>
          </w:tcPr>
          <w:p>
            <w:pPr>
              <w:ind w:left="1300"/>
              <w:spacing w:after="0"/>
              <w:rPr>
                <w:sz w:val="20"/>
                <w:szCs w:val="20"/>
                <w:color w:val="auto"/>
              </w:rPr>
            </w:pPr>
            <w:r>
              <w:rPr>
                <w:rFonts w:ascii="Arial" w:cs="Arial" w:eastAsia="Arial" w:hAnsi="Arial"/>
                <w:sz w:val="19"/>
                <w:szCs w:val="19"/>
                <w:color w:val="auto"/>
              </w:rPr>
              <w:t>Report of Independent Registered Public Accounting Firm</w:t>
            </w:r>
          </w:p>
        </w:tc>
        <w:tc>
          <w:tcPr>
            <w:tcW w:w="1500" w:type="dxa"/>
            <w:vAlign w:val="bottom"/>
          </w:tcPr>
          <w:p>
            <w:pPr>
              <w:jc w:val="right"/>
              <w:ind w:right="189"/>
              <w:spacing w:after="0"/>
              <w:rPr>
                <w:sz w:val="20"/>
                <w:szCs w:val="20"/>
                <w:color w:val="auto"/>
              </w:rPr>
            </w:pPr>
            <w:r>
              <w:rPr>
                <w:rFonts w:ascii="Arial" w:cs="Arial" w:eastAsia="Arial" w:hAnsi="Arial"/>
                <w:sz w:val="19"/>
                <w:szCs w:val="19"/>
                <w:color w:val="auto"/>
              </w:rPr>
              <w:t>80</w:t>
            </w:r>
          </w:p>
        </w:tc>
        <w:tc>
          <w:tcPr>
            <w:tcW w:w="0" w:type="dxa"/>
            <w:vAlign w:val="bottom"/>
          </w:tcPr>
          <w:p>
            <w:pPr>
              <w:spacing w:after="0"/>
              <w:rPr>
                <w:sz w:val="1"/>
                <w:szCs w:val="1"/>
                <w:color w:val="auto"/>
              </w:rPr>
            </w:pPr>
          </w:p>
        </w:tc>
      </w:tr>
      <w:tr>
        <w:trPr>
          <w:trHeight w:val="176"/>
        </w:trPr>
        <w:tc>
          <w:tcPr>
            <w:tcW w:w="9920" w:type="dxa"/>
            <w:vAlign w:val="bottom"/>
            <w:vMerge w:val="restart"/>
          </w:tcPr>
          <w:p>
            <w:pPr>
              <w:spacing w:after="0"/>
              <w:rPr>
                <w:sz w:val="20"/>
                <w:szCs w:val="20"/>
                <w:color w:val="auto"/>
              </w:rPr>
            </w:pPr>
            <w:r>
              <w:rPr>
                <w:rFonts w:ascii="Arial" w:cs="Arial" w:eastAsia="Arial" w:hAnsi="Arial"/>
                <w:sz w:val="19"/>
                <w:szCs w:val="19"/>
                <w:color w:val="auto"/>
              </w:rPr>
              <w:t>(a)(2.) Exhibits</w:t>
            </w:r>
          </w:p>
        </w:tc>
        <w:tc>
          <w:tcPr>
            <w:tcW w:w="1500" w:type="dxa"/>
            <w:vAlign w:val="bottom"/>
          </w:tcPr>
          <w:p>
            <w:pPr>
              <w:jc w:val="right"/>
              <w:ind w:right="149"/>
              <w:spacing w:after="0" w:line="176" w:lineRule="exact"/>
              <w:rPr>
                <w:sz w:val="20"/>
                <w:szCs w:val="20"/>
                <w:color w:val="auto"/>
              </w:rPr>
            </w:pPr>
            <w:r>
              <w:rPr>
                <w:rFonts w:ascii="Arial" w:cs="Arial" w:eastAsia="Arial" w:hAnsi="Arial"/>
                <w:sz w:val="16"/>
                <w:szCs w:val="16"/>
                <w:b w:val="1"/>
                <w:bCs w:val="1"/>
                <w:color w:val="auto"/>
              </w:rPr>
              <w:t>Page Number</w:t>
            </w:r>
          </w:p>
        </w:tc>
        <w:tc>
          <w:tcPr>
            <w:tcW w:w="0" w:type="dxa"/>
            <w:vAlign w:val="bottom"/>
          </w:tcPr>
          <w:p>
            <w:pPr>
              <w:spacing w:after="0"/>
              <w:rPr>
                <w:sz w:val="1"/>
                <w:szCs w:val="1"/>
                <w:color w:val="auto"/>
              </w:rPr>
            </w:pPr>
          </w:p>
        </w:tc>
      </w:tr>
      <w:tr>
        <w:trPr>
          <w:trHeight w:val="190"/>
        </w:trPr>
        <w:tc>
          <w:tcPr>
            <w:tcW w:w="992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ind w:right="169"/>
              <w:spacing w:after="0"/>
              <w:rPr>
                <w:sz w:val="20"/>
                <w:szCs w:val="20"/>
                <w:color w:val="auto"/>
              </w:rPr>
            </w:pPr>
            <w:r>
              <w:rPr>
                <w:rFonts w:ascii="Arial" w:cs="Arial" w:eastAsia="Arial" w:hAnsi="Arial"/>
                <w:sz w:val="16"/>
                <w:szCs w:val="16"/>
                <w:b w:val="1"/>
                <w:bCs w:val="1"/>
                <w:color w:val="auto"/>
              </w:rPr>
              <w:t>in Form 10-K</w:t>
            </w:r>
          </w:p>
        </w:tc>
        <w:tc>
          <w:tcPr>
            <w:tcW w:w="0" w:type="dxa"/>
            <w:vAlign w:val="bottom"/>
          </w:tcPr>
          <w:p>
            <w:pPr>
              <w:spacing w:after="0"/>
              <w:rPr>
                <w:sz w:val="1"/>
                <w:szCs w:val="1"/>
                <w:color w:val="auto"/>
              </w:rPr>
            </w:pPr>
          </w:p>
        </w:tc>
      </w:tr>
      <w:tr>
        <w:trPr>
          <w:trHeight w:val="237"/>
        </w:trPr>
        <w:tc>
          <w:tcPr>
            <w:tcW w:w="9920" w:type="dxa"/>
            <w:vAlign w:val="bottom"/>
            <w:shd w:val="clear" w:color="auto" w:fill="E5FFFF"/>
          </w:tcPr>
          <w:p>
            <w:pPr>
              <w:ind w:left="1300"/>
              <w:spacing w:after="0"/>
              <w:rPr>
                <w:sz w:val="20"/>
                <w:szCs w:val="20"/>
                <w:color w:val="auto"/>
              </w:rPr>
            </w:pPr>
            <w:r>
              <w:rPr>
                <w:rFonts w:ascii="Arial" w:cs="Arial" w:eastAsia="Arial" w:hAnsi="Arial"/>
                <w:sz w:val="19"/>
                <w:szCs w:val="19"/>
                <w:color w:val="auto"/>
              </w:rPr>
              <w:t>See the Exhibit Index of this Annual Report on Form 10-K</w:t>
            </w:r>
          </w:p>
        </w:tc>
        <w:tc>
          <w:tcPr>
            <w:tcW w:w="1500" w:type="dxa"/>
            <w:vAlign w:val="bottom"/>
            <w:shd w:val="clear" w:color="auto" w:fill="E5FFFF"/>
          </w:tcPr>
          <w:p>
            <w:pPr>
              <w:jc w:val="right"/>
              <w:ind w:right="189"/>
              <w:spacing w:after="0"/>
              <w:rPr>
                <w:sz w:val="20"/>
                <w:szCs w:val="20"/>
                <w:color w:val="auto"/>
              </w:rPr>
            </w:pPr>
            <w:r>
              <w:rPr>
                <w:rFonts w:ascii="Arial" w:cs="Arial" w:eastAsia="Arial" w:hAnsi="Arial"/>
                <w:sz w:val="19"/>
                <w:szCs w:val="19"/>
                <w:color w:val="auto"/>
              </w:rPr>
              <w:t>86</w:t>
            </w:r>
          </w:p>
        </w:tc>
        <w:tc>
          <w:tcPr>
            <w:tcW w:w="0" w:type="dxa"/>
            <w:vAlign w:val="bottom"/>
          </w:tcPr>
          <w:p>
            <w:pPr>
              <w:spacing w:after="0"/>
              <w:rPr>
                <w:sz w:val="1"/>
                <w:szCs w:val="1"/>
                <w:color w:val="auto"/>
              </w:rPr>
            </w:pPr>
          </w:p>
        </w:tc>
      </w:tr>
      <w:tr>
        <w:trPr>
          <w:trHeight w:val="342"/>
        </w:trPr>
        <w:tc>
          <w:tcPr>
            <w:tcW w:w="9920" w:type="dxa"/>
            <w:vAlign w:val="bottom"/>
          </w:tcPr>
          <w:p>
            <w:pPr>
              <w:ind w:left="5600"/>
              <w:spacing w:after="0"/>
              <w:rPr>
                <w:sz w:val="20"/>
                <w:szCs w:val="20"/>
                <w:color w:val="auto"/>
              </w:rPr>
            </w:pPr>
            <w:r>
              <w:rPr>
                <w:rFonts w:ascii="Arial" w:cs="Arial" w:eastAsia="Arial" w:hAnsi="Arial"/>
                <w:sz w:val="19"/>
                <w:szCs w:val="19"/>
                <w:color w:val="auto"/>
              </w:rPr>
              <w:t>84</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9"/>
          <w:szCs w:val="19"/>
          <w:b w:val="1"/>
          <w:bCs w:val="1"/>
          <w:color w:val="auto"/>
        </w:rPr>
        <w:t>SIGNATURES</w:t>
      </w:r>
    </w:p>
    <w:p>
      <w:pPr>
        <w:spacing w:after="0" w:line="197" w:lineRule="exact"/>
        <w:rPr>
          <w:sz w:val="20"/>
          <w:szCs w:val="20"/>
          <w:color w:val="auto"/>
        </w:rPr>
      </w:pPr>
    </w:p>
    <w:p>
      <w:pPr>
        <w:ind w:firstLine="357"/>
        <w:spacing w:after="0" w:line="249"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21"/>
          <w:szCs w:val="21"/>
          <w:color w:val="auto"/>
        </w:rPr>
        <w:t>H</w:t>
      </w:r>
      <w:r>
        <w:rPr>
          <w:rFonts w:ascii="Arial" w:cs="Arial" w:eastAsia="Arial" w:hAnsi="Arial"/>
          <w:sz w:val="15"/>
          <w:szCs w:val="15"/>
          <w:color w:val="auto"/>
        </w:rPr>
        <w:t>ONEYWELL</w:t>
      </w:r>
      <w:r>
        <w:rPr>
          <w:rFonts w:ascii="Arial" w:cs="Arial" w:eastAsia="Arial" w:hAnsi="Arial"/>
          <w:sz w:val="21"/>
          <w:szCs w:val="21"/>
          <w:color w:val="auto"/>
        </w:rPr>
        <w:t xml:space="preserve"> I</w:t>
      </w:r>
      <w:r>
        <w:rPr>
          <w:rFonts w:ascii="Arial" w:cs="Arial" w:eastAsia="Arial" w:hAnsi="Arial"/>
          <w:sz w:val="15"/>
          <w:szCs w:val="15"/>
          <w:color w:val="auto"/>
        </w:rPr>
        <w:t>NTERNATIONAL</w:t>
      </w:r>
      <w:r>
        <w:rPr>
          <w:rFonts w:ascii="Arial" w:cs="Arial" w:eastAsia="Arial" w:hAnsi="Arial"/>
          <w:sz w:val="21"/>
          <w:szCs w:val="21"/>
          <w:color w:val="auto"/>
        </w:rPr>
        <w:t xml:space="preserve"> I</w:t>
      </w:r>
      <w:r>
        <w:rPr>
          <w:rFonts w:ascii="Arial" w:cs="Arial" w:eastAsia="Arial" w:hAnsi="Arial"/>
          <w:sz w:val="15"/>
          <w:szCs w:val="15"/>
          <w:color w:val="auto"/>
        </w:rPr>
        <w:t>NC</w:t>
      </w:r>
      <w:r>
        <w:rPr>
          <w:rFonts w:ascii="Arial" w:cs="Arial" w:eastAsia="Arial" w:hAnsi="Arial"/>
          <w:sz w:val="21"/>
          <w:szCs w:val="21"/>
          <w:color w:val="auto"/>
        </w:rPr>
        <w:t>.</w:t>
      </w:r>
    </w:p>
    <w:p>
      <w:pPr>
        <w:spacing w:after="0" w:line="223" w:lineRule="exact"/>
        <w:rPr>
          <w:sz w:val="20"/>
          <w:szCs w:val="20"/>
          <w:color w:val="auto"/>
        </w:rPr>
      </w:pPr>
    </w:p>
    <w:p>
      <w:pPr>
        <w:spacing w:after="0"/>
        <w:tabs>
          <w:tab w:leader="none" w:pos="6000" w:val="left"/>
          <w:tab w:leader="none" w:pos="6740" w:val="left"/>
        </w:tabs>
        <w:rPr>
          <w:sz w:val="20"/>
          <w:szCs w:val="20"/>
          <w:color w:val="auto"/>
        </w:rPr>
      </w:pPr>
      <w:r>
        <w:rPr>
          <w:rFonts w:ascii="Arial" w:cs="Arial" w:eastAsia="Arial" w:hAnsi="Arial"/>
          <w:sz w:val="19"/>
          <w:szCs w:val="19"/>
          <w:color w:val="auto"/>
        </w:rPr>
        <w:t>Date: February 13, 2015</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Adam M. Matteo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15875</wp:posOffset>
            </wp:positionV>
            <wp:extent cx="29584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9"/>
          <w:szCs w:val="19"/>
          <w:color w:val="auto"/>
        </w:rPr>
        <w:t>Adam M. Matteo</w:t>
      </w:r>
    </w:p>
    <w:p>
      <w:pPr>
        <w:ind w:left="6760"/>
        <w:spacing w:after="0" w:line="237" w:lineRule="auto"/>
        <w:rPr>
          <w:sz w:val="20"/>
          <w:szCs w:val="20"/>
          <w:color w:val="auto"/>
        </w:rPr>
      </w:pPr>
      <w:r>
        <w:rPr>
          <w:rFonts w:ascii="Arial" w:cs="Arial" w:eastAsia="Arial" w:hAnsi="Arial"/>
          <w:sz w:val="19"/>
          <w:szCs w:val="19"/>
          <w:color w:val="auto"/>
        </w:rPr>
        <w:t>Vice President and Controller</w:t>
      </w:r>
    </w:p>
    <w:p>
      <w:pPr>
        <w:ind w:left="6760"/>
        <w:spacing w:after="0" w:line="237" w:lineRule="auto"/>
        <w:rPr>
          <w:sz w:val="20"/>
          <w:szCs w:val="20"/>
          <w:color w:val="auto"/>
        </w:rPr>
      </w:pPr>
      <w:r>
        <w:rPr>
          <w:rFonts w:ascii="Arial" w:cs="Arial" w:eastAsia="Arial" w:hAnsi="Arial"/>
          <w:sz w:val="19"/>
          <w:szCs w:val="19"/>
          <w:color w:val="auto"/>
        </w:rPr>
        <w:t>(on behalf of the Registrant</w:t>
      </w:r>
    </w:p>
    <w:p>
      <w:pPr>
        <w:ind w:left="6760"/>
        <w:spacing w:after="0" w:line="238" w:lineRule="auto"/>
        <w:rPr>
          <w:sz w:val="20"/>
          <w:szCs w:val="20"/>
          <w:color w:val="auto"/>
        </w:rPr>
      </w:pPr>
      <w:r>
        <w:rPr>
          <w:rFonts w:ascii="Arial" w:cs="Arial" w:eastAsia="Arial" w:hAnsi="Arial"/>
          <w:sz w:val="19"/>
          <w:szCs w:val="19"/>
          <w:color w:val="auto"/>
        </w:rPr>
        <w:t>and as the Registrant’s</w:t>
      </w:r>
    </w:p>
    <w:p>
      <w:pPr>
        <w:ind w:left="6760"/>
        <w:spacing w:after="0"/>
        <w:rPr>
          <w:sz w:val="20"/>
          <w:szCs w:val="20"/>
          <w:color w:val="auto"/>
        </w:rPr>
      </w:pPr>
      <w:r>
        <w:rPr>
          <w:rFonts w:ascii="Arial" w:cs="Arial" w:eastAsia="Arial" w:hAnsi="Arial"/>
          <w:sz w:val="19"/>
          <w:szCs w:val="19"/>
          <w:color w:val="auto"/>
        </w:rPr>
        <w:t>Principal Accounting Officer)</w:t>
      </w:r>
    </w:p>
    <w:p>
      <w:pPr>
        <w:spacing w:after="0" w:line="214" w:lineRule="exact"/>
        <w:rPr>
          <w:sz w:val="20"/>
          <w:szCs w:val="20"/>
          <w:color w:val="auto"/>
        </w:rPr>
      </w:pPr>
    </w:p>
    <w:p>
      <w:pPr>
        <w:ind w:firstLine="357"/>
        <w:spacing w:after="0" w:line="246" w:lineRule="auto"/>
        <w:rPr>
          <w:sz w:val="20"/>
          <w:szCs w:val="20"/>
          <w:color w:val="auto"/>
        </w:rPr>
      </w:pPr>
      <w:r>
        <w:rPr>
          <w:rFonts w:ascii="Arial" w:cs="Arial" w:eastAsia="Arial" w:hAnsi="Arial"/>
          <w:sz w:val="19"/>
          <w:szCs w:val="19"/>
          <w:color w:val="auto"/>
        </w:rPr>
        <w:t>Pursuant to the requirements of the Securities Exchange Act of 1934, this annual report has been signed below by the following persons on behalf of the Registrant and in the capacities and on the date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center"/>
              <w:ind w:right="2440"/>
              <w:spacing w:after="0"/>
              <w:rPr>
                <w:sz w:val="20"/>
                <w:szCs w:val="20"/>
                <w:color w:val="auto"/>
              </w:rPr>
            </w:pPr>
            <w:r>
              <w:rPr>
                <w:rFonts w:ascii="Arial" w:cs="Arial" w:eastAsia="Arial" w:hAnsi="Arial"/>
                <w:sz w:val="19"/>
                <w:szCs w:val="19"/>
                <w:b w:val="1"/>
                <w:bCs w:val="1"/>
                <w:color w:val="auto"/>
              </w:rPr>
              <w:t>Name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center"/>
              <w:ind w:right="2440"/>
              <w:spacing w:after="0"/>
              <w:rPr>
                <w:sz w:val="20"/>
                <w:szCs w:val="20"/>
                <w:color w:val="auto"/>
              </w:rPr>
            </w:pPr>
            <w:r>
              <w:rPr>
                <w:rFonts w:ascii="Arial" w:cs="Arial" w:eastAsia="Arial" w:hAnsi="Arial"/>
                <w:sz w:val="19"/>
                <w:szCs w:val="19"/>
                <w:b w:val="1"/>
                <w:bCs w:val="1"/>
                <w:color w:val="auto"/>
              </w:rPr>
              <w:t>Name</w:t>
            </w:r>
          </w:p>
        </w:tc>
      </w:tr>
      <w:tr>
        <w:trPr>
          <w:trHeight w:val="426"/>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40" w:type="dxa"/>
            <w:vAlign w:val="bottom"/>
            <w:gridSpan w:val="4"/>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0"/>
              </w:rPr>
              <w:t>*</w:t>
            </w: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David M. Cote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Judd Gregg</w:t>
            </w: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4"/>
          </w:tcPr>
          <w:p>
            <w:pPr>
              <w:jc w:val="center"/>
              <w:ind w:right="1600"/>
              <w:spacing w:after="0" w:line="216" w:lineRule="exact"/>
              <w:rPr>
                <w:sz w:val="20"/>
                <w:szCs w:val="20"/>
                <w:color w:val="auto"/>
              </w:rPr>
            </w:pPr>
            <w:r>
              <w:rPr>
                <w:rFonts w:ascii="Arial" w:cs="Arial" w:eastAsia="Arial" w:hAnsi="Arial"/>
                <w:sz w:val="19"/>
                <w:szCs w:val="19"/>
                <w:color w:val="auto"/>
              </w:rPr>
              <w:t>Chairman of the Board,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920" w:type="dxa"/>
            <w:vAlign w:val="bottom"/>
            <w:gridSpan w:val="4"/>
          </w:tcPr>
          <w:p>
            <w:pPr>
              <w:jc w:val="center"/>
              <w:ind w:right="1640"/>
              <w:spacing w:after="0" w:line="216" w:lineRule="exact"/>
              <w:rPr>
                <w:sz w:val="20"/>
                <w:szCs w:val="20"/>
                <w:color w:val="auto"/>
              </w:rPr>
            </w:pPr>
            <w:r>
              <w:rPr>
                <w:rFonts w:ascii="Arial" w:cs="Arial" w:eastAsia="Arial" w:hAnsi="Arial"/>
                <w:sz w:val="19"/>
                <w:szCs w:val="19"/>
                <w:color w:val="auto"/>
              </w:rPr>
              <w:t>Director</w:t>
            </w: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4"/>
          </w:tcPr>
          <w:p>
            <w:pPr>
              <w:jc w:val="center"/>
              <w:ind w:right="1600"/>
              <w:spacing w:after="0" w:line="216" w:lineRule="exact"/>
              <w:rPr>
                <w:sz w:val="20"/>
                <w:szCs w:val="20"/>
                <w:color w:val="auto"/>
              </w:rPr>
            </w:pPr>
            <w:r>
              <w:rPr>
                <w:rFonts w:ascii="Arial" w:cs="Arial" w:eastAsia="Arial" w:hAnsi="Arial"/>
                <w:sz w:val="19"/>
                <w:szCs w:val="19"/>
                <w:color w:val="auto"/>
              </w:rPr>
              <w:t>Chief Executive Officer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4"/>
          </w:tcPr>
          <w:p>
            <w:pPr>
              <w:jc w:val="center"/>
              <w:ind w:right="1580"/>
              <w:spacing w:after="0"/>
              <w:rPr>
                <w:sz w:val="20"/>
                <w:szCs w:val="20"/>
                <w:color w:val="auto"/>
              </w:rPr>
            </w:pPr>
            <w:r>
              <w:rPr>
                <w:rFonts w:ascii="Arial" w:cs="Arial" w:eastAsia="Arial" w:hAnsi="Arial"/>
                <w:sz w:val="19"/>
                <w:szCs w:val="19"/>
                <w:color w:val="auto"/>
              </w:rPr>
              <w:t>and 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40" w:type="dxa"/>
            <w:vAlign w:val="bottom"/>
            <w:gridSpan w:val="4"/>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0"/>
              </w:rPr>
              <w:t>*</w:t>
            </w: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William S. Ayer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Clive Hollick</w:t>
            </w:r>
          </w:p>
        </w:tc>
      </w:t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Director</w:t>
            </w:r>
          </w:p>
        </w:tc>
      </w:tr>
      <w:tr>
        <w:trPr>
          <w:trHeight w:val="41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40" w:type="dxa"/>
            <w:vAlign w:val="bottom"/>
            <w:gridSpan w:val="4"/>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0"/>
              </w:rPr>
              <w:t>*</w:t>
            </w: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Gordon M. Bethune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920" w:type="dxa"/>
            <w:vAlign w:val="bottom"/>
            <w:gridSpan w:val="4"/>
          </w:tcPr>
          <w:p>
            <w:pPr>
              <w:jc w:val="center"/>
              <w:ind w:right="1660"/>
              <w:spacing w:after="0"/>
              <w:rPr>
                <w:sz w:val="20"/>
                <w:szCs w:val="20"/>
                <w:color w:val="auto"/>
              </w:rPr>
            </w:pPr>
            <w:r>
              <w:rPr>
                <w:rFonts w:ascii="Arial" w:cs="Arial" w:eastAsia="Arial" w:hAnsi="Arial"/>
                <w:sz w:val="19"/>
                <w:szCs w:val="19"/>
                <w:color w:val="auto"/>
              </w:rPr>
              <w:t>Grace D. Lieblein</w:t>
            </w:r>
          </w:p>
        </w:tc>
      </w:t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Director</w:t>
            </w:r>
          </w:p>
        </w:tc>
      </w:tr>
      <w:tr>
        <w:trPr>
          <w:trHeight w:val="41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40" w:type="dxa"/>
            <w:vAlign w:val="bottom"/>
            <w:gridSpan w:val="4"/>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0"/>
              </w:rPr>
              <w:t>*</w:t>
            </w: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Kevin Burke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George Paz</w:t>
            </w:r>
          </w:p>
        </w:tc>
      </w:t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Director</w:t>
            </w:r>
          </w:p>
        </w:tc>
      </w:tr>
      <w:tr>
        <w:trPr>
          <w:trHeight w:val="41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40" w:type="dxa"/>
            <w:vAlign w:val="bottom"/>
            <w:gridSpan w:val="4"/>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0"/>
              </w:rPr>
              <w:t>*</w:t>
            </w: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Jaime Chico Pardo</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Bradley T. Sheares, Ph.D.</w:t>
            </w:r>
          </w:p>
        </w:tc>
      </w:t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Director</w:t>
            </w:r>
          </w:p>
        </w:tc>
      </w:tr>
      <w:tr>
        <w:trPr>
          <w:trHeight w:val="41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740" w:type="dxa"/>
            <w:vAlign w:val="bottom"/>
            <w:gridSpan w:val="4"/>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0"/>
              </w:rPr>
              <w:t>*</w:t>
            </w: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D. Scott Davis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Robin L. Washington</w:t>
            </w:r>
          </w:p>
        </w:tc>
      </w:t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920" w:type="dxa"/>
            <w:vAlign w:val="bottom"/>
            <w:gridSpan w:val="4"/>
          </w:tcPr>
          <w:p>
            <w:pPr>
              <w:jc w:val="center"/>
              <w:ind w:right="1640"/>
              <w:spacing w:after="0"/>
              <w:rPr>
                <w:sz w:val="20"/>
                <w:szCs w:val="20"/>
                <w:color w:val="auto"/>
              </w:rPr>
            </w:pPr>
            <w:r>
              <w:rPr>
                <w:rFonts w:ascii="Arial" w:cs="Arial" w:eastAsia="Arial" w:hAnsi="Arial"/>
                <w:sz w:val="19"/>
                <w:szCs w:val="19"/>
                <w:color w:val="auto"/>
              </w:rPr>
              <w:t>Director</w:t>
            </w:r>
          </w:p>
        </w:tc>
      </w:tr>
      <w:tr>
        <w:trPr>
          <w:trHeight w:val="41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3"/>
        </w:trPr>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60" w:type="dxa"/>
            <w:vAlign w:val="bottom"/>
            <w:gridSpan w:val="4"/>
          </w:tcPr>
          <w:p>
            <w:pPr>
              <w:jc w:val="center"/>
              <w:ind w:right="1580"/>
              <w:spacing w:after="0"/>
              <w:rPr>
                <w:sz w:val="20"/>
                <w:szCs w:val="20"/>
                <w:color w:val="auto"/>
              </w:rPr>
            </w:pPr>
            <w:r>
              <w:rPr>
                <w:rFonts w:ascii="Arial" w:cs="Arial" w:eastAsia="Arial" w:hAnsi="Arial"/>
                <w:sz w:val="19"/>
                <w:szCs w:val="19"/>
                <w:color w:val="auto"/>
              </w:rPr>
              <w:t>Linnet F. Deily</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Director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9"/>
                <w:szCs w:val="19"/>
                <w:color w:val="auto"/>
              </w:rPr>
              <w:t>/s/ Thomas A. Szlosek</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9"/>
                <w:szCs w:val="19"/>
                <w:color w:val="auto"/>
              </w:rPr>
              <w:t>/s/ Adam M. Matteo</w:t>
            </w:r>
          </w:p>
        </w:tc>
        <w:tc>
          <w:tcPr>
            <w:tcW w:w="164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Thomas A. Szlosek</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920" w:type="dxa"/>
            <w:vAlign w:val="bottom"/>
            <w:gridSpan w:val="4"/>
          </w:tcPr>
          <w:p>
            <w:pPr>
              <w:jc w:val="center"/>
              <w:ind w:right="1660"/>
              <w:spacing w:after="0"/>
              <w:rPr>
                <w:sz w:val="20"/>
                <w:szCs w:val="20"/>
                <w:color w:val="auto"/>
              </w:rPr>
            </w:pPr>
            <w:r>
              <w:rPr>
                <w:rFonts w:ascii="Arial" w:cs="Arial" w:eastAsia="Arial" w:hAnsi="Arial"/>
                <w:sz w:val="19"/>
                <w:szCs w:val="19"/>
                <w:color w:val="auto"/>
              </w:rPr>
              <w:t>Adam M. Matteo</w:t>
            </w: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4"/>
          </w:tcPr>
          <w:p>
            <w:pPr>
              <w:jc w:val="center"/>
              <w:ind w:right="1600"/>
              <w:spacing w:after="0" w:line="216" w:lineRule="exact"/>
              <w:rPr>
                <w:sz w:val="20"/>
                <w:szCs w:val="20"/>
                <w:color w:val="auto"/>
              </w:rPr>
            </w:pPr>
            <w:r>
              <w:rPr>
                <w:rFonts w:ascii="Arial" w:cs="Arial" w:eastAsia="Arial" w:hAnsi="Arial"/>
                <w:sz w:val="19"/>
                <w:szCs w:val="19"/>
                <w:color w:val="auto"/>
              </w:rPr>
              <w:t>Senior Vice President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60" w:type="dxa"/>
            <w:vAlign w:val="bottom"/>
            <w:gridSpan w:val="5"/>
          </w:tcPr>
          <w:p>
            <w:pPr>
              <w:jc w:val="center"/>
              <w:spacing w:after="0" w:line="216" w:lineRule="exact"/>
              <w:rPr>
                <w:sz w:val="20"/>
                <w:szCs w:val="20"/>
                <w:color w:val="auto"/>
              </w:rPr>
            </w:pPr>
            <w:r>
              <w:rPr>
                <w:rFonts w:ascii="Arial" w:cs="Arial" w:eastAsia="Arial" w:hAnsi="Arial"/>
                <w:sz w:val="19"/>
                <w:szCs w:val="19"/>
                <w:color w:val="auto"/>
              </w:rPr>
              <w:t>Vice President and Controller</w:t>
            </w: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4"/>
          </w:tcPr>
          <w:p>
            <w:pPr>
              <w:jc w:val="center"/>
              <w:ind w:right="1580"/>
              <w:spacing w:after="0" w:line="216" w:lineRule="exact"/>
              <w:rPr>
                <w:sz w:val="20"/>
                <w:szCs w:val="20"/>
                <w:color w:val="auto"/>
              </w:rPr>
            </w:pPr>
            <w:r>
              <w:rPr>
                <w:rFonts w:ascii="Arial" w:cs="Arial" w:eastAsia="Arial" w:hAnsi="Arial"/>
                <w:sz w:val="19"/>
                <w:szCs w:val="19"/>
                <w:color w:val="auto"/>
              </w:rPr>
              <w:t>Chief Financial Officer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60" w:type="dxa"/>
            <w:vAlign w:val="bottom"/>
            <w:gridSpan w:val="5"/>
          </w:tcPr>
          <w:p>
            <w:pPr>
              <w:jc w:val="center"/>
              <w:spacing w:after="0" w:line="216" w:lineRule="exact"/>
              <w:rPr>
                <w:sz w:val="20"/>
                <w:szCs w:val="20"/>
                <w:color w:val="auto"/>
              </w:rPr>
            </w:pPr>
            <w:r>
              <w:rPr>
                <w:rFonts w:ascii="Arial" w:cs="Arial" w:eastAsia="Arial" w:hAnsi="Arial"/>
                <w:sz w:val="19"/>
                <w:szCs w:val="19"/>
                <w:color w:val="auto"/>
              </w:rPr>
              <w:t>(Principal Accounting Officer)</w:t>
            </w:r>
          </w:p>
        </w:tc>
      </w:t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60" w:type="dxa"/>
            <w:vAlign w:val="bottom"/>
            <w:gridSpan w:val="4"/>
          </w:tcPr>
          <w:p>
            <w:pPr>
              <w:jc w:val="center"/>
              <w:ind w:right="1600"/>
              <w:spacing w:after="0"/>
              <w:rPr>
                <w:sz w:val="20"/>
                <w:szCs w:val="20"/>
                <w:color w:val="auto"/>
              </w:rPr>
            </w:pPr>
            <w:r>
              <w:rPr>
                <w:rFonts w:ascii="Arial" w:cs="Arial" w:eastAsia="Arial" w:hAnsi="Arial"/>
                <w:sz w:val="19"/>
                <w:szCs w:val="19"/>
                <w:color w:val="auto"/>
              </w:rPr>
              <w:t>(Principal Financial Officer)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91"/>
        </w:trPr>
        <w:tc>
          <w:tcPr>
            <w:tcW w:w="1600" w:type="dxa"/>
            <w:vAlign w:val="bottom"/>
            <w:gridSpan w:val="3"/>
          </w:tcPr>
          <w:p>
            <w:pPr>
              <w:spacing w:after="0"/>
              <w:rPr>
                <w:sz w:val="20"/>
                <w:szCs w:val="20"/>
                <w:color w:val="auto"/>
              </w:rPr>
            </w:pPr>
            <w:r>
              <w:rPr>
                <w:rFonts w:ascii="Arial" w:cs="Arial" w:eastAsia="Arial" w:hAnsi="Arial"/>
                <w:sz w:val="19"/>
                <w:szCs w:val="19"/>
                <w:color w:val="auto"/>
              </w:rPr>
              <w:t>*By:</w:t>
            </w:r>
          </w:p>
        </w:tc>
        <w:tc>
          <w:tcPr>
            <w:tcW w:w="3960" w:type="dxa"/>
            <w:vAlign w:val="bottom"/>
            <w:gridSpan w:val="4"/>
          </w:tcPr>
          <w:p>
            <w:pPr>
              <w:jc w:val="center"/>
              <w:ind w:right="520"/>
              <w:spacing w:after="0"/>
              <w:rPr>
                <w:sz w:val="20"/>
                <w:szCs w:val="20"/>
                <w:color w:val="auto"/>
              </w:rPr>
            </w:pPr>
            <w:r>
              <w:rPr>
                <w:rFonts w:ascii="Arial" w:cs="Arial" w:eastAsia="Arial" w:hAnsi="Arial"/>
                <w:sz w:val="19"/>
                <w:szCs w:val="19"/>
                <w:color w:val="auto"/>
              </w:rPr>
              <w:t>/s/ Thomas A. Szlosek</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gridSpan w:val="3"/>
          </w:tcPr>
          <w:p>
            <w:pPr>
              <w:jc w:val="center"/>
              <w:ind w:right="1340"/>
              <w:spacing w:after="0"/>
              <w:rPr>
                <w:sz w:val="20"/>
                <w:szCs w:val="20"/>
                <w:color w:val="auto"/>
              </w:rPr>
            </w:pPr>
            <w:r>
              <w:rPr>
                <w:rFonts w:ascii="Arial" w:cs="Arial" w:eastAsia="Arial" w:hAnsi="Arial"/>
                <w:sz w:val="19"/>
                <w:szCs w:val="19"/>
                <w:color w:val="auto"/>
              </w:rPr>
              <w:t>(Thomas A. Szlosek</w:t>
            </w:r>
          </w:p>
        </w:tc>
        <w:tc>
          <w:tcPr>
            <w:tcW w:w="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20" w:type="dxa"/>
            <w:vAlign w:val="bottom"/>
            <w:gridSpan w:val="3"/>
          </w:tcPr>
          <w:p>
            <w:pPr>
              <w:jc w:val="center"/>
              <w:ind w:right="1340"/>
              <w:spacing w:after="0"/>
              <w:rPr>
                <w:sz w:val="20"/>
                <w:szCs w:val="20"/>
                <w:color w:val="auto"/>
              </w:rPr>
            </w:pPr>
            <w:r>
              <w:rPr>
                <w:rFonts w:ascii="Arial" w:cs="Arial" w:eastAsia="Arial" w:hAnsi="Arial"/>
                <w:sz w:val="19"/>
                <w:szCs w:val="19"/>
                <w:color w:val="auto"/>
              </w:rPr>
              <w:t>Attorney-in-fact)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1600" w:type="dxa"/>
            <w:vAlign w:val="bottom"/>
            <w:gridSpan w:val="3"/>
          </w:tcPr>
          <w:p>
            <w:pPr>
              <w:spacing w:after="0"/>
              <w:rPr>
                <w:sz w:val="20"/>
                <w:szCs w:val="20"/>
                <w:color w:val="auto"/>
              </w:rPr>
            </w:pPr>
            <w:r>
              <w:rPr>
                <w:rFonts w:ascii="Arial" w:cs="Arial" w:eastAsia="Arial" w:hAnsi="Arial"/>
                <w:sz w:val="19"/>
                <w:szCs w:val="19"/>
                <w:color w:val="auto"/>
              </w:rPr>
              <w:t>February 13, 2015</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9"/>
                <w:szCs w:val="19"/>
                <w:color w:val="auto"/>
              </w:rPr>
              <w:t>85</w:t>
            </w: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9"/>
        </w:trPr>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58"/>
        </w:trPr>
        <w:tc>
          <w:tcPr>
            <w:tcW w:w="1400" w:type="dxa"/>
            <w:vAlign w:val="bottom"/>
          </w:tcPr>
          <w:p>
            <w:pPr>
              <w:spacing w:after="0"/>
              <w:rPr>
                <w:sz w:val="22"/>
                <w:szCs w:val="22"/>
                <w:color w:val="auto"/>
              </w:rPr>
            </w:pPr>
          </w:p>
        </w:tc>
        <w:tc>
          <w:tcPr>
            <w:tcW w:w="10020" w:type="dxa"/>
            <w:vAlign w:val="bottom"/>
          </w:tcPr>
          <w:p>
            <w:pPr>
              <w:ind w:left="3600"/>
              <w:spacing w:after="0"/>
              <w:rPr>
                <w:sz w:val="20"/>
                <w:szCs w:val="20"/>
                <w:color w:val="auto"/>
              </w:rPr>
            </w:pPr>
            <w:r>
              <w:rPr>
                <w:rFonts w:ascii="Arial" w:cs="Arial" w:eastAsia="Arial" w:hAnsi="Arial"/>
                <w:sz w:val="19"/>
                <w:szCs w:val="19"/>
                <w:b w:val="1"/>
                <w:bCs w:val="1"/>
                <w:color w:val="auto"/>
              </w:rPr>
              <w:t>EXHIBIT INDEX</w:t>
            </w:r>
          </w:p>
        </w:tc>
      </w:tr>
      <w:tr>
        <w:trPr>
          <w:trHeight w:val="320"/>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Borders>
              <w:bottom w:val="single" w:sz="8" w:color="auto"/>
            </w:tcBorders>
          </w:tcPr>
          <w:p>
            <w:pPr>
              <w:jc w:val="center"/>
              <w:ind w:left="463"/>
              <w:spacing w:after="0"/>
              <w:rPr>
                <w:sz w:val="20"/>
                <w:szCs w:val="20"/>
                <w:color w:val="auto"/>
              </w:rPr>
            </w:pPr>
            <w:r>
              <w:rPr>
                <w:rFonts w:ascii="Arial" w:cs="Arial" w:eastAsia="Arial" w:hAnsi="Arial"/>
                <w:sz w:val="16"/>
                <w:szCs w:val="16"/>
                <w:b w:val="1"/>
                <w:bCs w:val="1"/>
                <w:color w:val="auto"/>
                <w:w w:val="97"/>
              </w:rPr>
              <w:t>Description</w:t>
            </w:r>
          </w:p>
        </w:tc>
      </w:tr>
      <w:tr>
        <w:trPr>
          <w:trHeight w:val="223"/>
        </w:trPr>
        <w:tc>
          <w:tcPr>
            <w:tcW w:w="1400" w:type="dxa"/>
            <w:vAlign w:val="bottom"/>
          </w:tcPr>
          <w:p>
            <w:pPr>
              <w:ind w:left="160"/>
              <w:spacing w:after="0"/>
              <w:rPr>
                <w:sz w:val="20"/>
                <w:szCs w:val="20"/>
                <w:color w:val="auto"/>
              </w:rPr>
            </w:pPr>
            <w:r>
              <w:rPr>
                <w:rFonts w:ascii="Arial" w:cs="Arial" w:eastAsia="Arial" w:hAnsi="Arial"/>
                <w:sz w:val="19"/>
                <w:szCs w:val="19"/>
                <w:color w:val="auto"/>
              </w:rPr>
              <w:t>3(i)</w:t>
            </w:r>
          </w:p>
        </w:tc>
        <w:tc>
          <w:tcPr>
            <w:tcW w:w="10020" w:type="dxa"/>
            <w:vAlign w:val="bottom"/>
          </w:tcPr>
          <w:p>
            <w:pPr>
              <w:jc w:val="center"/>
              <w:ind w:left="443"/>
              <w:spacing w:after="0"/>
              <w:rPr>
                <w:sz w:val="20"/>
                <w:szCs w:val="20"/>
                <w:color w:val="auto"/>
              </w:rPr>
            </w:pPr>
            <w:r>
              <w:rPr>
                <w:rFonts w:ascii="Arial" w:cs="Arial" w:eastAsia="Arial" w:hAnsi="Arial"/>
                <w:sz w:val="19"/>
                <w:szCs w:val="19"/>
                <w:color w:val="auto"/>
              </w:rPr>
              <w:t>Amended and Restated Certificate of Incorporation of Honeywell International Inc., as amended April 26, 2010</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3(i) to Honeywell’s Form 8-K filed April 27, 2010)</w:t>
            </w:r>
          </w:p>
        </w:tc>
      </w:tr>
      <w:tr>
        <w:trPr>
          <w:trHeight w:val="216"/>
        </w:trPr>
        <w:tc>
          <w:tcPr>
            <w:tcW w:w="1400" w:type="dxa"/>
            <w:vAlign w:val="bottom"/>
          </w:tcPr>
          <w:p>
            <w:pPr>
              <w:ind w:left="160"/>
              <w:spacing w:after="0" w:line="216" w:lineRule="exact"/>
              <w:rPr>
                <w:sz w:val="20"/>
                <w:szCs w:val="20"/>
                <w:color w:val="auto"/>
              </w:rPr>
            </w:pPr>
            <w:r>
              <w:rPr>
                <w:rFonts w:ascii="Arial" w:cs="Arial" w:eastAsia="Arial" w:hAnsi="Arial"/>
                <w:sz w:val="19"/>
                <w:szCs w:val="19"/>
                <w:color w:val="auto"/>
              </w:rPr>
              <w:t>3(ii)</w:t>
            </w:r>
          </w:p>
        </w:tc>
        <w:tc>
          <w:tcPr>
            <w:tcW w:w="10020" w:type="dxa"/>
            <w:vAlign w:val="bottom"/>
          </w:tcPr>
          <w:p>
            <w:pPr>
              <w:jc w:val="center"/>
              <w:ind w:left="443"/>
              <w:spacing w:after="0" w:line="216" w:lineRule="exact"/>
              <w:rPr>
                <w:sz w:val="20"/>
                <w:szCs w:val="20"/>
                <w:color w:val="auto"/>
              </w:rPr>
            </w:pPr>
            <w:r>
              <w:rPr>
                <w:rFonts w:ascii="Arial" w:cs="Arial" w:eastAsia="Arial" w:hAnsi="Arial"/>
                <w:sz w:val="19"/>
                <w:szCs w:val="19"/>
                <w:color w:val="auto"/>
              </w:rPr>
              <w:t>By-laws of Honeywell International Inc., as amended December 12, 2014 (incorporated by reference to Exhibit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3(ii) to Honeywell’s Form 8-K filed December 12, 2014)</w:t>
            </w:r>
          </w:p>
        </w:tc>
      </w:tr>
      <w:tr>
        <w:trPr>
          <w:trHeight w:val="216"/>
        </w:trPr>
        <w:tc>
          <w:tcPr>
            <w:tcW w:w="1400" w:type="dxa"/>
            <w:vAlign w:val="bottom"/>
          </w:tcPr>
          <w:p>
            <w:pPr>
              <w:ind w:left="160"/>
              <w:spacing w:after="0" w:line="216" w:lineRule="exact"/>
              <w:rPr>
                <w:sz w:val="20"/>
                <w:szCs w:val="20"/>
                <w:color w:val="auto"/>
              </w:rPr>
            </w:pPr>
            <w:r>
              <w:rPr>
                <w:rFonts w:ascii="Arial" w:cs="Arial" w:eastAsia="Arial" w:hAnsi="Arial"/>
                <w:sz w:val="19"/>
                <w:szCs w:val="19"/>
                <w:color w:val="auto"/>
              </w:rPr>
              <w:t>4</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Honeywell International Inc. is a party to several long-term debt instruments under which, in each case, the</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total amount of securities authorized does not exceed 10% of the total assets of Honeywell and its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subsidiaries on a consolidated basis. Pursuant to paragraph 4(iii)(A) of Item 601(b) of Regulation S-K,</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 agrees to furnish a copy of such instruments to the Securities and Exchange Commission upon</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request.</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w:t>
            </w:r>
          </w:p>
        </w:tc>
        <w:tc>
          <w:tcPr>
            <w:tcW w:w="10020" w:type="dxa"/>
            <w:vAlign w:val="bottom"/>
          </w:tcPr>
          <w:p>
            <w:pPr>
              <w:jc w:val="center"/>
              <w:ind w:left="443"/>
              <w:spacing w:after="0" w:line="216" w:lineRule="exact"/>
              <w:rPr>
                <w:sz w:val="20"/>
                <w:szCs w:val="20"/>
                <w:color w:val="auto"/>
              </w:rPr>
            </w:pPr>
            <w:r>
              <w:rPr>
                <w:rFonts w:ascii="Arial" w:cs="Arial" w:eastAsia="Arial" w:hAnsi="Arial"/>
                <w:sz w:val="19"/>
                <w:szCs w:val="19"/>
                <w:color w:val="auto"/>
              </w:rPr>
              <w:t>2003 Stock Incentive Plan of Honeywell International Inc. and its Affiliates (incorporated by reference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Proxy Statement, dated March 17, 2003, filed pursuant to Rule 14a-6 of the Securities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Exchange Act of 1934), and amended by Exhibit 10.1 to Honeywell’s Form 8-K filed December 21, 2004,</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Exhibit 10.1 to Honeywell’s Form 10-K for the year ended December 31, 2006 and Exhibit 10.1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Form 10-K for the year ended December 31, 2008</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Deferred Compensation Plan for Non-Employee Directors of Honeywell International Inc., as amended and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restated (incorporated by reference to Exhibit 10.2 to Honeywell’s Form 10-Q for quarter ended June 30,</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2003), and amended by Exhibit 10.1 to Honeywell’s Form 8-K filed December 21, 2004 and Exhibit 10.2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Form 10-K for the year ended December 31, 2005</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Stock Plan for Non-Employee Directors of AlliedSignal Inc., as amended (incorporated by reference to Exhibit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10.3 to Honeywell’s Form 10-Q for the quarter ended June 30, 2003), and amended by Exhibit 10.2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Form 10-Q for the quarter ended June 30, 2007 and Exhibit 10.1 to Honeywell’s Form 10-Q for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the quarter ended September 30, 2008</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w:t>
            </w:r>
          </w:p>
        </w:tc>
        <w:tc>
          <w:tcPr>
            <w:tcW w:w="10020" w:type="dxa"/>
            <w:vAlign w:val="bottom"/>
          </w:tcPr>
          <w:p>
            <w:pPr>
              <w:jc w:val="center"/>
              <w:ind w:left="443"/>
              <w:spacing w:after="0" w:line="216" w:lineRule="exact"/>
              <w:rPr>
                <w:sz w:val="20"/>
                <w:szCs w:val="20"/>
                <w:color w:val="auto"/>
              </w:rPr>
            </w:pPr>
            <w:r>
              <w:rPr>
                <w:rFonts w:ascii="Arial" w:cs="Arial" w:eastAsia="Arial" w:hAnsi="Arial"/>
                <w:sz w:val="19"/>
                <w:szCs w:val="19"/>
                <w:color w:val="auto"/>
              </w:rPr>
              <w:t>Honeywell International Inc. Incentive Compensation Plan for Executive Employees, as amended and restated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10.4 to Honeywell’s Form 10-K for the year ended December 31, 2013)</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10.5*</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Supplemental Non-Qualified Savings Plan for Highly Compensated Employees of Honeywell International Inc.</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and its Subsidiaries, as amended and restated (incorporated by reference to Exhibit 10.6 to Honeywell’s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Form 10-K for the year ended December 31, 2008), and amended by Exhibit 10.5 to Honeywell’s Form 10-K</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for the year ended December 31, 2010, Exhibit 10.1 to Honeywell’s Form 10-Q for the quarter ended June</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30, 2012 and Exhibit 10.5 to Honeywell’s Form 10-K for the year ended December 31, 2013</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10.6*</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Honeywell International Inc. Severance Plan for Designated Officers, as amended and restated (incorporated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by reference to Exhibit 10.6 to Honeywell’s Form 10-K for the year ended December 31, 2013)</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10.7*</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Salary and Incentive Award Deferral Plan for Selected Employees of Honeywell International Inc. and its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Affiliates, as amended and restated (incorporated by reference to Exhibit 10.8 to Honeywell’s Form 10-K for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the year ended December 31, 2008), and amended by Exhibit 10.7 to Honeywell’s Form 10-K for the year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ended December 31, 2013</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10.8*</w:t>
            </w:r>
          </w:p>
        </w:tc>
        <w:tc>
          <w:tcPr>
            <w:tcW w:w="10020" w:type="dxa"/>
            <w:vAlign w:val="bottom"/>
          </w:tcPr>
          <w:p>
            <w:pPr>
              <w:jc w:val="center"/>
              <w:ind w:left="443"/>
              <w:spacing w:after="0" w:line="216" w:lineRule="exact"/>
              <w:rPr>
                <w:sz w:val="20"/>
                <w:szCs w:val="20"/>
                <w:color w:val="auto"/>
              </w:rPr>
            </w:pPr>
            <w:r>
              <w:rPr>
                <w:rFonts w:ascii="Arial" w:cs="Arial" w:eastAsia="Arial" w:hAnsi="Arial"/>
                <w:sz w:val="19"/>
                <w:szCs w:val="19"/>
                <w:color w:val="auto"/>
              </w:rPr>
              <w:t>Honeywell International Inc. Supplemental Pension Plan, as amended and restated (incorporated by reference</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to Exhibit 10.10 to Honeywell’s Form 10-K for the year ended December 31, 2008), and amended by Exhibit</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10.10 to Honeywell’s Form 10-K for the year ended December 31, 2009</w:t>
            </w:r>
          </w:p>
        </w:tc>
      </w:tr>
      <w:tr>
        <w:trPr>
          <w:trHeight w:val="324"/>
        </w:trPr>
        <w:tc>
          <w:tcPr>
            <w:tcW w:w="1400" w:type="dxa"/>
            <w:vAlign w:val="bottom"/>
          </w:tcPr>
          <w:p>
            <w:pPr>
              <w:spacing w:after="0"/>
              <w:rPr>
                <w:sz w:val="24"/>
                <w:szCs w:val="24"/>
                <w:color w:val="auto"/>
              </w:rPr>
            </w:pPr>
          </w:p>
        </w:tc>
        <w:tc>
          <w:tcPr>
            <w:tcW w:w="10020" w:type="dxa"/>
            <w:vAlign w:val="bottom"/>
          </w:tcPr>
          <w:p>
            <w:pPr>
              <w:ind w:left="4200"/>
              <w:spacing w:after="0"/>
              <w:rPr>
                <w:sz w:val="20"/>
                <w:szCs w:val="20"/>
                <w:color w:val="auto"/>
              </w:rPr>
            </w:pPr>
            <w:r>
              <w:rPr>
                <w:rFonts w:ascii="Arial" w:cs="Arial" w:eastAsia="Arial" w:hAnsi="Arial"/>
                <w:sz w:val="19"/>
                <w:szCs w:val="19"/>
                <w:color w:val="auto"/>
              </w:rPr>
              <w:t>86</w:t>
            </w:r>
          </w:p>
        </w:tc>
      </w:tr>
      <w:tr>
        <w:trPr>
          <w:trHeight w:val="209"/>
        </w:trPr>
        <w:tc>
          <w:tcPr>
            <w:tcW w:w="1400" w:type="dxa"/>
            <w:vAlign w:val="bottom"/>
            <w:tcBorders>
              <w:bottom w:val="single" w:sz="8" w:color="auto"/>
            </w:tcBorders>
          </w:tcPr>
          <w:p>
            <w:pPr>
              <w:spacing w:after="0"/>
              <w:rPr>
                <w:sz w:val="18"/>
                <w:szCs w:val="18"/>
                <w:color w:val="auto"/>
              </w:rPr>
            </w:pPr>
          </w:p>
        </w:tc>
        <w:tc>
          <w:tcPr>
            <w:tcW w:w="100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0"/>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Borders>
              <w:bottom w:val="single" w:sz="8" w:color="auto"/>
            </w:tcBorders>
          </w:tcPr>
          <w:p>
            <w:pPr>
              <w:jc w:val="center"/>
              <w:ind w:left="463"/>
              <w:spacing w:after="0"/>
              <w:rPr>
                <w:sz w:val="20"/>
                <w:szCs w:val="20"/>
                <w:color w:val="auto"/>
              </w:rPr>
            </w:pPr>
            <w:r>
              <w:rPr>
                <w:rFonts w:ascii="Arial" w:cs="Arial" w:eastAsia="Arial" w:hAnsi="Arial"/>
                <w:sz w:val="16"/>
                <w:szCs w:val="16"/>
                <w:b w:val="1"/>
                <w:bCs w:val="1"/>
                <w:color w:val="auto"/>
                <w:w w:val="97"/>
              </w:rPr>
              <w:t>Description</w:t>
            </w:r>
          </w:p>
        </w:tc>
      </w:tr>
      <w:tr>
        <w:trPr>
          <w:trHeight w:val="223"/>
        </w:trPr>
        <w:tc>
          <w:tcPr>
            <w:tcW w:w="1400" w:type="dxa"/>
            <w:vAlign w:val="bottom"/>
          </w:tcPr>
          <w:p>
            <w:pPr>
              <w:spacing w:after="0"/>
              <w:rPr>
                <w:sz w:val="20"/>
                <w:szCs w:val="20"/>
                <w:color w:val="auto"/>
              </w:rPr>
            </w:pPr>
            <w:r>
              <w:rPr>
                <w:rFonts w:ascii="Arial" w:cs="Arial" w:eastAsia="Arial" w:hAnsi="Arial"/>
                <w:sz w:val="19"/>
                <w:szCs w:val="19"/>
                <w:color w:val="auto"/>
              </w:rPr>
              <w:t>10.9*</w:t>
            </w:r>
          </w:p>
        </w:tc>
        <w:tc>
          <w:tcPr>
            <w:tcW w:w="10020" w:type="dxa"/>
            <w:vAlign w:val="bottom"/>
          </w:tcPr>
          <w:p>
            <w:pPr>
              <w:jc w:val="center"/>
              <w:ind w:left="443"/>
              <w:spacing w:after="0"/>
              <w:rPr>
                <w:sz w:val="20"/>
                <w:szCs w:val="20"/>
                <w:color w:val="auto"/>
              </w:rPr>
            </w:pPr>
            <w:r>
              <w:rPr>
                <w:rFonts w:ascii="Arial" w:cs="Arial" w:eastAsia="Arial" w:hAnsi="Arial"/>
                <w:sz w:val="19"/>
                <w:szCs w:val="19"/>
                <w:color w:val="auto"/>
              </w:rPr>
              <w:t>Honeywell International Inc. Supplemental Executive Retirement Plan for Executives in Career Band 6 and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Above, as amended and restated (incorporated by reference to Exhibit 10.12 to Honeywell’s Form 10-K for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the year ended December 31, 2008), and amended by Exhibit 10.12 to Honeywell’s Form 10-K for the year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ended December 31, 2009 and Exhibit 10.9 to Honeywell’s Form 10-K for the year ended December 31,</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2013</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10.10*</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Honeywell Supplemental Defined Benefit Retirement Plan, as amended and restated (incorporated by</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reference to Exhibit 10.13 to Honeywell’s Form 10-K for the year ended December 31, 2008), and amended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by Exhibit 10.13 to Honeywell’s Form 10-K for the year ended December 31, 2009</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10.11*</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Letter between David J. Anderson and Honeywell International Inc. dated June 12, 2003 (incorporated by</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reference to Exhibit 10.26 to Honeywell’s Form 10-Q for the quarter ended June 30, 2003), and amended by</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Exhibit 10.14 to Honeywell’s Form 10-K for the year ended December 31, 2008</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10.12*</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Honeywell International Inc. Severance Plan for Corporate Staff Employees (Involuntary Termination Following</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 Change in Control), as amended and restated (incorporated by reference to Exhibit 10.12 to Honeywell’s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Form 10-K for the year ended December 31, 2013)</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10.13*</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Employment Agreement dated as of February 18, 2002 between Honeywell and David M. Cote (incorporated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by reference to Exhibit 10.24 to Honeywell’s Form 8-K filed March 4, 2002), and amended by Exhibit 10.3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Form 10-Q for the quarter ended September 30, 2008, Exhibit 10.17 to Honeywell’s Form 10-K</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for the year ended December 31, 2008, and Exhibit 10.1 to Honeywell’s Form 10-Q for the quarter ended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March 31, 2013</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10.14*</w:t>
            </w:r>
          </w:p>
        </w:tc>
        <w:tc>
          <w:tcPr>
            <w:tcW w:w="10020" w:type="dxa"/>
            <w:vAlign w:val="bottom"/>
          </w:tcPr>
          <w:p>
            <w:pPr>
              <w:jc w:val="center"/>
              <w:ind w:left="443"/>
              <w:spacing w:after="0" w:line="216" w:lineRule="exact"/>
              <w:rPr>
                <w:sz w:val="20"/>
                <w:szCs w:val="20"/>
                <w:color w:val="auto"/>
              </w:rPr>
            </w:pPr>
            <w:r>
              <w:rPr>
                <w:rFonts w:ascii="Arial" w:cs="Arial" w:eastAsia="Arial" w:hAnsi="Arial"/>
                <w:sz w:val="19"/>
                <w:szCs w:val="19"/>
                <w:color w:val="auto"/>
              </w:rPr>
              <w:t>2003 Stock Incentive Plan for Employees of Honeywell International Inc. and its Affiliates Award Agreement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10.1 to Honeywell’s Form 8-K filed February 7, 2005)</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10.15*</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2003 Stock Incentive Plan for Employees of Honeywell International Inc. and its Affiliates Restricted Unit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Agreement (incorporated by reference to Exhibit 10.21 to Honeywell’s Form 10-K for the year ended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December 31, 2005)</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10.16*</w:t>
            </w:r>
          </w:p>
        </w:tc>
        <w:tc>
          <w:tcPr>
            <w:tcW w:w="10020" w:type="dxa"/>
            <w:vAlign w:val="bottom"/>
          </w:tcPr>
          <w:p>
            <w:pPr>
              <w:jc w:val="center"/>
              <w:ind w:left="443"/>
              <w:spacing w:after="0" w:line="216" w:lineRule="exact"/>
              <w:rPr>
                <w:sz w:val="20"/>
                <w:szCs w:val="20"/>
                <w:color w:val="auto"/>
              </w:rPr>
            </w:pPr>
            <w:r>
              <w:rPr>
                <w:rFonts w:ascii="Arial" w:cs="Arial" w:eastAsia="Arial" w:hAnsi="Arial"/>
                <w:sz w:val="19"/>
                <w:szCs w:val="19"/>
                <w:color w:val="auto"/>
              </w:rPr>
              <w:t>Stock Plan For Non-Employee Directors of Honeywell International Inc. Option Agreement (incorporated by</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reference to Exhibit 10.1 to Honeywell’s Form 8-K filed April 29, 2005)</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10.17*</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Deferred  Compensation  Agreement  dated  August  4,  2006  between  Honeywell  and  David  M.  Cote</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10.22 to Honeywell’s Form 10-K for the year ended December 31,</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2006) and amended by Exhibit 10.22 to Honeywell’s Form 10-K for the year ended December 31, 2009</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10.18*</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Honeywell Supplemental Retirement Plan (incorporated by reference to Exhibit 10.24 to Honeywell’s Form 10-</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K for the year ended December 31, 2006)</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10.19*</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Pittway Corporation Supplemental Executive Retirement Plan (incorporated by reference to Exhibit 10.25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Form 10-K for the year ended December 31, 2006) and amended by Exhibit 10.25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Form 10-K for the year ended December 31, 2008 and Exhibit 10.25 to Honeywell’s 10-K for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the year ended December 31, 2009</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10.20*</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2006 Stock Incentive Plan of Honeywell International Inc. and Its Affiliates, as amended and restated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10.26 to Honeywell’s Form 10-K for the year ended December 31,</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2008), and amended by Exhibit 10.1 to Honeywell’s 10-Q for the quarter ended March 31, 2011</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10.21*</w:t>
            </w:r>
          </w:p>
        </w:tc>
        <w:tc>
          <w:tcPr>
            <w:tcW w:w="10020" w:type="dxa"/>
            <w:vAlign w:val="bottom"/>
          </w:tcPr>
          <w:p>
            <w:pPr>
              <w:jc w:val="center"/>
              <w:ind w:left="463"/>
              <w:spacing w:after="0" w:line="216" w:lineRule="exact"/>
              <w:rPr>
                <w:sz w:val="20"/>
                <w:szCs w:val="20"/>
                <w:color w:val="auto"/>
              </w:rPr>
            </w:pPr>
            <w:r>
              <w:rPr>
                <w:rFonts w:ascii="Arial" w:cs="Arial" w:eastAsia="Arial" w:hAnsi="Arial"/>
                <w:sz w:val="19"/>
                <w:szCs w:val="19"/>
                <w:color w:val="auto"/>
              </w:rPr>
              <w:t>2006 Stock Incentive Plan of Honeywell International Inc. and Its Affiliates—Form of Option Award Agreement</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(incorporated by reference to Exhibit 10.2 to Honeywell’s Form 10-Q for the quarter ended March 31, 2009)</w:t>
            </w:r>
          </w:p>
        </w:tc>
      </w:tr>
      <w:tr>
        <w:trPr>
          <w:trHeight w:val="324"/>
        </w:trPr>
        <w:tc>
          <w:tcPr>
            <w:tcW w:w="1400" w:type="dxa"/>
            <w:vAlign w:val="bottom"/>
          </w:tcPr>
          <w:p>
            <w:pPr>
              <w:spacing w:after="0"/>
              <w:rPr>
                <w:sz w:val="24"/>
                <w:szCs w:val="24"/>
                <w:color w:val="auto"/>
              </w:rPr>
            </w:pPr>
          </w:p>
        </w:tc>
        <w:tc>
          <w:tcPr>
            <w:tcW w:w="10020" w:type="dxa"/>
            <w:vAlign w:val="bottom"/>
          </w:tcPr>
          <w:p>
            <w:pPr>
              <w:ind w:left="4200"/>
              <w:spacing w:after="0"/>
              <w:rPr>
                <w:sz w:val="20"/>
                <w:szCs w:val="20"/>
                <w:color w:val="auto"/>
              </w:rPr>
            </w:pPr>
            <w:r>
              <w:rPr>
                <w:rFonts w:ascii="Arial" w:cs="Arial" w:eastAsia="Arial" w:hAnsi="Arial"/>
                <w:sz w:val="19"/>
                <w:szCs w:val="19"/>
                <w:color w:val="auto"/>
              </w:rPr>
              <w:t>87</w:t>
            </w:r>
          </w:p>
        </w:tc>
      </w:tr>
      <w:tr>
        <w:trPr>
          <w:trHeight w:val="209"/>
        </w:trPr>
        <w:tc>
          <w:tcPr>
            <w:tcW w:w="1400" w:type="dxa"/>
            <w:vAlign w:val="bottom"/>
            <w:tcBorders>
              <w:bottom w:val="single" w:sz="8" w:color="auto"/>
            </w:tcBorders>
          </w:tcPr>
          <w:p>
            <w:pPr>
              <w:spacing w:after="0"/>
              <w:rPr>
                <w:sz w:val="18"/>
                <w:szCs w:val="18"/>
                <w:color w:val="auto"/>
              </w:rPr>
            </w:pPr>
          </w:p>
        </w:tc>
        <w:tc>
          <w:tcPr>
            <w:tcW w:w="100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0"/>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Borders>
              <w:bottom w:val="single" w:sz="8" w:color="auto"/>
            </w:tcBorders>
          </w:tcPr>
          <w:p>
            <w:pPr>
              <w:jc w:val="right"/>
              <w:ind w:right="4203"/>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1400" w:type="dxa"/>
            <w:vAlign w:val="bottom"/>
          </w:tcPr>
          <w:p>
            <w:pPr>
              <w:spacing w:after="0"/>
              <w:rPr>
                <w:sz w:val="20"/>
                <w:szCs w:val="20"/>
                <w:color w:val="auto"/>
              </w:rPr>
            </w:pPr>
            <w:r>
              <w:rPr>
                <w:rFonts w:ascii="Arial" w:cs="Arial" w:eastAsia="Arial" w:hAnsi="Arial"/>
                <w:sz w:val="19"/>
                <w:szCs w:val="19"/>
                <w:color w:val="auto"/>
              </w:rPr>
              <w:t>10.22*</w:t>
            </w:r>
          </w:p>
        </w:tc>
        <w:tc>
          <w:tcPr>
            <w:tcW w:w="10020" w:type="dxa"/>
            <w:vAlign w:val="bottom"/>
          </w:tcPr>
          <w:p>
            <w:pPr>
              <w:jc w:val="right"/>
              <w:spacing w:after="0"/>
              <w:rPr>
                <w:sz w:val="20"/>
                <w:szCs w:val="20"/>
                <w:color w:val="auto"/>
              </w:rPr>
            </w:pPr>
            <w:r>
              <w:rPr>
                <w:rFonts w:ascii="Arial" w:cs="Arial" w:eastAsia="Arial" w:hAnsi="Arial"/>
                <w:sz w:val="19"/>
                <w:szCs w:val="19"/>
                <w:color w:val="auto"/>
              </w:rPr>
              <w:t>2006 Stock Incentive Plan of Honeywell International Inc. and Its Affiliates—Form of Restricted Unit</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Agreement (incorporated by reference to Exhibit 10.1 to Honeywell’s Form 10-Q for the quarter ended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March 31, 2009)</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10.23*</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2006 Stock Incentive Plan of Honeywell International Inc. and Its Affiliates—Form of Performance Share</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Agreement (incorporated by reference to Exhibit 10.30 to Honeywell’s Form 10-K for the year ended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December 31, 2006)</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10.24*</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2006 Stock Plan for Non-Employee Directors of Honeywell International Inc., as amended and restated</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(incorporated by reference to Exhibit 10.31 to Honeywell’s Form 10-K for the year ended December 31,</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2008), and amended by Exhibit 10.27 to Honeywell’s Form 10-K for the year ended December 31, 2011 and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the attached amendment (filed herewith)</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10.25*</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2006 Stock Plan for Non-Employee Directors of Honeywell International Inc.—Form of Option Agreement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10.3 to Honeywell’s Form 10-Q for the quarter ended March 31, 2012)</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10.26*</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2006 Stock Plan for Non-Employee Directors of Honeywell International Inc.—Form of Restricted Unit</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Agreement (incorporated by reference to Exhibit 10.4 to Honeywell’s Form 10-Q for the quarter ended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March 31, 2012)</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10.27*</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2007 Honeywell Global Employee Stock Plan (incorporated by reference to Honeywell’s Proxy Statement,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dated March 12, 2007, filed pursuant to Rule 14a-6 of the Securities Exchange Act of 1934)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10.28*</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Letter Agreement dated July 20, 2007 between Honeywell and Roger Fradin (incorporated by reference to</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Exhibit 10.1 to Honeywell’s Form 10-Q for the quarter ended September 30, 2007) and amended by Exhibit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10.36 to Honeywell’s Form 10-K for the year ended December 31, 2009</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10.29*</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Letter Agreement dated October 6, 2010 between Honeywell and Roger Fradin (incorporated by reference to</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Exhibit 10.34 to Honeywell’s Form 10-K for the year ended December 31, 2010) and amended by Exhibit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10.1 to Honeywell’s Form 10-Q for the quarter ended September 30, 2012</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10.30*</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Employee Non-Competition Agreement dated October 26, 2010 for Andreas Kramvis (incorporated by</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reference to Exhibit 10.35 to Honeywell’s Form 10-K for the year ended December 31, 2010)</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10.31*</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2006 Stock Incentive Plan of Honeywell International Inc. and its Affiliates—Form of Restricted Unit</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Agreement, Form 2 (incorporated by reference to Exhibit 10.2 to Honeywell’s Form 10-Q for the quarter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ended June 30, 2010)</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10.32*</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2006 Stock Incentive Plan of Honeywell International Inc. and Its Affiliates—Form of Option Award Agreement,</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Form 2 (incorporated by reference to Exhibit 10.37 to Honeywell’s Form 10-K for the year ended December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31, 2010)</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10.33*</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Letter Agreement dated September 3, 2009 between Honeywell and Timothy Mahoney (incorporated by</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reference to Exhibit 10.38 to Honeywell’s Form 10-K for the year ended December 31, 2010)</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10.34*</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Form of Honeywell International Inc. Noncompete Agreement for Senior Executives (incorporated by</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reference to Exhibit 10.39 to Honeywell’s Form 10-K for the year ended December 31, 2010)</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10.35*</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2011 Stock Incentive Plan of Honeywell International Inc. and its Affiliates (incorporated by reference to</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Honeywell’s Proxy Statement, dated March 10, 2011, filed pursuant to Rule 14a-6 of the Securities</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Exchange Act of 1934), and amended by Exhibit 10.36 to Honeywell’s Form 10-K for the year ended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December 31, 2012 and Exhibit 10.1 to Honeywell’s Form 10-Q for the quarter ended March 31,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10.36*</w:t>
            </w: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2011 Stock Incentive Plan of Honeywell International Inc. and its Affiliates—Form of Restricted Unit</w:t>
            </w:r>
          </w:p>
        </w:tc>
      </w:tr>
      <w:tr>
        <w:trPr>
          <w:trHeight w:val="216"/>
        </w:trPr>
        <w:tc>
          <w:tcPr>
            <w:tcW w:w="1400" w:type="dxa"/>
            <w:vAlign w:val="bottom"/>
          </w:tcPr>
          <w:p>
            <w:pPr>
              <w:spacing w:after="0"/>
              <w:rPr>
                <w:sz w:val="18"/>
                <w:szCs w:val="18"/>
                <w:color w:val="auto"/>
              </w:rPr>
            </w:pPr>
          </w:p>
        </w:tc>
        <w:tc>
          <w:tcPr>
            <w:tcW w:w="10020" w:type="dxa"/>
            <w:vAlign w:val="bottom"/>
          </w:tcPr>
          <w:p>
            <w:pPr>
              <w:jc w:val="right"/>
              <w:spacing w:after="0" w:line="216" w:lineRule="exact"/>
              <w:rPr>
                <w:sz w:val="20"/>
                <w:szCs w:val="20"/>
                <w:color w:val="auto"/>
              </w:rPr>
            </w:pPr>
            <w:r>
              <w:rPr>
                <w:rFonts w:ascii="Arial" w:cs="Arial" w:eastAsia="Arial" w:hAnsi="Arial"/>
                <w:sz w:val="19"/>
                <w:szCs w:val="19"/>
                <w:color w:val="auto"/>
              </w:rPr>
              <w:t>Agreement (incorporated by reference to Exhibit 10.2 to Honeywell’s Form 10-Q for the quarter ended</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March 31, 2014)</w:t>
            </w:r>
          </w:p>
        </w:tc>
      </w:tr>
      <w:tr>
        <w:trPr>
          <w:trHeight w:val="324"/>
        </w:trPr>
        <w:tc>
          <w:tcPr>
            <w:tcW w:w="1400" w:type="dxa"/>
            <w:vAlign w:val="bottom"/>
          </w:tcPr>
          <w:p>
            <w:pPr>
              <w:spacing w:after="0"/>
              <w:rPr>
                <w:sz w:val="24"/>
                <w:szCs w:val="24"/>
                <w:color w:val="auto"/>
              </w:rPr>
            </w:pPr>
          </w:p>
        </w:tc>
        <w:tc>
          <w:tcPr>
            <w:tcW w:w="10020" w:type="dxa"/>
            <w:vAlign w:val="bottom"/>
          </w:tcPr>
          <w:p>
            <w:pPr>
              <w:jc w:val="right"/>
              <w:ind w:right="5503"/>
              <w:spacing w:after="0"/>
              <w:rPr>
                <w:sz w:val="20"/>
                <w:szCs w:val="20"/>
                <w:color w:val="auto"/>
              </w:rPr>
            </w:pPr>
            <w:r>
              <w:rPr>
                <w:rFonts w:ascii="Arial" w:cs="Arial" w:eastAsia="Arial" w:hAnsi="Arial"/>
                <w:sz w:val="19"/>
                <w:szCs w:val="19"/>
                <w:color w:val="auto"/>
              </w:rPr>
              <w:t>88</w:t>
            </w:r>
          </w:p>
        </w:tc>
      </w:tr>
      <w:tr>
        <w:trPr>
          <w:trHeight w:val="209"/>
        </w:trPr>
        <w:tc>
          <w:tcPr>
            <w:tcW w:w="1400" w:type="dxa"/>
            <w:vAlign w:val="bottom"/>
            <w:tcBorders>
              <w:bottom w:val="single" w:sz="8" w:color="auto"/>
            </w:tcBorders>
          </w:tcPr>
          <w:p>
            <w:pPr>
              <w:spacing w:after="0"/>
              <w:rPr>
                <w:sz w:val="18"/>
                <w:szCs w:val="18"/>
                <w:color w:val="auto"/>
              </w:rPr>
            </w:pPr>
          </w:p>
        </w:tc>
        <w:tc>
          <w:tcPr>
            <w:tcW w:w="100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0"/>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Borders>
              <w:bottom w:val="single" w:sz="8" w:color="auto"/>
            </w:tcBorders>
          </w:tcPr>
          <w:p>
            <w:pPr>
              <w:ind w:left="486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1400" w:type="dxa"/>
            <w:vAlign w:val="bottom"/>
          </w:tcPr>
          <w:p>
            <w:pPr>
              <w:spacing w:after="0"/>
              <w:rPr>
                <w:sz w:val="20"/>
                <w:szCs w:val="20"/>
                <w:color w:val="auto"/>
              </w:rPr>
            </w:pPr>
            <w:r>
              <w:rPr>
                <w:rFonts w:ascii="Arial" w:cs="Arial" w:eastAsia="Arial" w:hAnsi="Arial"/>
                <w:sz w:val="19"/>
                <w:szCs w:val="19"/>
                <w:color w:val="auto"/>
              </w:rPr>
              <w:t>10.37*</w:t>
            </w:r>
          </w:p>
        </w:tc>
        <w:tc>
          <w:tcPr>
            <w:tcW w:w="10020" w:type="dxa"/>
            <w:vAlign w:val="bottom"/>
          </w:tcPr>
          <w:p>
            <w:pPr>
              <w:ind w:left="560"/>
              <w:spacing w:after="0"/>
              <w:rPr>
                <w:sz w:val="20"/>
                <w:szCs w:val="20"/>
                <w:color w:val="auto"/>
              </w:rPr>
            </w:pPr>
            <w:r>
              <w:rPr>
                <w:rFonts w:ascii="Arial" w:cs="Arial" w:eastAsia="Arial" w:hAnsi="Arial"/>
                <w:sz w:val="19"/>
                <w:szCs w:val="19"/>
                <w:color w:val="auto"/>
              </w:rPr>
              <w:t>2011 Stock Incentive Plan of Honeywell International Inc. and its Affiliates—Form of Restricted Unit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Agreement, Form 2 (incorporated by reference to Exhibit 10.3 to Honeywell’s Form 10-Q for the quarter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ended March 31,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10.38*</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2011 Stock Incentive Plan of Honeywell International Inc. and Its Affiliates—Form of Stock Option Award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Agreement (incorporated by reference to Exhibit 10.4 to Honeywell’s Form 10-Q for the quarter ended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March 31,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10.39*</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2011 Stock Incentive Plan of Honeywell International Inc. and Its Affiliates—Form of Stock Option Award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Agreement, Form 2 (filed herewith)</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10.40*</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2011 Stock Incentive Plan of Honeywell International Inc. and Its Affiliates—Form of Growth Plan Agreement</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10.5 to Honeywell’s Form 10-Q for the quarter ended March 31,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10.41*</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Letter  Agreement  dated  August  4,  2011  between  Honeywell  International  Inc.  and  David  M.  Cote</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10.1 to Honeywell’s Form 10-Q for the quarter ended September 30,</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2011)</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10.42*</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Transition Agreement dated April 7, 2014 between Honeywell International Inc. and David J. Anderson</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10.6 to Honeywell’s Form 10-Q for the quarter ended March 31,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10.43*</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Consulting Agreement effective as of June 1, 2014 between Honeywell International Inc. and David J.</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Anderson (incorporated by reference to Exhibit 10.7 to Honeywell’s Form 10-Q for the quarter ended March</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31, 2014)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10.44*</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Letter Agreement dated April 7, 2014 between Honeywell International Inc. and Roger Fradin (incorporated by</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reference to Exhibit 10.8 to Honeywell’s Form 10-Q for the quarter ended March 31,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10.45*</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Letter  Agreement  dated  April  7,  2014  between  Honeywell  International  Inc.  and  Andreas  Kramvis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10.9 to Honeywell’s Form 10-Q for the quarter ended March 31,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10.46*</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Letter Agreement dated April 7, 2014 between Honeywell International Inc. and Thomas A. Szlosek</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(incorporated by reference to Exhibit 10.10 to Honeywell’s Form 10-Q for the quarter ended March 31,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10.47*</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CEO Retention Agreement, as approved by the Board of Directors of Honeywell International Inc. on October</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31, 2014 and agreed to by David M. Cote on December 11, 2014 (incorporated by reference to Exhibit 99.2</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to Honeywell’s Form 8-K filed December 12, 2014)</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10.48</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Amended and Restated Five Year Credit Agreement dated as of December 10, 2013 by and among</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 International Inc., the banks, financial institutions and other institutional lenders parties thereto,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Citibank, N.A., as administrative agent, Citibank International PLC, as swing line agent, JPMorgan Chase</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Bank, N.A., as syndication agent, Bank of America, N.A., Barclays Bank PLC, Deutsche Bank Securities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Inc., Goldman Sachs Bank USA, Morgan Stanley MUFG Loan Partners, LLC and The Royal Bank of</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Scotland PLC, as documentation agents, and Citigroup Global Markets Inc., and J.P. Morgan Securities</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LLC, as joint lead arrangers and co-book managers (incorporated by reference to Exhibit 10.1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Honeywell’s Form 8-K filed December 11, 2013)</w:t>
            </w:r>
          </w:p>
        </w:tc>
      </w:tr>
      <w:tr>
        <w:trPr>
          <w:trHeight w:val="234"/>
        </w:trPr>
        <w:tc>
          <w:tcPr>
            <w:tcW w:w="1400" w:type="dxa"/>
            <w:vAlign w:val="bottom"/>
          </w:tcPr>
          <w:p>
            <w:pPr>
              <w:spacing w:after="0"/>
              <w:rPr>
                <w:sz w:val="20"/>
                <w:szCs w:val="20"/>
                <w:color w:val="auto"/>
              </w:rPr>
            </w:pPr>
            <w:r>
              <w:rPr>
                <w:rFonts w:ascii="Arial" w:cs="Arial" w:eastAsia="Arial" w:hAnsi="Arial"/>
                <w:sz w:val="19"/>
                <w:szCs w:val="19"/>
                <w:color w:val="auto"/>
              </w:rPr>
              <w:t>12</w:t>
            </w:r>
          </w:p>
        </w:tc>
        <w:tc>
          <w:tcPr>
            <w:tcW w:w="10020" w:type="dxa"/>
            <w:vAlign w:val="bottom"/>
          </w:tcPr>
          <w:p>
            <w:pPr>
              <w:ind w:left="560"/>
              <w:spacing w:after="0"/>
              <w:rPr>
                <w:sz w:val="20"/>
                <w:szCs w:val="20"/>
                <w:color w:val="auto"/>
              </w:rPr>
            </w:pPr>
            <w:r>
              <w:rPr>
                <w:rFonts w:ascii="Arial" w:cs="Arial" w:eastAsia="Arial" w:hAnsi="Arial"/>
                <w:sz w:val="19"/>
                <w:szCs w:val="19"/>
                <w:color w:val="auto"/>
              </w:rPr>
              <w:t>Statement re: Computation of Ratio of Earnings to Fixed Charges (filed herewith)</w:t>
            </w:r>
          </w:p>
        </w:tc>
      </w:tr>
      <w:tr>
        <w:trPr>
          <w:trHeight w:val="243"/>
        </w:trPr>
        <w:tc>
          <w:tcPr>
            <w:tcW w:w="1400" w:type="dxa"/>
            <w:vAlign w:val="bottom"/>
          </w:tcPr>
          <w:p>
            <w:pPr>
              <w:spacing w:after="0"/>
              <w:rPr>
                <w:sz w:val="20"/>
                <w:szCs w:val="20"/>
                <w:color w:val="auto"/>
              </w:rPr>
            </w:pPr>
            <w:r>
              <w:rPr>
                <w:rFonts w:ascii="Arial" w:cs="Arial" w:eastAsia="Arial" w:hAnsi="Arial"/>
                <w:sz w:val="19"/>
                <w:szCs w:val="19"/>
                <w:color w:val="auto"/>
              </w:rPr>
              <w:t>21</w:t>
            </w:r>
          </w:p>
        </w:tc>
        <w:tc>
          <w:tcPr>
            <w:tcW w:w="10020" w:type="dxa"/>
            <w:vAlign w:val="bottom"/>
          </w:tcPr>
          <w:p>
            <w:pPr>
              <w:ind w:left="560"/>
              <w:spacing w:after="0"/>
              <w:rPr>
                <w:sz w:val="20"/>
                <w:szCs w:val="20"/>
                <w:color w:val="auto"/>
              </w:rPr>
            </w:pPr>
            <w:r>
              <w:rPr>
                <w:rFonts w:ascii="Arial" w:cs="Arial" w:eastAsia="Arial" w:hAnsi="Arial"/>
                <w:sz w:val="19"/>
                <w:szCs w:val="19"/>
                <w:color w:val="auto"/>
              </w:rPr>
              <w:t>Subsidiaries of the Registrant (filed herewith)</w:t>
            </w:r>
          </w:p>
        </w:tc>
      </w:tr>
      <w:tr>
        <w:trPr>
          <w:trHeight w:val="243"/>
        </w:trPr>
        <w:tc>
          <w:tcPr>
            <w:tcW w:w="1400" w:type="dxa"/>
            <w:vAlign w:val="bottom"/>
          </w:tcPr>
          <w:p>
            <w:pPr>
              <w:spacing w:after="0"/>
              <w:rPr>
                <w:sz w:val="20"/>
                <w:szCs w:val="20"/>
                <w:color w:val="auto"/>
              </w:rPr>
            </w:pPr>
            <w:r>
              <w:rPr>
                <w:rFonts w:ascii="Arial" w:cs="Arial" w:eastAsia="Arial" w:hAnsi="Arial"/>
                <w:sz w:val="19"/>
                <w:szCs w:val="19"/>
                <w:color w:val="auto"/>
              </w:rPr>
              <w:t>23</w:t>
            </w:r>
          </w:p>
        </w:tc>
        <w:tc>
          <w:tcPr>
            <w:tcW w:w="10020" w:type="dxa"/>
            <w:vAlign w:val="bottom"/>
          </w:tcPr>
          <w:p>
            <w:pPr>
              <w:ind w:left="560"/>
              <w:spacing w:after="0"/>
              <w:rPr>
                <w:sz w:val="20"/>
                <w:szCs w:val="20"/>
                <w:color w:val="auto"/>
              </w:rPr>
            </w:pPr>
            <w:r>
              <w:rPr>
                <w:rFonts w:ascii="Arial" w:cs="Arial" w:eastAsia="Arial" w:hAnsi="Arial"/>
                <w:sz w:val="19"/>
                <w:szCs w:val="19"/>
                <w:color w:val="auto"/>
              </w:rPr>
              <w:t>Consent of PricewaterhouseCoopers LLP (filed herewith)</w:t>
            </w:r>
          </w:p>
        </w:tc>
      </w:tr>
      <w:tr>
        <w:trPr>
          <w:trHeight w:val="243"/>
        </w:trPr>
        <w:tc>
          <w:tcPr>
            <w:tcW w:w="1400" w:type="dxa"/>
            <w:vAlign w:val="bottom"/>
          </w:tcPr>
          <w:p>
            <w:pPr>
              <w:spacing w:after="0"/>
              <w:rPr>
                <w:sz w:val="20"/>
                <w:szCs w:val="20"/>
                <w:color w:val="auto"/>
              </w:rPr>
            </w:pPr>
            <w:r>
              <w:rPr>
                <w:rFonts w:ascii="Arial" w:cs="Arial" w:eastAsia="Arial" w:hAnsi="Arial"/>
                <w:sz w:val="19"/>
                <w:szCs w:val="19"/>
                <w:color w:val="auto"/>
              </w:rPr>
              <w:t>24</w:t>
            </w:r>
          </w:p>
        </w:tc>
        <w:tc>
          <w:tcPr>
            <w:tcW w:w="10020" w:type="dxa"/>
            <w:vAlign w:val="bottom"/>
          </w:tcPr>
          <w:p>
            <w:pPr>
              <w:ind w:left="560"/>
              <w:spacing w:after="0"/>
              <w:rPr>
                <w:sz w:val="20"/>
                <w:szCs w:val="20"/>
                <w:color w:val="auto"/>
              </w:rPr>
            </w:pPr>
            <w:r>
              <w:rPr>
                <w:rFonts w:ascii="Arial" w:cs="Arial" w:eastAsia="Arial" w:hAnsi="Arial"/>
                <w:sz w:val="19"/>
                <w:szCs w:val="19"/>
                <w:color w:val="auto"/>
              </w:rPr>
              <w:t>Powers of Attorney (filed herewith)</w:t>
            </w:r>
          </w:p>
        </w:tc>
      </w:tr>
      <w:tr>
        <w:trPr>
          <w:trHeight w:val="226"/>
        </w:trPr>
        <w:tc>
          <w:tcPr>
            <w:tcW w:w="1400" w:type="dxa"/>
            <w:vAlign w:val="bottom"/>
          </w:tcPr>
          <w:p>
            <w:pPr>
              <w:spacing w:after="0"/>
              <w:rPr>
                <w:sz w:val="20"/>
                <w:szCs w:val="20"/>
                <w:color w:val="auto"/>
              </w:rPr>
            </w:pPr>
            <w:r>
              <w:rPr>
                <w:rFonts w:ascii="Arial" w:cs="Arial" w:eastAsia="Arial" w:hAnsi="Arial"/>
                <w:sz w:val="19"/>
                <w:szCs w:val="19"/>
                <w:color w:val="auto"/>
              </w:rPr>
              <w:t>31.1</w:t>
            </w:r>
          </w:p>
        </w:tc>
        <w:tc>
          <w:tcPr>
            <w:tcW w:w="10020" w:type="dxa"/>
            <w:vAlign w:val="bottom"/>
          </w:tcPr>
          <w:p>
            <w:pPr>
              <w:ind w:left="560"/>
              <w:spacing w:after="0"/>
              <w:rPr>
                <w:sz w:val="20"/>
                <w:szCs w:val="20"/>
                <w:color w:val="auto"/>
              </w:rPr>
            </w:pPr>
            <w:r>
              <w:rPr>
                <w:rFonts w:ascii="Arial" w:cs="Arial" w:eastAsia="Arial" w:hAnsi="Arial"/>
                <w:sz w:val="19"/>
                <w:szCs w:val="19"/>
                <w:color w:val="auto"/>
              </w:rPr>
              <w:t>Certification of Principal Executive Officer Pursuant to Section 302 of the Sarbanes-Oxley Act of 2002 (filed</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herewith)</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31.2</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Certification of Principal Financial Officer Pursuant to Section 302 of the Sarbanes-Oxley Act of 2002 (filed</w:t>
            </w:r>
          </w:p>
        </w:tc>
      </w:tr>
      <w:tr>
        <w:trPr>
          <w:trHeight w:val="234"/>
        </w:trPr>
        <w:tc>
          <w:tcPr>
            <w:tcW w:w="1400" w:type="dxa"/>
            <w:vAlign w:val="bottom"/>
          </w:tcPr>
          <w:p>
            <w:pPr>
              <w:spacing w:after="0"/>
              <w:rPr>
                <w:sz w:val="20"/>
                <w:szCs w:val="20"/>
                <w:color w:val="auto"/>
              </w:rPr>
            </w:pPr>
          </w:p>
        </w:tc>
        <w:tc>
          <w:tcPr>
            <w:tcW w:w="10020" w:type="dxa"/>
            <w:vAlign w:val="bottom"/>
          </w:tcPr>
          <w:p>
            <w:pPr>
              <w:ind w:left="740"/>
              <w:spacing w:after="0"/>
              <w:rPr>
                <w:sz w:val="20"/>
                <w:szCs w:val="20"/>
                <w:color w:val="auto"/>
              </w:rPr>
            </w:pPr>
            <w:r>
              <w:rPr>
                <w:rFonts w:ascii="Arial" w:cs="Arial" w:eastAsia="Arial" w:hAnsi="Arial"/>
                <w:sz w:val="19"/>
                <w:szCs w:val="19"/>
                <w:color w:val="auto"/>
              </w:rPr>
              <w:t>herewith)</w:t>
            </w:r>
          </w:p>
        </w:tc>
      </w:tr>
      <w:tr>
        <w:trPr>
          <w:trHeight w:val="324"/>
        </w:trPr>
        <w:tc>
          <w:tcPr>
            <w:tcW w:w="1400" w:type="dxa"/>
            <w:vAlign w:val="bottom"/>
          </w:tcPr>
          <w:p>
            <w:pPr>
              <w:spacing w:after="0"/>
              <w:rPr>
                <w:sz w:val="24"/>
                <w:szCs w:val="24"/>
                <w:color w:val="auto"/>
              </w:rPr>
            </w:pPr>
          </w:p>
        </w:tc>
        <w:tc>
          <w:tcPr>
            <w:tcW w:w="10020" w:type="dxa"/>
            <w:vAlign w:val="bottom"/>
          </w:tcPr>
          <w:p>
            <w:pPr>
              <w:ind w:left="4200"/>
              <w:spacing w:after="0"/>
              <w:rPr>
                <w:sz w:val="20"/>
                <w:szCs w:val="20"/>
                <w:color w:val="auto"/>
              </w:rPr>
            </w:pPr>
            <w:r>
              <w:rPr>
                <w:rFonts w:ascii="Arial" w:cs="Arial" w:eastAsia="Arial" w:hAnsi="Arial"/>
                <w:sz w:val="19"/>
                <w:szCs w:val="19"/>
                <w:color w:val="auto"/>
              </w:rPr>
              <w:t>89</w:t>
            </w:r>
          </w:p>
        </w:tc>
      </w:tr>
      <w:tr>
        <w:trPr>
          <w:trHeight w:val="209"/>
        </w:trPr>
        <w:tc>
          <w:tcPr>
            <w:tcW w:w="1400" w:type="dxa"/>
            <w:vAlign w:val="bottom"/>
            <w:tcBorders>
              <w:bottom w:val="single" w:sz="8" w:color="auto"/>
            </w:tcBorders>
          </w:tcPr>
          <w:p>
            <w:pPr>
              <w:spacing w:after="0"/>
              <w:rPr>
                <w:sz w:val="18"/>
                <w:szCs w:val="18"/>
                <w:color w:val="auto"/>
              </w:rPr>
            </w:pPr>
          </w:p>
        </w:tc>
        <w:tc>
          <w:tcPr>
            <w:tcW w:w="100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90"/>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020" w:type="dxa"/>
            <w:vAlign w:val="bottom"/>
            <w:tcBorders>
              <w:bottom w:val="single" w:sz="8" w:color="auto"/>
            </w:tcBorders>
          </w:tcPr>
          <w:p>
            <w:pPr>
              <w:ind w:left="486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1400" w:type="dxa"/>
            <w:vAlign w:val="bottom"/>
          </w:tcPr>
          <w:p>
            <w:pPr>
              <w:spacing w:after="0"/>
              <w:rPr>
                <w:sz w:val="20"/>
                <w:szCs w:val="20"/>
                <w:color w:val="auto"/>
              </w:rPr>
            </w:pPr>
            <w:r>
              <w:rPr>
                <w:rFonts w:ascii="Arial" w:cs="Arial" w:eastAsia="Arial" w:hAnsi="Arial"/>
                <w:sz w:val="19"/>
                <w:szCs w:val="19"/>
                <w:color w:val="auto"/>
              </w:rPr>
              <w:t>32.1</w:t>
            </w:r>
          </w:p>
        </w:tc>
        <w:tc>
          <w:tcPr>
            <w:tcW w:w="10020" w:type="dxa"/>
            <w:vAlign w:val="bottom"/>
          </w:tcPr>
          <w:p>
            <w:pPr>
              <w:ind w:left="560"/>
              <w:spacing w:after="0"/>
              <w:rPr>
                <w:sz w:val="20"/>
                <w:szCs w:val="20"/>
                <w:color w:val="auto"/>
              </w:rPr>
            </w:pPr>
            <w:r>
              <w:rPr>
                <w:rFonts w:ascii="Arial" w:cs="Arial" w:eastAsia="Arial" w:hAnsi="Arial"/>
                <w:sz w:val="19"/>
                <w:szCs w:val="19"/>
                <w:color w:val="auto"/>
              </w:rPr>
              <w:t>Certification of Principal Executive Officer Pursuant to 18 U.S.C. Section 1350, as Adopted Pursuant to</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Section 906 of the Sarbanes-Oxley Act of 2002 (filed herewith)</w:t>
            </w:r>
          </w:p>
        </w:tc>
      </w:tr>
      <w:tr>
        <w:trPr>
          <w:trHeight w:val="216"/>
        </w:trPr>
        <w:tc>
          <w:tcPr>
            <w:tcW w:w="1400" w:type="dxa"/>
            <w:vAlign w:val="bottom"/>
          </w:tcPr>
          <w:p>
            <w:pPr>
              <w:spacing w:after="0" w:line="216" w:lineRule="exact"/>
              <w:rPr>
                <w:sz w:val="20"/>
                <w:szCs w:val="20"/>
                <w:color w:val="auto"/>
              </w:rPr>
            </w:pPr>
            <w:r>
              <w:rPr>
                <w:rFonts w:ascii="Arial" w:cs="Arial" w:eastAsia="Arial" w:hAnsi="Arial"/>
                <w:sz w:val="19"/>
                <w:szCs w:val="19"/>
                <w:color w:val="auto"/>
              </w:rPr>
              <w:t>32.2</w:t>
            </w:r>
          </w:p>
        </w:tc>
        <w:tc>
          <w:tcPr>
            <w:tcW w:w="10020" w:type="dxa"/>
            <w:vAlign w:val="bottom"/>
          </w:tcPr>
          <w:p>
            <w:pPr>
              <w:ind w:left="560"/>
              <w:spacing w:after="0" w:line="216" w:lineRule="exact"/>
              <w:rPr>
                <w:sz w:val="20"/>
                <w:szCs w:val="20"/>
                <w:color w:val="auto"/>
              </w:rPr>
            </w:pPr>
            <w:r>
              <w:rPr>
                <w:rFonts w:ascii="Arial" w:cs="Arial" w:eastAsia="Arial" w:hAnsi="Arial"/>
                <w:sz w:val="19"/>
                <w:szCs w:val="19"/>
                <w:color w:val="auto"/>
              </w:rPr>
              <w:t>Certification of Principal Financial Officer Pursuant to 18 U.S.C. Section 1350, as Adopted Pursuant to Section</w:t>
            </w:r>
          </w:p>
        </w:tc>
      </w:tr>
      <w:tr>
        <w:trPr>
          <w:trHeight w:val="216"/>
        </w:trPr>
        <w:tc>
          <w:tcPr>
            <w:tcW w:w="1400" w:type="dxa"/>
            <w:vAlign w:val="bottom"/>
          </w:tcPr>
          <w:p>
            <w:pPr>
              <w:spacing w:after="0"/>
              <w:rPr>
                <w:sz w:val="18"/>
                <w:szCs w:val="18"/>
                <w:color w:val="auto"/>
              </w:rPr>
            </w:pPr>
          </w:p>
        </w:tc>
        <w:tc>
          <w:tcPr>
            <w:tcW w:w="10020" w:type="dxa"/>
            <w:vAlign w:val="bottom"/>
          </w:tcPr>
          <w:p>
            <w:pPr>
              <w:ind w:left="740"/>
              <w:spacing w:after="0" w:line="216" w:lineRule="exact"/>
              <w:rPr>
                <w:sz w:val="20"/>
                <w:szCs w:val="20"/>
                <w:color w:val="auto"/>
              </w:rPr>
            </w:pPr>
            <w:r>
              <w:rPr>
                <w:rFonts w:ascii="Arial" w:cs="Arial" w:eastAsia="Arial" w:hAnsi="Arial"/>
                <w:sz w:val="19"/>
                <w:szCs w:val="19"/>
                <w:color w:val="auto"/>
              </w:rPr>
              <w:t>906 of the Sarbanes-Oxley Act of 2002 (filed herewith)</w:t>
            </w:r>
          </w:p>
        </w:tc>
      </w:tr>
      <w:tr>
        <w:trPr>
          <w:trHeight w:val="234"/>
        </w:trPr>
        <w:tc>
          <w:tcPr>
            <w:tcW w:w="1400" w:type="dxa"/>
            <w:vAlign w:val="bottom"/>
          </w:tcPr>
          <w:p>
            <w:pPr>
              <w:spacing w:after="0"/>
              <w:rPr>
                <w:sz w:val="20"/>
                <w:szCs w:val="20"/>
                <w:color w:val="auto"/>
              </w:rPr>
            </w:pPr>
            <w:r>
              <w:rPr>
                <w:rFonts w:ascii="Arial" w:cs="Arial" w:eastAsia="Arial" w:hAnsi="Arial"/>
                <w:sz w:val="19"/>
                <w:szCs w:val="19"/>
                <w:color w:val="auto"/>
              </w:rPr>
              <w:t>101.INS</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Instance Document (filed herewith)</w:t>
            </w:r>
          </w:p>
        </w:tc>
      </w:tr>
      <w:tr>
        <w:trPr>
          <w:trHeight w:val="243"/>
        </w:trPr>
        <w:tc>
          <w:tcPr>
            <w:tcW w:w="1400" w:type="dxa"/>
            <w:vAlign w:val="bottom"/>
          </w:tcPr>
          <w:p>
            <w:pPr>
              <w:spacing w:after="0"/>
              <w:rPr>
                <w:sz w:val="20"/>
                <w:szCs w:val="20"/>
                <w:color w:val="auto"/>
              </w:rPr>
            </w:pPr>
            <w:r>
              <w:rPr>
                <w:rFonts w:ascii="Arial" w:cs="Arial" w:eastAsia="Arial" w:hAnsi="Arial"/>
                <w:sz w:val="19"/>
                <w:szCs w:val="19"/>
                <w:color w:val="auto"/>
              </w:rPr>
              <w:t>101.SCH</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Taxonomy Extension Schema (filed herewith)</w:t>
            </w:r>
          </w:p>
        </w:tc>
      </w:tr>
      <w:tr>
        <w:trPr>
          <w:trHeight w:val="243"/>
        </w:trPr>
        <w:tc>
          <w:tcPr>
            <w:tcW w:w="1400" w:type="dxa"/>
            <w:vAlign w:val="bottom"/>
          </w:tcPr>
          <w:p>
            <w:pPr>
              <w:spacing w:after="0"/>
              <w:rPr>
                <w:sz w:val="20"/>
                <w:szCs w:val="20"/>
                <w:color w:val="auto"/>
              </w:rPr>
            </w:pPr>
            <w:r>
              <w:rPr>
                <w:rFonts w:ascii="Arial" w:cs="Arial" w:eastAsia="Arial" w:hAnsi="Arial"/>
                <w:sz w:val="19"/>
                <w:szCs w:val="19"/>
                <w:color w:val="auto"/>
              </w:rPr>
              <w:t>101.CAL</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Taxonomy Extension Calculation Linkbase (filed herewith)</w:t>
            </w:r>
          </w:p>
        </w:tc>
      </w:tr>
      <w:tr>
        <w:trPr>
          <w:trHeight w:val="243"/>
        </w:trPr>
        <w:tc>
          <w:tcPr>
            <w:tcW w:w="1400" w:type="dxa"/>
            <w:vAlign w:val="bottom"/>
          </w:tcPr>
          <w:p>
            <w:pPr>
              <w:spacing w:after="0"/>
              <w:rPr>
                <w:sz w:val="20"/>
                <w:szCs w:val="20"/>
                <w:color w:val="auto"/>
              </w:rPr>
            </w:pPr>
            <w:r>
              <w:rPr>
                <w:rFonts w:ascii="Arial" w:cs="Arial" w:eastAsia="Arial" w:hAnsi="Arial"/>
                <w:sz w:val="19"/>
                <w:szCs w:val="19"/>
                <w:color w:val="auto"/>
              </w:rPr>
              <w:t>101.DEF</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Taxonomy Extension Definition Linkbase (filed herewith)</w:t>
            </w:r>
          </w:p>
        </w:tc>
      </w:tr>
      <w:tr>
        <w:trPr>
          <w:trHeight w:val="243"/>
        </w:trPr>
        <w:tc>
          <w:tcPr>
            <w:tcW w:w="1400" w:type="dxa"/>
            <w:vAlign w:val="bottom"/>
          </w:tcPr>
          <w:p>
            <w:pPr>
              <w:spacing w:after="0"/>
              <w:rPr>
                <w:sz w:val="20"/>
                <w:szCs w:val="20"/>
                <w:color w:val="auto"/>
              </w:rPr>
            </w:pPr>
            <w:r>
              <w:rPr>
                <w:rFonts w:ascii="Arial" w:cs="Arial" w:eastAsia="Arial" w:hAnsi="Arial"/>
                <w:sz w:val="19"/>
                <w:szCs w:val="19"/>
                <w:color w:val="auto"/>
              </w:rPr>
              <w:t>101.LAB</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Taxonomy Extension Label Linkbase (filed herewith)</w:t>
            </w:r>
          </w:p>
        </w:tc>
      </w:tr>
      <w:tr>
        <w:trPr>
          <w:trHeight w:val="243"/>
        </w:trPr>
        <w:tc>
          <w:tcPr>
            <w:tcW w:w="1400" w:type="dxa"/>
            <w:vAlign w:val="bottom"/>
          </w:tcPr>
          <w:p>
            <w:pPr>
              <w:spacing w:after="0"/>
              <w:rPr>
                <w:sz w:val="20"/>
                <w:szCs w:val="20"/>
                <w:color w:val="auto"/>
              </w:rPr>
            </w:pPr>
            <w:r>
              <w:rPr>
                <w:rFonts w:ascii="Arial" w:cs="Arial" w:eastAsia="Arial" w:hAnsi="Arial"/>
                <w:sz w:val="19"/>
                <w:szCs w:val="19"/>
                <w:color w:val="auto"/>
              </w:rPr>
              <w:t>101.PRE</w:t>
            </w:r>
          </w:p>
        </w:tc>
        <w:tc>
          <w:tcPr>
            <w:tcW w:w="10020" w:type="dxa"/>
            <w:vAlign w:val="bottom"/>
          </w:tcPr>
          <w:p>
            <w:pPr>
              <w:ind w:left="560"/>
              <w:spacing w:after="0"/>
              <w:rPr>
                <w:sz w:val="20"/>
                <w:szCs w:val="20"/>
                <w:color w:val="auto"/>
              </w:rPr>
            </w:pPr>
            <w:r>
              <w:rPr>
                <w:rFonts w:ascii="Arial" w:cs="Arial" w:eastAsia="Arial" w:hAnsi="Arial"/>
                <w:sz w:val="19"/>
                <w:szCs w:val="19"/>
                <w:color w:val="auto"/>
              </w:rPr>
              <w:t>XBRL Taxonomy Extension Presentation Linkbase (filed herewith)</w:t>
            </w:r>
          </w:p>
        </w:tc>
      </w:tr>
    </w:tbl>
    <w:p>
      <w:pPr>
        <w:spacing w:after="0" w:line="334" w:lineRule="exact"/>
        <w:rPr>
          <w:sz w:val="20"/>
          <w:szCs w:val="20"/>
          <w:color w:val="auto"/>
        </w:rPr>
      </w:pPr>
    </w:p>
    <w:p>
      <w:pPr>
        <w:ind w:left="5600" w:right="1020" w:hanging="5240"/>
        <w:spacing w:after="0" w:line="372" w:lineRule="auto"/>
        <w:rPr>
          <w:sz w:val="20"/>
          <w:szCs w:val="20"/>
          <w:color w:val="auto"/>
        </w:rPr>
      </w:pPr>
      <w:r>
        <w:rPr>
          <w:rFonts w:ascii="Arial" w:cs="Arial" w:eastAsia="Arial" w:hAnsi="Arial"/>
          <w:sz w:val="19"/>
          <w:szCs w:val="19"/>
          <w:color w:val="auto"/>
        </w:rPr>
        <w:t>The Exhibits identified above with an asterisk (*) are management contracts or compensatory plans or arrangements.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jc w:val="center"/>
        <w:spacing w:after="0" w:line="230" w:lineRule="auto"/>
        <w:rPr>
          <w:sz w:val="20"/>
          <w:szCs w:val="20"/>
          <w:color w:val="auto"/>
        </w:rPr>
      </w:pPr>
      <w:r>
        <w:rPr>
          <w:rFonts w:ascii="Arial" w:cs="Arial" w:eastAsia="Arial" w:hAnsi="Arial"/>
          <w:sz w:val="22"/>
          <w:szCs w:val="22"/>
          <w:b w:val="1"/>
          <w:bCs w:val="1"/>
          <w:color w:val="auto"/>
        </w:rPr>
        <w:t>2006 STOCK PLAN FOR NON-EMPLOYEE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Pursuant to the authority granted to proper officers of Honeywell International Inc. (the “Company”) by the Corporate Governance and Responsibility Committee of the Board of Directors on December 12, 2014, the 2006 Stock Plan for Non-Employee Directors of Honeywell International Inc. is hereby amended effective January 1, 2015 by replacing Schedule A in its entirety with the attached new Schedule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00"/>
        <w:spacing w:after="0"/>
        <w:rPr>
          <w:sz w:val="20"/>
          <w:szCs w:val="20"/>
          <w:color w:val="auto"/>
        </w:rPr>
      </w:pPr>
      <w:r>
        <w:rPr>
          <w:rFonts w:ascii="Arial" w:cs="Arial" w:eastAsia="Arial" w:hAnsi="Arial"/>
          <w:sz w:val="22"/>
          <w:szCs w:val="22"/>
          <w:u w:val="single" w:color="auto"/>
          <w:color w:val="auto"/>
        </w:rPr>
        <w:t>/s/ Mark James</w:t>
      </w:r>
    </w:p>
    <w:p>
      <w:pPr>
        <w:ind w:left="4000"/>
        <w:spacing w:after="0" w:line="238" w:lineRule="auto"/>
        <w:rPr>
          <w:sz w:val="20"/>
          <w:szCs w:val="20"/>
          <w:color w:val="auto"/>
        </w:rPr>
      </w:pPr>
      <w:r>
        <w:rPr>
          <w:rFonts w:ascii="Arial" w:cs="Arial" w:eastAsia="Arial" w:hAnsi="Arial"/>
          <w:sz w:val="22"/>
          <w:szCs w:val="22"/>
          <w:color w:val="auto"/>
        </w:rPr>
        <w:t>Mark James</w:t>
      </w:r>
    </w:p>
    <w:p>
      <w:pPr>
        <w:ind w:left="4000"/>
        <w:spacing w:after="0" w:line="230" w:lineRule="auto"/>
        <w:rPr>
          <w:sz w:val="20"/>
          <w:szCs w:val="20"/>
          <w:color w:val="auto"/>
        </w:rPr>
      </w:pPr>
      <w:r>
        <w:rPr>
          <w:rFonts w:ascii="Arial" w:cs="Arial" w:eastAsia="Arial" w:hAnsi="Arial"/>
          <w:sz w:val="22"/>
          <w:szCs w:val="22"/>
          <w:color w:val="auto"/>
        </w:rPr>
        <w:t>Senior Vice President – Human Resources, Procurement</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&amp; Communications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b w:val="1"/>
          <w:bCs w:val="1"/>
          <w:color w:val="auto"/>
        </w:rPr>
        <w:t>SCHEDULE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BOARD POLICY FOR NON-EMPLOYEE DIRECTOR EQUITY AWARDS</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u w:val="single" w:color="auto"/>
          <w:color w:val="auto"/>
        </w:rPr>
        <w:t>Grant of Restricted Units</w:t>
      </w:r>
      <w:r>
        <w:rPr>
          <w:rFonts w:ascii="Arial" w:cs="Arial" w:eastAsia="Arial" w:hAnsi="Arial"/>
          <w:sz w:val="22"/>
          <w:szCs w:val="22"/>
          <w:color w:val="auto"/>
        </w:rPr>
        <w:t>. Each Eligible Director first elected or appointed to the Board on or after September 26, 2008 will receive a grant of 3,000 Restricted Units effective as of the first date the Eligible Director is elected or appointed to the Board. The Restricted Units shall vest on the earliest of the Participant’s fifth anniversary of continuous service as a director of the Company, the Participant’s death or disability or the occurrence of a Change in Control. The Participant may defer receipt of payment of such Restricted Units on substantially the same terms and conditions as officers of the Company with respect to grants of restricted units they receive.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Annual Grants of Stock Options and Restricted Units</w:t>
      </w:r>
      <w:r>
        <w:rPr>
          <w:rFonts w:ascii="Arial" w:cs="Arial" w:eastAsia="Arial" w:hAnsi="Arial"/>
          <w:sz w:val="19"/>
          <w:szCs w:val="19"/>
          <w:color w:val="auto"/>
        </w:rPr>
        <w:t>. Effective January 1, 2015 and subject to any limitations set forth in the Plan, each Eligible Director who continues in office following the Annual Meeting of Shareowners will receive equity grants with a total target value of $100,000. 50% of the value ($50,000) will be granted in Stock Options and the remaining 50% of the value ($50,000) will be granted in Restricted Units, with the number of Shares subject to each grant determined by dividing the value by the Fair Market Value as of the date of the Annual Meeting of Shareowners and rounded up to the nearest whole Share.</w:t>
      </w:r>
    </w:p>
    <w:p>
      <w:pPr>
        <w:spacing w:after="0" w:line="14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grant of Stock Options shall have an Exercise Price equal to the Fair Market Value as of the date of grant and will vest in cumulative installments of 25% on April 1 of the first year following the date of grant, an additional 25% on April 1 of the second and third years following the date of grant, and the remaining 25% on April 1 of the fourth year following the date of grant. The grant of Restricted Units shall vest on the earliest of the Participant’s third anniversary of the date of grant, the Participant’s death or disability or the occurrence of a Change in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t>Exhibit 10.39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2011 STOCK INCENTIVE PLAN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HONEYWELL INTERNATIONAL INC. AND ITS AFFILIATES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OPTION AWARD AGREEMENT – FORM 2</w:t>
      </w:r>
    </w:p>
    <w:p>
      <w:pPr>
        <w:spacing w:after="0" w:line="22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This STOCK OPTION AWARD AGREEMENT made in Morris Township, New Jersey, as of [DATE] (the “Grant Date”), between Honeywell International Inc. (the “Company”) and [EMPLOYEE NAME] (the “Employee”).</w:t>
      </w:r>
    </w:p>
    <w:p>
      <w:pPr>
        <w:spacing w:after="0" w:line="16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Agreement, the following definitions apply:</w:t>
      </w:r>
    </w:p>
    <w:p>
      <w:pPr>
        <w:spacing w:after="0" w:line="212" w:lineRule="exact"/>
        <w:rPr>
          <w:rFonts w:ascii="Arial" w:cs="Arial" w:eastAsia="Arial" w:hAnsi="Arial"/>
          <w:sz w:val="22"/>
          <w:szCs w:val="22"/>
          <w:b w:val="1"/>
          <w:bCs w:val="1"/>
          <w:color w:val="auto"/>
        </w:rPr>
      </w:pPr>
    </w:p>
    <w:p>
      <w:pPr>
        <w:ind w:left="1300" w:hanging="644"/>
        <w:spacing w:after="0" w:line="251" w:lineRule="auto"/>
        <w:tabs>
          <w:tab w:leader="none" w:pos="130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“Actual Award” means the product of (i) the Plan Payout Percentage (as determined under Section 4), and (ii) your Target Award.</w:t>
      </w:r>
    </w:p>
    <w:p>
      <w:pPr>
        <w:spacing w:after="0" w:line="173" w:lineRule="exact"/>
        <w:rPr>
          <w:rFonts w:ascii="Arial" w:cs="Arial" w:eastAsia="Arial" w:hAnsi="Arial"/>
          <w:sz w:val="22"/>
          <w:szCs w:val="22"/>
          <w:b w:val="1"/>
          <w:bCs w:val="1"/>
          <w:color w:val="auto"/>
        </w:rPr>
      </w:pPr>
    </w:p>
    <w:p>
      <w:pPr>
        <w:jc w:val="both"/>
        <w:ind w:left="1300" w:hanging="644"/>
        <w:spacing w:after="0" w:line="277" w:lineRule="auto"/>
        <w:tabs>
          <w:tab w:leader="none" w:pos="1300" w:val="left"/>
        </w:tabs>
        <w:numPr>
          <w:ilvl w:val="1"/>
          <w:numId w:val="34"/>
        </w:numPr>
        <w:rPr>
          <w:rFonts w:ascii="Arial" w:cs="Arial" w:eastAsia="Arial" w:hAnsi="Arial"/>
          <w:sz w:val="19"/>
          <w:szCs w:val="19"/>
          <w:b w:val="1"/>
          <w:bCs w:val="1"/>
          <w:color w:val="auto"/>
        </w:rPr>
      </w:pPr>
      <w:r>
        <w:rPr>
          <w:rFonts w:ascii="Arial" w:cs="Arial" w:eastAsia="Arial" w:hAnsi="Arial"/>
          <w:sz w:val="19"/>
          <w:szCs w:val="19"/>
          <w:color w:val="auto"/>
        </w:rPr>
        <w:t>“Compensation Peer Group” means [INSERT COMPANY NAMES]. If there is any change in the corporate capitalization of a company in the Compensation Peer Group during a Measurement Period (such as a stock split, corporate transaction or any partial or complete liquidation), the Committee, in its sole discretion, may take such change into account in determining the Total Shareholder Return of that company. If any company included in the Compensation Peer Group ceases to exist or to be publicly traded during the Measurement Period, or undergoes any other similar change, the Committee shall determine the consequences of such event for purposes of this Agreement, including without limitation, the replacement of such company in the Compensation Peer Group.</w:t>
      </w:r>
    </w:p>
    <w:p>
      <w:pPr>
        <w:spacing w:after="0" w:line="152" w:lineRule="exact"/>
        <w:rPr>
          <w:rFonts w:ascii="Arial" w:cs="Arial" w:eastAsia="Arial" w:hAnsi="Arial"/>
          <w:sz w:val="19"/>
          <w:szCs w:val="19"/>
          <w:b w:val="1"/>
          <w:bCs w:val="1"/>
          <w:color w:val="auto"/>
        </w:rPr>
      </w:pPr>
    </w:p>
    <w:p>
      <w:pPr>
        <w:ind w:left="1300" w:hanging="644"/>
        <w:spacing w:after="0"/>
        <w:tabs>
          <w:tab w:leader="none" w:pos="130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“Measurement Period” means [DESCRIBE MEASUREMENT PERIOD].</w:t>
      </w:r>
    </w:p>
    <w:p>
      <w:pPr>
        <w:spacing w:after="0" w:line="206" w:lineRule="exact"/>
        <w:rPr>
          <w:rFonts w:ascii="Arial" w:cs="Arial" w:eastAsia="Arial" w:hAnsi="Arial"/>
          <w:sz w:val="22"/>
          <w:szCs w:val="22"/>
          <w:b w:val="1"/>
          <w:bCs w:val="1"/>
          <w:color w:val="auto"/>
        </w:rPr>
      </w:pPr>
    </w:p>
    <w:p>
      <w:pPr>
        <w:ind w:left="1300" w:hanging="644"/>
        <w:spacing w:after="0"/>
        <w:tabs>
          <w:tab w:leader="none" w:pos="130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“Performance Cycle” means the period commencing [DATE] and ending [DATE].</w:t>
      </w:r>
    </w:p>
    <w:p>
      <w:pPr>
        <w:spacing w:after="0" w:line="206" w:lineRule="exact"/>
        <w:rPr>
          <w:rFonts w:ascii="Arial" w:cs="Arial" w:eastAsia="Arial" w:hAnsi="Arial"/>
          <w:sz w:val="22"/>
          <w:szCs w:val="22"/>
          <w:b w:val="1"/>
          <w:bCs w:val="1"/>
          <w:color w:val="auto"/>
        </w:rPr>
      </w:pPr>
    </w:p>
    <w:p>
      <w:pPr>
        <w:ind w:left="1300" w:hanging="644"/>
        <w:spacing w:after="0" w:line="251" w:lineRule="auto"/>
        <w:tabs>
          <w:tab w:leader="none" w:pos="130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“Target Award” means the number of stock options awarded to you for the Performance Cycle under Section 2 of this Agreement.</w:t>
      </w:r>
    </w:p>
    <w:p>
      <w:pPr>
        <w:spacing w:after="0" w:line="173" w:lineRule="exact"/>
        <w:rPr>
          <w:rFonts w:ascii="Arial" w:cs="Arial" w:eastAsia="Arial" w:hAnsi="Arial"/>
          <w:sz w:val="22"/>
          <w:szCs w:val="22"/>
          <w:b w:val="1"/>
          <w:bCs w:val="1"/>
          <w:color w:val="auto"/>
        </w:rPr>
      </w:pPr>
    </w:p>
    <w:p>
      <w:pPr>
        <w:jc w:val="both"/>
        <w:ind w:left="1300" w:hanging="644"/>
        <w:spacing w:after="0" w:line="249" w:lineRule="auto"/>
        <w:tabs>
          <w:tab w:leader="none" w:pos="1300" w:val="left"/>
        </w:tabs>
        <w:numPr>
          <w:ilvl w:val="1"/>
          <w:numId w:val="34"/>
        </w:numPr>
        <w:rPr>
          <w:rFonts w:ascii="Arial" w:cs="Arial" w:eastAsia="Arial" w:hAnsi="Arial"/>
          <w:sz w:val="21"/>
          <w:szCs w:val="21"/>
          <w:b w:val="1"/>
          <w:bCs w:val="1"/>
          <w:color w:val="auto"/>
        </w:rPr>
      </w:pPr>
      <w:r>
        <w:rPr>
          <w:rFonts w:ascii="Arial" w:cs="Arial" w:eastAsia="Arial" w:hAnsi="Arial"/>
          <w:sz w:val="21"/>
          <w:szCs w:val="21"/>
          <w:color w:val="auto"/>
        </w:rPr>
        <w:t>“Total Shareholder Return” means the ratio of (A) a company’s share price as of the last trading day of a Measurement Period (determined using the average closing share price over the 30 preceding trading days) plus earned dividends per share during the Measurement Period, over (B) the company’s share price as of the first trading day of a Measurement Period (determined using the average closing share price over the 30 preceding trading days). Dividends are assumed earned and reinvested on the ex-dividend date.</w:t>
      </w:r>
    </w:p>
    <w:p>
      <w:pPr>
        <w:spacing w:after="0" w:line="178" w:lineRule="exact"/>
        <w:rPr>
          <w:rFonts w:ascii="Arial" w:cs="Arial" w:eastAsia="Arial" w:hAnsi="Arial"/>
          <w:sz w:val="21"/>
          <w:szCs w:val="21"/>
          <w:b w:val="1"/>
          <w:bCs w:val="1"/>
          <w:color w:val="auto"/>
        </w:rPr>
      </w:pPr>
    </w:p>
    <w:p>
      <w:pPr>
        <w:ind w:left="1300" w:hanging="644"/>
        <w:spacing w:after="0"/>
        <w:tabs>
          <w:tab w:leader="none" w:pos="1300" w:val="left"/>
        </w:tabs>
        <w:numPr>
          <w:ilvl w:val="1"/>
          <w:numId w:val="34"/>
        </w:numPr>
        <w:rPr>
          <w:rFonts w:ascii="Arial" w:cs="Arial" w:eastAsia="Arial" w:hAnsi="Arial"/>
          <w:sz w:val="22"/>
          <w:szCs w:val="22"/>
          <w:b w:val="1"/>
          <w:bCs w:val="1"/>
          <w:color w:val="auto"/>
        </w:rPr>
      </w:pPr>
      <w:r>
        <w:rPr>
          <w:rFonts w:ascii="Arial" w:cs="Arial" w:eastAsia="Arial" w:hAnsi="Arial"/>
          <w:sz w:val="22"/>
          <w:szCs w:val="22"/>
          <w:color w:val="auto"/>
        </w:rPr>
        <w:t>[INSERT ADDITIONAL BUSINESS-RELATED DEFINITIONS AS APPLICABLE]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t>Exhibit 10.39</w:t>
      </w:r>
    </w:p>
    <w:p>
      <w:pPr>
        <w:spacing w:after="0" w:line="200" w:lineRule="exact"/>
        <w:rPr>
          <w:sz w:val="20"/>
          <w:szCs w:val="20"/>
          <w:color w:val="auto"/>
        </w:rPr>
      </w:pPr>
    </w:p>
    <w:p>
      <w:pPr>
        <w:jc w:val="both"/>
        <w:ind w:left="660" w:hanging="652"/>
        <w:spacing w:after="0" w:line="243" w:lineRule="auto"/>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Grant of Options. </w:t>
      </w:r>
      <w:r>
        <w:rPr>
          <w:rFonts w:ascii="Arial" w:cs="Arial" w:eastAsia="Arial" w:hAnsi="Arial"/>
          <w:sz w:val="22"/>
          <w:szCs w:val="22"/>
          <w:color w:val="auto"/>
        </w:rPr>
        <w:t>The Company has granted you an Option to purchase [NUMBER] Shares of Common Stock,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provisions of this Agreement and the 2011 Stock Incentive Plan for Employees of Honeywell International Inc. and its Affiliates (the “Plan”). This Option is a nonqualified Option.</w:t>
      </w:r>
    </w:p>
    <w:p>
      <w:pPr>
        <w:spacing w:after="0" w:line="176" w:lineRule="exact"/>
        <w:rPr>
          <w:rFonts w:ascii="Arial" w:cs="Arial" w:eastAsia="Arial" w:hAnsi="Arial"/>
          <w:sz w:val="22"/>
          <w:szCs w:val="22"/>
          <w:b w:val="1"/>
          <w:bCs w:val="1"/>
          <w:color w:val="auto"/>
        </w:rPr>
      </w:pPr>
    </w:p>
    <w:p>
      <w:pPr>
        <w:ind w:left="660" w:right="20" w:hanging="652"/>
        <w:spacing w:after="0" w:line="256" w:lineRule="auto"/>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Actual Award. </w:t>
      </w:r>
      <w:r>
        <w:rPr>
          <w:rFonts w:ascii="Arial" w:cs="Arial" w:eastAsia="Arial" w:hAnsi="Arial"/>
          <w:sz w:val="22"/>
          <w:szCs w:val="22"/>
          <w:color w:val="auto"/>
        </w:rPr>
        <w:t>Notwithstanding Section 2 above, you shall have the Option to purchase the number of Shares determined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Actual Award.</w:t>
      </w:r>
    </w:p>
    <w:p>
      <w:pPr>
        <w:spacing w:after="0" w:line="162" w:lineRule="exact"/>
        <w:rPr>
          <w:rFonts w:ascii="Arial" w:cs="Arial" w:eastAsia="Arial" w:hAnsi="Arial"/>
          <w:sz w:val="22"/>
          <w:szCs w:val="22"/>
          <w:b w:val="1"/>
          <w:bCs w:val="1"/>
          <w:color w:val="auto"/>
        </w:rPr>
      </w:pPr>
    </w:p>
    <w:p>
      <w:pPr>
        <w:jc w:val="both"/>
        <w:ind w:left="660" w:hanging="652"/>
        <w:spacing w:after="0" w:line="239" w:lineRule="auto"/>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Performance Measures. </w:t>
      </w:r>
      <w:r>
        <w:rPr>
          <w:rFonts w:ascii="Arial" w:cs="Arial" w:eastAsia="Arial" w:hAnsi="Arial"/>
          <w:sz w:val="22"/>
          <w:szCs w:val="22"/>
          <w:color w:val="auto"/>
        </w:rPr>
        <w:t>For the Measurement Period, the Company’s Total Shareholder Return will be compared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Total Shareholder Return of each company in the Compensation Peer Group, and the Total Shareholder Return of the Compensation Peer Group and the Company shall be ranked. [DESCRIBE OTHER BUSINESS-RELATED PERFORMANCE MEASURES, AS APPLICABLE]</w:t>
      </w:r>
    </w:p>
    <w:p>
      <w:pPr>
        <w:spacing w:after="0" w:line="186" w:lineRule="exact"/>
        <w:rPr>
          <w:rFonts w:ascii="Arial" w:cs="Arial" w:eastAsia="Arial" w:hAnsi="Arial"/>
          <w:sz w:val="22"/>
          <w:szCs w:val="22"/>
          <w:b w:val="1"/>
          <w:bCs w:val="1"/>
          <w:color w:val="auto"/>
        </w:rPr>
      </w:pPr>
    </w:p>
    <w:p>
      <w:pPr>
        <w:ind w:left="660" w:right="20"/>
        <w:spacing w:after="0" w:line="251" w:lineRule="auto"/>
        <w:rPr>
          <w:rFonts w:ascii="Arial" w:cs="Arial" w:eastAsia="Arial" w:hAnsi="Arial"/>
          <w:sz w:val="22"/>
          <w:szCs w:val="22"/>
          <w:b w:val="1"/>
          <w:bCs w:val="1"/>
          <w:color w:val="auto"/>
        </w:rPr>
      </w:pPr>
      <w:r>
        <w:rPr>
          <w:rFonts w:ascii="Arial" w:cs="Arial" w:eastAsia="Arial" w:hAnsi="Arial"/>
          <w:sz w:val="22"/>
          <w:szCs w:val="22"/>
          <w:color w:val="auto"/>
        </w:rPr>
        <w:t>The Plan Payout Percentage shall be determined based on the following for the Performance Cycle: [DESCRIBE HOW PLAN PAYOUT PERCENTAGE IS DETERMINED].</w:t>
      </w:r>
    </w:p>
    <w:p>
      <w:pPr>
        <w:spacing w:after="0" w:line="167" w:lineRule="exact"/>
        <w:rPr>
          <w:rFonts w:ascii="Arial" w:cs="Arial" w:eastAsia="Arial" w:hAnsi="Arial"/>
          <w:sz w:val="22"/>
          <w:szCs w:val="22"/>
          <w:b w:val="1"/>
          <w:bCs w:val="1"/>
          <w:color w:val="auto"/>
        </w:rPr>
      </w:pPr>
    </w:p>
    <w:p>
      <w:pPr>
        <w:ind w:left="660" w:hanging="652"/>
        <w:spacing w:after="0"/>
        <w:tabs>
          <w:tab w:leader="none" w:pos="660"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Exercise Price. </w:t>
      </w:r>
      <w:r>
        <w:rPr>
          <w:rFonts w:ascii="Arial" w:cs="Arial" w:eastAsia="Arial" w:hAnsi="Arial"/>
          <w:sz w:val="21"/>
          <w:szCs w:val="21"/>
          <w:color w:val="auto"/>
        </w:rPr>
        <w:t>The purchase price of the Shares covered by the Option will be $[DOLLAR AMOUNT] per Share.</w:t>
      </w:r>
    </w:p>
    <w:p>
      <w:pPr>
        <w:spacing w:after="0" w:line="217" w:lineRule="exact"/>
        <w:rPr>
          <w:rFonts w:ascii="Arial" w:cs="Arial" w:eastAsia="Arial" w:hAnsi="Arial"/>
          <w:sz w:val="21"/>
          <w:szCs w:val="21"/>
          <w:b w:val="1"/>
          <w:bCs w:val="1"/>
          <w:color w:val="auto"/>
        </w:rPr>
      </w:pPr>
    </w:p>
    <w:p>
      <w:pPr>
        <w:jc w:val="both"/>
        <w:ind w:left="660" w:right="20" w:hanging="652"/>
        <w:spacing w:after="0" w:line="243" w:lineRule="auto"/>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Section 7, 8, 9, 10, 12, 17 and/or 18, you shall receive an Option to purchase the number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by the Actual Award on the later of [DESCRIBE VESTING DATE(S)], and you shall have until [DATE] to exercise the Option.</w:t>
      </w:r>
    </w:p>
    <w:p>
      <w:pPr>
        <w:spacing w:after="0" w:line="176" w:lineRule="exact"/>
        <w:rPr>
          <w:rFonts w:ascii="Arial" w:cs="Arial" w:eastAsia="Arial" w:hAnsi="Arial"/>
          <w:sz w:val="22"/>
          <w:szCs w:val="22"/>
          <w:b w:val="1"/>
          <w:bCs w:val="1"/>
          <w:color w:val="auto"/>
        </w:rPr>
      </w:pPr>
    </w:p>
    <w:p>
      <w:pPr>
        <w:jc w:val="both"/>
        <w:ind w:left="660" w:hanging="652"/>
        <w:spacing w:after="0" w:line="278" w:lineRule="auto"/>
        <w:tabs>
          <w:tab w:leader="none" w:pos="66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Death or Disability. </w:t>
      </w:r>
      <w:r>
        <w:rPr>
          <w:rFonts w:ascii="Arial" w:cs="Arial" w:eastAsia="Arial" w:hAnsi="Arial"/>
          <w:sz w:val="19"/>
          <w:szCs w:val="19"/>
          <w:color w:val="auto"/>
        </w:rPr>
        <w:t>[INCLUDE AS APPLICABLE: If your Termination of Employment occurs because of your death or</w:t>
      </w:r>
      <w:r>
        <w:rPr>
          <w:rFonts w:ascii="Arial" w:cs="Arial" w:eastAsia="Arial" w:hAnsi="Arial"/>
          <w:sz w:val="19"/>
          <w:szCs w:val="19"/>
          <w:b w:val="1"/>
          <w:bCs w:val="1"/>
          <w:color w:val="auto"/>
        </w:rPr>
        <w:t xml:space="preserve"> </w:t>
      </w:r>
      <w:r>
        <w:rPr>
          <w:rFonts w:ascii="Arial" w:cs="Arial" w:eastAsia="Arial" w:hAnsi="Arial"/>
          <w:sz w:val="19"/>
          <w:szCs w:val="19"/>
          <w:color w:val="auto"/>
        </w:rPr>
        <w:t>you incur a Disability before the last day of the Performance Cycle, you or your estate will receive an Option to purchase the number of Shares determined by the Target Award as your Actual Award for the Performance Cycle. If your Termination of Employment occurs because of your death or you incur a Disability after the last day of the Performance Cycle but before the entire Actual Award is fully vested, you or your estate will receive an Option to purchase the number of Shares determined by the unvested Actual Award. Subject to Section 17 and/or 18, regardless of when your death or Disability occurs, you or your executor, as the case may be, shall have until [DATE] to exercise the Option.</w:t>
      </w:r>
    </w:p>
    <w:p>
      <w:pPr>
        <w:spacing w:after="0" w:line="146" w:lineRule="exact"/>
        <w:rPr>
          <w:rFonts w:ascii="Arial" w:cs="Arial" w:eastAsia="Arial" w:hAnsi="Arial"/>
          <w:sz w:val="19"/>
          <w:szCs w:val="19"/>
          <w:b w:val="1"/>
          <w:bCs w:val="1"/>
          <w:color w:val="auto"/>
        </w:rPr>
      </w:pPr>
    </w:p>
    <w:p>
      <w:pPr>
        <w:ind w:left="660"/>
        <w:spacing w:after="0"/>
        <w:rPr>
          <w:rFonts w:ascii="Arial" w:cs="Arial" w:eastAsia="Arial" w:hAnsi="Arial"/>
          <w:sz w:val="19"/>
          <w:szCs w:val="19"/>
          <w:b w:val="1"/>
          <w:bCs w:val="1"/>
          <w:color w:val="auto"/>
        </w:rPr>
      </w:pPr>
      <w:r>
        <w:rPr>
          <w:rFonts w:ascii="Arial" w:cs="Arial" w:eastAsia="Arial" w:hAnsi="Arial"/>
          <w:sz w:val="22"/>
          <w:szCs w:val="22"/>
          <w:b w:val="1"/>
          <w:bCs w:val="1"/>
          <w:color w:val="auto"/>
        </w:rPr>
        <w:t>OR</w:t>
      </w:r>
    </w:p>
    <w:p>
      <w:pPr>
        <w:spacing w:after="0" w:line="212" w:lineRule="exact"/>
        <w:rPr>
          <w:rFonts w:ascii="Arial" w:cs="Arial" w:eastAsia="Arial" w:hAnsi="Arial"/>
          <w:sz w:val="19"/>
          <w:szCs w:val="19"/>
          <w:b w:val="1"/>
          <w:bCs w:val="1"/>
          <w:color w:val="auto"/>
        </w:rPr>
      </w:pPr>
    </w:p>
    <w:p>
      <w:pPr>
        <w:jc w:val="both"/>
        <w:ind w:left="660"/>
        <w:spacing w:after="0" w:line="282" w:lineRule="auto"/>
        <w:rPr>
          <w:rFonts w:ascii="Arial" w:cs="Arial" w:eastAsia="Arial" w:hAnsi="Arial"/>
          <w:sz w:val="19"/>
          <w:szCs w:val="19"/>
          <w:b w:val="1"/>
          <w:bCs w:val="1"/>
          <w:color w:val="auto"/>
        </w:rPr>
      </w:pPr>
      <w:r>
        <w:rPr>
          <w:rFonts w:ascii="Arial" w:cs="Arial" w:eastAsia="Arial" w:hAnsi="Arial"/>
          <w:sz w:val="19"/>
          <w:szCs w:val="19"/>
          <w:color w:val="auto"/>
        </w:rPr>
        <w:t>Subject to Section 17 and/or 18, if your Termination of Employment occurs because of your death or you incur a Disability before the last day of the Performance Cycle, the Performance Cycle shall continue and on [DATE] or the date the Performance Measures are approved as required by the terms of the Plan, you or your estate shall receive an Option to purchase the number of Shares determined by the Actual Award. Subject to Section 17 and/or 18, regardless of when your death or Disability occurs, you or your executor, as the case may be, shall have until [DATE] to exercise the Option.]</w:t>
      </w:r>
    </w:p>
    <w:p>
      <w:pPr>
        <w:spacing w:after="0" w:line="141" w:lineRule="exact"/>
        <w:rPr>
          <w:rFonts w:ascii="Arial" w:cs="Arial" w:eastAsia="Arial" w:hAnsi="Arial"/>
          <w:sz w:val="19"/>
          <w:szCs w:val="19"/>
          <w:b w:val="1"/>
          <w:bCs w:val="1"/>
          <w:color w:val="auto"/>
        </w:rPr>
      </w:pPr>
    </w:p>
    <w:p>
      <w:pPr>
        <w:ind w:left="660" w:hanging="652"/>
        <w:spacing w:after="0" w:line="256" w:lineRule="auto"/>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Involuntary Termination Not for Cause. </w:t>
      </w:r>
      <w:r>
        <w:rPr>
          <w:rFonts w:ascii="Arial" w:cs="Arial" w:eastAsia="Arial" w:hAnsi="Arial"/>
          <w:sz w:val="22"/>
          <w:szCs w:val="22"/>
          <w:color w:val="auto"/>
        </w:rPr>
        <w:t>[INCLUDE AS APPLICABLE: Subject to Section 17 and/or 18, if your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Employment occurs due to an involuntary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6" w:name="page97"/>
    <w:bookmarkEnd w:id="96"/>
    <w:p>
      <w:pPr>
        <w:ind w:left="10240"/>
        <w:spacing w:after="0"/>
        <w:rPr>
          <w:sz w:val="20"/>
          <w:szCs w:val="20"/>
          <w:color w:val="auto"/>
        </w:rPr>
      </w:pPr>
      <w:r>
        <w:rPr>
          <w:rFonts w:ascii="Arial" w:cs="Arial" w:eastAsia="Arial" w:hAnsi="Arial"/>
          <w:sz w:val="19"/>
          <w:szCs w:val="19"/>
          <w:color w:val="auto"/>
        </w:rPr>
        <w:t>Exhibit 10.39</w:t>
      </w:r>
    </w:p>
    <w:p>
      <w:pPr>
        <w:spacing w:after="0" w:line="241"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termination by the Company not for Cause before the last day of the Performance Cycle, the Performance Cycle shall continue and on the later of [DATE] or the date the Performance Measures are approved as required by the terms of the Plan, you shall receive an Option to purchase the number of Shares determined by the Actual Award. Subject to Section 17 and/or 18, regardless of when your Termination of Employment occurs, you shall have until [DATE] to exercise the Option.</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OR</w:t>
      </w:r>
    </w:p>
    <w:p>
      <w:pPr>
        <w:spacing w:after="0" w:line="239" w:lineRule="exact"/>
        <w:rPr>
          <w:sz w:val="20"/>
          <w:szCs w:val="20"/>
          <w:color w:val="auto"/>
        </w:rPr>
      </w:pPr>
    </w:p>
    <w:p>
      <w:pPr>
        <w:jc w:val="both"/>
        <w:ind w:left="660"/>
        <w:spacing w:after="0" w:line="275" w:lineRule="auto"/>
        <w:rPr>
          <w:sz w:val="20"/>
          <w:szCs w:val="20"/>
          <w:color w:val="auto"/>
        </w:rPr>
      </w:pPr>
      <w:r>
        <w:rPr>
          <w:rFonts w:ascii="Arial" w:cs="Arial" w:eastAsia="Arial" w:hAnsi="Arial"/>
          <w:sz w:val="19"/>
          <w:szCs w:val="19"/>
          <w:color w:val="auto"/>
        </w:rPr>
        <w:t>Subject to Section 17 and/or 18, if your Termination of Employment occurs solely due to an involuntary termination by the Company not for Cause before the last day of the Performance Cycle, you will receive an Option to purchase the number of Shares determined by a pro-rata payment of your Target Award equal to the product of (a) times (b), minus (c), where (a) equals the total number of Shares set forth in Section 2 above, (b) equals the ratio of your complete years of service as an employee of the Company or its Affiliates between the Award Date and your Termination of Employment, and the number of complete years of service required under this Agreement to be fully vested in all Shares covered by the Option, and (c) equals the number of Shares that vested before your Termination of Employment. Subject to Section 17 and/or 18, regardless of when your Termination of Employment occurs, you shall have until [DATE] to exercise the Option.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OR</w:t>
      </w:r>
    </w:p>
    <w:p>
      <w:pPr>
        <w:spacing w:after="0" w:line="212"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Subject to Section 17 and/or 18, if your Termination of Employment occurs solely due to an involuntary termination by the Company not for Cause before the last day of the Performance Cycle, you will receive an Option to purchase the number of Shares determined by [INSERT VESTING PROVISIONS ON TERMINATION NOT FOR CAUSE]. Subject to Section 17 and/or 18, regardless of when your Termination of Employment occurs, you shall have until [DATE] to exercise the Option.]</w:t>
      </w:r>
    </w:p>
    <w:p>
      <w:pPr>
        <w:spacing w:after="0" w:line="182" w:lineRule="exact"/>
        <w:rPr>
          <w:sz w:val="20"/>
          <w:szCs w:val="20"/>
          <w:color w:val="auto"/>
        </w:rPr>
      </w:pPr>
    </w:p>
    <w:p>
      <w:pPr>
        <w:ind w:left="660" w:hanging="652"/>
        <w:spacing w:after="0" w:line="256" w:lineRule="auto"/>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Full Retirement. </w:t>
      </w:r>
      <w:r>
        <w:rPr>
          <w:rFonts w:ascii="Arial" w:cs="Arial" w:eastAsia="Arial" w:hAnsi="Arial"/>
          <w:sz w:val="22"/>
          <w:szCs w:val="22"/>
          <w:color w:val="auto"/>
        </w:rPr>
        <w:t>[INCLUDE VESTING AND EXERCISE PROVISIONS IF TERMINATION OF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OCCURS SOLELY DUE TO FULL RETIREMENT, AS APPLICABLE].</w:t>
      </w:r>
    </w:p>
    <w:p>
      <w:pPr>
        <w:spacing w:after="0" w:line="162" w:lineRule="exact"/>
        <w:rPr>
          <w:rFonts w:ascii="Arial" w:cs="Arial" w:eastAsia="Arial" w:hAnsi="Arial"/>
          <w:sz w:val="22"/>
          <w:szCs w:val="22"/>
          <w:b w:val="1"/>
          <w:bCs w:val="1"/>
          <w:color w:val="auto"/>
        </w:rPr>
      </w:pPr>
    </w:p>
    <w:p>
      <w:pPr>
        <w:jc w:val="both"/>
        <w:ind w:left="660" w:hanging="652"/>
        <w:spacing w:after="0" w:line="284" w:lineRule="auto"/>
        <w:tabs>
          <w:tab w:leader="none" w:pos="660"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Voluntary Termination of Employment, Termination of Employment for Cause. </w:t>
      </w:r>
      <w:r>
        <w:rPr>
          <w:rFonts w:ascii="Arial" w:cs="Arial" w:eastAsia="Arial" w:hAnsi="Arial"/>
          <w:sz w:val="19"/>
          <w:szCs w:val="19"/>
          <w:color w:val="auto"/>
        </w:rPr>
        <w:t>If your Termination of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occurs due to a voluntary termination for any reason [OTHER THAN FULL RETIREMENT] or an involuntary termination by the Company for Cause before the last day of the Performance Cycle, the Option shall be forfeited in full as of your Termination of Employment. If your Termination of Employment occurs due to an involuntary termination by the Company for Cause after vesting occurs, any unexercised Shares shall be immediately cancelled.</w:t>
      </w:r>
    </w:p>
    <w:p>
      <w:pPr>
        <w:spacing w:after="0" w:line="138" w:lineRule="exact"/>
        <w:rPr>
          <w:rFonts w:ascii="Arial" w:cs="Arial" w:eastAsia="Arial" w:hAnsi="Arial"/>
          <w:sz w:val="19"/>
          <w:szCs w:val="19"/>
          <w:b w:val="1"/>
          <w:bCs w:val="1"/>
          <w:color w:val="auto"/>
        </w:rPr>
      </w:pPr>
    </w:p>
    <w:p>
      <w:pPr>
        <w:jc w:val="both"/>
        <w:ind w:left="660" w:hanging="652"/>
        <w:spacing w:after="0" w:line="239" w:lineRule="auto"/>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 of Option. </w:t>
      </w:r>
      <w:r>
        <w:rPr>
          <w:rFonts w:ascii="Arial" w:cs="Arial" w:eastAsia="Arial" w:hAnsi="Arial"/>
          <w:sz w:val="22"/>
          <w:szCs w:val="22"/>
          <w:color w:val="auto"/>
        </w:rPr>
        <w:t>The Option must be exercised prior to the close of the New York Stock Exchange (“NYSE”) on</w:t>
      </w:r>
      <w:r>
        <w:rPr>
          <w:rFonts w:ascii="Arial" w:cs="Arial" w:eastAsia="Arial" w:hAnsi="Arial"/>
          <w:sz w:val="22"/>
          <w:szCs w:val="22"/>
          <w:b w:val="1"/>
          <w:bCs w:val="1"/>
          <w:color w:val="auto"/>
        </w:rPr>
        <w:t xml:space="preserve"> </w:t>
      </w:r>
      <w:r>
        <w:rPr>
          <w:rFonts w:ascii="Arial" w:cs="Arial" w:eastAsia="Arial" w:hAnsi="Arial"/>
          <w:sz w:val="22"/>
          <w:szCs w:val="22"/>
          <w:color w:val="auto"/>
        </w:rPr>
        <w:t>[EXPIRATION DATE], subject to earlier termination or cancellation as provided in this Agreement. If the NYSE is not open for business on [EXPIRATION DATE], the Option will expire at the close of the NYSE on the business day immediately preceding [EXPIRATION DATE].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t>Exhibit 10.39</w:t>
      </w:r>
    </w:p>
    <w:p>
      <w:pPr>
        <w:spacing w:after="0" w:line="200" w:lineRule="exact"/>
        <w:rPr>
          <w:sz w:val="20"/>
          <w:szCs w:val="20"/>
          <w:color w:val="auto"/>
        </w:rPr>
      </w:pPr>
    </w:p>
    <w:p>
      <w:pPr>
        <w:jc w:val="both"/>
        <w:ind w:left="660" w:hanging="652"/>
        <w:spacing w:after="0" w:line="280" w:lineRule="auto"/>
        <w:tabs>
          <w:tab w:leader="none" w:pos="66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Change in Control. </w:t>
      </w:r>
      <w:r>
        <w:rPr>
          <w:rFonts w:ascii="Arial" w:cs="Arial" w:eastAsia="Arial" w:hAnsi="Arial"/>
          <w:sz w:val="19"/>
          <w:szCs w:val="19"/>
          <w:color w:val="auto"/>
        </w:rPr>
        <w:t>If you incur an involuntary Termination of Employment not for Cause (as defined in Section 2.7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a voluntary Termination of Employment for Good Reason (as defined in Section 5.4(d) of the Plan) on or before the second anniversary of the date of a Change in Control, and if the Performance Cycle has not ended when your Termination of Employment occurs, the Option will vest in the amount of the Target Award as of your Termination of Employment. If the vested Option is adjusted or exchanged pursuant to Section 5.3(c), 5.3(d)(ii), 5.3(e) or 5.3(f) of the Plan in connection with a Change in Control, subject to Section 17 and/or 18, you shall have until [DATE] to exercise the Option.</w:t>
      </w:r>
    </w:p>
    <w:p>
      <w:pPr>
        <w:spacing w:after="0" w:line="145" w:lineRule="exact"/>
        <w:rPr>
          <w:rFonts w:ascii="Arial" w:cs="Arial" w:eastAsia="Arial" w:hAnsi="Arial"/>
          <w:sz w:val="19"/>
          <w:szCs w:val="19"/>
          <w:b w:val="1"/>
          <w:bCs w:val="1"/>
          <w:color w:val="auto"/>
        </w:rPr>
      </w:pPr>
    </w:p>
    <w:p>
      <w:pPr>
        <w:jc w:val="both"/>
        <w:ind w:left="660" w:hanging="652"/>
        <w:spacing w:after="0" w:line="239" w:lineRule="auto"/>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of Exercise Price. </w:t>
      </w:r>
      <w:r>
        <w:rPr>
          <w:rFonts w:ascii="Arial" w:cs="Arial" w:eastAsia="Arial" w:hAnsi="Arial"/>
          <w:sz w:val="22"/>
          <w:szCs w:val="22"/>
          <w:color w:val="auto"/>
        </w:rPr>
        <w:t>You may pay the Exercise Price by cash, certified check, bank draft, wire transfer, postal or</w:t>
      </w:r>
      <w:r>
        <w:rPr>
          <w:rFonts w:ascii="Arial" w:cs="Arial" w:eastAsia="Arial" w:hAnsi="Arial"/>
          <w:sz w:val="22"/>
          <w:szCs w:val="22"/>
          <w:b w:val="1"/>
          <w:bCs w:val="1"/>
          <w:color w:val="auto"/>
        </w:rPr>
        <w:t xml:space="preserve"> </w:t>
      </w:r>
      <w:r>
        <w:rPr>
          <w:rFonts w:ascii="Arial" w:cs="Arial" w:eastAsia="Arial" w:hAnsi="Arial"/>
          <w:sz w:val="22"/>
          <w:szCs w:val="22"/>
          <w:color w:val="auto"/>
        </w:rPr>
        <w:t>express 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180" w:lineRule="exact"/>
        <w:rPr>
          <w:rFonts w:ascii="Arial" w:cs="Arial" w:eastAsia="Arial" w:hAnsi="Arial"/>
          <w:sz w:val="22"/>
          <w:szCs w:val="22"/>
          <w:b w:val="1"/>
          <w:bCs w:val="1"/>
          <w:color w:val="auto"/>
        </w:rPr>
      </w:pPr>
    </w:p>
    <w:p>
      <w:pPr>
        <w:jc w:val="both"/>
        <w:ind w:left="660" w:hanging="652"/>
        <w:spacing w:after="0" w:line="236" w:lineRule="auto"/>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of Option. </w:t>
      </w:r>
      <w:r>
        <w:rPr>
          <w:rFonts w:ascii="Arial" w:cs="Arial" w:eastAsia="Arial" w:hAnsi="Arial"/>
          <w:sz w:val="22"/>
          <w:szCs w:val="22"/>
          <w:color w:val="auto"/>
        </w:rPr>
        <w:t>Subject to the terms and conditions of this Agreement, the Option may be exercised by contacting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Honeywell Stock Option Service Center, managed by Morgan Stanley by telephone at 1-888-723-3391 or 1-801-617-7414, or on the internet at </w:t>
      </w:r>
      <w:r>
        <w:rPr>
          <w:rFonts w:ascii="Arial" w:cs="Arial" w:eastAsia="Arial" w:hAnsi="Arial"/>
          <w:sz w:val="22"/>
          <w:szCs w:val="22"/>
          <w:u w:val="single" w:color="auto"/>
          <w:color w:val="auto"/>
        </w:rPr>
        <w:t>www.benefitaccess.com</w:t>
      </w:r>
      <w:r>
        <w:rPr>
          <w:rFonts w:ascii="Arial" w:cs="Arial" w:eastAsia="Arial" w:hAnsi="Arial"/>
          <w:sz w:val="22"/>
          <w:szCs w:val="22"/>
          <w:color w:val="auto"/>
        </w:rPr>
        <w:t>. If the Option is exercised after your death, the Company will deliver Shares only after the Committee has determined that the person exercising the Option is the duly appointed executor or administrator of your estate or the person to whom the Option has been transferred by your will or by the applicable laws of descent and distribution.</w:t>
      </w:r>
    </w:p>
    <w:p>
      <w:pPr>
        <w:spacing w:after="0" w:line="182" w:lineRule="exact"/>
        <w:rPr>
          <w:rFonts w:ascii="Arial" w:cs="Arial" w:eastAsia="Arial" w:hAnsi="Arial"/>
          <w:sz w:val="22"/>
          <w:szCs w:val="22"/>
          <w:b w:val="1"/>
          <w:bCs w:val="1"/>
          <w:color w:val="auto"/>
        </w:rPr>
      </w:pPr>
    </w:p>
    <w:p>
      <w:pPr>
        <w:jc w:val="both"/>
        <w:ind w:left="660" w:hanging="652"/>
        <w:spacing w:after="0" w:line="280" w:lineRule="auto"/>
        <w:tabs>
          <w:tab w:leader="none" w:pos="660"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Withholdings. </w:t>
      </w:r>
      <w:r>
        <w:rPr>
          <w:rFonts w:ascii="Arial" w:cs="Arial" w:eastAsia="Arial" w:hAnsi="Arial"/>
          <w:sz w:val="19"/>
          <w:szCs w:val="19"/>
          <w:color w:val="auto"/>
        </w:rPr>
        <w:t>The Company or your local employer shall have the power and the right to deduct or withhold, or require</w:t>
      </w:r>
      <w:r>
        <w:rPr>
          <w:rFonts w:ascii="Arial" w:cs="Arial" w:eastAsia="Arial" w:hAnsi="Arial"/>
          <w:sz w:val="19"/>
          <w:szCs w:val="19"/>
          <w:b w:val="1"/>
          <w:bCs w:val="1"/>
          <w:color w:val="auto"/>
        </w:rPr>
        <w:t xml:space="preserve"> </w:t>
      </w:r>
      <w:r>
        <w:rPr>
          <w:rFonts w:ascii="Arial" w:cs="Arial" w:eastAsia="Arial" w:hAnsi="Arial"/>
          <w:sz w:val="19"/>
          <w:szCs w:val="19"/>
          <w:color w:val="auto"/>
        </w:rPr>
        <w:t>you to remit to the Company or your local employer,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with respect to the grant of the Option, any exercise of the your rights under this Agreement, the sale of Shares acquired from the exercise of the Option, and/or payment of dividends on Shares acquired pursuant to the Option.</w:t>
      </w:r>
    </w:p>
    <w:p>
      <w:pPr>
        <w:spacing w:after="0" w:line="145" w:lineRule="exact"/>
        <w:rPr>
          <w:rFonts w:ascii="Arial" w:cs="Arial" w:eastAsia="Arial" w:hAnsi="Arial"/>
          <w:sz w:val="19"/>
          <w:szCs w:val="19"/>
          <w:b w:val="1"/>
          <w:bCs w:val="1"/>
          <w:color w:val="auto"/>
        </w:rPr>
      </w:pPr>
    </w:p>
    <w:p>
      <w:pPr>
        <w:ind w:left="660" w:hanging="652"/>
        <w:spacing w:after="0" w:line="256" w:lineRule="auto"/>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 of Option. </w:t>
      </w:r>
      <w:r>
        <w:rPr>
          <w:rFonts w:ascii="Arial" w:cs="Arial" w:eastAsia="Arial" w:hAnsi="Arial"/>
          <w:sz w:val="22"/>
          <w:szCs w:val="22"/>
          <w:color w:val="auto"/>
        </w:rPr>
        <w:t>You may not transfer the Option or any interest in the Option except by will or the laws of descent and</w:t>
      </w:r>
      <w:r>
        <w:rPr>
          <w:rFonts w:ascii="Arial" w:cs="Arial" w:eastAsia="Arial" w:hAnsi="Arial"/>
          <w:sz w:val="22"/>
          <w:szCs w:val="22"/>
          <w:b w:val="1"/>
          <w:bCs w:val="1"/>
          <w:color w:val="auto"/>
        </w:rPr>
        <w:t xml:space="preserve"> </w:t>
      </w:r>
      <w:r>
        <w:rPr>
          <w:rFonts w:ascii="Arial" w:cs="Arial" w:eastAsia="Arial" w:hAnsi="Arial"/>
          <w:sz w:val="22"/>
          <w:szCs w:val="22"/>
          <w:color w:val="auto"/>
        </w:rPr>
        <w:t>distribution or except as permitted by the Committee and as specified in the Plan.</w:t>
      </w:r>
    </w:p>
    <w:p>
      <w:pPr>
        <w:spacing w:after="0" w:line="162" w:lineRule="exact"/>
        <w:rPr>
          <w:rFonts w:ascii="Arial" w:cs="Arial" w:eastAsia="Arial" w:hAnsi="Arial"/>
          <w:sz w:val="22"/>
          <w:szCs w:val="22"/>
          <w:b w:val="1"/>
          <w:bCs w:val="1"/>
          <w:color w:val="auto"/>
        </w:rPr>
      </w:pPr>
    </w:p>
    <w:p>
      <w:pPr>
        <w:ind w:left="660" w:hanging="652"/>
        <w:spacing w:after="0"/>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Requirements for and Forfeiture of Award.</w:t>
      </w:r>
    </w:p>
    <w:p>
      <w:pPr>
        <w:spacing w:after="0" w:line="206" w:lineRule="exact"/>
        <w:rPr>
          <w:sz w:val="20"/>
          <w:szCs w:val="20"/>
          <w:color w:val="auto"/>
        </w:rPr>
      </w:pPr>
    </w:p>
    <w:p>
      <w:pPr>
        <w:jc w:val="both"/>
        <w:ind w:left="1300" w:hanging="644"/>
        <w:spacing w:after="0" w:line="284" w:lineRule="auto"/>
        <w:tabs>
          <w:tab w:leader="none" w:pos="130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Award is expressly contingent upon you complying with the terms, conditions and 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contained in this Section 17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17, the term “Honeywell” is defined as Honeywell International Inc. (a Delaware corporation having a place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8" w:name="page99"/>
    <w:bookmarkEnd w:id="98"/>
    <w:p>
      <w:pPr>
        <w:ind w:left="9584"/>
        <w:spacing w:after="0"/>
        <w:rPr>
          <w:sz w:val="20"/>
          <w:szCs w:val="20"/>
          <w:color w:val="auto"/>
        </w:rPr>
      </w:pPr>
      <w:r>
        <w:rPr>
          <w:rFonts w:ascii="Arial" w:cs="Arial" w:eastAsia="Arial" w:hAnsi="Arial"/>
          <w:sz w:val="19"/>
          <w:szCs w:val="19"/>
          <w:color w:val="auto"/>
        </w:rPr>
        <w:t>Exhibit 10.39</w:t>
      </w:r>
    </w:p>
    <w:p>
      <w:pPr>
        <w:spacing w:after="0" w:line="241" w:lineRule="exact"/>
        <w:rPr>
          <w:sz w:val="20"/>
          <w:szCs w:val="20"/>
          <w:color w:val="auto"/>
        </w:rPr>
      </w:pPr>
    </w:p>
    <w:p>
      <w:pPr>
        <w:jc w:val="both"/>
        <w:ind w:left="644"/>
        <w:spacing w:after="0" w:line="297" w:lineRule="auto"/>
        <w:rPr>
          <w:sz w:val="20"/>
          <w:szCs w:val="20"/>
          <w:color w:val="auto"/>
        </w:rPr>
      </w:pPr>
      <w:r>
        <w:rPr>
          <w:rFonts w:ascii="Arial" w:cs="Arial" w:eastAsia="Arial" w:hAnsi="Arial"/>
          <w:sz w:val="19"/>
          <w:szCs w:val="19"/>
          <w:color w:val="auto"/>
        </w:rPr>
        <w:t>business at Columbia Road and Park Avenue, Morris Township, Morris County, New Jersey), its predecessors, designees and successors, as well as its past, present and future operating companies, divisions, subsidiaries, affiliates and other business units, including businesses acquired by purchase of assets, stock, merger or otherwise.</w:t>
      </w:r>
    </w:p>
    <w:p>
      <w:pPr>
        <w:spacing w:after="0" w:line="155" w:lineRule="exact"/>
        <w:rPr>
          <w:sz w:val="20"/>
          <w:szCs w:val="20"/>
          <w:color w:val="auto"/>
        </w:rPr>
      </w:pPr>
    </w:p>
    <w:p>
      <w:pPr>
        <w:ind w:left="644" w:hanging="644"/>
        <w:spacing w:after="0"/>
        <w:tabs>
          <w:tab w:leader="none" w:pos="644"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Remedies.</w:t>
      </w:r>
    </w:p>
    <w:p>
      <w:pPr>
        <w:spacing w:after="0" w:line="212" w:lineRule="exact"/>
        <w:rPr>
          <w:rFonts w:ascii="Arial" w:cs="Arial" w:eastAsia="Arial" w:hAnsi="Arial"/>
          <w:sz w:val="22"/>
          <w:szCs w:val="22"/>
          <w:b w:val="1"/>
          <w:bCs w:val="1"/>
          <w:color w:val="auto"/>
        </w:rPr>
      </w:pPr>
    </w:p>
    <w:p>
      <w:pPr>
        <w:jc w:val="both"/>
        <w:ind w:left="1304" w:hanging="655"/>
        <w:spacing w:after="0" w:line="270" w:lineRule="auto"/>
        <w:tabs>
          <w:tab w:leader="none" w:pos="1304" w:val="left"/>
        </w:tabs>
        <w:numPr>
          <w:ilvl w:val="1"/>
          <w:numId w:val="39"/>
        </w:numPr>
        <w:rPr>
          <w:rFonts w:ascii="Arial" w:cs="Arial" w:eastAsia="Arial" w:hAnsi="Arial"/>
          <w:sz w:val="19"/>
          <w:szCs w:val="19"/>
          <w:b w:val="1"/>
          <w:bCs w:val="1"/>
          <w:color w:val="auto"/>
        </w:rPr>
      </w:pPr>
      <w:r>
        <w:rPr>
          <w:rFonts w:ascii="Arial" w:cs="Arial" w:eastAsia="Arial" w:hAnsi="Arial"/>
          <w:sz w:val="19"/>
          <w:szCs w:val="19"/>
          <w:color w:val="auto"/>
        </w:rPr>
        <w:t>You expressly agree and acknowledge that the forfeiture provisions of subsection 17.b.2. of this Agreement shall apply if, from the Award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Committee) with Honeywell and the Committee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w:t>
      </w:r>
      <w:r>
        <w:rPr>
          <w:rFonts w:ascii="Arial" w:cs="Arial" w:eastAsia="Arial" w:hAnsi="Arial"/>
          <w:sz w:val="19"/>
          <w:szCs w:val="19"/>
          <w:b w:val="1"/>
          <w:bCs w:val="1"/>
          <w:color w:val="auto"/>
        </w:rPr>
        <w:t>,</w:t>
      </w:r>
      <w:r>
        <w:rPr>
          <w:rFonts w:ascii="Arial" w:cs="Arial" w:eastAsia="Arial" w:hAnsi="Arial"/>
          <w:sz w:val="19"/>
          <w:szCs w:val="19"/>
          <w:color w:val="auto"/>
        </w:rPr>
        <w:t xml:space="preserve">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w:t>
      </w:r>
    </w:p>
    <w:p>
      <w:pPr>
        <w:spacing w:after="0" w:line="200" w:lineRule="exact"/>
        <w:rPr>
          <w:rFonts w:ascii="Arial" w:cs="Arial" w:eastAsia="Arial" w:hAnsi="Arial"/>
          <w:sz w:val="19"/>
          <w:szCs w:val="19"/>
          <w:b w:val="1"/>
          <w:bCs w:val="1"/>
          <w:color w:val="auto"/>
        </w:rPr>
      </w:pPr>
    </w:p>
    <w:p>
      <w:pPr>
        <w:spacing w:after="0" w:line="215" w:lineRule="exact"/>
        <w:rPr>
          <w:rFonts w:ascii="Arial" w:cs="Arial" w:eastAsia="Arial" w:hAnsi="Arial"/>
          <w:sz w:val="19"/>
          <w:szCs w:val="19"/>
          <w:b w:val="1"/>
          <w:bCs w:val="1"/>
          <w:color w:val="auto"/>
        </w:rPr>
      </w:pPr>
    </w:p>
    <w:p>
      <w:pPr>
        <w:jc w:val="both"/>
        <w:ind w:left="1304"/>
        <w:spacing w:after="0" w:line="287" w:lineRule="auto"/>
        <w:rPr>
          <w:rFonts w:ascii="Arial" w:cs="Arial" w:eastAsia="Arial" w:hAnsi="Arial"/>
          <w:sz w:val="19"/>
          <w:szCs w:val="19"/>
          <w:b w:val="1"/>
          <w:bCs w:val="1"/>
          <w:color w:val="auto"/>
        </w:rPr>
      </w:pPr>
      <w:r>
        <w:rPr>
          <w:rFonts w:ascii="Arial" w:cs="Arial" w:eastAsia="Arial" w:hAnsi="Arial"/>
          <w:sz w:val="19"/>
          <w:szCs w:val="19"/>
          <w:color w:val="auto"/>
        </w:rPr>
        <w:t>For purposes of this subsection 17.b.1,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70" w:lineRule="exact"/>
        <w:rPr>
          <w:rFonts w:ascii="Arial" w:cs="Arial" w:eastAsia="Arial" w:hAnsi="Arial"/>
          <w:sz w:val="19"/>
          <w:szCs w:val="19"/>
          <w:b w:val="1"/>
          <w:bCs w:val="1"/>
          <w:color w:val="auto"/>
        </w:rPr>
      </w:pPr>
    </w:p>
    <w:p>
      <w:pPr>
        <w:jc w:val="both"/>
        <w:ind w:left="1304" w:hanging="655"/>
        <w:spacing w:after="0" w:line="282" w:lineRule="auto"/>
        <w:tabs>
          <w:tab w:leader="none" w:pos="1304" w:val="left"/>
        </w:tabs>
        <w:numPr>
          <w:ilvl w:val="1"/>
          <w:numId w:val="39"/>
        </w:numPr>
        <w:rPr>
          <w:rFonts w:ascii="Arial" w:cs="Arial" w:eastAsia="Arial" w:hAnsi="Arial"/>
          <w:sz w:val="19"/>
          <w:szCs w:val="19"/>
          <w:b w:val="1"/>
          <w:bCs w:val="1"/>
          <w:color w:val="auto"/>
        </w:rPr>
      </w:pPr>
      <w:r>
        <w:rPr>
          <w:rFonts w:ascii="Arial" w:cs="Arial" w:eastAsia="Arial" w:hAnsi="Arial"/>
          <w:sz w:val="19"/>
          <w:szCs w:val="19"/>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Committee determines, in its sole judgment, that you have violated the terms of any such agreement or you have engaged in an act that violates subsection 17.b.1. of this Agreement, (i) any portion of</w:t>
      </w:r>
    </w:p>
    <w:p>
      <w:pPr>
        <w:spacing w:after="0" w:line="124"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154940</wp:posOffset>
            </wp:positionV>
            <wp:extent cx="7246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99" w:name="page100"/>
    <w:bookmarkEnd w:id="99"/>
    <w:p>
      <w:pPr>
        <w:ind w:left="10240"/>
        <w:spacing w:after="0"/>
        <w:rPr>
          <w:sz w:val="20"/>
          <w:szCs w:val="20"/>
          <w:color w:val="auto"/>
        </w:rPr>
      </w:pPr>
      <w:r>
        <w:rPr>
          <w:rFonts w:ascii="Arial" w:cs="Arial" w:eastAsia="Arial" w:hAnsi="Arial"/>
          <w:sz w:val="19"/>
          <w:szCs w:val="19"/>
          <w:color w:val="auto"/>
        </w:rPr>
        <w:t>Exhibit 10.39</w:t>
      </w:r>
    </w:p>
    <w:p>
      <w:pPr>
        <w:spacing w:after="0" w:line="241" w:lineRule="exact"/>
        <w:rPr>
          <w:sz w:val="20"/>
          <w:szCs w:val="20"/>
          <w:color w:val="auto"/>
        </w:rPr>
      </w:pPr>
    </w:p>
    <w:p>
      <w:pPr>
        <w:jc w:val="both"/>
        <w:ind w:left="1960"/>
        <w:spacing w:after="0" w:line="282" w:lineRule="auto"/>
        <w:rPr>
          <w:sz w:val="20"/>
          <w:szCs w:val="20"/>
          <w:color w:val="auto"/>
        </w:rPr>
      </w:pPr>
      <w:r>
        <w:rPr>
          <w:rFonts w:ascii="Arial" w:cs="Arial" w:eastAsia="Arial" w:hAnsi="Arial"/>
          <w:sz w:val="19"/>
          <w:szCs w:val="19"/>
          <w:color w:val="auto"/>
        </w:rPr>
        <w:t>the Option you have not exercised (whether vested or unvested) shall immediately be cancelled, and you shall forfeit any rights you have with respect to the Option as of the date of the Committee’s determination, and (ii) you shall immediately deliver to the Company Shares equal in value to the gross amount of any profit you realized upon an exercise of the Option during the period beginning twelve (12) months prior to your Termination of Employment and ending on the date of the Committee’s determination.</w:t>
      </w:r>
    </w:p>
    <w:p>
      <w:pPr>
        <w:spacing w:after="0" w:line="175" w:lineRule="exact"/>
        <w:rPr>
          <w:sz w:val="20"/>
          <w:szCs w:val="20"/>
          <w:color w:val="auto"/>
        </w:rPr>
      </w:pPr>
    </w:p>
    <w:p>
      <w:pPr>
        <w:jc w:val="both"/>
        <w:ind w:left="1960" w:right="20" w:hanging="655"/>
        <w:spacing w:after="0" w:line="252" w:lineRule="auto"/>
        <w:tabs>
          <w:tab w:leader="none" w:pos="1960" w:val="left"/>
        </w:tabs>
        <w:numPr>
          <w:ilvl w:val="1"/>
          <w:numId w:val="40"/>
        </w:numPr>
        <w:rPr>
          <w:rFonts w:ascii="Arial" w:cs="Arial" w:eastAsia="Arial" w:hAnsi="Arial"/>
          <w:sz w:val="21"/>
          <w:szCs w:val="21"/>
          <w:b w:val="1"/>
          <w:bCs w:val="1"/>
          <w:color w:val="auto"/>
        </w:rPr>
      </w:pPr>
      <w:r>
        <w:rPr>
          <w:rFonts w:ascii="Arial" w:cs="Arial" w:eastAsia="Arial" w:hAnsi="Arial"/>
          <w:sz w:val="21"/>
          <w:szCs w:val="21"/>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68" w:lineRule="exact"/>
        <w:rPr>
          <w:rFonts w:ascii="Arial" w:cs="Arial" w:eastAsia="Arial" w:hAnsi="Arial"/>
          <w:sz w:val="21"/>
          <w:szCs w:val="21"/>
          <w:b w:val="1"/>
          <w:bCs w:val="1"/>
          <w:color w:val="auto"/>
        </w:rPr>
      </w:pPr>
    </w:p>
    <w:p>
      <w:pPr>
        <w:ind w:left="660" w:hanging="652"/>
        <w:spacing w:after="0" w:line="256" w:lineRule="auto"/>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Special Vesting and Forfeiture Conditions. [DESCRIBE SPECIAL VESTING AND FORFEITURE CONDITIONS, AS APPLICABLE].</w:t>
      </w:r>
    </w:p>
    <w:p>
      <w:pPr>
        <w:spacing w:after="0" w:line="162" w:lineRule="exact"/>
        <w:rPr>
          <w:rFonts w:ascii="Arial" w:cs="Arial" w:eastAsia="Arial" w:hAnsi="Arial"/>
          <w:sz w:val="22"/>
          <w:szCs w:val="22"/>
          <w:b w:val="1"/>
          <w:bCs w:val="1"/>
          <w:color w:val="auto"/>
        </w:rPr>
      </w:pPr>
    </w:p>
    <w:p>
      <w:pPr>
        <w:ind w:left="660" w:hanging="652"/>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Option will be governed by Section 5.3 of the Plan.</w:t>
      </w:r>
    </w:p>
    <w:p>
      <w:pPr>
        <w:spacing w:after="0" w:line="206" w:lineRule="exact"/>
        <w:rPr>
          <w:rFonts w:ascii="Arial" w:cs="Arial" w:eastAsia="Arial" w:hAnsi="Arial"/>
          <w:sz w:val="22"/>
          <w:szCs w:val="22"/>
          <w:b w:val="1"/>
          <w:bCs w:val="1"/>
          <w:color w:val="auto"/>
        </w:rPr>
      </w:pPr>
    </w:p>
    <w:p>
      <w:pPr>
        <w:jc w:val="both"/>
        <w:ind w:left="660" w:hanging="652"/>
        <w:spacing w:after="0" w:line="236" w:lineRule="auto"/>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Restrictions on Exercise. </w:t>
      </w:r>
      <w:r>
        <w:rPr>
          <w:rFonts w:ascii="Arial" w:cs="Arial" w:eastAsia="Arial" w:hAnsi="Arial"/>
          <w:sz w:val="22"/>
          <w:szCs w:val="22"/>
          <w:color w:val="auto"/>
        </w:rPr>
        <w:t>Exercise of the Option is subject to the conditions that, to the extent required at the time of</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(i) the Shares covered by the Option will be duly listed, upon official notice of issuance, upon the NYSE,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182" w:lineRule="exact"/>
        <w:rPr>
          <w:rFonts w:ascii="Arial" w:cs="Arial" w:eastAsia="Arial" w:hAnsi="Arial"/>
          <w:sz w:val="22"/>
          <w:szCs w:val="22"/>
          <w:b w:val="1"/>
          <w:bCs w:val="1"/>
          <w:color w:val="auto"/>
        </w:rPr>
      </w:pPr>
    </w:p>
    <w:p>
      <w:pPr>
        <w:jc w:val="both"/>
        <w:ind w:left="660" w:hanging="652"/>
        <w:spacing w:after="0" w:line="278" w:lineRule="auto"/>
        <w:tabs>
          <w:tab w:leader="none" w:pos="660"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Disposition of Securities. </w:t>
      </w:r>
      <w:r>
        <w:rPr>
          <w:rFonts w:ascii="Arial" w:cs="Arial" w:eastAsia="Arial" w:hAnsi="Arial"/>
          <w:sz w:val="19"/>
          <w:szCs w:val="19"/>
          <w:color w:val="auto"/>
        </w:rPr>
        <w:t>By accepting the Award, you acknowledge that you have read and understand the 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policy, and are aware of and understand your obligations under U.S. federal securities laws in respect of trading in the Company’s securities, and you agree not to use the Company’s “cashless exercise” program (or any successor program) at any time when you possess material nonpublic information with respect to the Company or when using the program would otherwise result in a violation of securities law. The Company will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spacing w:after="0" w:line="146" w:lineRule="exact"/>
        <w:rPr>
          <w:rFonts w:ascii="Arial" w:cs="Arial" w:eastAsia="Arial" w:hAnsi="Arial"/>
          <w:sz w:val="19"/>
          <w:szCs w:val="19"/>
          <w:b w:val="1"/>
          <w:bCs w:val="1"/>
          <w:color w:val="auto"/>
        </w:rPr>
      </w:pPr>
    </w:p>
    <w:p>
      <w:pPr>
        <w:jc w:val="both"/>
        <w:ind w:left="660" w:hanging="652"/>
        <w:spacing w:after="0" w:line="248" w:lineRule="auto"/>
        <w:tabs>
          <w:tab w:leader="none" w:pos="66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Plan Terms Govern. </w:t>
      </w:r>
      <w:r>
        <w:rPr>
          <w:rFonts w:ascii="Arial" w:cs="Arial" w:eastAsia="Arial" w:hAnsi="Arial"/>
          <w:sz w:val="21"/>
          <w:szCs w:val="21"/>
          <w:color w:val="auto"/>
        </w:rPr>
        <w:t>The exercise of the Option, the disposition of any Shares received upon exercise of the Option,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treatment of any gain on the disposition of these Shares are subject to the terms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t>Exhibit 10.39</w:t>
      </w:r>
    </w:p>
    <w:p>
      <w:pPr>
        <w:spacing w:after="0" w:line="20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Personal Data.</w:t>
      </w:r>
    </w:p>
    <w:p>
      <w:pPr>
        <w:spacing w:after="0" w:line="212" w:lineRule="exact"/>
        <w:rPr>
          <w:rFonts w:ascii="Arial" w:cs="Arial" w:eastAsia="Arial" w:hAnsi="Arial"/>
          <w:sz w:val="22"/>
          <w:szCs w:val="22"/>
          <w:b w:val="1"/>
          <w:bCs w:val="1"/>
          <w:color w:val="auto"/>
        </w:rPr>
      </w:pPr>
    </w:p>
    <w:p>
      <w:pPr>
        <w:jc w:val="both"/>
        <w:ind w:left="1300" w:hanging="644"/>
        <w:spacing w:after="0"/>
        <w:tabs>
          <w:tab w:leader="none" w:pos="1300"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186" w:lineRule="exact"/>
        <w:rPr>
          <w:rFonts w:ascii="Arial" w:cs="Arial" w:eastAsia="Arial" w:hAnsi="Arial"/>
          <w:sz w:val="22"/>
          <w:szCs w:val="22"/>
          <w:b w:val="1"/>
          <w:bCs w:val="1"/>
          <w:color w:val="auto"/>
        </w:rPr>
      </w:pPr>
    </w:p>
    <w:p>
      <w:pPr>
        <w:jc w:val="both"/>
        <w:ind w:left="1300" w:hanging="644"/>
        <w:spacing w:after="0" w:line="236" w:lineRule="auto"/>
        <w:tabs>
          <w:tab w:leader="none" w:pos="1300"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spacing w:after="0" w:line="187" w:lineRule="exact"/>
        <w:rPr>
          <w:rFonts w:ascii="Arial" w:cs="Arial" w:eastAsia="Arial" w:hAnsi="Arial"/>
          <w:sz w:val="22"/>
          <w:szCs w:val="22"/>
          <w:b w:val="1"/>
          <w:bCs w:val="1"/>
          <w:color w:val="auto"/>
        </w:rPr>
      </w:pPr>
    </w:p>
    <w:p>
      <w:pPr>
        <w:jc w:val="both"/>
        <w:ind w:left="1300" w:hanging="644"/>
        <w:spacing w:after="0" w:line="297" w:lineRule="auto"/>
        <w:tabs>
          <w:tab w:leader="none" w:pos="1300" w:val="left"/>
        </w:tabs>
        <w:numPr>
          <w:ilvl w:val="1"/>
          <w:numId w:val="42"/>
        </w:numPr>
        <w:rPr>
          <w:rFonts w:ascii="Arial" w:cs="Arial" w:eastAsia="Arial" w:hAnsi="Arial"/>
          <w:sz w:val="19"/>
          <w:szCs w:val="19"/>
          <w:b w:val="1"/>
          <w:bCs w:val="1"/>
          <w:color w:val="auto"/>
        </w:rPr>
      </w:pPr>
      <w:r>
        <w:rPr>
          <w:rFonts w:ascii="Arial" w:cs="Arial" w:eastAsia="Arial" w:hAnsi="Arial"/>
          <w:sz w:val="19"/>
          <w:szCs w:val="19"/>
          <w:color w:val="auto"/>
        </w:rPr>
        <w:t>You further understand that part or all of your Data may be also held by the Company or its Affiliates, pursuant to a transfer made in the past with your consent, in respect of any previous grant of options or awards, which was made for the same purposes of managing and administering of previous award/incentive plans, or for other purposes.</w:t>
      </w:r>
    </w:p>
    <w:p>
      <w:pPr>
        <w:spacing w:after="0" w:line="134" w:lineRule="exact"/>
        <w:rPr>
          <w:rFonts w:ascii="Arial" w:cs="Arial" w:eastAsia="Arial" w:hAnsi="Arial"/>
          <w:sz w:val="19"/>
          <w:szCs w:val="19"/>
          <w:b w:val="1"/>
          <w:bCs w:val="1"/>
          <w:color w:val="auto"/>
        </w:rPr>
      </w:pPr>
    </w:p>
    <w:p>
      <w:pPr>
        <w:jc w:val="both"/>
        <w:ind w:left="1300" w:hanging="644"/>
        <w:spacing w:after="0" w:line="236" w:lineRule="auto"/>
        <w:tabs>
          <w:tab w:leader="none" w:pos="1300"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87" w:lineRule="exact"/>
        <w:rPr>
          <w:rFonts w:ascii="Arial" w:cs="Arial" w:eastAsia="Arial" w:hAnsi="Arial"/>
          <w:sz w:val="22"/>
          <w:szCs w:val="22"/>
          <w:b w:val="1"/>
          <w:bCs w:val="1"/>
          <w:color w:val="auto"/>
        </w:rPr>
      </w:pPr>
    </w:p>
    <w:p>
      <w:pPr>
        <w:jc w:val="both"/>
        <w:ind w:left="1300" w:hanging="644"/>
        <w:spacing w:after="0" w:line="279" w:lineRule="auto"/>
        <w:tabs>
          <w:tab w:leader="none" w:pos="1300" w:val="left"/>
        </w:tabs>
        <w:numPr>
          <w:ilvl w:val="1"/>
          <w:numId w:val="42"/>
        </w:numPr>
        <w:rPr>
          <w:rFonts w:ascii="Arial" w:cs="Arial" w:eastAsia="Arial" w:hAnsi="Arial"/>
          <w:sz w:val="19"/>
          <w:szCs w:val="19"/>
          <w:b w:val="1"/>
          <w:bCs w:val="1"/>
          <w:color w:val="auto"/>
        </w:rPr>
      </w:pPr>
      <w:r>
        <w:rPr>
          <w:rFonts w:ascii="Arial" w:cs="Arial" w:eastAsia="Arial" w:hAnsi="Arial"/>
          <w:sz w:val="19"/>
          <w:szCs w:val="19"/>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50" w:lineRule="exact"/>
        <w:rPr>
          <w:rFonts w:ascii="Arial" w:cs="Arial" w:eastAsia="Arial" w:hAnsi="Arial"/>
          <w:sz w:val="19"/>
          <w:szCs w:val="19"/>
          <w:b w:val="1"/>
          <w:bCs w:val="1"/>
          <w:color w:val="auto"/>
        </w:rPr>
      </w:pPr>
    </w:p>
    <w:p>
      <w:pPr>
        <w:jc w:val="both"/>
        <w:ind w:left="1300" w:hanging="644"/>
        <w:spacing w:after="0" w:line="238" w:lineRule="auto"/>
        <w:tabs>
          <w:tab w:leader="none" w:pos="1300"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79" w:lineRule="exact"/>
        <w:rPr>
          <w:rFonts w:ascii="Arial" w:cs="Arial" w:eastAsia="Arial" w:hAnsi="Arial"/>
          <w:sz w:val="22"/>
          <w:szCs w:val="22"/>
          <w:b w:val="1"/>
          <w:bCs w:val="1"/>
          <w:color w:val="auto"/>
        </w:rPr>
      </w:pPr>
    </w:p>
    <w:p>
      <w:pPr>
        <w:ind w:left="660" w:hanging="652"/>
        <w:spacing w:after="0" w:line="256" w:lineRule="auto"/>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Discretionary Nature and Acceptance of Award. </w:t>
      </w:r>
      <w:r>
        <w:rPr>
          <w:rFonts w:ascii="Arial" w:cs="Arial" w:eastAsia="Arial" w:hAnsi="Arial"/>
          <w:sz w:val="22"/>
          <w:szCs w:val="22"/>
          <w:color w:val="auto"/>
        </w:rPr>
        <w:t>By accepting this Award, you agree to be bound by the terms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acknowledge that: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Exhibit 10.39</w:t>
      </w:r>
    </w:p>
    <w:p>
      <w:pPr>
        <w:spacing w:after="0" w:line="206" w:lineRule="exact"/>
        <w:rPr>
          <w:sz w:val="20"/>
          <w:szCs w:val="20"/>
          <w:color w:val="auto"/>
        </w:rPr>
      </w:pPr>
    </w:p>
    <w:p>
      <w:pPr>
        <w:ind w:left="1300" w:right="20" w:hanging="644"/>
        <w:spacing w:after="0" w:line="328" w:lineRule="auto"/>
        <w:tabs>
          <w:tab w:leader="none" w:pos="1300" w:val="left"/>
        </w:tabs>
        <w:numPr>
          <w:ilvl w:val="1"/>
          <w:numId w:val="43"/>
        </w:numPr>
        <w:rPr>
          <w:rFonts w:ascii="Arial" w:cs="Arial" w:eastAsia="Arial" w:hAnsi="Arial"/>
          <w:sz w:val="19"/>
          <w:szCs w:val="19"/>
          <w:b w:val="1"/>
          <w:bCs w:val="1"/>
          <w:color w:val="auto"/>
        </w:rPr>
      </w:pPr>
      <w:r>
        <w:rPr>
          <w:rFonts w:ascii="Arial" w:cs="Arial" w:eastAsia="Arial" w:hAnsi="Arial"/>
          <w:sz w:val="19"/>
          <w:szCs w:val="19"/>
          <w:color w:val="auto"/>
        </w:rPr>
        <w:t>The Company (and not your local employer) is granting your Option. Furthermore, this Agreement is not derived from any preexisting labor relationship between you and the Company, but rather from a mercantile relationship.</w:t>
      </w:r>
    </w:p>
    <w:p>
      <w:pPr>
        <w:spacing w:after="0" w:line="105" w:lineRule="exact"/>
        <w:rPr>
          <w:rFonts w:ascii="Arial" w:cs="Arial" w:eastAsia="Arial" w:hAnsi="Arial"/>
          <w:sz w:val="19"/>
          <w:szCs w:val="19"/>
          <w:b w:val="1"/>
          <w:bCs w:val="1"/>
          <w:color w:val="auto"/>
        </w:rPr>
      </w:pPr>
    </w:p>
    <w:p>
      <w:pPr>
        <w:ind w:left="1300" w:hanging="644"/>
        <w:spacing w:after="0" w:line="251" w:lineRule="auto"/>
        <w:tabs>
          <w:tab w:leader="none" w:pos="1300"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The Company may administer the Plan from outside your country of residence and United States law will govern all options granted under the Plan.</w:t>
      </w:r>
    </w:p>
    <w:p>
      <w:pPr>
        <w:spacing w:after="0" w:line="173" w:lineRule="exact"/>
        <w:rPr>
          <w:rFonts w:ascii="Arial" w:cs="Arial" w:eastAsia="Arial" w:hAnsi="Arial"/>
          <w:sz w:val="22"/>
          <w:szCs w:val="22"/>
          <w:b w:val="1"/>
          <w:bCs w:val="1"/>
          <w:color w:val="auto"/>
        </w:rPr>
      </w:pPr>
    </w:p>
    <w:p>
      <w:pPr>
        <w:ind w:left="1300" w:hanging="644"/>
        <w:spacing w:after="0" w:line="251" w:lineRule="auto"/>
        <w:tabs>
          <w:tab w:leader="none" w:pos="1300"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Benefits and rights provided under the Plan are wholly discretionary and, although provided by the Company, do not constitute regular or periodic payments.</w:t>
      </w:r>
    </w:p>
    <w:p>
      <w:pPr>
        <w:spacing w:after="0" w:line="173" w:lineRule="exact"/>
        <w:rPr>
          <w:rFonts w:ascii="Arial" w:cs="Arial" w:eastAsia="Arial" w:hAnsi="Arial"/>
          <w:sz w:val="22"/>
          <w:szCs w:val="22"/>
          <w:b w:val="1"/>
          <w:bCs w:val="1"/>
          <w:color w:val="auto"/>
        </w:rPr>
      </w:pPr>
    </w:p>
    <w:p>
      <w:pPr>
        <w:jc w:val="both"/>
        <w:ind w:left="1300" w:hanging="644"/>
        <w:spacing w:after="0" w:line="277" w:lineRule="auto"/>
        <w:tabs>
          <w:tab w:leader="none" w:pos="1300" w:val="left"/>
        </w:tabs>
        <w:numPr>
          <w:ilvl w:val="1"/>
          <w:numId w:val="43"/>
        </w:numPr>
        <w:rPr>
          <w:rFonts w:ascii="Arial" w:cs="Arial" w:eastAsia="Arial" w:hAnsi="Arial"/>
          <w:sz w:val="19"/>
          <w:szCs w:val="19"/>
          <w:b w:val="1"/>
          <w:bCs w:val="1"/>
          <w:color w:val="auto"/>
        </w:rPr>
      </w:pPr>
      <w:r>
        <w:rPr>
          <w:rFonts w:ascii="Arial" w:cs="Arial" w:eastAsia="Arial" w:hAnsi="Arial"/>
          <w:sz w:val="19"/>
          <w:szCs w:val="19"/>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52" w:lineRule="exact"/>
        <w:rPr>
          <w:rFonts w:ascii="Arial" w:cs="Arial" w:eastAsia="Arial" w:hAnsi="Arial"/>
          <w:sz w:val="19"/>
          <w:szCs w:val="19"/>
          <w:b w:val="1"/>
          <w:bCs w:val="1"/>
          <w:color w:val="auto"/>
        </w:rPr>
      </w:pPr>
    </w:p>
    <w:p>
      <w:pPr>
        <w:jc w:val="both"/>
        <w:ind w:left="1300" w:hanging="644"/>
        <w:spacing w:after="0" w:line="235" w:lineRule="auto"/>
        <w:tabs>
          <w:tab w:leader="none" w:pos="1300"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88" w:lineRule="exact"/>
        <w:rPr>
          <w:rFonts w:ascii="Arial" w:cs="Arial" w:eastAsia="Arial" w:hAnsi="Arial"/>
          <w:sz w:val="22"/>
          <w:szCs w:val="22"/>
          <w:b w:val="1"/>
          <w:bCs w:val="1"/>
          <w:color w:val="auto"/>
        </w:rPr>
      </w:pPr>
    </w:p>
    <w:p>
      <w:pPr>
        <w:jc w:val="both"/>
        <w:ind w:left="1300" w:hanging="644"/>
        <w:spacing w:after="0" w:line="258" w:lineRule="auto"/>
        <w:tabs>
          <w:tab w:leader="none" w:pos="1300" w:val="left"/>
        </w:tabs>
        <w:numPr>
          <w:ilvl w:val="1"/>
          <w:numId w:val="43"/>
        </w:numPr>
        <w:rPr>
          <w:rFonts w:ascii="Arial" w:cs="Arial" w:eastAsia="Arial" w:hAnsi="Arial"/>
          <w:sz w:val="21"/>
          <w:szCs w:val="21"/>
          <w:b w:val="1"/>
          <w:bCs w:val="1"/>
          <w:color w:val="auto"/>
        </w:rPr>
      </w:pPr>
      <w:r>
        <w:rPr>
          <w:rFonts w:ascii="Arial" w:cs="Arial" w:eastAsia="Arial" w:hAnsi="Arial"/>
          <w:sz w:val="21"/>
          <w:szCs w:val="21"/>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66" w:lineRule="exact"/>
        <w:rPr>
          <w:rFonts w:ascii="Arial" w:cs="Arial" w:eastAsia="Arial" w:hAnsi="Arial"/>
          <w:sz w:val="21"/>
          <w:szCs w:val="21"/>
          <w:b w:val="1"/>
          <w:bCs w:val="1"/>
          <w:color w:val="auto"/>
        </w:rPr>
      </w:pPr>
    </w:p>
    <w:p>
      <w:pPr>
        <w:ind w:left="1300" w:right="20" w:hanging="644"/>
        <w:spacing w:after="0" w:line="251" w:lineRule="auto"/>
        <w:tabs>
          <w:tab w:leader="none" w:pos="1300"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Participation in the Plan will not be deemed to constitute, and will not be deemed by you to constitute, an employment or labor relationship of any kind with the Company.</w:t>
      </w:r>
    </w:p>
    <w:p>
      <w:pPr>
        <w:spacing w:after="0" w:line="167" w:lineRule="exact"/>
        <w:rPr>
          <w:rFonts w:ascii="Arial" w:cs="Arial" w:eastAsia="Arial" w:hAnsi="Arial"/>
          <w:sz w:val="22"/>
          <w:szCs w:val="22"/>
          <w:b w:val="1"/>
          <w:bCs w:val="1"/>
          <w:color w:val="auto"/>
        </w:rPr>
      </w:pPr>
    </w:p>
    <w:p>
      <w:pPr>
        <w:jc w:val="both"/>
        <w:ind w:left="660" w:hanging="652"/>
        <w:spacing w:after="0" w:line="251" w:lineRule="auto"/>
        <w:tabs>
          <w:tab w:leader="none" w:pos="660"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Limitations. </w:t>
      </w:r>
      <w:r>
        <w:rPr>
          <w:rFonts w:ascii="Arial" w:cs="Arial" w:eastAsia="Arial" w:hAnsi="Arial"/>
          <w:sz w:val="21"/>
          <w:szCs w:val="21"/>
          <w:color w:val="auto"/>
        </w:rPr>
        <w:t>Nothing in this Agreement or the Plan gives you any right to continue in the employ of the Company or any of</w:t>
      </w:r>
      <w:r>
        <w:rPr>
          <w:rFonts w:ascii="Arial" w:cs="Arial" w:eastAsia="Arial" w:hAnsi="Arial"/>
          <w:sz w:val="21"/>
          <w:szCs w:val="21"/>
          <w:b w:val="1"/>
          <w:bCs w:val="1"/>
          <w:color w:val="auto"/>
        </w:rPr>
        <w:t xml:space="preserve"> </w:t>
      </w:r>
      <w:r>
        <w:rPr>
          <w:rFonts w:ascii="Arial" w:cs="Arial" w:eastAsia="Arial" w:hAnsi="Arial"/>
          <w:sz w:val="21"/>
          <w:szCs w:val="21"/>
          <w:color w:val="auto"/>
        </w:rPr>
        <w:t>its Affiliates or to interfere in any way with the right of the Company or any Affiliate to 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color w:val="auto"/>
        </w:rPr>
        <w:t>Exhibit 10.39</w:t>
      </w:r>
    </w:p>
    <w:p>
      <w:pPr>
        <w:spacing w:after="0" w:line="200" w:lineRule="exact"/>
        <w:rPr>
          <w:sz w:val="20"/>
          <w:szCs w:val="20"/>
          <w:color w:val="auto"/>
        </w:rPr>
      </w:pPr>
    </w:p>
    <w:p>
      <w:pPr>
        <w:jc w:val="both"/>
        <w:ind w:left="660" w:hanging="652"/>
        <w:spacing w:after="0" w:line="243"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Incorporation of Other Agreements. </w:t>
      </w:r>
      <w:r>
        <w:rPr>
          <w:rFonts w:ascii="Arial" w:cs="Arial" w:eastAsia="Arial" w:hAnsi="Arial"/>
          <w:sz w:val="22"/>
          <w:szCs w:val="22"/>
          <w:color w:val="auto"/>
        </w:rPr>
        <w:t>This Agreement and the Plan constitute the entire understanding between you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regarding the Option. This Agreement supersedes any prior agreements, commitments or negotiations concerning the Option.</w:t>
      </w:r>
    </w:p>
    <w:p>
      <w:pPr>
        <w:spacing w:after="0" w:line="176" w:lineRule="exact"/>
        <w:rPr>
          <w:rFonts w:ascii="Arial" w:cs="Arial" w:eastAsia="Arial" w:hAnsi="Arial"/>
          <w:sz w:val="22"/>
          <w:szCs w:val="22"/>
          <w:b w:val="1"/>
          <w:bCs w:val="1"/>
          <w:color w:val="auto"/>
        </w:rPr>
      </w:pPr>
    </w:p>
    <w:p>
      <w:pPr>
        <w:jc w:val="both"/>
        <w:ind w:left="660" w:hanging="652"/>
        <w:spacing w:after="0" w:line="239"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will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180" w:lineRule="exact"/>
        <w:rPr>
          <w:rFonts w:ascii="Arial" w:cs="Arial" w:eastAsia="Arial" w:hAnsi="Arial"/>
          <w:sz w:val="22"/>
          <w:szCs w:val="22"/>
          <w:b w:val="1"/>
          <w:bCs w:val="1"/>
          <w:color w:val="auto"/>
        </w:rPr>
      </w:pPr>
    </w:p>
    <w:p>
      <w:pPr>
        <w:jc w:val="both"/>
        <w:ind w:left="660" w:hanging="652"/>
        <w:spacing w:after="0" w:line="243"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Plan, this Agreement, and all determinations made and actions taken under the Plan or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internal substantive laws, and not the choice of law rules, of the State of Delaware and construed accordingly, to the extent not superseded by applicable federal law.</w:t>
      </w:r>
    </w:p>
    <w:p>
      <w:pPr>
        <w:spacing w:after="0" w:line="176" w:lineRule="exact"/>
        <w:rPr>
          <w:rFonts w:ascii="Arial" w:cs="Arial" w:eastAsia="Arial" w:hAnsi="Arial"/>
          <w:sz w:val="22"/>
          <w:szCs w:val="22"/>
          <w:b w:val="1"/>
          <w:bCs w:val="1"/>
          <w:color w:val="auto"/>
        </w:rPr>
      </w:pPr>
    </w:p>
    <w:p>
      <w:pPr>
        <w:jc w:val="both"/>
        <w:ind w:left="660" w:hanging="652"/>
        <w:spacing w:after="0" w:line="237"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Acknowledgements. </w:t>
      </w:r>
      <w:r>
        <w:rPr>
          <w:rFonts w:ascii="Arial" w:cs="Arial" w:eastAsia="Arial" w:hAnsi="Arial"/>
          <w:sz w:val="22"/>
          <w:szCs w:val="22"/>
          <w:color w:val="auto"/>
        </w:rPr>
        <w:t>By accepting this Agreement, you agree to the following: (i) you have carefully read, fully understand</w:t>
      </w:r>
      <w:r>
        <w:rPr>
          <w:rFonts w:ascii="Arial" w:cs="Arial" w:eastAsia="Arial" w:hAnsi="Arial"/>
          <w:sz w:val="22"/>
          <w:szCs w:val="22"/>
          <w:b w:val="1"/>
          <w:bCs w:val="1"/>
          <w:color w:val="auto"/>
        </w:rPr>
        <w:t xml:space="preserve"> </w:t>
      </w:r>
      <w:r>
        <w:rPr>
          <w:rFonts w:ascii="Arial" w:cs="Arial" w:eastAsia="Arial" w:hAnsi="Arial"/>
          <w:sz w:val="22"/>
          <w:szCs w:val="22"/>
          <w:color w:val="auto"/>
        </w:rPr>
        <w:t>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182" w:lineRule="exact"/>
        <w:rPr>
          <w:rFonts w:ascii="Arial" w:cs="Arial" w:eastAsia="Arial" w:hAnsi="Arial"/>
          <w:sz w:val="22"/>
          <w:szCs w:val="22"/>
          <w:b w:val="1"/>
          <w:bCs w:val="1"/>
          <w:color w:val="auto"/>
        </w:rPr>
      </w:pPr>
    </w:p>
    <w:p>
      <w:pPr>
        <w:jc w:val="both"/>
        <w:ind w:left="660" w:hanging="652"/>
        <w:spacing w:after="0" w:line="243" w:lineRule="auto"/>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 Acceptance. </w:t>
      </w:r>
      <w:r>
        <w:rPr>
          <w:rFonts w:ascii="Arial" w:cs="Arial" w:eastAsia="Arial" w:hAnsi="Arial"/>
          <w:sz w:val="22"/>
          <w:szCs w:val="22"/>
          <w:color w:val="auto"/>
        </w:rPr>
        <w:t>To retain this Award, you must accept it by signing the Agreement below and, by signing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you will be deemed to consent to the application of the terms and conditions set forth in this Agreement and the Plan.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Accept:</w:t>
      </w:r>
    </w:p>
    <w:p>
      <w:pPr>
        <w:spacing w:after="0" w:line="200" w:lineRule="exact"/>
        <w:rPr>
          <w:sz w:val="20"/>
          <w:szCs w:val="20"/>
          <w:color w:val="auto"/>
        </w:rPr>
      </w:pPr>
    </w:p>
    <w:p>
      <w:pPr>
        <w:spacing w:after="0" w:line="242" w:lineRule="exact"/>
        <w:rPr>
          <w:sz w:val="20"/>
          <w:szCs w:val="20"/>
          <w:color w:val="auto"/>
        </w:rPr>
      </w:pPr>
    </w:p>
    <w:p>
      <w:pPr>
        <w:ind w:left="790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-154940</wp:posOffset>
            </wp:positionV>
            <wp:extent cx="22383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383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26841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57"/>
        </w:trPr>
        <w:tc>
          <w:tcPr>
            <w:tcW w:w="37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19"/>
                <w:szCs w:val="19"/>
                <w:b w:val="1"/>
                <w:bCs w:val="1"/>
                <w:color w:val="auto"/>
              </w:rPr>
              <w:t>EXHIBIT 12</w:t>
            </w:r>
          </w:p>
        </w:tc>
        <w:tc>
          <w:tcPr>
            <w:tcW w:w="0" w:type="dxa"/>
            <w:vAlign w:val="bottom"/>
          </w:tcPr>
          <w:p>
            <w:pPr>
              <w:spacing w:after="0"/>
              <w:rPr>
                <w:sz w:val="1"/>
                <w:szCs w:val="1"/>
                <w:color w:val="auto"/>
              </w:rPr>
            </w:pPr>
          </w:p>
        </w:tc>
      </w:tr>
      <w:tr>
        <w:trPr>
          <w:trHeight w:val="553"/>
        </w:trPr>
        <w:tc>
          <w:tcPr>
            <w:tcW w:w="3720" w:type="dxa"/>
            <w:vAlign w:val="bottom"/>
          </w:tcPr>
          <w:p>
            <w:pPr>
              <w:spacing w:after="0"/>
              <w:rPr>
                <w:sz w:val="24"/>
                <w:szCs w:val="24"/>
                <w:color w:val="auto"/>
              </w:rPr>
            </w:pPr>
          </w:p>
        </w:tc>
        <w:tc>
          <w:tcPr>
            <w:tcW w:w="3960" w:type="dxa"/>
            <w:vAlign w:val="bottom"/>
            <w:gridSpan w:val="5"/>
          </w:tcPr>
          <w:p>
            <w:pPr>
              <w:jc w:val="center"/>
              <w:spacing w:after="0"/>
              <w:rPr>
                <w:sz w:val="20"/>
                <w:szCs w:val="20"/>
                <w:color w:val="auto"/>
              </w:rPr>
            </w:pPr>
            <w:r>
              <w:rPr>
                <w:rFonts w:ascii="Arial" w:cs="Arial" w:eastAsia="Arial" w:hAnsi="Arial"/>
                <w:sz w:val="23"/>
                <w:szCs w:val="23"/>
                <w:b w:val="1"/>
                <w:bCs w:val="1"/>
                <w:color w:val="auto"/>
                <w:w w:val="99"/>
              </w:rPr>
              <w:t>HONEYWELL INTERNATIONAL INC.</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580" w:type="dxa"/>
            <w:vAlign w:val="bottom"/>
            <w:gridSpan w:val="11"/>
          </w:tcPr>
          <w:p>
            <w:pPr>
              <w:jc w:val="center"/>
              <w:ind w:left="1743"/>
              <w:spacing w:after="0"/>
              <w:rPr>
                <w:sz w:val="20"/>
                <w:szCs w:val="20"/>
                <w:color w:val="auto"/>
              </w:rPr>
            </w:pPr>
            <w:r>
              <w:rPr>
                <w:rFonts w:ascii="Arial" w:cs="Arial" w:eastAsia="Arial" w:hAnsi="Arial"/>
                <w:sz w:val="19"/>
                <w:szCs w:val="19"/>
                <w:b w:val="1"/>
                <w:bCs w:val="1"/>
                <w:color w:val="auto"/>
              </w:rPr>
              <w:t>STATEMENT RE: COMPUTATION OF RATIO OF EARNINGS TO FIXED CHARGES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2900" w:type="dxa"/>
            <w:vAlign w:val="bottom"/>
            <w:gridSpan w:val="2"/>
          </w:tcPr>
          <w:p>
            <w:pPr>
              <w:jc w:val="center"/>
              <w:ind w:left="983"/>
              <w:spacing w:after="0"/>
              <w:rPr>
                <w:sz w:val="20"/>
                <w:szCs w:val="20"/>
                <w:color w:val="auto"/>
              </w:rPr>
            </w:pPr>
            <w:r>
              <w:rPr>
                <w:rFonts w:ascii="Arial" w:cs="Arial" w:eastAsia="Arial" w:hAnsi="Arial"/>
                <w:sz w:val="16"/>
                <w:szCs w:val="16"/>
                <w:b w:val="1"/>
                <w:bCs w:val="1"/>
                <w:color w:val="auto"/>
                <w:w w:val="98"/>
              </w:rPr>
              <w:t>(Dollars in millions)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3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10"/>
        </w:trPr>
        <w:tc>
          <w:tcPr>
            <w:tcW w:w="3720" w:type="dxa"/>
            <w:vAlign w:val="bottom"/>
            <w:shd w:val="clear" w:color="auto" w:fill="E5FFFF"/>
          </w:tcPr>
          <w:p>
            <w:pPr>
              <w:spacing w:after="0" w:line="210" w:lineRule="exact"/>
              <w:rPr>
                <w:sz w:val="20"/>
                <w:szCs w:val="20"/>
                <w:color w:val="auto"/>
              </w:rPr>
            </w:pPr>
            <w:r>
              <w:rPr>
                <w:rFonts w:ascii="Arial" w:cs="Arial" w:eastAsia="Arial" w:hAnsi="Arial"/>
                <w:sz w:val="19"/>
                <w:szCs w:val="19"/>
                <w:b w:val="1"/>
                <w:bCs w:val="1"/>
                <w:color w:val="auto"/>
              </w:rPr>
              <w:t>Determination of Earnings:</w:t>
            </w:r>
          </w:p>
        </w:tc>
        <w:tc>
          <w:tcPr>
            <w:tcW w:w="27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360"/>
              <w:spacing w:after="0"/>
              <w:rPr>
                <w:sz w:val="20"/>
                <w:szCs w:val="20"/>
                <w:color w:val="auto"/>
              </w:rPr>
            </w:pPr>
            <w:r>
              <w:rPr>
                <w:rFonts w:ascii="Arial" w:cs="Arial" w:eastAsia="Arial" w:hAnsi="Arial"/>
                <w:sz w:val="19"/>
                <w:szCs w:val="19"/>
                <w:color w:val="auto"/>
              </w:rPr>
              <w:t>Income before taxes</w:t>
            </w:r>
          </w:p>
        </w:tc>
        <w:tc>
          <w:tcPr>
            <w:tcW w:w="290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5,818</w:t>
            </w:r>
          </w:p>
        </w:tc>
        <w:tc>
          <w:tcPr>
            <w:tcW w:w="48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560" w:type="dxa"/>
            <w:vAlign w:val="bottom"/>
          </w:tcPr>
          <w:p>
            <w:pPr>
              <w:jc w:val="right"/>
              <w:spacing w:after="0"/>
              <w:rPr>
                <w:sz w:val="20"/>
                <w:szCs w:val="20"/>
                <w:color w:val="auto"/>
              </w:rPr>
            </w:pPr>
            <w:r>
              <w:rPr>
                <w:rFonts w:ascii="Arial" w:cs="Arial" w:eastAsia="Arial" w:hAnsi="Arial"/>
                <w:sz w:val="19"/>
                <w:szCs w:val="19"/>
                <w:color w:val="auto"/>
                <w:w w:val="96"/>
              </w:rPr>
              <w:t>5,412</w:t>
            </w:r>
          </w:p>
        </w:tc>
        <w:tc>
          <w:tcPr>
            <w:tcW w:w="4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tcPr>
          <w:p>
            <w:pPr>
              <w:jc w:val="right"/>
              <w:spacing w:after="0"/>
              <w:rPr>
                <w:sz w:val="20"/>
                <w:szCs w:val="20"/>
                <w:color w:val="auto"/>
              </w:rPr>
            </w:pPr>
            <w:r>
              <w:rPr>
                <w:rFonts w:ascii="Arial" w:cs="Arial" w:eastAsia="Arial" w:hAnsi="Arial"/>
                <w:sz w:val="19"/>
                <w:szCs w:val="19"/>
                <w:color w:val="auto"/>
              </w:rPr>
              <w:t>3,875</w:t>
            </w:r>
          </w:p>
        </w:tc>
        <w:tc>
          <w:tcPr>
            <w:tcW w:w="3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2,282</w:t>
            </w:r>
          </w:p>
        </w:tc>
        <w:tc>
          <w:tcPr>
            <w:tcW w:w="48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tcPr>
          <w:p>
            <w:pPr>
              <w:jc w:val="right"/>
              <w:spacing w:after="0"/>
              <w:rPr>
                <w:sz w:val="20"/>
                <w:szCs w:val="20"/>
                <w:color w:val="auto"/>
              </w:rPr>
            </w:pPr>
            <w:r>
              <w:rPr>
                <w:rFonts w:ascii="Arial" w:cs="Arial" w:eastAsia="Arial" w:hAnsi="Arial"/>
                <w:sz w:val="19"/>
                <w:szCs w:val="19"/>
                <w:color w:val="auto"/>
              </w:rPr>
              <w:t>2,722</w:t>
            </w:r>
          </w:p>
        </w:tc>
        <w:tc>
          <w:tcPr>
            <w:tcW w:w="0" w:type="dxa"/>
            <w:vAlign w:val="bottom"/>
          </w:tcPr>
          <w:p>
            <w:pPr>
              <w:spacing w:after="0"/>
              <w:rPr>
                <w:sz w:val="1"/>
                <w:szCs w:val="1"/>
                <w:color w:val="auto"/>
              </w:rPr>
            </w:pPr>
          </w:p>
        </w:tc>
      </w:tr>
      <w:tr>
        <w:trPr>
          <w:trHeight w:val="216"/>
        </w:trPr>
        <w:tc>
          <w:tcPr>
            <w:tcW w:w="372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Add (Deduct):</w:t>
            </w:r>
          </w:p>
        </w:tc>
        <w:tc>
          <w:tcPr>
            <w:tcW w:w="27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5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720"/>
              <w:spacing w:after="0"/>
              <w:rPr>
                <w:sz w:val="20"/>
                <w:szCs w:val="20"/>
                <w:color w:val="auto"/>
              </w:rPr>
            </w:pPr>
            <w:r>
              <w:rPr>
                <w:rFonts w:ascii="Arial" w:cs="Arial" w:eastAsia="Arial" w:hAnsi="Arial"/>
                <w:sz w:val="19"/>
                <w:szCs w:val="19"/>
                <w:color w:val="auto"/>
              </w:rPr>
              <w:t>Amortization of capitalized interest</w:t>
            </w:r>
          </w:p>
        </w:tc>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19</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9"/>
                <w:szCs w:val="19"/>
                <w:color w:val="auto"/>
              </w:rPr>
              <w:t>20</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43"/>
        </w:trPr>
        <w:tc>
          <w:tcPr>
            <w:tcW w:w="3720" w:type="dxa"/>
            <w:vAlign w:val="bottom"/>
            <w:shd w:val="clear" w:color="auto" w:fill="E5FFFF"/>
          </w:tcPr>
          <w:p>
            <w:pPr>
              <w:ind w:left="720"/>
              <w:spacing w:after="0"/>
              <w:rPr>
                <w:sz w:val="20"/>
                <w:szCs w:val="20"/>
                <w:color w:val="auto"/>
              </w:rPr>
            </w:pPr>
            <w:r>
              <w:rPr>
                <w:rFonts w:ascii="Arial" w:cs="Arial" w:eastAsia="Arial" w:hAnsi="Arial"/>
                <w:sz w:val="19"/>
                <w:szCs w:val="19"/>
                <w:color w:val="auto"/>
              </w:rPr>
              <w:t>Fixed charges</w:t>
            </w:r>
          </w:p>
        </w:tc>
        <w:tc>
          <w:tcPr>
            <w:tcW w:w="27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432</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451</w:t>
            </w:r>
          </w:p>
        </w:tc>
        <w:tc>
          <w:tcPr>
            <w:tcW w:w="0" w:type="dxa"/>
            <w:vAlign w:val="bottom"/>
          </w:tcPr>
          <w:p>
            <w:pPr>
              <w:spacing w:after="0"/>
              <w:rPr>
                <w:sz w:val="1"/>
                <w:szCs w:val="1"/>
                <w:color w:val="auto"/>
              </w:rPr>
            </w:pPr>
          </w:p>
        </w:tc>
      </w:tr>
      <w:tr>
        <w:trPr>
          <w:trHeight w:val="250"/>
        </w:trPr>
        <w:tc>
          <w:tcPr>
            <w:tcW w:w="3720" w:type="dxa"/>
            <w:vAlign w:val="bottom"/>
          </w:tcPr>
          <w:p>
            <w:pPr>
              <w:ind w:left="720"/>
              <w:spacing w:after="0"/>
              <w:rPr>
                <w:sz w:val="20"/>
                <w:szCs w:val="20"/>
                <w:color w:val="auto"/>
              </w:rPr>
            </w:pPr>
            <w:r>
              <w:rPr>
                <w:rFonts w:ascii="Arial" w:cs="Arial" w:eastAsia="Arial" w:hAnsi="Arial"/>
                <w:sz w:val="19"/>
                <w:szCs w:val="19"/>
                <w:color w:val="auto"/>
              </w:rPr>
              <w:t>Equity income, net of distributions</w:t>
            </w:r>
          </w:p>
        </w:tc>
        <w:tc>
          <w:tcPr>
            <w:tcW w:w="2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(45)</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(28)</w:t>
            </w:r>
          </w:p>
        </w:tc>
        <w:tc>
          <w:tcPr>
            <w:tcW w:w="0" w:type="dxa"/>
            <w:vAlign w:val="bottom"/>
          </w:tcPr>
          <w:p>
            <w:pPr>
              <w:spacing w:after="0"/>
              <w:rPr>
                <w:sz w:val="1"/>
                <w:szCs w:val="1"/>
                <w:color w:val="auto"/>
              </w:rPr>
            </w:pPr>
          </w:p>
        </w:tc>
      </w:tr>
      <w:tr>
        <w:trPr>
          <w:trHeight w:val="243"/>
        </w:trPr>
        <w:tc>
          <w:tcPr>
            <w:tcW w:w="3720" w:type="dxa"/>
            <w:vAlign w:val="bottom"/>
            <w:shd w:val="clear" w:color="auto" w:fill="E5FFFF"/>
          </w:tcPr>
          <w:p>
            <w:pPr>
              <w:ind w:left="1080"/>
              <w:spacing w:after="0"/>
              <w:rPr>
                <w:sz w:val="20"/>
                <w:szCs w:val="20"/>
                <w:color w:val="auto"/>
              </w:rPr>
            </w:pPr>
            <w:r>
              <w:rPr>
                <w:rFonts w:ascii="Arial" w:cs="Arial" w:eastAsia="Arial" w:hAnsi="Arial"/>
                <w:sz w:val="19"/>
                <w:szCs w:val="19"/>
                <w:b w:val="1"/>
                <w:bCs w:val="1"/>
                <w:color w:val="auto"/>
              </w:rPr>
              <w:t>Total earnings, as defined</w:t>
            </w:r>
          </w:p>
        </w:tc>
        <w:tc>
          <w:tcPr>
            <w:tcW w:w="29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6,165</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5,767</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4,254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2,683</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3,166</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9"/>
                <w:szCs w:val="19"/>
                <w:b w:val="1"/>
                <w:bCs w:val="1"/>
                <w:color w:val="auto"/>
              </w:rPr>
              <w:t>Fixed Charges:</w:t>
            </w: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E5FFFF"/>
          </w:tcPr>
          <w:p>
            <w:pPr>
              <w:ind w:left="360"/>
              <w:spacing w:after="0"/>
              <w:rPr>
                <w:sz w:val="20"/>
                <w:szCs w:val="20"/>
                <w:color w:val="auto"/>
              </w:rPr>
            </w:pPr>
            <w:r>
              <w:rPr>
                <w:rFonts w:ascii="Arial" w:cs="Arial" w:eastAsia="Arial" w:hAnsi="Arial"/>
                <w:sz w:val="19"/>
                <w:szCs w:val="19"/>
                <w:color w:val="auto"/>
              </w:rPr>
              <w:t>Rents(1)</w:t>
            </w:r>
          </w:p>
        </w:tc>
        <w:tc>
          <w:tcPr>
            <w:tcW w:w="29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56</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250"/>
        </w:trPr>
        <w:tc>
          <w:tcPr>
            <w:tcW w:w="3720" w:type="dxa"/>
            <w:vAlign w:val="bottom"/>
          </w:tcPr>
          <w:p>
            <w:pPr>
              <w:ind w:left="360"/>
              <w:spacing w:after="0"/>
              <w:rPr>
                <w:sz w:val="20"/>
                <w:szCs w:val="20"/>
                <w:color w:val="auto"/>
              </w:rPr>
            </w:pPr>
            <w:r>
              <w:rPr>
                <w:rFonts w:ascii="Arial" w:cs="Arial" w:eastAsia="Arial" w:hAnsi="Arial"/>
                <w:sz w:val="19"/>
                <w:szCs w:val="19"/>
                <w:color w:val="auto"/>
              </w:rPr>
              <w:t>Interest and other financial charges</w:t>
            </w:r>
          </w:p>
        </w:tc>
        <w:tc>
          <w:tcPr>
            <w:tcW w:w="2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327</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351</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376</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386</w:t>
            </w:r>
          </w:p>
        </w:tc>
        <w:tc>
          <w:tcPr>
            <w:tcW w:w="0" w:type="dxa"/>
            <w:vAlign w:val="bottom"/>
          </w:tcPr>
          <w:p>
            <w:pPr>
              <w:spacing w:after="0"/>
              <w:rPr>
                <w:sz w:val="1"/>
                <w:szCs w:val="1"/>
                <w:color w:val="auto"/>
              </w:rPr>
            </w:pPr>
          </w:p>
        </w:tc>
      </w:tr>
      <w:tr>
        <w:trPr>
          <w:trHeight w:val="243"/>
        </w:trPr>
        <w:tc>
          <w:tcPr>
            <w:tcW w:w="3720" w:type="dxa"/>
            <w:vAlign w:val="bottom"/>
            <w:shd w:val="clear" w:color="auto" w:fill="E5FFFF"/>
          </w:tcPr>
          <w:p>
            <w:pPr>
              <w:spacing w:after="0"/>
              <w:rPr>
                <w:sz w:val="21"/>
                <w:szCs w:val="21"/>
                <w:color w:val="auto"/>
              </w:rPr>
            </w:pPr>
          </w:p>
        </w:tc>
        <w:tc>
          <w:tcPr>
            <w:tcW w:w="27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364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371</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404</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432</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451</w:t>
            </w:r>
          </w:p>
        </w:tc>
        <w:tc>
          <w:tcPr>
            <w:tcW w:w="0" w:type="dxa"/>
            <w:vAlign w:val="bottom"/>
          </w:tcPr>
          <w:p>
            <w:pPr>
              <w:spacing w:after="0"/>
              <w:rPr>
                <w:sz w:val="1"/>
                <w:szCs w:val="1"/>
                <w:color w:val="auto"/>
              </w:rPr>
            </w:pPr>
          </w:p>
        </w:tc>
      </w:tr>
      <w:tr>
        <w:trPr>
          <w:trHeight w:val="250"/>
        </w:trPr>
        <w:tc>
          <w:tcPr>
            <w:tcW w:w="3720" w:type="dxa"/>
            <w:vAlign w:val="bottom"/>
          </w:tcPr>
          <w:p>
            <w:pPr>
              <w:ind w:left="360"/>
              <w:spacing w:after="0"/>
              <w:rPr>
                <w:sz w:val="20"/>
                <w:szCs w:val="20"/>
                <w:color w:val="auto"/>
              </w:rPr>
            </w:pPr>
            <w:r>
              <w:rPr>
                <w:rFonts w:ascii="Arial" w:cs="Arial" w:eastAsia="Arial" w:hAnsi="Arial"/>
                <w:sz w:val="19"/>
                <w:szCs w:val="19"/>
                <w:color w:val="auto"/>
              </w:rPr>
              <w:t>Capitalized interest</w:t>
            </w:r>
          </w:p>
        </w:tc>
        <w:tc>
          <w:tcPr>
            <w:tcW w:w="2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w:t>
            </w: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w:t>
            </w:r>
          </w:p>
        </w:tc>
        <w:tc>
          <w:tcPr>
            <w:tcW w:w="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w:t>
            </w:r>
          </w:p>
        </w:tc>
        <w:tc>
          <w:tcPr>
            <w:tcW w:w="0" w:type="dxa"/>
            <w:vAlign w:val="bottom"/>
          </w:tcPr>
          <w:p>
            <w:pPr>
              <w:spacing w:after="0"/>
              <w:rPr>
                <w:sz w:val="1"/>
                <w:szCs w:val="1"/>
                <w:color w:val="auto"/>
              </w:rPr>
            </w:pPr>
          </w:p>
        </w:tc>
      </w:tr>
      <w:tr>
        <w:trPr>
          <w:trHeight w:val="243"/>
        </w:trPr>
        <w:tc>
          <w:tcPr>
            <w:tcW w:w="3720" w:type="dxa"/>
            <w:vAlign w:val="bottom"/>
            <w:shd w:val="clear" w:color="auto" w:fill="E5FFFF"/>
          </w:tcPr>
          <w:p>
            <w:pPr>
              <w:ind w:left="1080"/>
              <w:spacing w:after="0"/>
              <w:rPr>
                <w:sz w:val="20"/>
                <w:szCs w:val="20"/>
                <w:color w:val="auto"/>
              </w:rPr>
            </w:pPr>
            <w:r>
              <w:rPr>
                <w:rFonts w:ascii="Arial" w:cs="Arial" w:eastAsia="Arial" w:hAnsi="Arial"/>
                <w:sz w:val="19"/>
                <w:szCs w:val="19"/>
                <w:b w:val="1"/>
                <w:bCs w:val="1"/>
                <w:color w:val="auto"/>
              </w:rPr>
              <w:t>Total fixed charges</w:t>
            </w:r>
          </w:p>
        </w:tc>
        <w:tc>
          <w:tcPr>
            <w:tcW w:w="290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385</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5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390</w:t>
            </w:r>
          </w:p>
        </w:tc>
        <w:tc>
          <w:tcPr>
            <w:tcW w:w="46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422</w:t>
            </w:r>
          </w:p>
        </w:tc>
        <w:tc>
          <w:tcPr>
            <w:tcW w:w="300" w:type="dxa"/>
            <w:vAlign w:val="bottom"/>
            <w:shd w:val="clear" w:color="auto" w:fill="E5FFFF"/>
          </w:tcPr>
          <w:p>
            <w:pPr>
              <w:spacing w:after="0"/>
              <w:rPr>
                <w:sz w:val="21"/>
                <w:szCs w:val="21"/>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445</w:t>
            </w:r>
          </w:p>
        </w:tc>
        <w:tc>
          <w:tcPr>
            <w:tcW w:w="48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467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720" w:type="dxa"/>
            <w:vAlign w:val="bottom"/>
          </w:tcPr>
          <w:p>
            <w:pPr>
              <w:spacing w:after="0"/>
              <w:rPr>
                <w:sz w:val="20"/>
                <w:szCs w:val="20"/>
                <w:color w:val="auto"/>
              </w:rPr>
            </w:pPr>
            <w:r>
              <w:rPr>
                <w:rFonts w:ascii="Arial" w:cs="Arial" w:eastAsia="Arial" w:hAnsi="Arial"/>
                <w:sz w:val="19"/>
                <w:szCs w:val="19"/>
                <w:b w:val="1"/>
                <w:bCs w:val="1"/>
                <w:color w:val="auto"/>
              </w:rPr>
              <w:t>Ratio of Earnings to Fixed Charges</w:t>
            </w:r>
          </w:p>
        </w:tc>
        <w:tc>
          <w:tcPr>
            <w:tcW w:w="2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16.01</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9"/>
                <w:szCs w:val="19"/>
                <w:b w:val="1"/>
                <w:bCs w:val="1"/>
                <w:color w:val="auto"/>
                <w:w w:val="96"/>
              </w:rPr>
              <w:t>14.79</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9"/>
                <w:szCs w:val="19"/>
                <w:b w:val="1"/>
                <w:bCs w:val="1"/>
                <w:color w:val="auto"/>
              </w:rPr>
              <w:t>10.08</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9"/>
                <w:szCs w:val="19"/>
                <w:b w:val="1"/>
                <w:bCs w:val="1"/>
                <w:color w:val="auto"/>
              </w:rPr>
              <w:t>6.03</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9"/>
                <w:szCs w:val="19"/>
                <w:b w:val="1"/>
                <w:bCs w:val="1"/>
                <w:color w:val="auto"/>
              </w:rPr>
              <w:t>6.78</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20" w:right="600" w:hanging="338"/>
        <w:spacing w:after="0" w:line="253" w:lineRule="auto"/>
        <w:tabs>
          <w:tab w:leader="none" w:pos="4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Denotes the equivalent of an appropriate portion of rentals representative of the interest factor on all rentals other than for capitalized leases.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58"/>
        </w:trPr>
        <w:tc>
          <w:tcPr>
            <w:tcW w:w="7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9"/>
                <w:szCs w:val="19"/>
                <w:b w:val="1"/>
                <w:bCs w:val="1"/>
                <w:color w:val="auto"/>
              </w:rPr>
              <w:t>EXHIBIT 21</w:t>
            </w:r>
          </w:p>
        </w:tc>
        <w:tc>
          <w:tcPr>
            <w:tcW w:w="0" w:type="dxa"/>
            <w:vAlign w:val="bottom"/>
          </w:tcPr>
          <w:p>
            <w:pPr>
              <w:spacing w:after="0"/>
              <w:rPr>
                <w:sz w:val="1"/>
                <w:szCs w:val="1"/>
                <w:color w:val="auto"/>
              </w:rPr>
            </w:pPr>
          </w:p>
        </w:tc>
      </w:tr>
      <w:tr>
        <w:trPr>
          <w:trHeight w:val="553"/>
        </w:trPr>
        <w:tc>
          <w:tcPr>
            <w:tcW w:w="7980" w:type="dxa"/>
            <w:vAlign w:val="bottom"/>
          </w:tcPr>
          <w:p>
            <w:pPr>
              <w:jc w:val="center"/>
              <w:ind w:left="3343"/>
              <w:spacing w:after="0"/>
              <w:rPr>
                <w:sz w:val="20"/>
                <w:szCs w:val="20"/>
                <w:color w:val="auto"/>
              </w:rPr>
            </w:pPr>
            <w:r>
              <w:rPr>
                <w:rFonts w:ascii="Arial" w:cs="Arial" w:eastAsia="Arial" w:hAnsi="Arial"/>
                <w:sz w:val="23"/>
                <w:szCs w:val="23"/>
                <w:b w:val="1"/>
                <w:bCs w:val="1"/>
                <w:color w:val="auto"/>
                <w:w w:val="99"/>
              </w:rPr>
              <w:t>HONEYWELL INTERNATIONAL INC.</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980" w:type="dxa"/>
            <w:vAlign w:val="bottom"/>
          </w:tcPr>
          <w:p>
            <w:pPr>
              <w:jc w:val="center"/>
              <w:ind w:left="3343"/>
              <w:spacing w:after="0"/>
              <w:rPr>
                <w:sz w:val="20"/>
                <w:szCs w:val="20"/>
                <w:color w:val="auto"/>
              </w:rPr>
            </w:pPr>
            <w:r>
              <w:rPr>
                <w:rFonts w:ascii="Arial" w:cs="Arial" w:eastAsia="Arial" w:hAnsi="Arial"/>
                <w:sz w:val="19"/>
                <w:szCs w:val="19"/>
                <w:b w:val="1"/>
                <w:bCs w:val="1"/>
                <w:color w:val="auto"/>
              </w:rPr>
              <w:t>SUBSIDIARIES OF THE REGISTRANT</w:t>
            </w:r>
          </w:p>
        </w:tc>
        <w:tc>
          <w:tcPr>
            <w:tcW w:w="300" w:type="dxa"/>
            <w:vAlign w:val="bottom"/>
          </w:tcPr>
          <w:p>
            <w:pPr>
              <w:spacing w:after="0"/>
              <w:rPr>
                <w:sz w:val="22"/>
                <w:szCs w:val="22"/>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Country or State</w:t>
            </w:r>
          </w:p>
        </w:tc>
        <w:tc>
          <w:tcPr>
            <w:tcW w:w="300" w:type="dxa"/>
            <w:vAlign w:val="bottom"/>
          </w:tcPr>
          <w:p>
            <w:pPr>
              <w:spacing w:after="0"/>
              <w:rPr>
                <w:sz w:val="22"/>
                <w:szCs w:val="22"/>
                <w:color w:val="auto"/>
              </w:rPr>
            </w:pPr>
          </w:p>
        </w:tc>
        <w:tc>
          <w:tcPr>
            <w:tcW w:w="1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980" w:type="dxa"/>
            <w:vAlign w:val="bottom"/>
            <w:tcBorders>
              <w:bottom w:val="single" w:sz="8" w:color="auto"/>
            </w:tcBorders>
          </w:tcPr>
          <w:p>
            <w:pPr>
              <w:ind w:left="3780"/>
              <w:spacing w:after="0"/>
              <w:rPr>
                <w:sz w:val="20"/>
                <w:szCs w:val="20"/>
                <w:color w:val="auto"/>
              </w:rPr>
            </w:pPr>
            <w:r>
              <w:rPr>
                <w:rFonts w:ascii="Arial" w:cs="Arial" w:eastAsia="Arial" w:hAnsi="Arial"/>
                <w:sz w:val="16"/>
                <w:szCs w:val="16"/>
                <w:b w:val="1"/>
                <w:bCs w:val="1"/>
                <w:color w:val="auto"/>
              </w:rPr>
              <w:t>Name</w:t>
            </w:r>
          </w:p>
        </w:tc>
        <w:tc>
          <w:tcPr>
            <w:tcW w:w="30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of Incorporation</w:t>
            </w:r>
          </w:p>
        </w:tc>
        <w:tc>
          <w:tcPr>
            <w:tcW w:w="3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Ownership</w:t>
            </w:r>
          </w:p>
        </w:tc>
        <w:tc>
          <w:tcPr>
            <w:tcW w:w="0" w:type="dxa"/>
            <w:vAlign w:val="bottom"/>
          </w:tcPr>
          <w:p>
            <w:pPr>
              <w:spacing w:after="0"/>
              <w:rPr>
                <w:sz w:val="1"/>
                <w:szCs w:val="1"/>
                <w:color w:val="auto"/>
              </w:rPr>
            </w:pPr>
          </w:p>
        </w:tc>
      </w:tr>
      <w:tr>
        <w:trPr>
          <w:trHeight w:val="237"/>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ADI-Gardiner Limited</w:t>
            </w:r>
          </w:p>
        </w:tc>
        <w:tc>
          <w:tcPr>
            <w:tcW w:w="300" w:type="dxa"/>
            <w:vAlign w:val="bottom"/>
            <w:shd w:val="clear" w:color="auto" w:fill="E5FFFF"/>
          </w:tcPr>
          <w:p>
            <w:pPr>
              <w:spacing w:after="0"/>
              <w:rPr>
                <w:sz w:val="20"/>
                <w:szCs w:val="20"/>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United Kingdom</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AlliedSignal Aerospace Service Corporation</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Grimes Aerospace Company</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Hand Held Products, Inc.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Aerospace de México, S. de R.L. de C.V.</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Mexico</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ASCa Inc.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Canada</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Automation India Limited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India</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Automotive Parts Services (Shanghai) Co., Ltd.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China</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Aerospace Avionics Malaysia Sdn Bhd.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Malaysia</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Aerospace UK</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United Kingdom</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Co.,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Korea</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Control Systems Ltd.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United Kingdom</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Deutschland GmbH</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Germany</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Electronic Materials, Inc.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Washington</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Europe NV</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Belgium</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Finance LP</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Holdings Pty.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Australia</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International Sàrl</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Switzerland</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International Services S.r.l.</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Romania</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Japan Inc.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Japan</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Korea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Korea</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Australia</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Limited Honeywell Limitee</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Canada</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Luxembourg Holding S.a.r.l.</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Luxembourg</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Pte.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Singapore</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Resins &amp; Chemicals LLC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Safety Products Europe SAS</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France</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Safety Products USA, Inc.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Specialty Chemicals Seelze GmbH</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Germany</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spol. s r.o.</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Czech Republic</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TECHNOLOGIES Sàrl</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Switzerland</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Technology Solutions Inc.</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Honeywell Technology Solutions Lab Pvt. Ltd.</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India</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Honeywell UK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United Kingdom</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Intermec Technologies Corporation</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Washington</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Life Safety Distribution AG</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Switzerland</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Metrologic Instruments, Inc.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New Jersey</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tcPr>
          <w:p>
            <w:pPr>
              <w:spacing w:after="0"/>
              <w:rPr>
                <w:sz w:val="20"/>
                <w:szCs w:val="20"/>
                <w:color w:val="auto"/>
              </w:rPr>
            </w:pPr>
            <w:r>
              <w:rPr>
                <w:rFonts w:ascii="Arial" w:cs="Arial" w:eastAsia="Arial" w:hAnsi="Arial"/>
                <w:sz w:val="19"/>
                <w:szCs w:val="19"/>
                <w:color w:val="auto"/>
              </w:rPr>
              <w:t>Novar ED&amp;S Limited</w:t>
            </w:r>
          </w:p>
        </w:tc>
        <w:tc>
          <w:tcPr>
            <w:tcW w:w="3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United Kingdom</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43"/>
        </w:trPr>
        <w:tc>
          <w:tcPr>
            <w:tcW w:w="7980" w:type="dxa"/>
            <w:vAlign w:val="bottom"/>
            <w:shd w:val="clear" w:color="auto" w:fill="E5FFFF"/>
          </w:tcPr>
          <w:p>
            <w:pPr>
              <w:spacing w:after="0"/>
              <w:rPr>
                <w:sz w:val="20"/>
                <w:szCs w:val="20"/>
                <w:color w:val="auto"/>
              </w:rPr>
            </w:pPr>
            <w:r>
              <w:rPr>
                <w:rFonts w:ascii="Arial" w:cs="Arial" w:eastAsia="Arial" w:hAnsi="Arial"/>
                <w:sz w:val="19"/>
                <w:szCs w:val="19"/>
                <w:color w:val="auto"/>
              </w:rPr>
              <w:t>UOP LLC</w:t>
            </w:r>
          </w:p>
        </w:tc>
        <w:tc>
          <w:tcPr>
            <w:tcW w:w="300" w:type="dxa"/>
            <w:vAlign w:val="bottom"/>
            <w:shd w:val="clear" w:color="auto" w:fill="E5FFFF"/>
          </w:tcPr>
          <w:p>
            <w:pPr>
              <w:spacing w:after="0"/>
              <w:rPr>
                <w:sz w:val="21"/>
                <w:szCs w:val="21"/>
                <w:color w:val="auto"/>
              </w:rPr>
            </w:pPr>
          </w:p>
        </w:tc>
        <w:tc>
          <w:tcPr>
            <w:tcW w:w="1800" w:type="dxa"/>
            <w:vAlign w:val="bottom"/>
            <w:shd w:val="clear" w:color="auto" w:fill="E5FFFF"/>
          </w:tcPr>
          <w:p>
            <w:pPr>
              <w:jc w:val="center"/>
              <w:spacing w:after="0"/>
              <w:rPr>
                <w:sz w:val="20"/>
                <w:szCs w:val="20"/>
                <w:color w:val="auto"/>
              </w:rPr>
            </w:pPr>
            <w:r>
              <w:rPr>
                <w:rFonts w:ascii="Arial" w:cs="Arial" w:eastAsia="Arial" w:hAnsi="Arial"/>
                <w:sz w:val="19"/>
                <w:szCs w:val="19"/>
                <w:color w:val="auto"/>
              </w:rPr>
              <w:t>Delaware</w:t>
            </w:r>
          </w:p>
        </w:tc>
        <w:tc>
          <w:tcPr>
            <w:tcW w:w="1340" w:type="dxa"/>
            <w:vAlign w:val="bottom"/>
            <w:gridSpan w:val="2"/>
            <w:shd w:val="clear" w:color="auto" w:fill="E5FFFF"/>
          </w:tcPr>
          <w:p>
            <w:pPr>
              <w:jc w:val="center"/>
              <w:ind w:left="203"/>
              <w:spacing w:after="0"/>
              <w:rPr>
                <w:sz w:val="20"/>
                <w:szCs w:val="20"/>
                <w:color w:val="auto"/>
              </w:rPr>
            </w:pPr>
            <w:r>
              <w:rPr>
                <w:rFonts w:ascii="Arial" w:cs="Arial" w:eastAsia="Arial" w:hAnsi="Arial"/>
                <w:sz w:val="19"/>
                <w:szCs w:val="19"/>
                <w:color w:val="auto"/>
                <w:w w:val="98"/>
              </w:rPr>
              <w:t>100%</w:t>
            </w:r>
          </w:p>
        </w:tc>
        <w:tc>
          <w:tcPr>
            <w:tcW w:w="0" w:type="dxa"/>
            <w:vAlign w:val="bottom"/>
          </w:tcPr>
          <w:p>
            <w:pPr>
              <w:spacing w:after="0"/>
              <w:rPr>
                <w:sz w:val="1"/>
                <w:szCs w:val="1"/>
                <w:color w:val="auto"/>
              </w:rPr>
            </w:pPr>
          </w:p>
        </w:tc>
      </w:tr>
      <w:tr>
        <w:trPr>
          <w:trHeight w:val="261"/>
        </w:trPr>
        <w:tc>
          <w:tcPr>
            <w:tcW w:w="7980" w:type="dxa"/>
            <w:vAlign w:val="bottom"/>
          </w:tcPr>
          <w:p>
            <w:pPr>
              <w:spacing w:after="0"/>
              <w:rPr>
                <w:sz w:val="20"/>
                <w:szCs w:val="20"/>
                <w:color w:val="auto"/>
              </w:rPr>
            </w:pPr>
            <w:r>
              <w:rPr>
                <w:rFonts w:ascii="Arial" w:cs="Arial" w:eastAsia="Arial" w:hAnsi="Arial"/>
                <w:sz w:val="19"/>
                <w:szCs w:val="19"/>
                <w:color w:val="auto"/>
              </w:rPr>
              <w:t>UOP Russell LLC</w:t>
            </w:r>
          </w:p>
        </w:tc>
        <w:tc>
          <w:tcPr>
            <w:tcW w:w="3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9"/>
                <w:szCs w:val="19"/>
                <w:color w:val="auto"/>
              </w:rPr>
              <w:t>Delaware</w:t>
            </w:r>
          </w:p>
        </w:tc>
        <w:tc>
          <w:tcPr>
            <w:tcW w:w="1340" w:type="dxa"/>
            <w:vAlign w:val="bottom"/>
            <w:gridSpan w:val="2"/>
          </w:tcPr>
          <w:p>
            <w:pPr>
              <w:jc w:val="center"/>
              <w:ind w:left="203"/>
              <w:spacing w:after="0"/>
              <w:rPr>
                <w:sz w:val="20"/>
                <w:szCs w:val="20"/>
                <w:color w:val="auto"/>
              </w:rPr>
            </w:pPr>
            <w:r>
              <w:rPr>
                <w:rFonts w:ascii="Arial" w:cs="Arial" w:eastAsia="Arial" w:hAnsi="Arial"/>
                <w:sz w:val="19"/>
                <w:szCs w:val="19"/>
                <w:color w:val="auto"/>
              </w:rPr>
              <w:t>70%</w:t>
            </w:r>
          </w:p>
        </w:tc>
        <w:tc>
          <w:tcPr>
            <w:tcW w:w="0" w:type="dxa"/>
            <w:vAlign w:val="bottom"/>
          </w:tcPr>
          <w:p>
            <w:pPr>
              <w:spacing w:after="0"/>
              <w:rPr>
                <w:sz w:val="1"/>
                <w:szCs w:val="1"/>
                <w:color w:val="auto"/>
              </w:rPr>
            </w:pPr>
          </w:p>
        </w:tc>
      </w:tr>
      <w:tr>
        <w:trPr>
          <w:trHeight w:val="324"/>
        </w:trPr>
        <w:tc>
          <w:tcPr>
            <w:tcW w:w="7980" w:type="dxa"/>
            <w:vAlign w:val="bottom"/>
          </w:tcPr>
          <w:p>
            <w:pPr>
              <w:jc w:val="center"/>
              <w:ind w:left="3343"/>
              <w:spacing w:after="0"/>
              <w:rPr>
                <w:sz w:val="20"/>
                <w:szCs w:val="20"/>
                <w:color w:val="auto"/>
              </w:rPr>
            </w:pPr>
            <w:r>
              <w:rPr>
                <w:rFonts w:ascii="Arial" w:cs="Arial" w:eastAsia="Arial" w:hAnsi="Arial"/>
                <w:sz w:val="19"/>
                <w:szCs w:val="19"/>
                <w:color w:val="auto"/>
              </w:rPr>
              <w:t>92</w:t>
            </w: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9"/>
          <w:szCs w:val="19"/>
          <w:b w:val="1"/>
          <w:bCs w:val="1"/>
          <w:color w:val="auto"/>
        </w:rPr>
        <w:t>EXHIBIT 23</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130"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We hereby consent to the incorporation by reference in the Registration Statement on Form S-3 (No.033-55425, 333-22355, 333-101455 and 333-186695), Form S-8 (No. 033-58347, 333-49280, 333-136083, 333-136086, 333-146932, 333-148995, 333-175260 and 333-195331) and Form S-4 (No. 333-82049) of Honeywell International Inc. of our report dated February 13, 2015 relating to the financial statements and the effectiveness of internal control over financial reporting, which appears in this Form 10-K.</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color w:val="auto"/>
        </w:rPr>
        <w:t>/s/ PricewaterhouseCoopers LLP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Florham Park, New Jersey</w:t>
      </w:r>
    </w:p>
    <w:p>
      <w:pPr>
        <w:spacing w:after="0"/>
        <w:rPr>
          <w:sz w:val="20"/>
          <w:szCs w:val="20"/>
          <w:color w:val="auto"/>
        </w:rPr>
      </w:pPr>
      <w:r>
        <w:rPr>
          <w:rFonts w:ascii="Arial" w:cs="Arial" w:eastAsia="Arial" w:hAnsi="Arial"/>
          <w:sz w:val="19"/>
          <w:szCs w:val="19"/>
          <w:color w:val="auto"/>
        </w:rPr>
        <w:t>February 13, 2015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Each of the undersigned, as a director of Honeywell International Inc. (the “Company”), a Delaware corporation, hereby appoints David M. Cote, Katherine L. Adams, Adam M. Matteo, Jeffrey N. Neuman, Thomas A. Szlosek and John J. Tus, each with power to act without the other and with power of substitution and resubstitution, as my attorney-in-fact and agent for me and in my name, place and stead in any and all capacities,</w:t>
      </w:r>
    </w:p>
    <w:p>
      <w:pPr>
        <w:spacing w:after="0" w:line="166"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sign the Company’s Annual Report on Form 10-K under the Securities Exchange Act of 1934 for the year ended December 31, 2014,</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file the documents described in (i) and (ii) above and all exhibits thereto and any and all other documents in connection therewith,</w:t>
      </w:r>
    </w:p>
    <w:p>
      <w:pPr>
        <w:spacing w:after="0" w:line="23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Gordon M. Bethune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579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Jaime Chico Pardo,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4579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12,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William S. Ayer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William S. Ayer,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12, 2014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490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Robin Washington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Robin Washington,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490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1590040</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560" w:space="720"/>
            <w:col w:w="5140"/>
          </w:cols>
          <w:pgMar w:left="240" w:top="121" w:right="239" w:bottom="1440" w:gutter="0" w:footer="0" w:header="0"/>
          <w:type w:val="continuous"/>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Each of the undersigned, as a director of Honeywell International Inc. (the “Company”), a Delaware corporation, hereby appoints David M. Cote, Katherine L. Adams, Adam M. Matteo, Jeffrey N. Neuman, Thomas A. Szlosek and John J. Tus and, each with power to act without the other and with power of substitution and resubstitution, as my attorney-in-fact to sign on my behalf in my capacity as a director of the Company one or more registration statements on Form S-8 or any other appropriate form during fiscal year 2015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or the 2011 Stock Incentive Plan of Honeywell International Inc. and its Affiliates, and any plan which is a successor to such plans or is a validly authorized new plan pursuant to which securities of the Company are issued to employees.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108" w:name="page109"/>
    <w:bookmarkEnd w:id="108"/>
    <w:p>
      <w:pPr>
        <w:ind w:firstLine="648"/>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100"/>
          </w:cols>
          <w:pgMar w:left="240" w:top="409" w:right="5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Gordon M. Bethune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579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Jaime Chico Pardo,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4579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12,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William S. Ayer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William S. Ayer,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12, 2014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490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Robin Washington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Robin Washington,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490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1590040</wp:posOffset>
            </wp:positionV>
            <wp:extent cx="72466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560" w:space="720"/>
            <w:col w:w="4820"/>
          </w:cols>
          <w:pgMar w:left="240" w:top="409" w:right="559" w:bottom="1440" w:gutter="0" w:footer="0" w:header="0"/>
          <w:type w:val="continuous"/>
        </w:sectPr>
      </w:pPr>
    </w:p>
    <w:bookmarkStart w:id="109" w:name="page110"/>
    <w:bookmarkEnd w:id="109"/>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Each of the undersigned, as a director of Honeywell International Inc. (the “Company”), a Delaware corporation, hereby appoints David M. Cote, Katherine L. Adams, Adam M. Matteo, Jeffrey N. Neuman, Thomas A. Szlosek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2015,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93" w:lineRule="exact"/>
        <w:rPr>
          <w:sz w:val="20"/>
          <w:szCs w:val="20"/>
          <w:color w:val="auto"/>
        </w:rPr>
      </w:pPr>
    </w:p>
    <w:p>
      <w:pPr>
        <w:ind w:right="720" w:firstLine="656"/>
        <w:spacing w:after="0" w:line="277" w:lineRule="auto"/>
        <w:tabs>
          <w:tab w:leader="none" w:pos="8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25" w:lineRule="exact"/>
        <w:rPr>
          <w:rFonts w:ascii="Arial" w:cs="Arial" w:eastAsia="Arial" w:hAnsi="Arial"/>
          <w:sz w:val="18"/>
          <w:szCs w:val="18"/>
          <w:color w:val="auto"/>
        </w:rPr>
      </w:pPr>
    </w:p>
    <w:p>
      <w:pPr>
        <w:ind w:right="180" w:firstLine="656"/>
        <w:spacing w:after="0" w:line="277" w:lineRule="auto"/>
        <w:tabs>
          <w:tab w:leader="none" w:pos="9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170" w:lineRule="exact"/>
        <w:rPr>
          <w:rFonts w:ascii="Arial" w:cs="Arial" w:eastAsia="Arial" w:hAnsi="Arial"/>
          <w:sz w:val="18"/>
          <w:szCs w:val="18"/>
          <w:color w:val="auto"/>
        </w:rPr>
      </w:pPr>
    </w:p>
    <w:p>
      <w:pPr>
        <w:ind w:right="220" w:firstLine="656"/>
        <w:spacing w:after="0" w:line="342" w:lineRule="auto"/>
        <w:tabs>
          <w:tab w:leader="none" w:pos="9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110" w:name="page111"/>
    <w:bookmarkEnd w:id="110"/>
    <w:p>
      <w:pPr>
        <w:ind w:firstLine="648"/>
        <w:spacing w:after="0" w:line="277" w:lineRule="auto"/>
        <w:rPr>
          <w:sz w:val="20"/>
          <w:szCs w:val="20"/>
          <w:color w:val="auto"/>
        </w:rPr>
      </w:pPr>
      <w:r>
        <w:rPr>
          <w:rFonts w:ascii="Arial" w:cs="Arial" w:eastAsia="Arial" w:hAnsi="Arial"/>
          <w:sz w:val="18"/>
          <w:szCs w:val="18"/>
          <w:color w:val="auto"/>
        </w:rPr>
        <w:t>This Power of Attorney may be signed in any number of counterparts, each of which shall be an original, with the same effect as if the signatures thereto and hereto were upon the same instrument.</w:t>
      </w:r>
    </w:p>
    <w:p>
      <w:pPr>
        <w:sectPr>
          <w:pgSz w:w="11900" w:h="16838" w:orient="portrait"/>
          <w:cols w:equalWidth="0" w:num="1">
            <w:col w:w="11100"/>
          </w:cols>
          <w:pgMar w:left="240" w:top="409" w:right="5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Gordon M. Bethune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Gordon M. Bethune,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579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Kevin Burke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Kevin Burke,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Jaime Chico Pardo</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Jaime Chico Pardo,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4579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D. Scott Davis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 Scott Davis,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Linnet F. Deily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Linnet F. Deily,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579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Judd Gregg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Judd Gregg,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4579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12,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William S. Ayer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William S. Ayer,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579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12, 2014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Clive R. Hollick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Clive R. Hollick,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Grace Lieblein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Grace Lieblein,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George Paz</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George Paz,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Bradley T. Sheares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Bradley T. Sheares,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490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Robin Washington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Robin Washington,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4490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1581150</wp:posOffset>
            </wp:positionV>
            <wp:extent cx="72466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5560" w:space="720"/>
            <w:col w:w="4820"/>
          </w:cols>
          <w:pgMar w:left="240" w:top="409" w:right="559" w:bottom="1440" w:gutter="0" w:footer="0" w:header="0"/>
          <w:type w:val="continuous"/>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 David M. Cote, a director of Honeywell International Inc. (the “Company”), a Delaware corporation, hereby appoint Katherine L. Adams, Adam M. Matteo, Jeffrey N. Neuman, Thomas A. Szlosek and John J. Tus, each with power to act without the other and with power of substitution and resubstitution, as my attorney-in-fact and agent for me and in my name, place and stead in any and all capacities,</w:t>
      </w:r>
    </w:p>
    <w:p>
      <w:pPr>
        <w:spacing w:after="0" w:line="181"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sign the Company’s Annual Report on Form 10-K under the Securities Exchange Act of 1934 for the year ended December 31, 2014,</w:t>
      </w:r>
    </w:p>
    <w:p>
      <w:pPr>
        <w:spacing w:after="0" w:line="236" w:lineRule="exact"/>
        <w:rPr>
          <w:rFonts w:ascii="Arial" w:cs="Arial" w:eastAsia="Arial" w:hAnsi="Arial"/>
          <w:sz w:val="17"/>
          <w:szCs w:val="17"/>
          <w:color w:val="auto"/>
        </w:rPr>
      </w:pPr>
    </w:p>
    <w:p>
      <w:pPr>
        <w:ind w:left="920" w:hanging="264"/>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sign any amendment to the Annual Report referred to in (i) above,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file the documents described in (i) and (ii) above and all exhibits thereto and any and all other documents in connection therewith,</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granting unto each said attorney-in-fact and agent full power and authority to do and perform every act and thing requisite, necessary or desirable to be done in connection therewith, as fully to all intents and purposes as I might or could do in person, hereby ratifying and confirming all that said attorneys-in-fact and agents, or any of them, or their or his or her substitutes or substitute, may lawfully do or cause to be done by virtue hereof.</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14490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 David M. Cote, a director of Honeywell International Inc. (the “Company”), a Delaware corporation, hereby appoint Katherine L. Adams, Adam M. Matteo, Jeffrey N. Neuman, Thomas A. Szlosek and John J. Tus, each with power to act without the other and with power of substitution and resubstitution, as my attorney-in-fact to sign on my behalf in my capacity as a director of the Company one or more registration statements on Form S-8 or any other appropriate form during fiscal year 2015, and to file the same together with all exhibits thereto, under the Securities Act of 1933, including any amendment or supplement thereto or to any registration statement heretofore filed by the Company on Form S-8 or any other appropriate form for the registration of shares of the Company’s Common Stock (or participations where appropriate) to be offered pursuant to the Honeywell Savings and Ownership Plan, the Honeywell Puerto Rico Savings and Ownership Plan, the Honeywell Supplemental Savings Plan, the 2006 Stock Plan for Non-Employee Directors of Honeywell International Inc., the 2007 Honeywell Global Employee Stock Plan (including any and all sub-plans), or the 2011 Stock Incentive Plan of Honeywell International Inc. and its Affiliates, and any plan which is a successor to such plans or is a validly authorized new plan pursuant to which securities of the Company are issued to employees.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hereby revoke any or all prior appointments of attorneys-in-fact to sign the above-described documents.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14490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 David M. Cote, a director of Honeywell International Inc. (the “Company”), a Delaware corporation, hereby appoint Katherine L. Adams, Adam M. Matteo, Jeffrey N. Neuman, Thomas A. Szlosek and John J. Tus, each with power to act without the other and with power of substitution and resubstitution, as my attorney-in-fact to sign on my behalf in my capacity as a director of the Company one or more registration statements on Form S-3 or S-4 or any other appropriate form during fiscal year 2015, and to file the same together with all exhibits thereto, under the Securities Act of 1933, including any amendment or supplement thereto or to any registration statement heretofore filed by the Company for the registration of sales or resales of:</w:t>
      </w:r>
    </w:p>
    <w:p>
      <w:pPr>
        <w:spacing w:after="0" w:line="158" w:lineRule="exact"/>
        <w:rPr>
          <w:sz w:val="20"/>
          <w:szCs w:val="20"/>
          <w:color w:val="auto"/>
        </w:rPr>
      </w:pPr>
    </w:p>
    <w:p>
      <w:pPr>
        <w:ind w:right="720" w:firstLine="656"/>
        <w:spacing w:after="0" w:line="277" w:lineRule="auto"/>
        <w:tabs>
          <w:tab w:leader="none" w:pos="8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shares of the Company’s common stock, par value, $1.00 per share, including shares of common stock to be offered under the Dividend Reinvestment and Share Purchase Plan of the Company and any successor or new plan for such purposes;</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shares of the Company’s preferred stock, without par value;</w:t>
      </w:r>
    </w:p>
    <w:p>
      <w:pPr>
        <w:spacing w:after="0" w:line="225" w:lineRule="exact"/>
        <w:rPr>
          <w:rFonts w:ascii="Arial" w:cs="Arial" w:eastAsia="Arial" w:hAnsi="Arial"/>
          <w:sz w:val="18"/>
          <w:szCs w:val="18"/>
          <w:color w:val="auto"/>
        </w:rPr>
      </w:pPr>
    </w:p>
    <w:p>
      <w:pPr>
        <w:ind w:right="180" w:firstLine="656"/>
        <w:spacing w:after="0" w:line="277" w:lineRule="auto"/>
        <w:tabs>
          <w:tab w:leader="none" w:pos="9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debt securities of the Company, with such terms as may be from time to time specified in such registration statement or any amendment, post-effective amendment or supplement thereto; and</w:t>
      </w:r>
    </w:p>
    <w:p>
      <w:pPr>
        <w:spacing w:after="0" w:line="170" w:lineRule="exact"/>
        <w:rPr>
          <w:rFonts w:ascii="Arial" w:cs="Arial" w:eastAsia="Arial" w:hAnsi="Arial"/>
          <w:sz w:val="18"/>
          <w:szCs w:val="18"/>
          <w:color w:val="auto"/>
        </w:rPr>
      </w:pPr>
    </w:p>
    <w:p>
      <w:pPr>
        <w:ind w:right="220" w:firstLine="656"/>
        <w:spacing w:after="0" w:line="342" w:lineRule="auto"/>
        <w:tabs>
          <w:tab w:leader="none" w:pos="953"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such other securities of the Company, its subsidiaries, joint ventures or affiliates or any other person or entity, as may be specified in any such registration statement, amendment or supplement thereto, all in accordance with the Securities Act of 1933 and the rules and regulations thereunder.</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 hereby grant to each such attorney-in-fact full power and authority to perform every act necessary to be done in connection with the foregoing as fully as I might do in person, hereby ratifying and confirming all that said attorneys-in-fact, or any of them or their substitutes, may lawfully do or cause to be done.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hereby revoke any or all prior appointments of attorneys-in-fact to the extent that they confer authority to sign the above-described documents.</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M. Cote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14490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114" w:name="page115"/>
    <w:bookmarkEnd w:id="114"/>
    <w:p>
      <w:pPr>
        <w:jc w:val="right"/>
        <w:spacing w:after="0"/>
        <w:rPr>
          <w:sz w:val="20"/>
          <w:szCs w:val="20"/>
          <w:color w:val="auto"/>
        </w:rPr>
      </w:pPr>
      <w:r>
        <w:rPr>
          <w:rFonts w:ascii="Arial" w:cs="Arial" w:eastAsia="Arial" w:hAnsi="Arial"/>
          <w:sz w:val="19"/>
          <w:szCs w:val="19"/>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302</w:t>
      </w:r>
    </w:p>
    <w:p>
      <w:pPr>
        <w:jc w:val="center"/>
        <w:spacing w:after="0"/>
        <w:rPr>
          <w:sz w:val="20"/>
          <w:szCs w:val="20"/>
          <w:color w:val="auto"/>
        </w:rPr>
      </w:pPr>
      <w:r>
        <w:rPr>
          <w:rFonts w:ascii="Arial" w:cs="Arial" w:eastAsia="Arial" w:hAnsi="Arial"/>
          <w:sz w:val="19"/>
          <w:szCs w:val="19"/>
          <w:b w:val="1"/>
          <w:bCs w:val="1"/>
          <w:color w:val="auto"/>
        </w:rPr>
        <w:t>OF THE SARBANES-OXLEY ACT OF 2002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I, David M. Cote, Chief Executive Officer, certify that:</w:t>
      </w:r>
    </w:p>
    <w:p>
      <w:pPr>
        <w:spacing w:after="0" w:line="92" w:lineRule="exact"/>
        <w:rPr>
          <w:sz w:val="20"/>
          <w:szCs w:val="20"/>
          <w:color w:val="auto"/>
        </w:rPr>
      </w:pPr>
    </w:p>
    <w:p>
      <w:pPr>
        <w:ind w:left="340" w:hanging="264"/>
        <w:spacing w:after="0"/>
        <w:tabs>
          <w:tab w:leader="none" w:pos="3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Honeywell International Inc.;</w:t>
      </w:r>
    </w:p>
    <w:p>
      <w:pPr>
        <w:spacing w:after="0" w:line="92" w:lineRule="exact"/>
        <w:rPr>
          <w:rFonts w:ascii="Arial" w:cs="Arial" w:eastAsia="Arial" w:hAnsi="Arial"/>
          <w:sz w:val="19"/>
          <w:szCs w:val="19"/>
          <w:color w:val="auto"/>
        </w:rPr>
      </w:pPr>
    </w:p>
    <w:p>
      <w:pPr>
        <w:ind w:left="340" w:right="160" w:hanging="264"/>
        <w:spacing w:after="0" w:line="245" w:lineRule="auto"/>
        <w:tabs>
          <w:tab w:leader="none" w:pos="3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9"/>
          <w:szCs w:val="19"/>
          <w:color w:val="auto"/>
        </w:rPr>
      </w:pPr>
    </w:p>
    <w:p>
      <w:pPr>
        <w:ind w:left="340" w:right="560" w:hanging="264"/>
        <w:spacing w:after="0" w:line="245" w:lineRule="auto"/>
        <w:tabs>
          <w:tab w:leader="none" w:pos="3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9"/>
          <w:szCs w:val="19"/>
          <w:color w:val="auto"/>
        </w:rPr>
      </w:pPr>
    </w:p>
    <w:p>
      <w:pPr>
        <w:ind w:left="920" w:right="100" w:hanging="261"/>
        <w:spacing w:after="0" w:line="245" w:lineRule="auto"/>
        <w:tabs>
          <w:tab w:leader="none" w:pos="9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9"/>
          <w:szCs w:val="19"/>
          <w:color w:val="auto"/>
        </w:rPr>
      </w:pPr>
    </w:p>
    <w:p>
      <w:pPr>
        <w:ind w:left="920" w:right="360" w:hanging="261"/>
        <w:spacing w:after="0" w:line="245" w:lineRule="auto"/>
        <w:tabs>
          <w:tab w:leader="none" w:pos="9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9"/>
          <w:szCs w:val="19"/>
          <w:color w:val="auto"/>
        </w:rPr>
      </w:pPr>
    </w:p>
    <w:p>
      <w:pPr>
        <w:ind w:left="920" w:right="120" w:hanging="250"/>
        <w:spacing w:after="0" w:line="245" w:lineRule="auto"/>
        <w:tabs>
          <w:tab w:leader="none" w:pos="9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9"/>
          <w:szCs w:val="19"/>
          <w:color w:val="auto"/>
        </w:rPr>
      </w:pPr>
    </w:p>
    <w:p>
      <w:pPr>
        <w:ind w:left="920" w:right="180" w:hanging="261"/>
        <w:spacing w:after="0" w:line="245" w:lineRule="auto"/>
        <w:tabs>
          <w:tab w:leader="none" w:pos="9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9"/>
          <w:szCs w:val="19"/>
          <w:color w:val="auto"/>
        </w:rPr>
      </w:pPr>
    </w:p>
    <w:p>
      <w:pPr>
        <w:jc w:val="both"/>
        <w:ind w:left="920" w:right="280" w:hanging="261"/>
        <w:spacing w:after="0" w:line="245" w:lineRule="auto"/>
        <w:tabs>
          <w:tab w:leader="none" w:pos="9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9"/>
          <w:szCs w:val="19"/>
          <w:color w:val="auto"/>
        </w:rPr>
      </w:pPr>
    </w:p>
    <w:p>
      <w:pPr>
        <w:ind w:left="920" w:right="640" w:hanging="261"/>
        <w:spacing w:after="0" w:line="253" w:lineRule="auto"/>
        <w:tabs>
          <w:tab w:leader="none" w:pos="9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tabs>
          <w:tab w:leader="none" w:pos="6000" w:val="left"/>
          <w:tab w:leader="none" w:pos="6880" w:val="left"/>
        </w:tabs>
        <w:rPr>
          <w:sz w:val="20"/>
          <w:szCs w:val="20"/>
          <w:color w:val="auto"/>
        </w:rPr>
      </w:pPr>
      <w:r>
        <w:rPr>
          <w:rFonts w:ascii="Arial" w:cs="Arial" w:eastAsia="Arial" w:hAnsi="Arial"/>
          <w:sz w:val="19"/>
          <w:szCs w:val="19"/>
          <w:color w:val="auto"/>
        </w:rPr>
        <w:t>Date: February 13, 2015</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15875</wp:posOffset>
            </wp:positionV>
            <wp:extent cx="28644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9" w:lineRule="exact"/>
        <w:rPr>
          <w:sz w:val="20"/>
          <w:szCs w:val="20"/>
          <w:color w:val="auto"/>
        </w:rPr>
      </w:pPr>
    </w:p>
    <w:p>
      <w:pPr>
        <w:ind w:left="6900"/>
        <w:spacing w:after="0"/>
        <w:rPr>
          <w:sz w:val="20"/>
          <w:szCs w:val="20"/>
          <w:color w:val="auto"/>
        </w:rPr>
      </w:pPr>
      <w:r>
        <w:rPr>
          <w:rFonts w:ascii="Arial" w:cs="Arial" w:eastAsia="Arial" w:hAnsi="Arial"/>
          <w:sz w:val="19"/>
          <w:szCs w:val="19"/>
          <w:color w:val="auto"/>
        </w:rPr>
        <w:t>David M. Cote</w:t>
      </w:r>
    </w:p>
    <w:p>
      <w:pPr>
        <w:ind w:left="6900"/>
        <w:spacing w:after="0"/>
        <w:rPr>
          <w:sz w:val="20"/>
          <w:szCs w:val="20"/>
          <w:color w:val="auto"/>
        </w:rPr>
      </w:pPr>
      <w:r>
        <w:rPr>
          <w:rFonts w:ascii="Arial" w:cs="Arial" w:eastAsia="Arial" w:hAnsi="Arial"/>
          <w:sz w:val="19"/>
          <w:szCs w:val="19"/>
          <w:color w:val="auto"/>
        </w:rPr>
        <w:t>Chief Executive Officer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9"/>
          <w:szCs w:val="19"/>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302</w:t>
      </w:r>
    </w:p>
    <w:p>
      <w:pPr>
        <w:jc w:val="center"/>
        <w:spacing w:after="0"/>
        <w:rPr>
          <w:sz w:val="20"/>
          <w:szCs w:val="20"/>
          <w:color w:val="auto"/>
        </w:rPr>
      </w:pPr>
      <w:r>
        <w:rPr>
          <w:rFonts w:ascii="Arial" w:cs="Arial" w:eastAsia="Arial" w:hAnsi="Arial"/>
          <w:sz w:val="19"/>
          <w:szCs w:val="19"/>
          <w:b w:val="1"/>
          <w:bCs w:val="1"/>
          <w:color w:val="auto"/>
        </w:rPr>
        <w:t>OF THE SARBANES-OXLEY ACT OF 2002</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I, Thomas A. Szlosek, Chief Financial Officer, certify that:</w:t>
      </w:r>
    </w:p>
    <w:p>
      <w:pPr>
        <w:spacing w:after="0" w:line="92" w:lineRule="exact"/>
        <w:rPr>
          <w:sz w:val="20"/>
          <w:szCs w:val="20"/>
          <w:color w:val="auto"/>
        </w:rPr>
      </w:pPr>
    </w:p>
    <w:p>
      <w:pPr>
        <w:ind w:left="340" w:hanging="264"/>
        <w:spacing w:after="0"/>
        <w:tabs>
          <w:tab w:leader="none" w:pos="3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 have reviewed this Annual Report on Form 10-K of Honeywell International Inc.;</w:t>
      </w:r>
    </w:p>
    <w:p>
      <w:pPr>
        <w:spacing w:after="0" w:line="92" w:lineRule="exact"/>
        <w:rPr>
          <w:rFonts w:ascii="Arial" w:cs="Arial" w:eastAsia="Arial" w:hAnsi="Arial"/>
          <w:sz w:val="19"/>
          <w:szCs w:val="19"/>
          <w:color w:val="auto"/>
        </w:rPr>
      </w:pPr>
    </w:p>
    <w:p>
      <w:pPr>
        <w:ind w:left="340" w:right="160" w:hanging="264"/>
        <w:spacing w:after="0" w:line="245" w:lineRule="auto"/>
        <w:tabs>
          <w:tab w:leader="none" w:pos="3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9"/>
          <w:szCs w:val="19"/>
          <w:color w:val="auto"/>
        </w:rPr>
      </w:pPr>
    </w:p>
    <w:p>
      <w:pPr>
        <w:ind w:left="340" w:right="560" w:hanging="264"/>
        <w:spacing w:after="0" w:line="245" w:lineRule="auto"/>
        <w:tabs>
          <w:tab w:leader="none" w:pos="3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9"/>
          <w:szCs w:val="19"/>
          <w:color w:val="auto"/>
        </w:rPr>
      </w:pPr>
    </w:p>
    <w:p>
      <w:pPr>
        <w:ind w:left="920" w:right="100" w:hanging="261"/>
        <w:spacing w:after="0" w:line="245" w:lineRule="auto"/>
        <w:tabs>
          <w:tab w:leader="none" w:pos="9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9"/>
          <w:szCs w:val="19"/>
          <w:color w:val="auto"/>
        </w:rPr>
      </w:pPr>
    </w:p>
    <w:p>
      <w:pPr>
        <w:ind w:left="920" w:right="360" w:hanging="261"/>
        <w:spacing w:after="0" w:line="245" w:lineRule="auto"/>
        <w:tabs>
          <w:tab w:leader="none" w:pos="9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9"/>
          <w:szCs w:val="19"/>
          <w:color w:val="auto"/>
        </w:rPr>
      </w:pPr>
    </w:p>
    <w:p>
      <w:pPr>
        <w:ind w:left="920" w:right="120" w:hanging="250"/>
        <w:spacing w:after="0" w:line="245" w:lineRule="auto"/>
        <w:tabs>
          <w:tab w:leader="none" w:pos="9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9"/>
          <w:szCs w:val="19"/>
          <w:color w:val="auto"/>
        </w:rPr>
      </w:pPr>
    </w:p>
    <w:p>
      <w:pPr>
        <w:ind w:left="920" w:right="180" w:hanging="261"/>
        <w:spacing w:after="0" w:line="245" w:lineRule="auto"/>
        <w:tabs>
          <w:tab w:leader="none" w:pos="9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9"/>
          <w:szCs w:val="19"/>
          <w:color w:val="auto"/>
        </w:rPr>
      </w:pPr>
    </w:p>
    <w:p>
      <w:pPr>
        <w:ind w:left="340" w:right="40" w:hanging="264"/>
        <w:spacing w:after="0" w:line="245" w:lineRule="auto"/>
        <w:tabs>
          <w:tab w:leader="none" w:pos="3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9"/>
          <w:szCs w:val="19"/>
          <w:color w:val="auto"/>
        </w:rPr>
      </w:pPr>
    </w:p>
    <w:p>
      <w:pPr>
        <w:jc w:val="both"/>
        <w:ind w:left="920" w:right="280" w:hanging="250"/>
        <w:spacing w:after="0" w:line="245" w:lineRule="auto"/>
        <w:tabs>
          <w:tab w:leader="none" w:pos="920" w:val="left"/>
        </w:tabs>
        <w:numPr>
          <w:ilvl w:val="2"/>
          <w:numId w:val="52"/>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9"/>
          <w:szCs w:val="19"/>
          <w:color w:val="auto"/>
        </w:rPr>
      </w:pPr>
    </w:p>
    <w:p>
      <w:pPr>
        <w:ind w:left="920" w:right="640" w:hanging="250"/>
        <w:spacing w:after="0" w:line="253" w:lineRule="auto"/>
        <w:tabs>
          <w:tab w:leader="none" w:pos="920" w:val="left"/>
        </w:tabs>
        <w:numPr>
          <w:ilvl w:val="2"/>
          <w:numId w:val="5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p>
      <w:pPr>
        <w:spacing w:after="0"/>
        <w:tabs>
          <w:tab w:leader="none" w:pos="6000" w:val="left"/>
          <w:tab w:leader="none" w:pos="6880" w:val="left"/>
        </w:tabs>
        <w:rPr>
          <w:sz w:val="20"/>
          <w:szCs w:val="20"/>
          <w:color w:val="auto"/>
        </w:rPr>
      </w:pPr>
      <w:r>
        <w:rPr>
          <w:rFonts w:ascii="Arial" w:cs="Arial" w:eastAsia="Arial" w:hAnsi="Arial"/>
          <w:sz w:val="19"/>
          <w:szCs w:val="19"/>
          <w:color w:val="auto"/>
        </w:rPr>
        <w:t>Date: February 13, 2015</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15875</wp:posOffset>
            </wp:positionV>
            <wp:extent cx="28644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9" w:lineRule="exact"/>
        <w:rPr>
          <w:sz w:val="20"/>
          <w:szCs w:val="20"/>
          <w:color w:val="auto"/>
        </w:rPr>
      </w:pPr>
    </w:p>
    <w:p>
      <w:pPr>
        <w:ind w:left="6900"/>
        <w:spacing w:after="0"/>
        <w:rPr>
          <w:sz w:val="20"/>
          <w:szCs w:val="20"/>
          <w:color w:val="auto"/>
        </w:rPr>
      </w:pPr>
      <w:r>
        <w:rPr>
          <w:rFonts w:ascii="Arial" w:cs="Arial" w:eastAsia="Arial" w:hAnsi="Arial"/>
          <w:sz w:val="19"/>
          <w:szCs w:val="19"/>
          <w:color w:val="auto"/>
        </w:rPr>
        <w:t>Thomas A. Szlosek</w:t>
      </w:r>
    </w:p>
    <w:p>
      <w:pPr>
        <w:ind w:left="6900"/>
        <w:spacing w:after="0"/>
        <w:rPr>
          <w:sz w:val="20"/>
          <w:szCs w:val="20"/>
          <w:color w:val="auto"/>
        </w:rPr>
      </w:pPr>
      <w:r>
        <w:rPr>
          <w:rFonts w:ascii="Arial" w:cs="Arial" w:eastAsia="Arial" w:hAnsi="Arial"/>
          <w:sz w:val="19"/>
          <w:szCs w:val="19"/>
          <w:color w:val="auto"/>
        </w:rPr>
        <w:t>Chief Financial Officer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9"/>
          <w:szCs w:val="19"/>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jc w:val="center"/>
        <w:spacing w:after="0" w:line="237" w:lineRule="auto"/>
        <w:rPr>
          <w:sz w:val="20"/>
          <w:szCs w:val="20"/>
          <w:color w:val="auto"/>
        </w:rPr>
      </w:pPr>
      <w:r>
        <w:rPr>
          <w:rFonts w:ascii="Arial" w:cs="Arial" w:eastAsia="Arial" w:hAnsi="Arial"/>
          <w:sz w:val="19"/>
          <w:szCs w:val="19"/>
          <w:b w:val="1"/>
          <w:bCs w:val="1"/>
          <w:color w:val="auto"/>
        </w:rPr>
        <w:t>AS ADOPTED PURSUANT TO</w:t>
      </w: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06" w:lineRule="exact"/>
        <w:rPr>
          <w:sz w:val="20"/>
          <w:szCs w:val="20"/>
          <w:color w:val="auto"/>
        </w:rPr>
      </w:pPr>
    </w:p>
    <w:p>
      <w:pPr>
        <w:jc w:val="both"/>
        <w:ind w:right="180"/>
        <w:spacing w:after="0" w:line="242" w:lineRule="auto"/>
        <w:rPr>
          <w:sz w:val="20"/>
          <w:szCs w:val="20"/>
          <w:color w:val="auto"/>
        </w:rPr>
      </w:pPr>
      <w:r>
        <w:rPr>
          <w:rFonts w:ascii="Arial" w:cs="Arial" w:eastAsia="Arial" w:hAnsi="Arial"/>
          <w:sz w:val="19"/>
          <w:szCs w:val="19"/>
          <w:color w:val="auto"/>
        </w:rPr>
        <w:t>In connection with the Annual Report of Honeywell International Inc. (the Company) on Form 10-K for the period ending December 31, 2014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78" w:lineRule="exact"/>
        <w:rPr>
          <w:sz w:val="20"/>
          <w:szCs w:val="20"/>
          <w:color w:val="auto"/>
        </w:rPr>
      </w:pPr>
    </w:p>
    <w:p>
      <w:pPr>
        <w:ind w:left="840" w:hanging="340"/>
        <w:spacing w:after="0"/>
        <w:tabs>
          <w:tab w:leader="none" w:pos="8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92" w:lineRule="exact"/>
        <w:rPr>
          <w:rFonts w:ascii="Arial" w:cs="Arial" w:eastAsia="Arial" w:hAnsi="Arial"/>
          <w:sz w:val="19"/>
          <w:szCs w:val="19"/>
          <w:color w:val="auto"/>
        </w:rPr>
      </w:pPr>
    </w:p>
    <w:p>
      <w:pPr>
        <w:ind w:left="840" w:right="700" w:hanging="340"/>
        <w:spacing w:after="0" w:line="252" w:lineRule="auto"/>
        <w:tabs>
          <w:tab w:leader="none" w:pos="8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tabs>
          <w:tab w:leader="none" w:pos="9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David M. 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15875</wp:posOffset>
            </wp:positionV>
            <wp:extent cx="30441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9" w:lineRule="exact"/>
        <w:rPr>
          <w:sz w:val="20"/>
          <w:szCs w:val="20"/>
          <w:color w:val="auto"/>
        </w:rPr>
      </w:pPr>
    </w:p>
    <w:p>
      <w:pPr>
        <w:ind w:left="920"/>
        <w:spacing w:after="0"/>
        <w:rPr>
          <w:sz w:val="20"/>
          <w:szCs w:val="20"/>
          <w:color w:val="auto"/>
        </w:rPr>
      </w:pPr>
      <w:r>
        <w:rPr>
          <w:rFonts w:ascii="Arial" w:cs="Arial" w:eastAsia="Arial" w:hAnsi="Arial"/>
          <w:sz w:val="19"/>
          <w:szCs w:val="19"/>
          <w:color w:val="auto"/>
        </w:rPr>
        <w:t>David M. Cote</w:t>
      </w:r>
    </w:p>
    <w:p>
      <w:pPr>
        <w:ind w:left="920"/>
        <w:spacing w:after="0"/>
        <w:rPr>
          <w:sz w:val="20"/>
          <w:szCs w:val="20"/>
          <w:color w:val="auto"/>
        </w:rPr>
      </w:pPr>
      <w:r>
        <w:rPr>
          <w:rFonts w:ascii="Arial" w:cs="Arial" w:eastAsia="Arial" w:hAnsi="Arial"/>
          <w:sz w:val="19"/>
          <w:szCs w:val="19"/>
          <w:color w:val="auto"/>
        </w:rPr>
        <w:t>Chief Executive Officer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February 13, 2015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9"/>
          <w:szCs w:val="19"/>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jc w:val="center"/>
        <w:spacing w:after="0" w:line="237" w:lineRule="auto"/>
        <w:rPr>
          <w:sz w:val="20"/>
          <w:szCs w:val="20"/>
          <w:color w:val="auto"/>
        </w:rPr>
      </w:pPr>
      <w:r>
        <w:rPr>
          <w:rFonts w:ascii="Arial" w:cs="Arial" w:eastAsia="Arial" w:hAnsi="Arial"/>
          <w:sz w:val="19"/>
          <w:szCs w:val="19"/>
          <w:b w:val="1"/>
          <w:bCs w:val="1"/>
          <w:color w:val="auto"/>
        </w:rPr>
        <w:t>AS ADOPTED PURSUANT TO</w:t>
      </w: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06" w:lineRule="exact"/>
        <w:rPr>
          <w:sz w:val="20"/>
          <w:szCs w:val="20"/>
          <w:color w:val="auto"/>
        </w:rPr>
      </w:pPr>
    </w:p>
    <w:p>
      <w:pPr>
        <w:ind w:right="180"/>
        <w:spacing w:after="0" w:line="242" w:lineRule="auto"/>
        <w:rPr>
          <w:sz w:val="20"/>
          <w:szCs w:val="20"/>
          <w:color w:val="auto"/>
        </w:rPr>
      </w:pPr>
      <w:r>
        <w:rPr>
          <w:rFonts w:ascii="Arial" w:cs="Arial" w:eastAsia="Arial" w:hAnsi="Arial"/>
          <w:sz w:val="19"/>
          <w:szCs w:val="19"/>
          <w:color w:val="auto"/>
        </w:rPr>
        <w:t>In connection with the Annual Report of Honeywell International Inc. (the Company) on Form 10-K for the period ending December 31, 2014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78" w:lineRule="exact"/>
        <w:rPr>
          <w:sz w:val="20"/>
          <w:szCs w:val="20"/>
          <w:color w:val="auto"/>
        </w:rPr>
      </w:pPr>
    </w:p>
    <w:p>
      <w:pPr>
        <w:ind w:left="840" w:hanging="340"/>
        <w:spacing w:after="0"/>
        <w:tabs>
          <w:tab w:leader="none" w:pos="8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92" w:lineRule="exact"/>
        <w:rPr>
          <w:rFonts w:ascii="Arial" w:cs="Arial" w:eastAsia="Arial" w:hAnsi="Arial"/>
          <w:sz w:val="19"/>
          <w:szCs w:val="19"/>
          <w:color w:val="auto"/>
        </w:rPr>
      </w:pPr>
    </w:p>
    <w:p>
      <w:pPr>
        <w:ind w:left="840" w:right="700" w:hanging="340"/>
        <w:spacing w:after="0" w:line="252" w:lineRule="auto"/>
        <w:tabs>
          <w:tab w:leader="none" w:pos="8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tabs>
          <w:tab w:leader="none" w:pos="9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Thomas A. Szlosek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15875</wp:posOffset>
            </wp:positionV>
            <wp:extent cx="30441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9" w:lineRule="exact"/>
        <w:rPr>
          <w:sz w:val="20"/>
          <w:szCs w:val="20"/>
          <w:color w:val="auto"/>
        </w:rPr>
      </w:pPr>
    </w:p>
    <w:p>
      <w:pPr>
        <w:ind w:left="920"/>
        <w:spacing w:after="0"/>
        <w:rPr>
          <w:sz w:val="20"/>
          <w:szCs w:val="20"/>
          <w:color w:val="auto"/>
        </w:rPr>
      </w:pPr>
      <w:r>
        <w:rPr>
          <w:rFonts w:ascii="Arial" w:cs="Arial" w:eastAsia="Arial" w:hAnsi="Arial"/>
          <w:sz w:val="19"/>
          <w:szCs w:val="19"/>
          <w:color w:val="auto"/>
        </w:rPr>
        <w:t>Thomas A. Szlosek</w:t>
      </w:r>
    </w:p>
    <w:p>
      <w:pPr>
        <w:ind w:left="920"/>
        <w:spacing w:after="0"/>
        <w:rPr>
          <w:sz w:val="20"/>
          <w:szCs w:val="20"/>
          <w:color w:val="auto"/>
        </w:rPr>
      </w:pPr>
      <w:r>
        <w:rPr>
          <w:rFonts w:ascii="Arial" w:cs="Arial" w:eastAsia="Arial" w:hAnsi="Arial"/>
          <w:sz w:val="19"/>
          <w:szCs w:val="19"/>
          <w:color w:val="auto"/>
        </w:rPr>
        <w:t>Chief Financial Officer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February 13, 2015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lowerRoman"/>
      <w:start w:val="4"/>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decimal"/>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2"/>
    </w:lvl>
  </w:abstractNum>
  <w:abstractNum w:abstractNumId="32">
    <w:nsid w:val="1D4ED43B"/>
    <w:multiLevelType w:val="hybridMultilevel"/>
    <w:lvl w:ilvl="0">
      <w:lvlJc w:val="left"/>
      <w:lvlText w:val="(%1)"/>
      <w:numFmt w:val="decimal"/>
      <w:start w:val="5"/>
    </w:lvl>
  </w:abstractNum>
  <w:abstractNum w:abstractNumId="33">
    <w:nsid w:val="725A06FB"/>
    <w:multiLevelType w:val="hybridMultilevel"/>
    <w:lvl w:ilvl="0">
      <w:lvlJc w:val="left"/>
      <w:lvlText w:val="%1."/>
      <w:numFmt w:val="decimal"/>
      <w:start w:val="1"/>
    </w:lvl>
    <w:lvl w:ilvl="1">
      <w:lvlJc w:val="left"/>
      <w:lvlText w:val="%2."/>
      <w:numFmt w:val="lowerLetter"/>
      <w:start w:val="1"/>
    </w:lvl>
  </w:abstractNum>
  <w:abstractNum w:abstractNumId="34">
    <w:nsid w:val="2CD89A32"/>
    <w:multiLevelType w:val="hybridMultilevel"/>
    <w:lvl w:ilvl="0">
      <w:lvlJc w:val="left"/>
      <w:lvlText w:val="%1."/>
      <w:numFmt w:val="decimal"/>
      <w:start w:val="2"/>
    </w:lvl>
  </w:abstractNum>
  <w:abstractNum w:abstractNumId="35">
    <w:nsid w:val="57E4CCAF"/>
    <w:multiLevelType w:val="hybridMultilevel"/>
    <w:lvl w:ilvl="0">
      <w:lvlJc w:val="left"/>
      <w:lvlText w:val="%1."/>
      <w:numFmt w:val="decimal"/>
      <w:start w:val="9"/>
    </w:lvl>
  </w:abstractNum>
  <w:abstractNum w:abstractNumId="36">
    <w:nsid w:val="7A6D8D3C"/>
    <w:multiLevelType w:val="hybridMultilevel"/>
    <w:lvl w:ilvl="0">
      <w:lvlJc w:val="left"/>
      <w:lvlText w:val="%1."/>
      <w:numFmt w:val="decimal"/>
      <w:start w:val="12"/>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2"/>
    </w:lvl>
    <w:lvl w:ilvl="1">
      <w:lvlJc w:val="left"/>
      <w:lvlText w:val="%2."/>
      <w:numFmt w:val="decimal"/>
      <w:start w:val="1"/>
    </w:lvl>
  </w:abstractNum>
  <w:abstractNum w:abstractNumId="39">
    <w:nsid w:val="6DE91B18"/>
    <w:multiLevelType w:val="hybridMultilevel"/>
    <w:lvl w:ilvl="0">
      <w:lvlJc w:val="left"/>
      <w:lvlText w:val="%1"/>
      <w:numFmt w:val="decimal"/>
      <w:start w:val="1"/>
    </w:lvl>
    <w:lvl w:ilvl="1">
      <w:lvlJc w:val="left"/>
      <w:lvlText w:val="%2."/>
      <w:numFmt w:val="decimal"/>
      <w:start w:val="3"/>
    </w:lvl>
  </w:abstractNum>
  <w:abstractNum w:abstractNumId="40">
    <w:nsid w:val="38437FDB"/>
    <w:multiLevelType w:val="hybridMultilevel"/>
    <w:lvl w:ilvl="0">
      <w:lvlJc w:val="left"/>
      <w:lvlText w:val="%1."/>
      <w:numFmt w:val="decimal"/>
      <w:start w:val="18"/>
    </w:lvl>
    <w:lvl w:ilvl="1">
      <w:lvlJc w:val="left"/>
      <w:lvlText w:val="%2"/>
      <w:numFmt w:val="decimal"/>
      <w:start w:val="1"/>
    </w:lvl>
  </w:abstractNum>
  <w:abstractNum w:abstractNumId="41">
    <w:nsid w:val="7644A45C"/>
    <w:multiLevelType w:val="hybridMultilevel"/>
    <w:lvl w:ilvl="0">
      <w:lvlJc w:val="left"/>
      <w:lvlText w:val="%1."/>
      <w:numFmt w:val="decimal"/>
      <w:start w:val="23"/>
    </w:lvl>
    <w:lvl w:ilvl="1">
      <w:lvlJc w:val="left"/>
      <w:lvlText w:val="%2."/>
      <w:numFmt w:val="lowerLetter"/>
      <w:start w:val="1"/>
    </w:lvl>
  </w:abstractNum>
  <w:abstractNum w:abstractNumId="42">
    <w:nsid w:val="32FFF902"/>
    <w:multiLevelType w:val="hybridMultilevel"/>
    <w:lvl w:ilvl="0">
      <w:lvlJc w:val="left"/>
      <w:lvlText w:val="%1"/>
      <w:numFmt w:val="decimal"/>
      <w:start w:val="1"/>
    </w:lvl>
    <w:lvl w:ilvl="1">
      <w:lvlJc w:val="left"/>
      <w:lvlText w:val="%2."/>
      <w:numFmt w:val="lowerLetter"/>
      <w:start w:val="1"/>
    </w:lvl>
  </w:abstractNum>
  <w:abstractNum w:abstractNumId="43">
    <w:nsid w:val="684A481A"/>
    <w:multiLevelType w:val="hybridMultilevel"/>
    <w:lvl w:ilvl="0">
      <w:lvlJc w:val="left"/>
      <w:lvlText w:val="%1."/>
      <w:numFmt w:val="decimal"/>
      <w:start w:val="25"/>
    </w:lvl>
    <w:lvl w:ilvl="1">
      <w:lvlJc w:val="left"/>
      <w:lvlText w:val="%2"/>
      <w:numFmt w:val="lowerLetter"/>
      <w:start w:val="1"/>
    </w:lvl>
  </w:abstractNum>
  <w:abstractNum w:abstractNumId="44">
    <w:nsid w:val="579478FE"/>
    <w:multiLevelType w:val="hybridMultilevel"/>
    <w:lvl w:ilvl="0">
      <w:lvlJc w:val="left"/>
      <w:lvlText w:val="%1."/>
      <w:numFmt w:val="decimal"/>
      <w:start w:val="26"/>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lowerRoman"/>
      <w:start w:val="1"/>
    </w:lvl>
  </w:abstractNum>
  <w:abstractNum w:abstractNumId="47">
    <w:nsid w:val="1BA026FA"/>
    <w:multiLevelType w:val="hybridMultilevel"/>
    <w:lvl w:ilvl="0">
      <w:lvlJc w:val="left"/>
      <w:lvlText w:val="(%1)"/>
      <w:numFmt w:val="lowerRoman"/>
      <w:start w:val="1"/>
    </w:lvl>
  </w:abstractNum>
  <w:abstractNum w:abstractNumId="48">
    <w:nsid w:val="79A1DEAA"/>
    <w:multiLevelType w:val="hybridMultilevel"/>
    <w:lvl w:ilvl="0">
      <w:lvlJc w:val="left"/>
      <w:lvlText w:val="(%1)"/>
      <w:numFmt w:val="lowerRoman"/>
      <w:start w:val="1"/>
    </w:lvl>
  </w:abstractNum>
  <w:abstractNum w:abstractNumId="49">
    <w:nsid w:val="75C6C33A"/>
    <w:multiLevelType w:val="hybridMultilevel"/>
    <w:lvl w:ilvl="0">
      <w:lvlJc w:val="left"/>
      <w:lvlText w:val="(%1)"/>
      <w:numFmt w:val="lowerRoman"/>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2020-01-22T15:08:47Z</dcterms:created>
  <dcterms:modified xsi:type="dcterms:W3CDTF">2020-01-22T15:08:47Z</dcterms:modified>
</cp:coreProperties>
</file>