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7048500" cy="5633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633085"/>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Kapur Vimal</w:t>
              </w:r>
            </w:hyperlink>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HONEYWELL INTERNATIONAL INC </w:t>
              </w:r>
            </w:hyperlink>
            <w:r>
              <w:rPr>
                <w:rFonts w:ascii="Times New Roman" w:cs="Times New Roman" w:eastAsia="Times New Roman" w:hAnsi="Times New Roman"/>
                <w:sz w:val="20"/>
                <w:szCs w:val="20"/>
                <w:color w:val="000000"/>
              </w:rPr>
              <w:t>[</w:t>
            </w:r>
          </w:p>
        </w:tc>
        <w:tc>
          <w:tcPr>
            <w:tcW w:w="280" w:type="dxa"/>
            <w:vAlign w:val="bottom"/>
          </w:tcPr>
          <w:p>
            <w:pPr>
              <w:spacing w:after="0"/>
              <w:rPr>
                <w:sz w:val="15"/>
                <w:szCs w:val="15"/>
                <w:color w:val="auto"/>
              </w:rPr>
            </w:pPr>
          </w:p>
        </w:tc>
        <w:tc>
          <w:tcPr>
            <w:tcW w:w="166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3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 xml:space="preserve">HON </w:t>
            </w:r>
            <w:r>
              <w:rPr>
                <w:rFonts w:ascii="Times New Roman" w:cs="Times New Roman" w:eastAsia="Times New Roman" w:hAnsi="Times New Roman"/>
                <w:sz w:val="20"/>
                <w:szCs w:val="20"/>
                <w:color w:val="000000"/>
              </w:rPr>
              <w:t>]</w:t>
            </w:r>
          </w:p>
        </w:tc>
        <w:tc>
          <w:tcPr>
            <w:tcW w:w="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4"/>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320" w:type="dxa"/>
            <w:vAlign w:val="bottom"/>
            <w:tcBorders>
              <w:top w:val="single" w:sz="8" w:color="0000EE"/>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5"/>
          </w:tcPr>
          <w:p>
            <w:pPr>
              <w:ind w:left="60"/>
              <w:spacing w:after="0" w:line="101" w:lineRule="exact"/>
              <w:rPr>
                <w:sz w:val="20"/>
                <w:szCs w:val="20"/>
                <w:color w:val="auto"/>
              </w:rPr>
            </w:pPr>
            <w:r>
              <w:rPr>
                <w:rFonts w:ascii="Arial" w:cs="Arial" w:eastAsia="Arial" w:hAnsi="Arial"/>
                <w:sz w:val="10"/>
                <w:szCs w:val="10"/>
                <w:color w:val="auto"/>
              </w:rPr>
              <w:t>Foreign Trading Symbol</w:t>
            </w: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3"/>
                <w:szCs w:val="13"/>
                <w:color w:val="auto"/>
              </w:rPr>
              <w:t>(Last)</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spacing w:after="0" w:line="131" w:lineRule="exact"/>
              <w:rPr>
                <w:sz w:val="20"/>
                <w:szCs w:val="20"/>
                <w:color w:val="auto"/>
              </w:rPr>
            </w:pPr>
            <w:r>
              <w:rPr>
                <w:rFonts w:ascii="Arial" w:cs="Arial" w:eastAsia="Arial" w:hAnsi="Arial"/>
                <w:sz w:val="13"/>
                <w:szCs w:val="13"/>
                <w:color w:val="auto"/>
              </w:rPr>
              <w:t>(First)</w:t>
            </w:r>
          </w:p>
        </w:tc>
        <w:tc>
          <w:tcPr>
            <w:tcW w:w="1040" w:type="dxa"/>
            <w:vAlign w:val="bottom"/>
          </w:tcPr>
          <w:p>
            <w:pPr>
              <w:ind w:left="40"/>
              <w:spacing w:after="0" w:line="131" w:lineRule="exact"/>
              <w:rPr>
                <w:sz w:val="20"/>
                <w:szCs w:val="20"/>
                <w:color w:val="auto"/>
              </w:rPr>
            </w:pPr>
            <w:r>
              <w:rPr>
                <w:rFonts w:ascii="Arial" w:cs="Arial" w:eastAsia="Arial" w:hAnsi="Arial"/>
                <w:sz w:val="13"/>
                <w:szCs w:val="13"/>
                <w:color w:val="auto"/>
              </w:rPr>
              <w:t>(Middle)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ind w:left="120"/>
              <w:spacing w:after="0" w:line="126"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ind w:left="220"/>
              <w:spacing w:after="0" w:line="126"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855 S. MINT STREET</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4"/>
          </w:tcPr>
          <w:p>
            <w:pPr>
              <w:ind w:left="400"/>
              <w:spacing w:after="0" w:line="176" w:lineRule="exact"/>
              <w:rPr>
                <w:sz w:val="20"/>
                <w:szCs w:val="20"/>
                <w:color w:val="auto"/>
              </w:rPr>
            </w:pPr>
            <w:r>
              <w:rPr>
                <w:rFonts w:ascii="Times New Roman" w:cs="Times New Roman" w:eastAsia="Times New Roman" w:hAnsi="Times New Roman"/>
                <w:sz w:val="16"/>
                <w:szCs w:val="16"/>
                <w:color w:val="0000FF"/>
              </w:rPr>
              <w:t>Chief Executive Officer</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040" w:type="dxa"/>
            <w:vAlign w:val="bottom"/>
          </w:tcPr>
          <w:p>
            <w:pPr>
              <w:spacing w:after="0"/>
              <w:rPr>
                <w:sz w:val="10"/>
                <w:szCs w:val="10"/>
                <w:color w:val="auto"/>
              </w:rPr>
            </w:pPr>
          </w:p>
        </w:tc>
        <w:tc>
          <w:tcPr>
            <w:tcW w:w="16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6"/>
                <w:szCs w:val="16"/>
                <w:color w:val="0000FF"/>
              </w:rPr>
              <w:t>10/26/2026</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6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48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8"/>
            <w:vMerge w:val="restart"/>
          </w:tcPr>
          <w:p>
            <w:pPr>
              <w:ind w:left="60"/>
              <w:spacing w:after="0" w:line="136" w:lineRule="exact"/>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line="20" w:lineRule="exact"/>
              <w:rPr>
                <w:sz w:val="1"/>
                <w:szCs w:val="1"/>
                <w:color w:val="auto"/>
              </w:rPr>
            </w:pPr>
          </w:p>
        </w:tc>
        <w:tc>
          <w:tcPr>
            <w:tcW w:w="3400" w:type="dxa"/>
            <w:vAlign w:val="bottom"/>
            <w:gridSpan w:val="10"/>
            <w:vMerge w:val="restart"/>
          </w:tcPr>
          <w:p>
            <w:pPr>
              <w:ind w:left="60"/>
              <w:spacing w:after="0" w:line="13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280" w:type="dxa"/>
            <w:vAlign w:val="bottom"/>
          </w:tcPr>
          <w:p>
            <w:pPr>
              <w:spacing w:after="0"/>
              <w:rPr>
                <w:sz w:val="10"/>
                <w:szCs w:val="10"/>
                <w:color w:val="auto"/>
              </w:rPr>
            </w:pPr>
          </w:p>
        </w:tc>
        <w:tc>
          <w:tcPr>
            <w:tcW w:w="34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CHARLOTTE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NC</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28202</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9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7"/>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gridSpan w:val="5"/>
          </w:tcPr>
          <w:p>
            <w:pPr>
              <w:ind w:left="72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6"/>
                <w:szCs w:val="16"/>
                <w:color w:val="0000FF"/>
              </w:rPr>
              <w:t>10/26/2026</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8,684</w:t>
            </w:r>
            <w:r>
              <w:rPr>
                <w:rFonts w:ascii="Times New Roman" w:cs="Times New Roman" w:eastAsia="Times New Roman" w:hAnsi="Times New Roman"/>
                <w:sz w:val="20"/>
                <w:szCs w:val="20"/>
                <w:color w:val="008000"/>
                <w:vertAlign w:val="superscript"/>
              </w:rPr>
              <w:t>(1)</w:t>
            </w:r>
          </w:p>
        </w:tc>
        <w:tc>
          <w:tcPr>
            <w:tcW w:w="5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114.44</w:t>
            </w:r>
            <w:r>
              <w:rPr>
                <w:rFonts w:ascii="Times New Roman" w:cs="Times New Roman" w:eastAsia="Times New Roman" w:hAnsi="Times New Roman"/>
                <w:sz w:val="20"/>
                <w:szCs w:val="20"/>
                <w:color w:val="008000"/>
                <w:w w:val="96"/>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7"/>
              </w:rPr>
              <w:t>10,896</w:t>
            </w:r>
            <w:r>
              <w:rPr>
                <w:rFonts w:ascii="Times New Roman" w:cs="Times New Roman" w:eastAsia="Times New Roman" w:hAnsi="Times New Roman"/>
                <w:sz w:val="20"/>
                <w:szCs w:val="20"/>
                <w:color w:val="008000"/>
                <w:w w:val="97"/>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6"/>
                <w:szCs w:val="16"/>
                <w:color w:val="0000FF"/>
              </w:rPr>
              <w:t>10/26/2026</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6,459</w:t>
            </w:r>
            <w:r>
              <w:rPr>
                <w:rFonts w:ascii="Times New Roman" w:cs="Times New Roman" w:eastAsia="Times New Roman" w:hAnsi="Times New Roman"/>
                <w:sz w:val="20"/>
                <w:szCs w:val="20"/>
                <w:color w:val="008000"/>
                <w:vertAlign w:val="superscript"/>
              </w:rPr>
              <w:t>(3)</w:t>
            </w:r>
          </w:p>
        </w:tc>
        <w:tc>
          <w:tcPr>
            <w:tcW w:w="5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220.99</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4,437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23,288</w:t>
            </w:r>
          </w:p>
        </w:tc>
        <w:tc>
          <w:tcPr>
            <w:tcW w:w="28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Held in a</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Held in 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500.4958</w:t>
            </w:r>
          </w:p>
        </w:tc>
        <w:tc>
          <w:tcPr>
            <w:tcW w:w="28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401k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84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8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6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Expiration Date</w:t>
            </w:r>
          </w:p>
        </w:tc>
        <w:tc>
          <w:tcPr>
            <w:tcW w:w="780" w:type="dxa"/>
            <w:vAlign w:val="bottom"/>
          </w:tcPr>
          <w:p>
            <w:pPr>
              <w:spacing w:after="0"/>
              <w:rPr>
                <w:sz w:val="10"/>
                <w:szCs w:val="10"/>
                <w:color w:val="auto"/>
              </w:rPr>
            </w:pP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6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10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10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ind w:left="10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gridSpan w:val="2"/>
            <w:vMerge w:val="restart"/>
          </w:tcPr>
          <w:p>
            <w:pPr>
              <w:ind w:left="120"/>
              <w:spacing w:after="0"/>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114.44</w:t>
            </w:r>
            <w:r>
              <w:rPr>
                <w:rFonts w:ascii="Times New Roman" w:cs="Times New Roman" w:eastAsia="Times New Roman" w:hAnsi="Times New Roman"/>
                <w:sz w:val="20"/>
                <w:szCs w:val="20"/>
                <w:color w:val="008000"/>
                <w:w w:val="95"/>
                <w:vertAlign w:val="superscript"/>
              </w:rPr>
              <w:t>(1)</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8,684</w:t>
            </w:r>
            <w:r>
              <w:rPr>
                <w:rFonts w:ascii="Times New Roman" w:cs="Times New Roman" w:eastAsia="Times New Roman" w:hAnsi="Times New Roman"/>
                <w:sz w:val="20"/>
                <w:szCs w:val="20"/>
                <w:color w:val="008000"/>
                <w:vertAlign w:val="superscript"/>
              </w:rPr>
              <w:t>(1)</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02/28/2021</w:t>
            </w:r>
            <w:r>
              <w:rPr>
                <w:rFonts w:ascii="Times New Roman" w:cs="Times New Roman" w:eastAsia="Times New Roman" w:hAnsi="Times New Roman"/>
                <w:sz w:val="20"/>
                <w:szCs w:val="20"/>
                <w:color w:val="008000"/>
                <w:vertAlign w:val="superscript"/>
              </w:rPr>
              <w:t>(4)</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w w:val="98"/>
              </w:rPr>
              <w:t>02/27/2027</w:t>
            </w:r>
            <w:r>
              <w:rPr>
                <w:rFonts w:ascii="Times New Roman" w:cs="Times New Roman" w:eastAsia="Times New Roman" w:hAnsi="Times New Roman"/>
                <w:sz w:val="20"/>
                <w:szCs w:val="20"/>
                <w:color w:val="008000"/>
                <w:w w:val="98"/>
                <w:vertAlign w:val="superscript"/>
              </w:rPr>
              <w:t>(4)</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8,684</w:t>
            </w:r>
            <w:r>
              <w:rPr>
                <w:rFonts w:ascii="Times New Roman" w:cs="Times New Roman" w:eastAsia="Times New Roman" w:hAnsi="Times New Roman"/>
                <w:sz w:val="20"/>
                <w:szCs w:val="20"/>
                <w:color w:val="008000"/>
                <w:w w:val="93"/>
                <w:vertAlign w:val="superscript"/>
              </w:rPr>
              <w:t>(1)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Options</w:t>
            </w: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197"/>
              <w:spacing w:after="0" w:line="139" w:lineRule="exact"/>
              <w:rPr>
                <w:sz w:val="20"/>
                <w:szCs w:val="20"/>
                <w:color w:val="auto"/>
              </w:rPr>
            </w:pPr>
            <w:r>
              <w:rPr>
                <w:rFonts w:ascii="Times New Roman" w:cs="Times New Roman" w:eastAsia="Times New Roman" w:hAnsi="Times New Roman"/>
                <w:sz w:val="13"/>
                <w:szCs w:val="13"/>
                <w:color w:val="0000FF"/>
              </w:rPr>
              <w:t>10/26/2026</w:t>
            </w:r>
          </w:p>
        </w:tc>
        <w:tc>
          <w:tcPr>
            <w:tcW w:w="1040" w:type="dxa"/>
            <w:vAlign w:val="bottom"/>
          </w:tcPr>
          <w:p>
            <w:pPr>
              <w:spacing w:after="0"/>
              <w:rPr>
                <w:sz w:val="12"/>
                <w:szCs w:val="12"/>
                <w:color w:val="auto"/>
              </w:rPr>
            </w:pPr>
          </w:p>
        </w:tc>
        <w:tc>
          <w:tcPr>
            <w:tcW w:w="720" w:type="dxa"/>
            <w:vAlign w:val="bottom"/>
            <w:gridSpan w:val="4"/>
          </w:tcPr>
          <w:p>
            <w:pPr>
              <w:ind w:left="14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40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36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held by the Reporting Person were granted under the 2016 Stock Incentive Plan of Honeywell International Inc. and its Affiliates (the "Plan"), with the number of options and the exercise price each adjusted to reflect the Garrett Motion Inc. spin-off from Honeywell International Inc. ("Honeywell Technologies") which occurred on October 1, 2018 and the Resideo Technologies, Inc. spin-off from Honeywell Technologies which occurred on October 29, 2018, and further adjusted to reflect the spin-off of Solstice Advanced Materials Inc. from Honeywell Technologies on October 30, 2025, the spin-off of Honeywell Aerospace Inc. from Honeywell Technologies on June 29, 2026 and the reverse stock split of Honeywell Technologies.</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 shares acquired through dividend reinvestment.</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disposition represents the sale of shares to cover the cost of exercise and withholding tax obligations arising from the stock option exercise reported above.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Employee Stock Options were granted under the Plan and vested in four equal annual installments on each of February 28, 2018, February 28, 2019, February 28, 2020 and February 28, 2021.</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Richard Kent for Vimal Kapur</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10/27/2026</w:t>
            </w:r>
          </w:p>
        </w:tc>
      </w:tr>
      <w:tr>
        <w:trPr>
          <w:trHeight w:val="221"/>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2938" TargetMode="External"/><Relationship Id="rId14" Type="http://schemas.openxmlformats.org/officeDocument/2006/relationships/hyperlink" Target="http://www.sec.gov/cgi-bin/browse-edgar?action=getcompany&amp;CIK=000077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2026-10-27T15:31:44Z</dcterms:created>
  <dcterms:modified xsi:type="dcterms:W3CDTF">2026-10-27T15:31:44Z</dcterms:modified>
</cp:coreProperties>
</file>