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1125855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1091565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9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UNITED STATES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31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355" w:lineRule="exact"/>
        <w:rPr>
          <w:sz w:val="24"/>
          <w:szCs w:val="24"/>
          <w:color w:val="auto"/>
        </w:rPr>
      </w:pPr>
    </w:p>
    <w:p>
      <w:pPr>
        <w:ind w:left="3360" w:hanging="218"/>
        <w:spacing w:after="0"/>
        <w:tabs>
          <w:tab w:leader="none" w:pos="3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ANNUAL REPORT PURSUANT TO SECTION 13 OR 15(d)</w:t>
      </w:r>
    </w:p>
    <w:p>
      <w:pPr>
        <w:spacing w:after="0" w:line="9" w:lineRule="exact"/>
        <w:rPr>
          <w:rFonts w:ascii="MS PGothic" w:cs="MS PGothic" w:eastAsia="MS PGothic" w:hAnsi="MS PGothic"/>
          <w:sz w:val="18"/>
          <w:szCs w:val="18"/>
          <w:color w:val="auto"/>
        </w:rPr>
      </w:pPr>
    </w:p>
    <w:p>
      <w:pPr>
        <w:ind w:left="3620"/>
        <w:spacing w:after="0"/>
        <w:rPr>
          <w:rFonts w:ascii="MS PGothic" w:cs="MS PGothic" w:eastAsia="MS PGothic" w:hAnsi="MS PGothic"/>
          <w:sz w:val="18"/>
          <w:szCs w:val="18"/>
          <w:color w:val="auto"/>
        </w:rPr>
      </w:pPr>
      <w:r>
        <w:rPr>
          <w:rFonts w:ascii="Arial" w:cs="Arial" w:eastAsia="Arial" w:hAnsi="Arial"/>
          <w:sz w:val="18"/>
          <w:szCs w:val="18"/>
          <w:color w:val="auto"/>
        </w:rPr>
        <w:t>OF THE SECURITIES EXCHANGE ACT OF 1934</w:t>
      </w:r>
    </w:p>
    <w:p>
      <w:pPr>
        <w:spacing w:after="0" w:line="9" w:lineRule="exact"/>
        <w:rPr>
          <w:rFonts w:ascii="MS PGothic" w:cs="MS PGothic" w:eastAsia="MS PGothic" w:hAnsi="MS PGothic"/>
          <w:sz w:val="18"/>
          <w:szCs w:val="18"/>
          <w:color w:val="auto"/>
        </w:rPr>
      </w:pPr>
    </w:p>
    <w:p>
      <w:pPr>
        <w:ind w:left="3820"/>
        <w:spacing w:after="0"/>
        <w:rPr>
          <w:rFonts w:ascii="MS PGothic" w:cs="MS PGothic" w:eastAsia="MS PGothic" w:hAnsi="MS PGothic"/>
          <w:sz w:val="18"/>
          <w:szCs w:val="18"/>
          <w:color w:val="auto"/>
        </w:rPr>
      </w:pPr>
      <w:r>
        <w:rPr>
          <w:rFonts w:ascii="Arial" w:cs="Arial" w:eastAsia="Arial" w:hAnsi="Arial"/>
          <w:sz w:val="18"/>
          <w:szCs w:val="18"/>
          <w:color w:val="auto"/>
        </w:rPr>
        <w:t>For the fiscal year ended December 31, 2020</w:t>
      </w:r>
    </w:p>
    <w:p>
      <w:pPr>
        <w:spacing w:after="0" w:line="225" w:lineRule="exact"/>
        <w:rPr>
          <w:sz w:val="24"/>
          <w:szCs w:val="24"/>
          <w:color w:val="auto"/>
        </w:rPr>
      </w:pPr>
    </w:p>
    <w:p>
      <w:pPr>
        <w:ind w:left="3180" w:hanging="218"/>
        <w:spacing w:after="0"/>
        <w:tabs>
          <w:tab w:leader="none" w:pos="31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w:t>
      </w:r>
    </w:p>
    <w:p>
      <w:pPr>
        <w:spacing w:after="0" w:line="9" w:lineRule="exact"/>
        <w:rPr>
          <w:rFonts w:ascii="MS PGothic" w:cs="MS PGothic" w:eastAsia="MS PGothic" w:hAnsi="MS PGothic"/>
          <w:sz w:val="18"/>
          <w:szCs w:val="18"/>
          <w:color w:val="auto"/>
        </w:rPr>
      </w:pPr>
    </w:p>
    <w:p>
      <w:pPr>
        <w:ind w:left="3620"/>
        <w:spacing w:after="0"/>
        <w:rPr>
          <w:rFonts w:ascii="MS PGothic" w:cs="MS PGothic" w:eastAsia="MS PGothic" w:hAnsi="MS PGothic"/>
          <w:sz w:val="18"/>
          <w:szCs w:val="18"/>
          <w:color w:val="auto"/>
        </w:rPr>
      </w:pPr>
      <w:r>
        <w:rPr>
          <w:rFonts w:ascii="Arial" w:cs="Arial" w:eastAsia="Arial" w:hAnsi="Arial"/>
          <w:sz w:val="18"/>
          <w:szCs w:val="18"/>
          <w:color w:val="auto"/>
        </w:rPr>
        <w:t>OF THE SECURITIES EXCHANGE ACT OF 1934</w:t>
      </w:r>
    </w:p>
    <w:p>
      <w:pPr>
        <w:spacing w:after="0" w:line="9" w:lineRule="exact"/>
        <w:rPr>
          <w:sz w:val="24"/>
          <w:szCs w:val="24"/>
          <w:color w:val="auto"/>
        </w:rPr>
      </w:pPr>
    </w:p>
    <w:p>
      <w:pPr>
        <w:jc w:val="right"/>
        <w:ind w:right="4340"/>
        <w:spacing w:after="0"/>
        <w:tabs>
          <w:tab w:leader="none" w:pos="4480" w:val="left"/>
        </w:tabs>
        <w:rPr>
          <w:sz w:val="20"/>
          <w:szCs w:val="20"/>
          <w:color w:val="auto"/>
        </w:rPr>
      </w:pPr>
      <w:r>
        <w:rPr>
          <w:rFonts w:ascii="Arial" w:cs="Arial" w:eastAsia="Arial" w:hAnsi="Arial"/>
          <w:sz w:val="18"/>
          <w:szCs w:val="18"/>
          <w:color w:val="auto"/>
        </w:rPr>
        <w:t>For the transition period from</w:t>
        <w:tab/>
        <w:t>to</w:t>
      </w:r>
    </w:p>
    <w:p>
      <w:pPr>
        <w:spacing w:after="0" w:line="9" w:lineRule="exact"/>
        <w:rPr>
          <w:sz w:val="24"/>
          <w:szCs w:val="24"/>
          <w:color w:val="auto"/>
        </w:rPr>
      </w:pPr>
    </w:p>
    <w:p>
      <w:pPr>
        <w:jc w:val="right"/>
        <w:ind w:right="4320"/>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1-8974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109220</wp:posOffset>
            </wp:positionV>
            <wp:extent cx="1757045" cy="3511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57045" cy="3511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Honeywell International Inc.</w:t>
      </w:r>
    </w:p>
    <w:p>
      <w:pPr>
        <w:spacing w:after="0" w:line="21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17"/>
        </w:trPr>
        <w:tc>
          <w:tcPr>
            <w:tcW w:w="1040" w:type="dxa"/>
            <w:vAlign w:val="bottom"/>
          </w:tcPr>
          <w:p>
            <w:pPr>
              <w:spacing w:after="0"/>
              <w:rPr>
                <w:sz w:val="18"/>
                <w:szCs w:val="18"/>
                <w:color w:val="auto"/>
              </w:rPr>
            </w:pPr>
          </w:p>
        </w:tc>
        <w:tc>
          <w:tcPr>
            <w:tcW w:w="3720" w:type="dxa"/>
            <w:vAlign w:val="bottom"/>
            <w:tcBorders>
              <w:bottom w:val="single" w:sz="8" w:color="auto"/>
            </w:tcBorders>
            <w:gridSpan w:val="3"/>
          </w:tcPr>
          <w:p>
            <w:pPr>
              <w:jc w:val="center"/>
              <w:ind w:left="550"/>
              <w:spacing w:after="0"/>
              <w:rPr>
                <w:sz w:val="20"/>
                <w:szCs w:val="20"/>
                <w:color w:val="auto"/>
              </w:rPr>
            </w:pPr>
            <w:r>
              <w:rPr>
                <w:rFonts w:ascii="Arial" w:cs="Arial" w:eastAsia="Arial" w:hAnsi="Arial"/>
                <w:sz w:val="18"/>
                <w:szCs w:val="18"/>
                <w:color w:val="auto"/>
                <w:w w:val="99"/>
              </w:rPr>
              <w:t>Delaware</w:t>
            </w:r>
          </w:p>
        </w:tc>
        <w:tc>
          <w:tcPr>
            <w:tcW w:w="6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80" w:type="dxa"/>
            <w:vAlign w:val="bottom"/>
            <w:tcBorders>
              <w:bottom w:val="single" w:sz="8" w:color="auto"/>
            </w:tcBorders>
          </w:tcPr>
          <w:p>
            <w:pPr>
              <w:jc w:val="right"/>
              <w:ind w:right="1790"/>
              <w:spacing w:after="0"/>
              <w:rPr>
                <w:sz w:val="20"/>
                <w:szCs w:val="20"/>
                <w:color w:val="auto"/>
              </w:rPr>
            </w:pPr>
            <w:r>
              <w:rPr>
                <w:rFonts w:ascii="Arial" w:cs="Arial" w:eastAsia="Arial" w:hAnsi="Arial"/>
                <w:sz w:val="18"/>
                <w:szCs w:val="18"/>
                <w:color w:val="auto"/>
              </w:rPr>
              <w:t>22-2640650</w:t>
            </w:r>
          </w:p>
        </w:tc>
        <w:tc>
          <w:tcPr>
            <w:tcW w:w="1000" w:type="dxa"/>
            <w:vAlign w:val="bottom"/>
          </w:tcPr>
          <w:p>
            <w:pPr>
              <w:spacing w:after="0"/>
              <w:rPr>
                <w:sz w:val="18"/>
                <w:szCs w:val="18"/>
                <w:color w:val="auto"/>
              </w:rPr>
            </w:pPr>
          </w:p>
        </w:tc>
      </w:tr>
      <w:tr>
        <w:trPr>
          <w:trHeight w:val="182"/>
        </w:trPr>
        <w:tc>
          <w:tcPr>
            <w:tcW w:w="1040" w:type="dxa"/>
            <w:vAlign w:val="bottom"/>
          </w:tcPr>
          <w:p>
            <w:pPr>
              <w:spacing w:after="0"/>
              <w:rPr>
                <w:sz w:val="15"/>
                <w:szCs w:val="15"/>
                <w:color w:val="auto"/>
              </w:rPr>
            </w:pPr>
          </w:p>
        </w:tc>
        <w:tc>
          <w:tcPr>
            <w:tcW w:w="3720" w:type="dxa"/>
            <w:vAlign w:val="bottom"/>
            <w:gridSpan w:val="3"/>
          </w:tcPr>
          <w:p>
            <w:pPr>
              <w:jc w:val="center"/>
              <w:ind w:left="550"/>
              <w:spacing w:after="0" w:line="182" w:lineRule="exact"/>
              <w:rPr>
                <w:sz w:val="20"/>
                <w:szCs w:val="20"/>
                <w:color w:val="auto"/>
              </w:rPr>
            </w:pPr>
            <w:r>
              <w:rPr>
                <w:rFonts w:ascii="Arial" w:cs="Arial" w:eastAsia="Arial" w:hAnsi="Arial"/>
                <w:sz w:val="18"/>
                <w:szCs w:val="18"/>
                <w:color w:val="auto"/>
                <w:w w:val="99"/>
              </w:rPr>
              <w:t>(State or other jurisdiction of</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80" w:type="dxa"/>
            <w:vAlign w:val="bottom"/>
            <w:gridSpan w:val="2"/>
          </w:tcPr>
          <w:p>
            <w:pPr>
              <w:jc w:val="center"/>
              <w:ind w:right="1440"/>
              <w:spacing w:after="0" w:line="182" w:lineRule="exact"/>
              <w:rPr>
                <w:sz w:val="20"/>
                <w:szCs w:val="20"/>
                <w:color w:val="auto"/>
              </w:rPr>
            </w:pPr>
            <w:r>
              <w:rPr>
                <w:rFonts w:ascii="Arial" w:cs="Arial" w:eastAsia="Arial" w:hAnsi="Arial"/>
                <w:sz w:val="18"/>
                <w:szCs w:val="18"/>
                <w:color w:val="auto"/>
                <w:w w:val="99"/>
              </w:rPr>
              <w:t>(I.R.S. Employer</w:t>
            </w:r>
          </w:p>
        </w:tc>
      </w:tr>
      <w:tr>
        <w:trPr>
          <w:trHeight w:val="217"/>
        </w:trPr>
        <w:tc>
          <w:tcPr>
            <w:tcW w:w="1040" w:type="dxa"/>
            <w:vAlign w:val="bottom"/>
          </w:tcPr>
          <w:p>
            <w:pPr>
              <w:spacing w:after="0"/>
              <w:rPr>
                <w:sz w:val="18"/>
                <w:szCs w:val="18"/>
                <w:color w:val="auto"/>
              </w:rPr>
            </w:pPr>
          </w:p>
        </w:tc>
        <w:tc>
          <w:tcPr>
            <w:tcW w:w="3720" w:type="dxa"/>
            <w:vAlign w:val="bottom"/>
            <w:gridSpan w:val="3"/>
          </w:tcPr>
          <w:p>
            <w:pPr>
              <w:jc w:val="center"/>
              <w:ind w:left="570"/>
              <w:spacing w:after="0"/>
              <w:rPr>
                <w:sz w:val="20"/>
                <w:szCs w:val="20"/>
                <w:color w:val="auto"/>
              </w:rPr>
            </w:pPr>
            <w:r>
              <w:rPr>
                <w:rFonts w:ascii="Arial" w:cs="Arial" w:eastAsia="Arial" w:hAnsi="Arial"/>
                <w:sz w:val="18"/>
                <w:szCs w:val="18"/>
                <w:color w:val="auto"/>
                <w:w w:val="99"/>
              </w:rPr>
              <w:t>incorporation or organization)</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80" w:type="dxa"/>
            <w:vAlign w:val="bottom"/>
            <w:gridSpan w:val="2"/>
          </w:tcPr>
          <w:p>
            <w:pPr>
              <w:jc w:val="center"/>
              <w:ind w:right="1440"/>
              <w:spacing w:after="0"/>
              <w:rPr>
                <w:sz w:val="20"/>
                <w:szCs w:val="20"/>
                <w:color w:val="auto"/>
              </w:rPr>
            </w:pPr>
            <w:r>
              <w:rPr>
                <w:rFonts w:ascii="Arial" w:cs="Arial" w:eastAsia="Arial" w:hAnsi="Arial"/>
                <w:sz w:val="18"/>
                <w:szCs w:val="18"/>
                <w:color w:val="auto"/>
                <w:w w:val="99"/>
              </w:rPr>
              <w:t>Identification No.)</w:t>
            </w:r>
          </w:p>
        </w:tc>
      </w:tr>
      <w:tr>
        <w:trPr>
          <w:trHeight w:val="364"/>
        </w:trPr>
        <w:tc>
          <w:tcPr>
            <w:tcW w:w="1040" w:type="dxa"/>
            <w:vAlign w:val="bottom"/>
          </w:tcPr>
          <w:p>
            <w:pPr>
              <w:spacing w:after="0"/>
              <w:rPr>
                <w:sz w:val="24"/>
                <w:szCs w:val="24"/>
                <w:color w:val="auto"/>
              </w:rPr>
            </w:pPr>
          </w:p>
        </w:tc>
        <w:tc>
          <w:tcPr>
            <w:tcW w:w="3720" w:type="dxa"/>
            <w:vAlign w:val="bottom"/>
            <w:gridSpan w:val="3"/>
          </w:tcPr>
          <w:p>
            <w:pPr>
              <w:jc w:val="center"/>
              <w:ind w:left="550"/>
              <w:spacing w:after="0"/>
              <w:rPr>
                <w:sz w:val="20"/>
                <w:szCs w:val="20"/>
                <w:color w:val="auto"/>
              </w:rPr>
            </w:pPr>
            <w:r>
              <w:rPr>
                <w:rFonts w:ascii="Arial" w:cs="Arial" w:eastAsia="Arial" w:hAnsi="Arial"/>
                <w:sz w:val="18"/>
                <w:szCs w:val="18"/>
                <w:color w:val="auto"/>
                <w:w w:val="98"/>
              </w:rPr>
              <w:t>300 South Tryon Street</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70"/>
        </w:trPr>
        <w:tc>
          <w:tcPr>
            <w:tcW w:w="1040" w:type="dxa"/>
            <w:vAlign w:val="bottom"/>
          </w:tcPr>
          <w:p>
            <w:pPr>
              <w:spacing w:after="0"/>
              <w:rPr>
                <w:sz w:val="23"/>
                <w:szCs w:val="23"/>
                <w:color w:val="auto"/>
              </w:rPr>
            </w:pPr>
          </w:p>
        </w:tc>
        <w:tc>
          <w:tcPr>
            <w:tcW w:w="3720" w:type="dxa"/>
            <w:vAlign w:val="bottom"/>
            <w:tcBorders>
              <w:bottom w:val="single" w:sz="8" w:color="auto"/>
            </w:tcBorders>
            <w:gridSpan w:val="3"/>
          </w:tcPr>
          <w:p>
            <w:pPr>
              <w:ind w:left="1160"/>
              <w:spacing w:after="0"/>
              <w:rPr>
                <w:sz w:val="20"/>
                <w:szCs w:val="20"/>
                <w:color w:val="auto"/>
              </w:rPr>
            </w:pPr>
            <w:r>
              <w:rPr>
                <w:rFonts w:ascii="Arial" w:cs="Arial" w:eastAsia="Arial" w:hAnsi="Arial"/>
                <w:sz w:val="18"/>
                <w:szCs w:val="18"/>
                <w:color w:val="auto"/>
              </w:rPr>
              <w:t>Charlotte, North Carolina</w:t>
            </w:r>
          </w:p>
        </w:tc>
        <w:tc>
          <w:tcPr>
            <w:tcW w:w="64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4280" w:type="dxa"/>
            <w:vAlign w:val="bottom"/>
            <w:tcBorders>
              <w:bottom w:val="single" w:sz="8" w:color="auto"/>
            </w:tcBorders>
          </w:tcPr>
          <w:p>
            <w:pPr>
              <w:jc w:val="right"/>
              <w:ind w:right="2030"/>
              <w:spacing w:after="0"/>
              <w:rPr>
                <w:sz w:val="20"/>
                <w:szCs w:val="20"/>
                <w:color w:val="auto"/>
              </w:rPr>
            </w:pPr>
            <w:r>
              <w:rPr>
                <w:rFonts w:ascii="Arial" w:cs="Arial" w:eastAsia="Arial" w:hAnsi="Arial"/>
                <w:sz w:val="18"/>
                <w:szCs w:val="18"/>
                <w:color w:val="auto"/>
              </w:rPr>
              <w:t>28202</w:t>
            </w:r>
          </w:p>
        </w:tc>
        <w:tc>
          <w:tcPr>
            <w:tcW w:w="1000" w:type="dxa"/>
            <w:vAlign w:val="bottom"/>
          </w:tcPr>
          <w:p>
            <w:pPr>
              <w:spacing w:after="0"/>
              <w:rPr>
                <w:sz w:val="23"/>
                <w:szCs w:val="23"/>
                <w:color w:val="auto"/>
              </w:rPr>
            </w:pPr>
          </w:p>
        </w:tc>
      </w:tr>
      <w:tr>
        <w:trPr>
          <w:trHeight w:val="223"/>
        </w:trPr>
        <w:tc>
          <w:tcPr>
            <w:tcW w:w="1040" w:type="dxa"/>
            <w:vAlign w:val="bottom"/>
          </w:tcPr>
          <w:p>
            <w:pPr>
              <w:spacing w:after="0"/>
              <w:rPr>
                <w:sz w:val="19"/>
                <w:szCs w:val="19"/>
                <w:color w:val="auto"/>
              </w:rPr>
            </w:pPr>
          </w:p>
        </w:tc>
        <w:tc>
          <w:tcPr>
            <w:tcW w:w="3720" w:type="dxa"/>
            <w:vAlign w:val="bottom"/>
            <w:gridSpan w:val="3"/>
          </w:tcPr>
          <w:p>
            <w:pPr>
              <w:jc w:val="center"/>
              <w:ind w:left="550"/>
              <w:spacing w:after="0"/>
              <w:rPr>
                <w:sz w:val="20"/>
                <w:szCs w:val="20"/>
                <w:color w:val="auto"/>
              </w:rPr>
            </w:pPr>
            <w:r>
              <w:rPr>
                <w:rFonts w:ascii="Arial" w:cs="Arial" w:eastAsia="Arial" w:hAnsi="Arial"/>
                <w:sz w:val="18"/>
                <w:szCs w:val="18"/>
                <w:color w:val="auto"/>
                <w:w w:val="99"/>
              </w:rPr>
              <w:t>(Address of principal executive offices)</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80" w:type="dxa"/>
            <w:vAlign w:val="bottom"/>
            <w:gridSpan w:val="2"/>
          </w:tcPr>
          <w:p>
            <w:pPr>
              <w:jc w:val="center"/>
              <w:ind w:right="1440"/>
              <w:spacing w:after="0"/>
              <w:rPr>
                <w:sz w:val="20"/>
                <w:szCs w:val="20"/>
                <w:color w:val="auto"/>
              </w:rPr>
            </w:pPr>
            <w:r>
              <w:rPr>
                <w:rFonts w:ascii="Arial" w:cs="Arial" w:eastAsia="Arial" w:hAnsi="Arial"/>
                <w:sz w:val="18"/>
                <w:szCs w:val="18"/>
                <w:color w:val="auto"/>
                <w:w w:val="98"/>
              </w:rPr>
              <w:t>(Zip Code)</w:t>
            </w:r>
          </w:p>
        </w:tc>
      </w:tr>
      <w:tr>
        <w:trPr>
          <w:trHeight w:val="324"/>
        </w:trPr>
        <w:tc>
          <w:tcPr>
            <w:tcW w:w="5940" w:type="dxa"/>
            <w:vAlign w:val="bottom"/>
            <w:gridSpan w:val="8"/>
          </w:tcPr>
          <w:p>
            <w:pPr>
              <w:spacing w:after="0"/>
              <w:rPr>
                <w:sz w:val="20"/>
                <w:szCs w:val="20"/>
                <w:color w:val="auto"/>
              </w:rPr>
            </w:pPr>
            <w:r>
              <w:rPr>
                <w:rFonts w:ascii="Arial" w:cs="Arial" w:eastAsia="Arial" w:hAnsi="Arial"/>
                <w:sz w:val="18"/>
                <w:szCs w:val="18"/>
                <w:color w:val="auto"/>
              </w:rPr>
              <w:t>Registrant’s telephone number, including area code (704) 627-6200</w:t>
            </w:r>
          </w:p>
        </w:tc>
        <w:tc>
          <w:tcPr>
            <w:tcW w:w="42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24"/>
        </w:trPr>
        <w:tc>
          <w:tcPr>
            <w:tcW w:w="4760" w:type="dxa"/>
            <w:vAlign w:val="bottom"/>
            <w:gridSpan w:val="4"/>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5"/>
        </w:trPr>
        <w:tc>
          <w:tcPr>
            <w:tcW w:w="10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4"/>
          </w:tcPr>
          <w:p>
            <w:pPr>
              <w:jc w:val="center"/>
              <w:ind w:right="380"/>
              <w:spacing w:after="0"/>
              <w:rPr>
                <w:sz w:val="20"/>
                <w:szCs w:val="20"/>
                <w:color w:val="auto"/>
              </w:rPr>
            </w:pPr>
            <w:r>
              <w:rPr>
                <w:rFonts w:ascii="Arial" w:cs="Arial" w:eastAsia="Arial" w:hAnsi="Arial"/>
                <w:sz w:val="18"/>
                <w:szCs w:val="18"/>
                <w:color w:val="auto"/>
                <w:w w:val="98"/>
              </w:rPr>
              <w:t>Trading</w:t>
            </w:r>
          </w:p>
        </w:tc>
        <w:tc>
          <w:tcPr>
            <w:tcW w:w="42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7"/>
        </w:trPr>
        <w:tc>
          <w:tcPr>
            <w:tcW w:w="104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tcPr>
          <w:p>
            <w:pPr>
              <w:jc w:val="center"/>
              <w:ind w:right="950"/>
              <w:spacing w:after="0"/>
              <w:rPr>
                <w:sz w:val="20"/>
                <w:szCs w:val="20"/>
                <w:color w:val="auto"/>
              </w:rPr>
            </w:pPr>
            <w:r>
              <w:rPr>
                <w:rFonts w:ascii="Arial" w:cs="Arial" w:eastAsia="Arial" w:hAnsi="Arial"/>
                <w:sz w:val="18"/>
                <w:szCs w:val="18"/>
                <w:color w:val="auto"/>
                <w:w w:val="98"/>
              </w:rPr>
              <w:t>Title of Each Class</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8"/>
                <w:szCs w:val="18"/>
                <w:color w:val="auto"/>
                <w:w w:val="98"/>
              </w:rPr>
              <w:t>Symbols</w:t>
            </w:r>
          </w:p>
        </w:tc>
        <w:tc>
          <w:tcPr>
            <w:tcW w:w="120" w:type="dxa"/>
            <w:vAlign w:val="bottom"/>
          </w:tcPr>
          <w:p>
            <w:pPr>
              <w:spacing w:after="0"/>
              <w:rPr>
                <w:sz w:val="18"/>
                <w:szCs w:val="18"/>
                <w:color w:val="auto"/>
              </w:rPr>
            </w:pPr>
          </w:p>
        </w:tc>
        <w:tc>
          <w:tcPr>
            <w:tcW w:w="52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9"/>
              </w:rPr>
              <w:t>Name of each exchange on which registered</w:t>
            </w:r>
          </w:p>
        </w:tc>
      </w:tr>
      <w:tr>
        <w:trPr>
          <w:trHeight w:val="223"/>
        </w:trPr>
        <w:tc>
          <w:tcPr>
            <w:tcW w:w="4760" w:type="dxa"/>
            <w:vAlign w:val="bottom"/>
            <w:gridSpan w:val="4"/>
          </w:tcPr>
          <w:p>
            <w:pPr>
              <w:jc w:val="center"/>
              <w:ind w:right="400"/>
              <w:spacing w:after="0"/>
              <w:rPr>
                <w:sz w:val="20"/>
                <w:szCs w:val="20"/>
                <w:color w:val="auto"/>
              </w:rPr>
            </w:pPr>
            <w:r>
              <w:rPr>
                <w:rFonts w:ascii="Arial" w:cs="Arial" w:eastAsia="Arial" w:hAnsi="Arial"/>
                <w:sz w:val="18"/>
                <w:szCs w:val="18"/>
                <w:color w:val="auto"/>
                <w:w w:val="99"/>
              </w:rPr>
              <w:t>Common Stock, par value $1 per share*</w:t>
            </w:r>
          </w:p>
        </w:tc>
        <w:tc>
          <w:tcPr>
            <w:tcW w:w="1180" w:type="dxa"/>
            <w:vAlign w:val="bottom"/>
            <w:gridSpan w:val="4"/>
          </w:tcPr>
          <w:p>
            <w:pPr>
              <w:jc w:val="center"/>
              <w:ind w:right="420"/>
              <w:spacing w:after="0"/>
              <w:rPr>
                <w:sz w:val="20"/>
                <w:szCs w:val="20"/>
                <w:color w:val="auto"/>
              </w:rPr>
            </w:pPr>
            <w:r>
              <w:rPr>
                <w:rFonts w:ascii="Arial" w:cs="Arial" w:eastAsia="Arial" w:hAnsi="Arial"/>
                <w:sz w:val="18"/>
                <w:szCs w:val="18"/>
                <w:color w:val="auto"/>
                <w:w w:val="99"/>
              </w:rPr>
              <w:t>HON</w:t>
            </w:r>
          </w:p>
        </w:tc>
        <w:tc>
          <w:tcPr>
            <w:tcW w:w="5280" w:type="dxa"/>
            <w:vAlign w:val="bottom"/>
            <w:gridSpan w:val="2"/>
          </w:tcPr>
          <w:p>
            <w:pPr>
              <w:jc w:val="center"/>
              <w:spacing w:after="0"/>
              <w:rPr>
                <w:sz w:val="20"/>
                <w:szCs w:val="20"/>
                <w:color w:val="auto"/>
              </w:rPr>
            </w:pPr>
            <w:r>
              <w:rPr>
                <w:rFonts w:ascii="Arial" w:cs="Arial" w:eastAsia="Arial" w:hAnsi="Arial"/>
                <w:sz w:val="18"/>
                <w:szCs w:val="18"/>
                <w:color w:val="auto"/>
                <w:w w:val="99"/>
              </w:rPr>
              <w:t>The New York Stock Exchange</w:t>
            </w:r>
          </w:p>
        </w:tc>
      </w:tr>
      <w:tr>
        <w:trPr>
          <w:trHeight w:val="230"/>
        </w:trPr>
        <w:tc>
          <w:tcPr>
            <w:tcW w:w="4760" w:type="dxa"/>
            <w:vAlign w:val="bottom"/>
            <w:gridSpan w:val="4"/>
          </w:tcPr>
          <w:p>
            <w:pPr>
              <w:jc w:val="center"/>
              <w:ind w:right="380"/>
              <w:spacing w:after="0"/>
              <w:rPr>
                <w:sz w:val="20"/>
                <w:szCs w:val="20"/>
                <w:color w:val="auto"/>
              </w:rPr>
            </w:pPr>
            <w:r>
              <w:rPr>
                <w:rFonts w:ascii="Arial" w:cs="Arial" w:eastAsia="Arial" w:hAnsi="Arial"/>
                <w:sz w:val="18"/>
                <w:szCs w:val="18"/>
                <w:color w:val="auto"/>
                <w:w w:val="99"/>
              </w:rPr>
              <w:t>1.300% Senior Notes due 2023</w:t>
            </w:r>
          </w:p>
        </w:tc>
        <w:tc>
          <w:tcPr>
            <w:tcW w:w="1180" w:type="dxa"/>
            <w:vAlign w:val="bottom"/>
            <w:gridSpan w:val="4"/>
          </w:tcPr>
          <w:p>
            <w:pPr>
              <w:jc w:val="center"/>
              <w:ind w:right="420"/>
              <w:spacing w:after="0"/>
              <w:rPr>
                <w:sz w:val="20"/>
                <w:szCs w:val="20"/>
                <w:color w:val="auto"/>
              </w:rPr>
            </w:pPr>
            <w:r>
              <w:rPr>
                <w:rFonts w:ascii="Arial" w:cs="Arial" w:eastAsia="Arial" w:hAnsi="Arial"/>
                <w:sz w:val="18"/>
                <w:szCs w:val="18"/>
                <w:color w:val="auto"/>
                <w:w w:val="98"/>
              </w:rPr>
              <w:t>HON 23A</w:t>
            </w:r>
          </w:p>
        </w:tc>
        <w:tc>
          <w:tcPr>
            <w:tcW w:w="5280" w:type="dxa"/>
            <w:vAlign w:val="bottom"/>
            <w:gridSpan w:val="2"/>
          </w:tcPr>
          <w:p>
            <w:pPr>
              <w:jc w:val="center"/>
              <w:spacing w:after="0"/>
              <w:rPr>
                <w:sz w:val="20"/>
                <w:szCs w:val="20"/>
                <w:color w:val="auto"/>
              </w:rPr>
            </w:pPr>
            <w:r>
              <w:rPr>
                <w:rFonts w:ascii="Arial" w:cs="Arial" w:eastAsia="Arial" w:hAnsi="Arial"/>
                <w:sz w:val="18"/>
                <w:szCs w:val="18"/>
                <w:color w:val="auto"/>
                <w:w w:val="99"/>
              </w:rPr>
              <w:t>The New York Stock Exchange</w:t>
            </w:r>
          </w:p>
        </w:tc>
      </w:tr>
      <w:tr>
        <w:trPr>
          <w:trHeight w:val="230"/>
        </w:trPr>
        <w:tc>
          <w:tcPr>
            <w:tcW w:w="4760" w:type="dxa"/>
            <w:vAlign w:val="bottom"/>
            <w:gridSpan w:val="4"/>
          </w:tcPr>
          <w:p>
            <w:pPr>
              <w:jc w:val="center"/>
              <w:ind w:right="380"/>
              <w:spacing w:after="0"/>
              <w:rPr>
                <w:sz w:val="20"/>
                <w:szCs w:val="20"/>
                <w:color w:val="auto"/>
              </w:rPr>
            </w:pPr>
            <w:r>
              <w:rPr>
                <w:rFonts w:ascii="Arial" w:cs="Arial" w:eastAsia="Arial" w:hAnsi="Arial"/>
                <w:sz w:val="18"/>
                <w:szCs w:val="18"/>
                <w:color w:val="auto"/>
                <w:w w:val="99"/>
              </w:rPr>
              <w:t>0.000% Senior Notes due 2024</w:t>
            </w:r>
          </w:p>
        </w:tc>
        <w:tc>
          <w:tcPr>
            <w:tcW w:w="1180" w:type="dxa"/>
            <w:vAlign w:val="bottom"/>
            <w:gridSpan w:val="4"/>
          </w:tcPr>
          <w:p>
            <w:pPr>
              <w:jc w:val="center"/>
              <w:ind w:right="420"/>
              <w:spacing w:after="0"/>
              <w:rPr>
                <w:sz w:val="20"/>
                <w:szCs w:val="20"/>
                <w:color w:val="auto"/>
              </w:rPr>
            </w:pPr>
            <w:r>
              <w:rPr>
                <w:rFonts w:ascii="Arial" w:cs="Arial" w:eastAsia="Arial" w:hAnsi="Arial"/>
                <w:sz w:val="18"/>
                <w:szCs w:val="18"/>
                <w:color w:val="auto"/>
                <w:w w:val="98"/>
              </w:rPr>
              <w:t>HON 24A</w:t>
            </w:r>
          </w:p>
        </w:tc>
        <w:tc>
          <w:tcPr>
            <w:tcW w:w="5280" w:type="dxa"/>
            <w:vAlign w:val="bottom"/>
            <w:gridSpan w:val="2"/>
          </w:tcPr>
          <w:p>
            <w:pPr>
              <w:jc w:val="center"/>
              <w:spacing w:after="0"/>
              <w:rPr>
                <w:sz w:val="20"/>
                <w:szCs w:val="20"/>
                <w:color w:val="auto"/>
              </w:rPr>
            </w:pPr>
            <w:r>
              <w:rPr>
                <w:rFonts w:ascii="Arial" w:cs="Arial" w:eastAsia="Arial" w:hAnsi="Arial"/>
                <w:sz w:val="18"/>
                <w:szCs w:val="18"/>
                <w:color w:val="auto"/>
                <w:w w:val="99"/>
              </w:rPr>
              <w:t>The New York Stock Exchange</w:t>
            </w:r>
          </w:p>
        </w:tc>
      </w:tr>
      <w:tr>
        <w:trPr>
          <w:trHeight w:val="230"/>
        </w:trPr>
        <w:tc>
          <w:tcPr>
            <w:tcW w:w="4760" w:type="dxa"/>
            <w:vAlign w:val="bottom"/>
            <w:gridSpan w:val="4"/>
          </w:tcPr>
          <w:p>
            <w:pPr>
              <w:jc w:val="center"/>
              <w:ind w:right="380"/>
              <w:spacing w:after="0"/>
              <w:rPr>
                <w:sz w:val="20"/>
                <w:szCs w:val="20"/>
                <w:color w:val="auto"/>
              </w:rPr>
            </w:pPr>
            <w:r>
              <w:rPr>
                <w:rFonts w:ascii="Arial" w:cs="Arial" w:eastAsia="Arial" w:hAnsi="Arial"/>
                <w:sz w:val="18"/>
                <w:szCs w:val="18"/>
                <w:color w:val="auto"/>
                <w:w w:val="99"/>
              </w:rPr>
              <w:t>2.250% Senior Notes due 2028</w:t>
            </w:r>
          </w:p>
        </w:tc>
        <w:tc>
          <w:tcPr>
            <w:tcW w:w="1180" w:type="dxa"/>
            <w:vAlign w:val="bottom"/>
            <w:gridSpan w:val="4"/>
          </w:tcPr>
          <w:p>
            <w:pPr>
              <w:jc w:val="center"/>
              <w:ind w:right="420"/>
              <w:spacing w:after="0"/>
              <w:rPr>
                <w:sz w:val="20"/>
                <w:szCs w:val="20"/>
                <w:color w:val="auto"/>
              </w:rPr>
            </w:pPr>
            <w:r>
              <w:rPr>
                <w:rFonts w:ascii="Arial" w:cs="Arial" w:eastAsia="Arial" w:hAnsi="Arial"/>
                <w:sz w:val="18"/>
                <w:szCs w:val="18"/>
                <w:color w:val="auto"/>
                <w:w w:val="98"/>
              </w:rPr>
              <w:t>HON 28A</w:t>
            </w:r>
          </w:p>
        </w:tc>
        <w:tc>
          <w:tcPr>
            <w:tcW w:w="5280" w:type="dxa"/>
            <w:vAlign w:val="bottom"/>
            <w:gridSpan w:val="2"/>
          </w:tcPr>
          <w:p>
            <w:pPr>
              <w:jc w:val="center"/>
              <w:spacing w:after="0"/>
              <w:rPr>
                <w:sz w:val="20"/>
                <w:szCs w:val="20"/>
                <w:color w:val="auto"/>
              </w:rPr>
            </w:pPr>
            <w:r>
              <w:rPr>
                <w:rFonts w:ascii="Arial" w:cs="Arial" w:eastAsia="Arial" w:hAnsi="Arial"/>
                <w:sz w:val="18"/>
                <w:szCs w:val="18"/>
                <w:color w:val="auto"/>
                <w:w w:val="99"/>
              </w:rPr>
              <w:t>The New York Stock Exchange</w:t>
            </w:r>
          </w:p>
        </w:tc>
      </w:tr>
      <w:tr>
        <w:trPr>
          <w:trHeight w:val="229"/>
        </w:trPr>
        <w:tc>
          <w:tcPr>
            <w:tcW w:w="4760" w:type="dxa"/>
            <w:vAlign w:val="bottom"/>
            <w:gridSpan w:val="4"/>
          </w:tcPr>
          <w:p>
            <w:pPr>
              <w:jc w:val="center"/>
              <w:ind w:right="380"/>
              <w:spacing w:after="0"/>
              <w:rPr>
                <w:sz w:val="20"/>
                <w:szCs w:val="20"/>
                <w:color w:val="auto"/>
              </w:rPr>
            </w:pPr>
            <w:r>
              <w:rPr>
                <w:rFonts w:ascii="Arial" w:cs="Arial" w:eastAsia="Arial" w:hAnsi="Arial"/>
                <w:sz w:val="18"/>
                <w:szCs w:val="18"/>
                <w:color w:val="auto"/>
                <w:w w:val="99"/>
              </w:rPr>
              <w:t>0.750% Senior Notes due 2032</w:t>
            </w:r>
          </w:p>
        </w:tc>
        <w:tc>
          <w:tcPr>
            <w:tcW w:w="1180" w:type="dxa"/>
            <w:vAlign w:val="bottom"/>
            <w:gridSpan w:val="4"/>
          </w:tcPr>
          <w:p>
            <w:pPr>
              <w:jc w:val="center"/>
              <w:ind w:right="420"/>
              <w:spacing w:after="0"/>
              <w:rPr>
                <w:sz w:val="20"/>
                <w:szCs w:val="20"/>
                <w:color w:val="auto"/>
              </w:rPr>
            </w:pPr>
            <w:r>
              <w:rPr>
                <w:rFonts w:ascii="Arial" w:cs="Arial" w:eastAsia="Arial" w:hAnsi="Arial"/>
                <w:sz w:val="18"/>
                <w:szCs w:val="18"/>
                <w:color w:val="auto"/>
                <w:w w:val="98"/>
              </w:rPr>
              <w:t>HON 32</w:t>
            </w:r>
          </w:p>
        </w:tc>
        <w:tc>
          <w:tcPr>
            <w:tcW w:w="5280" w:type="dxa"/>
            <w:vAlign w:val="bottom"/>
            <w:gridSpan w:val="2"/>
          </w:tcPr>
          <w:p>
            <w:pPr>
              <w:jc w:val="center"/>
              <w:spacing w:after="0"/>
              <w:rPr>
                <w:sz w:val="20"/>
                <w:szCs w:val="20"/>
                <w:color w:val="auto"/>
              </w:rPr>
            </w:pPr>
            <w:r>
              <w:rPr>
                <w:rFonts w:ascii="Arial" w:cs="Arial" w:eastAsia="Arial" w:hAnsi="Arial"/>
                <w:sz w:val="18"/>
                <w:szCs w:val="18"/>
                <w:color w:val="auto"/>
                <w:w w:val="99"/>
              </w:rPr>
              <w:t>The New York Stock Exchange</w:t>
            </w:r>
          </w:p>
        </w:tc>
      </w:tr>
    </w:tbl>
    <w:p>
      <w:pPr>
        <w:spacing w:after="0" w:line="391" w:lineRule="exact"/>
        <w:rPr>
          <w:sz w:val="24"/>
          <w:szCs w:val="24"/>
          <w:color w:val="auto"/>
        </w:rPr>
      </w:pPr>
    </w:p>
    <w:p>
      <w:pPr>
        <w:ind w:left="140" w:hanging="114"/>
        <w:spacing w:after="0"/>
        <w:tabs>
          <w:tab w:leader="none" w:pos="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common stock is also listed on the London Stock Exchange.</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Securities registered pursuant to Section 12(g) of the Act: None</w:t>
      </w:r>
    </w:p>
    <w:p>
      <w:pPr>
        <w:spacing w:after="0" w:line="70" w:lineRule="exact"/>
        <w:rPr>
          <w:rFonts w:ascii="Arial" w:cs="Arial" w:eastAsia="Arial" w:hAnsi="Arial"/>
          <w:sz w:val="18"/>
          <w:szCs w:val="18"/>
          <w:color w:val="auto"/>
        </w:rPr>
      </w:pPr>
    </w:p>
    <w:p>
      <w:pPr>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7" w:lineRule="exact"/>
        <w:rPr>
          <w:sz w:val="24"/>
          <w:szCs w:val="24"/>
          <w:color w:val="auto"/>
        </w:rPr>
      </w:pPr>
    </w:p>
    <w:p>
      <w:pPr>
        <w:ind w:right="60"/>
        <w:spacing w:after="0" w:line="250"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8" w:lineRule="exact"/>
        <w:rPr>
          <w:sz w:val="24"/>
          <w:szCs w:val="24"/>
          <w:color w:val="auto"/>
        </w:rPr>
      </w:pPr>
    </w:p>
    <w:p>
      <w:pPr>
        <w:ind w:right="140"/>
        <w:spacing w:after="0" w:line="261"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w:t>
      </w:r>
    </w:p>
    <w:p>
      <w:pPr>
        <w:spacing w:after="0" w:line="5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3" w:lineRule="exact"/>
        <w:rPr>
          <w:sz w:val="24"/>
          <w:szCs w:val="24"/>
          <w:color w:val="auto"/>
        </w:rPr>
      </w:pPr>
    </w:p>
    <w:p>
      <w:pPr>
        <w:ind w:right="180"/>
        <w:spacing w:after="0" w:line="223"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8" w:lineRule="exact"/>
        <w:rPr>
          <w:sz w:val="24"/>
          <w:szCs w:val="24"/>
          <w:color w:val="auto"/>
        </w:rPr>
      </w:pPr>
    </w:p>
    <w:p>
      <w:pPr>
        <w:jc w:val="both"/>
        <w:ind w:right="300"/>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48" w:lineRule="exact"/>
        <w:rPr>
          <w:sz w:val="24"/>
          <w:szCs w:val="24"/>
          <w:color w:val="auto"/>
        </w:rPr>
      </w:pPr>
    </w:p>
    <w:p>
      <w:pPr>
        <w:ind w:right="2600"/>
        <w:spacing w:after="0" w:line="303"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r>
        <w:rPr>
          <w:rFonts w:ascii="Arial" w:cs="Arial" w:eastAsia="Arial" w:hAnsi="Arial"/>
          <w:sz w:val="18"/>
          <w:szCs w:val="18"/>
          <w:color w:val="auto"/>
        </w:rPr>
        <w:t xml:space="preserve"> Emerging growth company </w:t>
      </w:r>
      <w:r>
        <w:rPr>
          <w:rFonts w:ascii="MS PGothic" w:cs="MS PGothic" w:eastAsia="MS PGothic" w:hAnsi="MS PGothic"/>
          <w:sz w:val="18"/>
          <w:szCs w:val="18"/>
          <w:color w:val="auto"/>
        </w:rPr>
        <w:t>☐</w:t>
      </w:r>
    </w:p>
    <w:p>
      <w:pPr>
        <w:spacing w:after="0" w:line="89" w:lineRule="exact"/>
        <w:rPr>
          <w:sz w:val="24"/>
          <w:szCs w:val="24"/>
          <w:color w:val="auto"/>
        </w:rPr>
      </w:pPr>
    </w:p>
    <w:p>
      <w:pPr>
        <w:ind w:right="18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220"/>
          </w:cols>
          <w:pgMar w:left="320" w:top="1440" w:right="359" w:bottom="0" w:gutter="0" w:footer="0" w:header="0"/>
        </w:sectPr>
      </w:pPr>
    </w:p>
    <w:bookmarkStart w:id="1" w:name="page2"/>
    <w:bookmarkEnd w:id="1"/>
    <w:p>
      <w:pPr>
        <w:spacing w:after="0" w:line="223"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1"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The aggregate market value of the voting stock held by nonaffiliates of the Registrant was approximately $97.0 billion at June 30, 2020.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There were 695,501,159 shares of Common Stock outstanding at January 29, 2021.</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Documents Incorporated by Reference</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Part III: Proxy Statement for Annual Meeting of Shareowners to be held May 21,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915035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126365</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92075</wp:posOffset>
            </wp:positionV>
            <wp:extent cx="7115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2" w:name="page3"/>
    <w:bookmarkEnd w:id="2"/>
    <w:p>
      <w:pPr>
        <w:spacing w:after="0"/>
        <w:rPr>
          <w:sz w:val="20"/>
          <w:szCs w:val="20"/>
          <w:color w:val="auto"/>
        </w:rPr>
      </w:pPr>
      <w:r>
        <w:rPr>
          <w:rFonts w:ascii="Arial" w:cs="Arial" w:eastAsia="Arial" w:hAnsi="Arial"/>
          <w:sz w:val="36"/>
          <w:szCs w:val="36"/>
          <w:b w:val="1"/>
          <w:bCs w:val="1"/>
          <w:color w:val="DC202E"/>
        </w:rPr>
        <w:t>TABLE OF CONTENTS</w:t>
      </w:r>
    </w:p>
    <w:p>
      <w:pPr>
        <w:spacing w:after="0" w:line="23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ORGANIZATION OF OUR ANNUAL REPORT ON FORM 10-K</w:t>
      </w:r>
    </w:p>
    <w:p>
      <w:pPr>
        <w:spacing w:after="0" w:line="1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order and presentation of content in our Annual Report on Form 10-K (Form 10-K) differs from the traditional U.S. Securities and Exchange Commission (SEC) Form 10-K format. We believe that our format improves readability and better presents how we organize and manage our business. See Form 10-K Cross-Reference Index for a cross-reference to the traditional SEC Form 10-K format.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460" w:type="dxa"/>
            <w:vAlign w:val="bottom"/>
          </w:tcPr>
          <w:p>
            <w:pPr>
              <w:spacing w:after="0"/>
              <w:rPr>
                <w:sz w:val="20"/>
                <w:szCs w:val="20"/>
                <w:color w:val="auto"/>
              </w:rPr>
            </w:pPr>
          </w:p>
        </w:tc>
        <w:tc>
          <w:tcPr>
            <w:tcW w:w="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Page</w:t>
            </w:r>
          </w:p>
        </w:tc>
      </w:tr>
      <w:tr>
        <w:trPr>
          <w:trHeight w:val="243"/>
        </w:trPr>
        <w:tc>
          <w:tcPr>
            <w:tcW w:w="10460" w:type="dxa"/>
            <w:vAlign w:val="bottom"/>
            <w:tcBorders>
              <w:bottom w:val="single" w:sz="8" w:color="DC202E"/>
            </w:tcBorders>
          </w:tcPr>
          <w:p>
            <w:pPr>
              <w:spacing w:after="0"/>
              <w:rPr>
                <w:sz w:val="21"/>
                <w:szCs w:val="21"/>
                <w:color w:val="auto"/>
              </w:rPr>
            </w:pPr>
          </w:p>
        </w:tc>
        <w:tc>
          <w:tcPr>
            <w:tcW w:w="780" w:type="dxa"/>
            <w:vAlign w:val="bottom"/>
            <w:tcBorders>
              <w:bottom w:val="single" w:sz="8" w:color="DC202E"/>
            </w:tcBorders>
          </w:tcPr>
          <w:p>
            <w:pPr>
              <w:spacing w:after="0"/>
              <w:rPr>
                <w:sz w:val="21"/>
                <w:szCs w:val="21"/>
                <w:color w:val="auto"/>
              </w:rPr>
            </w:pPr>
          </w:p>
        </w:tc>
      </w:tr>
      <w:tr>
        <w:trPr>
          <w:trHeight w:val="229"/>
        </w:trPr>
        <w:tc>
          <w:tcPr>
            <w:tcW w:w="10460" w:type="dxa"/>
            <w:vAlign w:val="bottom"/>
            <w:tcBorders>
              <w:bottom w:val="single" w:sz="8" w:color="auto"/>
            </w:tcBorders>
          </w:tcPr>
          <w:p>
            <w:pPr>
              <w:ind w:left="20"/>
              <w:spacing w:after="0"/>
              <w:rPr>
                <w:rFonts w:ascii="Arial" w:cs="Arial" w:eastAsia="Arial" w:hAnsi="Arial"/>
                <w:sz w:val="18"/>
                <w:szCs w:val="18"/>
                <w:u w:val="single" w:color="auto"/>
                <w:color w:val="auto"/>
              </w:rPr>
            </w:pPr>
            <w:hyperlink w:anchor="page3">
              <w:r>
                <w:rPr>
                  <w:rFonts w:ascii="Arial" w:cs="Arial" w:eastAsia="Arial" w:hAnsi="Arial"/>
                  <w:sz w:val="18"/>
                  <w:szCs w:val="18"/>
                  <w:u w:val="single" w:color="auto"/>
                  <w:color w:val="auto"/>
                </w:rPr>
                <w:t>Cautionary Statement About Forward-Looking Statements</w:t>
              </w:r>
            </w:hyperlink>
          </w:p>
        </w:tc>
        <w:tc>
          <w:tcPr>
            <w:tcW w:w="780" w:type="dxa"/>
            <w:vAlign w:val="bottom"/>
            <w:tcBorders>
              <w:bottom w:val="single" w:sz="8" w:color="auto"/>
            </w:tcBorders>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tc>
      </w:tr>
      <w:tr>
        <w:trPr>
          <w:trHeight w:val="223"/>
        </w:trPr>
        <w:tc>
          <w:tcPr>
            <w:tcW w:w="10460" w:type="dxa"/>
            <w:vAlign w:val="bottom"/>
            <w:tcBorders>
              <w:bottom w:val="single" w:sz="8" w:color="auto"/>
            </w:tcBorders>
          </w:tcPr>
          <w:p>
            <w:pPr>
              <w:ind w:left="20"/>
              <w:spacing w:after="0"/>
              <w:rPr>
                <w:rFonts w:ascii="Arial" w:cs="Arial" w:eastAsia="Arial" w:hAnsi="Arial"/>
                <w:sz w:val="18"/>
                <w:szCs w:val="18"/>
                <w:u w:val="single" w:color="auto"/>
                <w:color w:val="auto"/>
              </w:rPr>
            </w:pPr>
            <w:hyperlink w:anchor="page4">
              <w:r>
                <w:rPr>
                  <w:rFonts w:ascii="Arial" w:cs="Arial" w:eastAsia="Arial" w:hAnsi="Arial"/>
                  <w:sz w:val="18"/>
                  <w:szCs w:val="18"/>
                  <w:u w:val="single" w:color="auto"/>
                  <w:color w:val="auto"/>
                </w:rPr>
                <w:t>Business</w:t>
              </w:r>
            </w:hyperlink>
          </w:p>
        </w:tc>
        <w:tc>
          <w:tcPr>
            <w:tcW w:w="780" w:type="dxa"/>
            <w:vAlign w:val="bottom"/>
            <w:tcBorders>
              <w:bottom w:val="single" w:sz="8" w:color="auto"/>
            </w:tcBorders>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2</w:t>
              </w:r>
            </w:hyperlink>
          </w:p>
        </w:tc>
      </w:tr>
      <w:tr>
        <w:trPr>
          <w:trHeight w:val="223"/>
        </w:trPr>
        <w:tc>
          <w:tcPr>
            <w:tcW w:w="10460" w:type="dxa"/>
            <w:vAlign w:val="bottom"/>
            <w:tcBorders>
              <w:bottom w:val="single" w:sz="8" w:color="auto"/>
            </w:tcBorders>
          </w:tcPr>
          <w:p>
            <w:pPr>
              <w:ind w:left="20"/>
              <w:spacing w:after="0"/>
              <w:rPr>
                <w:rFonts w:ascii="Arial" w:cs="Arial" w:eastAsia="Arial" w:hAnsi="Arial"/>
                <w:sz w:val="18"/>
                <w:szCs w:val="18"/>
                <w:u w:val="single" w:color="auto"/>
                <w:color w:val="auto"/>
              </w:rPr>
            </w:pPr>
            <w:hyperlink w:anchor="page10">
              <w:r>
                <w:rPr>
                  <w:rFonts w:ascii="Arial" w:cs="Arial" w:eastAsia="Arial" w:hAnsi="Arial"/>
                  <w:sz w:val="18"/>
                  <w:szCs w:val="18"/>
                  <w:u w:val="single" w:color="auto"/>
                  <w:color w:val="auto"/>
                </w:rPr>
                <w:t>Selected Financial Data</w:t>
              </w:r>
            </w:hyperlink>
          </w:p>
        </w:tc>
        <w:tc>
          <w:tcPr>
            <w:tcW w:w="780" w:type="dxa"/>
            <w:vAlign w:val="bottom"/>
            <w:tcBorders>
              <w:bottom w:val="single" w:sz="8" w:color="auto"/>
            </w:tcBorders>
          </w:tcPr>
          <w:p>
            <w:pPr>
              <w:jc w:val="right"/>
              <w:spacing w:after="0"/>
              <w:rPr>
                <w:rFonts w:ascii="Arial" w:cs="Arial" w:eastAsia="Arial" w:hAnsi="Arial"/>
                <w:sz w:val="18"/>
                <w:szCs w:val="18"/>
                <w:color w:val="0000FF"/>
              </w:rPr>
            </w:pPr>
            <w:hyperlink w:anchor="page10">
              <w:r>
                <w:rPr>
                  <w:rFonts w:ascii="Arial" w:cs="Arial" w:eastAsia="Arial" w:hAnsi="Arial"/>
                  <w:sz w:val="18"/>
                  <w:szCs w:val="18"/>
                  <w:color w:val="0000FF"/>
                </w:rPr>
                <w:t>8</w:t>
              </w:r>
            </w:hyperlink>
          </w:p>
        </w:tc>
      </w:tr>
      <w:tr>
        <w:trPr>
          <w:trHeight w:val="223"/>
        </w:trPr>
        <w:tc>
          <w:tcPr>
            <w:tcW w:w="10460" w:type="dxa"/>
            <w:vAlign w:val="bottom"/>
            <w:tcBorders>
              <w:bottom w:val="single" w:sz="8" w:color="auto"/>
            </w:tcBorders>
          </w:tcPr>
          <w:p>
            <w:pPr>
              <w:ind w:left="20"/>
              <w:spacing w:after="0"/>
              <w:rPr>
                <w:rFonts w:ascii="Arial" w:cs="Arial" w:eastAsia="Arial" w:hAnsi="Arial"/>
                <w:sz w:val="18"/>
                <w:szCs w:val="18"/>
                <w:u w:val="single" w:color="auto"/>
                <w:color w:val="auto"/>
              </w:rPr>
            </w:pPr>
            <w:hyperlink w:anchor="page11">
              <w:r>
                <w:rPr>
                  <w:rFonts w:ascii="Arial" w:cs="Arial" w:eastAsia="Arial" w:hAnsi="Arial"/>
                  <w:sz w:val="18"/>
                  <w:szCs w:val="18"/>
                  <w:u w:val="single" w:color="auto"/>
                  <w:color w:val="auto"/>
                </w:rPr>
                <w:t>Management’s Discussion and Analysis of Financial Condition and Results of Operations</w:t>
              </w:r>
            </w:hyperlink>
          </w:p>
        </w:tc>
        <w:tc>
          <w:tcPr>
            <w:tcW w:w="780" w:type="dxa"/>
            <w:vAlign w:val="bottom"/>
            <w:tcBorders>
              <w:bottom w:val="single" w:sz="8" w:color="auto"/>
            </w:tcBorders>
          </w:tcPr>
          <w:p>
            <w:pPr>
              <w:jc w:val="right"/>
              <w:spacing w:after="0"/>
              <w:rPr>
                <w:rFonts w:ascii="Arial" w:cs="Arial" w:eastAsia="Arial" w:hAnsi="Arial"/>
                <w:sz w:val="18"/>
                <w:szCs w:val="18"/>
                <w:color w:val="0000FF"/>
              </w:rPr>
            </w:pPr>
            <w:hyperlink w:anchor="page11">
              <w:r>
                <w:rPr>
                  <w:rFonts w:ascii="Arial" w:cs="Arial" w:eastAsia="Arial" w:hAnsi="Arial"/>
                  <w:sz w:val="18"/>
                  <w:szCs w:val="18"/>
                  <w:color w:val="0000FF"/>
                </w:rPr>
                <w:t>9</w:t>
              </w:r>
            </w:hyperlink>
          </w:p>
        </w:tc>
      </w:tr>
      <w:tr>
        <w:trPr>
          <w:trHeight w:val="223"/>
        </w:trPr>
        <w:tc>
          <w:tcPr>
            <w:tcW w:w="10460" w:type="dxa"/>
            <w:vAlign w:val="bottom"/>
            <w:tcBorders>
              <w:bottom w:val="single" w:sz="8" w:color="auto"/>
            </w:tcBorders>
          </w:tcPr>
          <w:p>
            <w:pPr>
              <w:ind w:left="20"/>
              <w:spacing w:after="0"/>
              <w:rPr>
                <w:rFonts w:ascii="Arial" w:cs="Arial" w:eastAsia="Arial" w:hAnsi="Arial"/>
                <w:sz w:val="18"/>
                <w:szCs w:val="18"/>
                <w:u w:val="single" w:color="auto"/>
                <w:color w:val="auto"/>
              </w:rPr>
            </w:pPr>
            <w:hyperlink w:anchor="page27">
              <w:r>
                <w:rPr>
                  <w:rFonts w:ascii="Arial" w:cs="Arial" w:eastAsia="Arial" w:hAnsi="Arial"/>
                  <w:sz w:val="18"/>
                  <w:szCs w:val="18"/>
                  <w:u w:val="single" w:color="auto"/>
                  <w:color w:val="auto"/>
                </w:rPr>
                <w:t>Risk Factors</w:t>
              </w:r>
            </w:hyperlink>
          </w:p>
        </w:tc>
        <w:tc>
          <w:tcPr>
            <w:tcW w:w="780" w:type="dxa"/>
            <w:vAlign w:val="bottom"/>
            <w:tcBorders>
              <w:bottom w:val="single" w:sz="8" w:color="auto"/>
            </w:tcBorders>
          </w:tcPr>
          <w:p>
            <w:pPr>
              <w:jc w:val="right"/>
              <w:spacing w:after="0"/>
              <w:rPr>
                <w:rFonts w:ascii="Arial" w:cs="Arial" w:eastAsia="Arial" w:hAnsi="Arial"/>
                <w:sz w:val="18"/>
                <w:szCs w:val="18"/>
                <w:color w:val="0000FF"/>
              </w:rPr>
            </w:pPr>
            <w:hyperlink w:anchor="page27">
              <w:r>
                <w:rPr>
                  <w:rFonts w:ascii="Arial" w:cs="Arial" w:eastAsia="Arial" w:hAnsi="Arial"/>
                  <w:sz w:val="18"/>
                  <w:szCs w:val="18"/>
                  <w:color w:val="0000FF"/>
                </w:rPr>
                <w:t>24</w:t>
              </w:r>
            </w:hyperlink>
          </w:p>
        </w:tc>
      </w:tr>
      <w:tr>
        <w:trPr>
          <w:trHeight w:val="223"/>
        </w:trPr>
        <w:tc>
          <w:tcPr>
            <w:tcW w:w="10460" w:type="dxa"/>
            <w:vAlign w:val="bottom"/>
            <w:tcBorders>
              <w:bottom w:val="single" w:sz="8" w:color="auto"/>
            </w:tcBorders>
          </w:tcPr>
          <w:p>
            <w:pPr>
              <w:ind w:left="20"/>
              <w:spacing w:after="0"/>
              <w:rPr>
                <w:rFonts w:ascii="Arial" w:cs="Arial" w:eastAsia="Arial" w:hAnsi="Arial"/>
                <w:sz w:val="18"/>
                <w:szCs w:val="18"/>
                <w:u w:val="single" w:color="auto"/>
                <w:color w:val="auto"/>
              </w:rPr>
            </w:pPr>
            <w:hyperlink w:anchor="page35">
              <w:r>
                <w:rPr>
                  <w:rFonts w:ascii="Arial" w:cs="Arial" w:eastAsia="Arial" w:hAnsi="Arial"/>
                  <w:sz w:val="18"/>
                  <w:szCs w:val="18"/>
                  <w:u w:val="single" w:color="auto"/>
                  <w:color w:val="auto"/>
                </w:rPr>
                <w:t>Quantitative and Qualitative Disclosures About Market Risks</w:t>
              </w:r>
            </w:hyperlink>
          </w:p>
        </w:tc>
        <w:tc>
          <w:tcPr>
            <w:tcW w:w="780" w:type="dxa"/>
            <w:vAlign w:val="bottom"/>
            <w:tcBorders>
              <w:bottom w:val="single" w:sz="8" w:color="auto"/>
            </w:tcBorders>
          </w:tcPr>
          <w:p>
            <w:pPr>
              <w:jc w:val="right"/>
              <w:spacing w:after="0"/>
              <w:rPr>
                <w:rFonts w:ascii="Arial" w:cs="Arial" w:eastAsia="Arial" w:hAnsi="Arial"/>
                <w:sz w:val="18"/>
                <w:szCs w:val="18"/>
                <w:color w:val="0000FF"/>
              </w:rPr>
            </w:pPr>
            <w:hyperlink w:anchor="page35">
              <w:r>
                <w:rPr>
                  <w:rFonts w:ascii="Arial" w:cs="Arial" w:eastAsia="Arial" w:hAnsi="Arial"/>
                  <w:sz w:val="18"/>
                  <w:szCs w:val="18"/>
                  <w:color w:val="0000FF"/>
                </w:rPr>
                <w:t>32</w:t>
              </w:r>
            </w:hyperlink>
          </w:p>
        </w:tc>
      </w:tr>
      <w:tr>
        <w:trPr>
          <w:trHeight w:val="223"/>
        </w:trPr>
        <w:tc>
          <w:tcPr>
            <w:tcW w:w="10460" w:type="dxa"/>
            <w:vAlign w:val="bottom"/>
            <w:tcBorders>
              <w:bottom w:val="single" w:sz="8" w:color="auto"/>
            </w:tcBorders>
          </w:tcPr>
          <w:p>
            <w:pPr>
              <w:ind w:left="20"/>
              <w:spacing w:after="0"/>
              <w:rPr>
                <w:rFonts w:ascii="Arial" w:cs="Arial" w:eastAsia="Arial" w:hAnsi="Arial"/>
                <w:sz w:val="18"/>
                <w:szCs w:val="18"/>
                <w:u w:val="single" w:color="auto"/>
                <w:color w:val="auto"/>
              </w:rPr>
            </w:pPr>
            <w:hyperlink w:anchor="page35">
              <w:r>
                <w:rPr>
                  <w:rFonts w:ascii="Arial" w:cs="Arial" w:eastAsia="Arial" w:hAnsi="Arial"/>
                  <w:sz w:val="18"/>
                  <w:szCs w:val="18"/>
                  <w:u w:val="single" w:color="auto"/>
                  <w:color w:val="auto"/>
                </w:rPr>
                <w:t>Liquidity and Capital Resources</w:t>
              </w:r>
            </w:hyperlink>
          </w:p>
        </w:tc>
        <w:tc>
          <w:tcPr>
            <w:tcW w:w="780" w:type="dxa"/>
            <w:vAlign w:val="bottom"/>
            <w:tcBorders>
              <w:bottom w:val="single" w:sz="8" w:color="auto"/>
            </w:tcBorders>
          </w:tcPr>
          <w:p>
            <w:pPr>
              <w:jc w:val="right"/>
              <w:spacing w:after="0"/>
              <w:rPr>
                <w:rFonts w:ascii="Arial" w:cs="Arial" w:eastAsia="Arial" w:hAnsi="Arial"/>
                <w:sz w:val="18"/>
                <w:szCs w:val="18"/>
                <w:color w:val="0000FF"/>
              </w:rPr>
            </w:pPr>
            <w:hyperlink w:anchor="page35">
              <w:r>
                <w:rPr>
                  <w:rFonts w:ascii="Arial" w:cs="Arial" w:eastAsia="Arial" w:hAnsi="Arial"/>
                  <w:sz w:val="18"/>
                  <w:szCs w:val="18"/>
                  <w:color w:val="0000FF"/>
                </w:rPr>
                <w:t>33</w:t>
              </w:r>
            </w:hyperlink>
          </w:p>
        </w:tc>
      </w:tr>
      <w:tr>
        <w:trPr>
          <w:trHeight w:val="223"/>
        </w:trPr>
        <w:tc>
          <w:tcPr>
            <w:tcW w:w="10460" w:type="dxa"/>
            <w:vAlign w:val="bottom"/>
            <w:tcBorders>
              <w:bottom w:val="single" w:sz="8" w:color="auto"/>
            </w:tcBorders>
          </w:tcPr>
          <w:p>
            <w:pPr>
              <w:ind w:left="20"/>
              <w:spacing w:after="0"/>
              <w:rPr>
                <w:rFonts w:ascii="Arial" w:cs="Arial" w:eastAsia="Arial" w:hAnsi="Arial"/>
                <w:sz w:val="18"/>
                <w:szCs w:val="18"/>
                <w:u w:val="single" w:color="auto"/>
                <w:color w:val="auto"/>
              </w:rPr>
            </w:pPr>
            <w:hyperlink w:anchor="page41">
              <w:r>
                <w:rPr>
                  <w:rFonts w:ascii="Arial" w:cs="Arial" w:eastAsia="Arial" w:hAnsi="Arial"/>
                  <w:sz w:val="18"/>
                  <w:szCs w:val="18"/>
                  <w:u w:val="single" w:color="auto"/>
                  <w:color w:val="auto"/>
                </w:rPr>
                <w:t>Critical Accounting Estimates</w:t>
              </w:r>
            </w:hyperlink>
          </w:p>
        </w:tc>
        <w:tc>
          <w:tcPr>
            <w:tcW w:w="780" w:type="dxa"/>
            <w:vAlign w:val="bottom"/>
            <w:tcBorders>
              <w:bottom w:val="single" w:sz="8" w:color="auto"/>
            </w:tcBorders>
          </w:tcPr>
          <w:p>
            <w:pPr>
              <w:jc w:val="right"/>
              <w:spacing w:after="0"/>
              <w:rPr>
                <w:rFonts w:ascii="Arial" w:cs="Arial" w:eastAsia="Arial" w:hAnsi="Arial"/>
                <w:sz w:val="18"/>
                <w:szCs w:val="18"/>
                <w:color w:val="0000FF"/>
              </w:rPr>
            </w:pPr>
            <w:hyperlink w:anchor="page41">
              <w:r>
                <w:rPr>
                  <w:rFonts w:ascii="Arial" w:cs="Arial" w:eastAsia="Arial" w:hAnsi="Arial"/>
                  <w:sz w:val="18"/>
                  <w:szCs w:val="18"/>
                  <w:color w:val="0000FF"/>
                </w:rPr>
                <w:t>38</w:t>
              </w:r>
            </w:hyperlink>
          </w:p>
        </w:tc>
      </w:tr>
      <w:tr>
        <w:trPr>
          <w:trHeight w:val="223"/>
        </w:trPr>
        <w:tc>
          <w:tcPr>
            <w:tcW w:w="10460" w:type="dxa"/>
            <w:vAlign w:val="bottom"/>
            <w:tcBorders>
              <w:bottom w:val="single" w:sz="8" w:color="auto"/>
            </w:tcBorders>
          </w:tcPr>
          <w:p>
            <w:pPr>
              <w:ind w:left="20"/>
              <w:spacing w:after="0"/>
              <w:rPr>
                <w:rFonts w:ascii="Arial" w:cs="Arial" w:eastAsia="Arial" w:hAnsi="Arial"/>
                <w:sz w:val="18"/>
                <w:szCs w:val="18"/>
                <w:u w:val="single" w:color="auto"/>
                <w:color w:val="auto"/>
              </w:rPr>
            </w:pPr>
            <w:hyperlink w:anchor="page44">
              <w:r>
                <w:rPr>
                  <w:rFonts w:ascii="Arial" w:cs="Arial" w:eastAsia="Arial" w:hAnsi="Arial"/>
                  <w:sz w:val="18"/>
                  <w:szCs w:val="18"/>
                  <w:u w:val="single" w:color="auto"/>
                  <w:color w:val="auto"/>
                </w:rPr>
                <w:t>Other Matters</w:t>
              </w:r>
            </w:hyperlink>
          </w:p>
        </w:tc>
        <w:tc>
          <w:tcPr>
            <w:tcW w:w="780" w:type="dxa"/>
            <w:vAlign w:val="bottom"/>
            <w:tcBorders>
              <w:bottom w:val="single" w:sz="8" w:color="auto"/>
            </w:tcBorders>
          </w:tcPr>
          <w:p>
            <w:pPr>
              <w:jc w:val="right"/>
              <w:spacing w:after="0"/>
              <w:rPr>
                <w:rFonts w:ascii="Arial" w:cs="Arial" w:eastAsia="Arial" w:hAnsi="Arial"/>
                <w:sz w:val="18"/>
                <w:szCs w:val="18"/>
                <w:color w:val="0000FF"/>
              </w:rPr>
            </w:pPr>
            <w:hyperlink w:anchor="page44">
              <w:r>
                <w:rPr>
                  <w:rFonts w:ascii="Arial" w:cs="Arial" w:eastAsia="Arial" w:hAnsi="Arial"/>
                  <w:sz w:val="18"/>
                  <w:szCs w:val="18"/>
                  <w:color w:val="0000FF"/>
                </w:rPr>
                <w:t>41</w:t>
              </w:r>
            </w:hyperlink>
          </w:p>
        </w:tc>
      </w:tr>
      <w:tr>
        <w:trPr>
          <w:trHeight w:val="223"/>
        </w:trPr>
        <w:tc>
          <w:tcPr>
            <w:tcW w:w="10460" w:type="dxa"/>
            <w:vAlign w:val="bottom"/>
            <w:tcBorders>
              <w:bottom w:val="single" w:sz="8" w:color="auto"/>
            </w:tcBorders>
          </w:tcPr>
          <w:p>
            <w:pPr>
              <w:ind w:left="20"/>
              <w:spacing w:after="0"/>
              <w:rPr>
                <w:rFonts w:ascii="Arial" w:cs="Arial" w:eastAsia="Arial" w:hAnsi="Arial"/>
                <w:sz w:val="18"/>
                <w:szCs w:val="18"/>
                <w:u w:val="single" w:color="auto"/>
                <w:color w:val="auto"/>
              </w:rPr>
            </w:pPr>
            <w:hyperlink w:anchor="page44">
              <w:r>
                <w:rPr>
                  <w:rFonts w:ascii="Arial" w:cs="Arial" w:eastAsia="Arial" w:hAnsi="Arial"/>
                  <w:sz w:val="18"/>
                  <w:szCs w:val="18"/>
                  <w:u w:val="single" w:color="auto"/>
                  <w:color w:val="auto"/>
                </w:rPr>
                <w:t>Information About our Executive Officers</w:t>
              </w:r>
            </w:hyperlink>
          </w:p>
        </w:tc>
        <w:tc>
          <w:tcPr>
            <w:tcW w:w="780" w:type="dxa"/>
            <w:vAlign w:val="bottom"/>
            <w:tcBorders>
              <w:bottom w:val="single" w:sz="8" w:color="auto"/>
            </w:tcBorders>
          </w:tcPr>
          <w:p>
            <w:pPr>
              <w:jc w:val="right"/>
              <w:spacing w:after="0"/>
              <w:rPr>
                <w:rFonts w:ascii="Arial" w:cs="Arial" w:eastAsia="Arial" w:hAnsi="Arial"/>
                <w:sz w:val="18"/>
                <w:szCs w:val="18"/>
                <w:color w:val="0000FF"/>
              </w:rPr>
            </w:pPr>
            <w:hyperlink w:anchor="page44">
              <w:r>
                <w:rPr>
                  <w:rFonts w:ascii="Arial" w:cs="Arial" w:eastAsia="Arial" w:hAnsi="Arial"/>
                  <w:sz w:val="18"/>
                  <w:szCs w:val="18"/>
                  <w:color w:val="0000FF"/>
                </w:rPr>
                <w:t>42</w:t>
              </w:r>
            </w:hyperlink>
          </w:p>
        </w:tc>
      </w:tr>
      <w:tr>
        <w:trPr>
          <w:trHeight w:val="223"/>
        </w:trPr>
        <w:tc>
          <w:tcPr>
            <w:tcW w:w="10460" w:type="dxa"/>
            <w:vAlign w:val="bottom"/>
            <w:tcBorders>
              <w:bottom w:val="single" w:sz="8" w:color="auto"/>
            </w:tcBorders>
          </w:tcPr>
          <w:p>
            <w:pPr>
              <w:ind w:left="20"/>
              <w:spacing w:after="0"/>
              <w:rPr>
                <w:rFonts w:ascii="Arial" w:cs="Arial" w:eastAsia="Arial" w:hAnsi="Arial"/>
                <w:sz w:val="18"/>
                <w:szCs w:val="18"/>
                <w:u w:val="single" w:color="auto"/>
                <w:color w:val="auto"/>
              </w:rPr>
            </w:pPr>
            <w:hyperlink w:anchor="page45">
              <w:r>
                <w:rPr>
                  <w:rFonts w:ascii="Arial" w:cs="Arial" w:eastAsia="Arial" w:hAnsi="Arial"/>
                  <w:sz w:val="18"/>
                  <w:szCs w:val="18"/>
                  <w:u w:val="single" w:color="auto"/>
                  <w:color w:val="auto"/>
                </w:rPr>
                <w:t>Unresolved Staff Comments</w:t>
              </w:r>
            </w:hyperlink>
          </w:p>
        </w:tc>
        <w:tc>
          <w:tcPr>
            <w:tcW w:w="780" w:type="dxa"/>
            <w:vAlign w:val="bottom"/>
            <w:tcBorders>
              <w:bottom w:val="single" w:sz="8" w:color="auto"/>
            </w:tcBorders>
          </w:tcPr>
          <w:p>
            <w:pPr>
              <w:jc w:val="right"/>
              <w:spacing w:after="0"/>
              <w:rPr>
                <w:rFonts w:ascii="Arial" w:cs="Arial" w:eastAsia="Arial" w:hAnsi="Arial"/>
                <w:sz w:val="18"/>
                <w:szCs w:val="18"/>
                <w:color w:val="0000FF"/>
              </w:rPr>
            </w:pPr>
            <w:hyperlink w:anchor="page45">
              <w:r>
                <w:rPr>
                  <w:rFonts w:ascii="Arial" w:cs="Arial" w:eastAsia="Arial" w:hAnsi="Arial"/>
                  <w:sz w:val="18"/>
                  <w:szCs w:val="18"/>
                  <w:color w:val="0000FF"/>
                </w:rPr>
                <w:t>43</w:t>
              </w:r>
            </w:hyperlink>
          </w:p>
        </w:tc>
      </w:tr>
      <w:tr>
        <w:trPr>
          <w:trHeight w:val="223"/>
        </w:trPr>
        <w:tc>
          <w:tcPr>
            <w:tcW w:w="10460" w:type="dxa"/>
            <w:vAlign w:val="bottom"/>
            <w:tcBorders>
              <w:bottom w:val="single" w:sz="8" w:color="auto"/>
            </w:tcBorders>
          </w:tcPr>
          <w:p>
            <w:pPr>
              <w:ind w:left="20"/>
              <w:spacing w:after="0"/>
              <w:rPr>
                <w:rFonts w:ascii="Arial" w:cs="Arial" w:eastAsia="Arial" w:hAnsi="Arial"/>
                <w:sz w:val="18"/>
                <w:szCs w:val="18"/>
                <w:u w:val="single" w:color="auto"/>
                <w:color w:val="auto"/>
              </w:rPr>
            </w:pPr>
            <w:hyperlink w:anchor="page46">
              <w:r>
                <w:rPr>
                  <w:rFonts w:ascii="Arial" w:cs="Arial" w:eastAsia="Arial" w:hAnsi="Arial"/>
                  <w:sz w:val="18"/>
                  <w:szCs w:val="18"/>
                  <w:u w:val="single" w:color="auto"/>
                  <w:color w:val="auto"/>
                </w:rPr>
                <w:t>Properties</w:t>
              </w:r>
            </w:hyperlink>
          </w:p>
        </w:tc>
        <w:tc>
          <w:tcPr>
            <w:tcW w:w="780" w:type="dxa"/>
            <w:vAlign w:val="bottom"/>
            <w:tcBorders>
              <w:bottom w:val="single" w:sz="8" w:color="auto"/>
            </w:tcBorders>
          </w:tcPr>
          <w:p>
            <w:pPr>
              <w:jc w:val="right"/>
              <w:spacing w:after="0"/>
              <w:rPr>
                <w:rFonts w:ascii="Arial" w:cs="Arial" w:eastAsia="Arial" w:hAnsi="Arial"/>
                <w:sz w:val="18"/>
                <w:szCs w:val="18"/>
                <w:color w:val="0000FF"/>
              </w:rPr>
            </w:pPr>
            <w:hyperlink w:anchor="page46">
              <w:r>
                <w:rPr>
                  <w:rFonts w:ascii="Arial" w:cs="Arial" w:eastAsia="Arial" w:hAnsi="Arial"/>
                  <w:sz w:val="18"/>
                  <w:szCs w:val="18"/>
                  <w:color w:val="0000FF"/>
                </w:rPr>
                <w:t>43</w:t>
              </w:r>
            </w:hyperlink>
          </w:p>
        </w:tc>
      </w:tr>
      <w:tr>
        <w:trPr>
          <w:trHeight w:val="223"/>
        </w:trPr>
        <w:tc>
          <w:tcPr>
            <w:tcW w:w="10460" w:type="dxa"/>
            <w:vAlign w:val="bottom"/>
            <w:tcBorders>
              <w:bottom w:val="single" w:sz="8" w:color="auto"/>
            </w:tcBorders>
          </w:tcPr>
          <w:p>
            <w:pPr>
              <w:ind w:left="20"/>
              <w:spacing w:after="0"/>
              <w:rPr>
                <w:rFonts w:ascii="Arial" w:cs="Arial" w:eastAsia="Arial" w:hAnsi="Arial"/>
                <w:sz w:val="18"/>
                <w:szCs w:val="18"/>
                <w:u w:val="single" w:color="auto"/>
                <w:color w:val="auto"/>
              </w:rPr>
            </w:pPr>
            <w:hyperlink w:anchor="page46">
              <w:r>
                <w:rPr>
                  <w:rFonts w:ascii="Arial" w:cs="Arial" w:eastAsia="Arial" w:hAnsi="Arial"/>
                  <w:sz w:val="18"/>
                  <w:szCs w:val="18"/>
                  <w:u w:val="single" w:color="auto"/>
                  <w:color w:val="auto"/>
                </w:rPr>
                <w:t>Legal Proceedings</w:t>
              </w:r>
            </w:hyperlink>
          </w:p>
        </w:tc>
        <w:tc>
          <w:tcPr>
            <w:tcW w:w="780" w:type="dxa"/>
            <w:vAlign w:val="bottom"/>
            <w:tcBorders>
              <w:bottom w:val="single" w:sz="8" w:color="auto"/>
            </w:tcBorders>
          </w:tcPr>
          <w:p>
            <w:pPr>
              <w:jc w:val="right"/>
              <w:spacing w:after="0"/>
              <w:rPr>
                <w:rFonts w:ascii="Arial" w:cs="Arial" w:eastAsia="Arial" w:hAnsi="Arial"/>
                <w:sz w:val="18"/>
                <w:szCs w:val="18"/>
                <w:color w:val="0000FF"/>
              </w:rPr>
            </w:pPr>
            <w:hyperlink w:anchor="page46">
              <w:r>
                <w:rPr>
                  <w:rFonts w:ascii="Arial" w:cs="Arial" w:eastAsia="Arial" w:hAnsi="Arial"/>
                  <w:sz w:val="18"/>
                  <w:szCs w:val="18"/>
                  <w:color w:val="0000FF"/>
                </w:rPr>
                <w:t>43</w:t>
              </w:r>
            </w:hyperlink>
          </w:p>
        </w:tc>
      </w:tr>
      <w:tr>
        <w:trPr>
          <w:trHeight w:val="223"/>
        </w:trPr>
        <w:tc>
          <w:tcPr>
            <w:tcW w:w="10460" w:type="dxa"/>
            <w:vAlign w:val="bottom"/>
            <w:tcBorders>
              <w:bottom w:val="single" w:sz="8" w:color="auto"/>
            </w:tcBorders>
          </w:tcPr>
          <w:p>
            <w:pPr>
              <w:ind w:left="20"/>
              <w:spacing w:after="0"/>
              <w:rPr>
                <w:rFonts w:ascii="Arial" w:cs="Arial" w:eastAsia="Arial" w:hAnsi="Arial"/>
                <w:sz w:val="18"/>
                <w:szCs w:val="18"/>
                <w:u w:val="single" w:color="auto"/>
                <w:color w:val="auto"/>
              </w:rPr>
            </w:pPr>
            <w:hyperlink w:anchor="page46">
              <w:r>
                <w:rPr>
                  <w:rFonts w:ascii="Arial" w:cs="Arial" w:eastAsia="Arial" w:hAnsi="Arial"/>
                  <w:sz w:val="18"/>
                  <w:szCs w:val="18"/>
                  <w:u w:val="single" w:color="auto"/>
                  <w:color w:val="auto"/>
                </w:rPr>
                <w:t>Mine Safety Disclosures</w:t>
              </w:r>
            </w:hyperlink>
          </w:p>
        </w:tc>
        <w:tc>
          <w:tcPr>
            <w:tcW w:w="780" w:type="dxa"/>
            <w:vAlign w:val="bottom"/>
            <w:tcBorders>
              <w:bottom w:val="single" w:sz="8" w:color="auto"/>
            </w:tcBorders>
          </w:tcPr>
          <w:p>
            <w:pPr>
              <w:jc w:val="right"/>
              <w:spacing w:after="0"/>
              <w:rPr>
                <w:rFonts w:ascii="Arial" w:cs="Arial" w:eastAsia="Arial" w:hAnsi="Arial"/>
                <w:sz w:val="18"/>
                <w:szCs w:val="18"/>
                <w:color w:val="0000FF"/>
              </w:rPr>
            </w:pPr>
            <w:hyperlink w:anchor="page46">
              <w:r>
                <w:rPr>
                  <w:rFonts w:ascii="Arial" w:cs="Arial" w:eastAsia="Arial" w:hAnsi="Arial"/>
                  <w:sz w:val="18"/>
                  <w:szCs w:val="18"/>
                  <w:color w:val="0000FF"/>
                </w:rPr>
                <w:t>43</w:t>
              </w:r>
            </w:hyperlink>
          </w:p>
        </w:tc>
      </w:tr>
      <w:tr>
        <w:trPr>
          <w:trHeight w:val="223"/>
        </w:trPr>
        <w:tc>
          <w:tcPr>
            <w:tcW w:w="10460" w:type="dxa"/>
            <w:vAlign w:val="bottom"/>
            <w:tcBorders>
              <w:bottom w:val="single" w:sz="8" w:color="auto"/>
            </w:tcBorders>
          </w:tcPr>
          <w:p>
            <w:pPr>
              <w:ind w:left="20"/>
              <w:spacing w:after="0"/>
              <w:rPr>
                <w:rFonts w:ascii="Arial" w:cs="Arial" w:eastAsia="Arial" w:hAnsi="Arial"/>
                <w:sz w:val="18"/>
                <w:szCs w:val="18"/>
                <w:u w:val="single" w:color="auto"/>
                <w:color w:val="auto"/>
              </w:rPr>
            </w:pPr>
            <w:hyperlink w:anchor="page46">
              <w:r>
                <w:rPr>
                  <w:rFonts w:ascii="Arial" w:cs="Arial" w:eastAsia="Arial" w:hAnsi="Arial"/>
                  <w:sz w:val="18"/>
                  <w:szCs w:val="18"/>
                  <w:u w:val="single" w:color="auto"/>
                  <w:color w:val="auto"/>
                </w:rPr>
                <w:t>Market for Registrant’s Common Equity, Related Stockholder Matters and Issuer Purchases of Equity Securities</w:t>
              </w:r>
            </w:hyperlink>
          </w:p>
        </w:tc>
        <w:tc>
          <w:tcPr>
            <w:tcW w:w="780" w:type="dxa"/>
            <w:vAlign w:val="bottom"/>
            <w:tcBorders>
              <w:bottom w:val="single" w:sz="8" w:color="auto"/>
            </w:tcBorders>
          </w:tcPr>
          <w:p>
            <w:pPr>
              <w:jc w:val="right"/>
              <w:spacing w:after="0"/>
              <w:rPr>
                <w:rFonts w:ascii="Arial" w:cs="Arial" w:eastAsia="Arial" w:hAnsi="Arial"/>
                <w:sz w:val="18"/>
                <w:szCs w:val="18"/>
                <w:color w:val="0000FF"/>
              </w:rPr>
            </w:pPr>
            <w:hyperlink w:anchor="page46">
              <w:r>
                <w:rPr>
                  <w:rFonts w:ascii="Arial" w:cs="Arial" w:eastAsia="Arial" w:hAnsi="Arial"/>
                  <w:sz w:val="18"/>
                  <w:szCs w:val="18"/>
                  <w:color w:val="0000FF"/>
                </w:rPr>
                <w:t>44</w:t>
              </w:r>
            </w:hyperlink>
          </w:p>
        </w:tc>
      </w:tr>
      <w:tr>
        <w:trPr>
          <w:trHeight w:val="223"/>
        </w:trPr>
        <w:tc>
          <w:tcPr>
            <w:tcW w:w="10460" w:type="dxa"/>
            <w:vAlign w:val="bottom"/>
            <w:tcBorders>
              <w:bottom w:val="single" w:sz="8" w:color="auto"/>
            </w:tcBorders>
          </w:tcPr>
          <w:p>
            <w:pPr>
              <w:ind w:left="20"/>
              <w:spacing w:after="0"/>
              <w:rPr>
                <w:rFonts w:ascii="Arial" w:cs="Arial" w:eastAsia="Arial" w:hAnsi="Arial"/>
                <w:sz w:val="18"/>
                <w:szCs w:val="18"/>
                <w:u w:val="single" w:color="auto"/>
                <w:color w:val="auto"/>
              </w:rPr>
            </w:pPr>
            <w:hyperlink w:anchor="page48">
              <w:r>
                <w:rPr>
                  <w:rFonts w:ascii="Arial" w:cs="Arial" w:eastAsia="Arial" w:hAnsi="Arial"/>
                  <w:sz w:val="18"/>
                  <w:szCs w:val="18"/>
                  <w:u w:val="single" w:color="auto"/>
                  <w:color w:val="auto"/>
                </w:rPr>
                <w:t>Financial Statements and Supplementary Data</w:t>
              </w:r>
            </w:hyperlink>
          </w:p>
        </w:tc>
        <w:tc>
          <w:tcPr>
            <w:tcW w:w="780" w:type="dxa"/>
            <w:vAlign w:val="bottom"/>
            <w:tcBorders>
              <w:bottom w:val="single" w:sz="8" w:color="auto"/>
            </w:tcBorders>
          </w:tcPr>
          <w:p>
            <w:pPr>
              <w:jc w:val="right"/>
              <w:spacing w:after="0"/>
              <w:rPr>
                <w:rFonts w:ascii="Arial" w:cs="Arial" w:eastAsia="Arial" w:hAnsi="Arial"/>
                <w:sz w:val="18"/>
                <w:szCs w:val="18"/>
                <w:color w:val="0000FF"/>
              </w:rPr>
            </w:pPr>
            <w:hyperlink w:anchor="page48">
              <w:r>
                <w:rPr>
                  <w:rFonts w:ascii="Arial" w:cs="Arial" w:eastAsia="Arial" w:hAnsi="Arial"/>
                  <w:sz w:val="18"/>
                  <w:szCs w:val="18"/>
                  <w:color w:val="0000FF"/>
                </w:rPr>
                <w:t>46</w:t>
              </w:r>
            </w:hyperlink>
          </w:p>
        </w:tc>
      </w:tr>
      <w:tr>
        <w:trPr>
          <w:trHeight w:val="223"/>
        </w:trPr>
        <w:tc>
          <w:tcPr>
            <w:tcW w:w="10460" w:type="dxa"/>
            <w:vAlign w:val="bottom"/>
            <w:tcBorders>
              <w:bottom w:val="single" w:sz="8" w:color="auto"/>
            </w:tcBorders>
          </w:tcPr>
          <w:p>
            <w:pPr>
              <w:ind w:left="20"/>
              <w:spacing w:after="0"/>
              <w:rPr>
                <w:rFonts w:ascii="Arial" w:cs="Arial" w:eastAsia="Arial" w:hAnsi="Arial"/>
                <w:sz w:val="18"/>
                <w:szCs w:val="18"/>
                <w:u w:val="single" w:color="auto"/>
                <w:color w:val="auto"/>
              </w:rPr>
            </w:pPr>
            <w:hyperlink w:anchor="page116">
              <w:r>
                <w:rPr>
                  <w:rFonts w:ascii="Arial" w:cs="Arial" w:eastAsia="Arial" w:hAnsi="Arial"/>
                  <w:sz w:val="18"/>
                  <w:szCs w:val="18"/>
                  <w:u w:val="single" w:color="auto"/>
                  <w:color w:val="auto"/>
                </w:rPr>
                <w:t>Changes in and Disagreements with Accountants on Accounting and Financial Disclosure</w:t>
              </w:r>
            </w:hyperlink>
          </w:p>
        </w:tc>
        <w:tc>
          <w:tcPr>
            <w:tcW w:w="780" w:type="dxa"/>
            <w:vAlign w:val="bottom"/>
            <w:tcBorders>
              <w:bottom w:val="single" w:sz="8" w:color="auto"/>
            </w:tcBorders>
          </w:tcPr>
          <w:p>
            <w:pPr>
              <w:jc w:val="right"/>
              <w:spacing w:after="0"/>
              <w:rPr>
                <w:rFonts w:ascii="Arial" w:cs="Arial" w:eastAsia="Arial" w:hAnsi="Arial"/>
                <w:sz w:val="18"/>
                <w:szCs w:val="18"/>
                <w:color w:val="0000FF"/>
              </w:rPr>
            </w:pPr>
            <w:hyperlink w:anchor="page116">
              <w:r>
                <w:rPr>
                  <w:rFonts w:ascii="Arial" w:cs="Arial" w:eastAsia="Arial" w:hAnsi="Arial"/>
                  <w:sz w:val="18"/>
                  <w:szCs w:val="18"/>
                  <w:color w:val="0000FF"/>
                </w:rPr>
                <w:t>114</w:t>
              </w:r>
            </w:hyperlink>
          </w:p>
        </w:tc>
      </w:tr>
      <w:tr>
        <w:trPr>
          <w:trHeight w:val="223"/>
        </w:trPr>
        <w:tc>
          <w:tcPr>
            <w:tcW w:w="10460" w:type="dxa"/>
            <w:vAlign w:val="bottom"/>
            <w:tcBorders>
              <w:bottom w:val="single" w:sz="8" w:color="auto"/>
            </w:tcBorders>
          </w:tcPr>
          <w:p>
            <w:pPr>
              <w:ind w:left="20"/>
              <w:spacing w:after="0"/>
              <w:rPr>
                <w:rFonts w:ascii="Arial" w:cs="Arial" w:eastAsia="Arial" w:hAnsi="Arial"/>
                <w:sz w:val="18"/>
                <w:szCs w:val="18"/>
                <w:u w:val="single" w:color="auto"/>
                <w:color w:val="auto"/>
              </w:rPr>
            </w:pPr>
            <w:hyperlink w:anchor="page117">
              <w:r>
                <w:rPr>
                  <w:rFonts w:ascii="Arial" w:cs="Arial" w:eastAsia="Arial" w:hAnsi="Arial"/>
                  <w:sz w:val="18"/>
                  <w:szCs w:val="18"/>
                  <w:u w:val="single" w:color="auto"/>
                  <w:color w:val="auto"/>
                </w:rPr>
                <w:t>Controls and Procedures</w:t>
              </w:r>
            </w:hyperlink>
          </w:p>
        </w:tc>
        <w:tc>
          <w:tcPr>
            <w:tcW w:w="780" w:type="dxa"/>
            <w:vAlign w:val="bottom"/>
            <w:tcBorders>
              <w:bottom w:val="single" w:sz="8" w:color="auto"/>
            </w:tcBorders>
          </w:tcPr>
          <w:p>
            <w:pPr>
              <w:jc w:val="right"/>
              <w:spacing w:after="0"/>
              <w:rPr>
                <w:rFonts w:ascii="Arial" w:cs="Arial" w:eastAsia="Arial" w:hAnsi="Arial"/>
                <w:sz w:val="18"/>
                <w:szCs w:val="18"/>
                <w:color w:val="0000FF"/>
              </w:rPr>
            </w:pPr>
            <w:hyperlink w:anchor="page117">
              <w:r>
                <w:rPr>
                  <w:rFonts w:ascii="Arial" w:cs="Arial" w:eastAsia="Arial" w:hAnsi="Arial"/>
                  <w:sz w:val="18"/>
                  <w:szCs w:val="18"/>
                  <w:color w:val="0000FF"/>
                </w:rPr>
                <w:t>114</w:t>
              </w:r>
            </w:hyperlink>
          </w:p>
        </w:tc>
      </w:tr>
      <w:tr>
        <w:trPr>
          <w:trHeight w:val="223"/>
        </w:trPr>
        <w:tc>
          <w:tcPr>
            <w:tcW w:w="10460" w:type="dxa"/>
            <w:vAlign w:val="bottom"/>
            <w:tcBorders>
              <w:bottom w:val="single" w:sz="8" w:color="auto"/>
            </w:tcBorders>
          </w:tcPr>
          <w:p>
            <w:pPr>
              <w:ind w:left="20"/>
              <w:spacing w:after="0"/>
              <w:rPr>
                <w:rFonts w:ascii="Arial" w:cs="Arial" w:eastAsia="Arial" w:hAnsi="Arial"/>
                <w:sz w:val="18"/>
                <w:szCs w:val="18"/>
                <w:u w:val="single" w:color="auto"/>
                <w:color w:val="auto"/>
              </w:rPr>
            </w:pPr>
            <w:hyperlink w:anchor="page117">
              <w:r>
                <w:rPr>
                  <w:rFonts w:ascii="Arial" w:cs="Arial" w:eastAsia="Arial" w:hAnsi="Arial"/>
                  <w:sz w:val="18"/>
                  <w:szCs w:val="18"/>
                  <w:u w:val="single" w:color="auto"/>
                  <w:color w:val="auto"/>
                </w:rPr>
                <w:t>Management's Report on Internal Control Over Financial Reporting</w:t>
              </w:r>
            </w:hyperlink>
          </w:p>
        </w:tc>
        <w:tc>
          <w:tcPr>
            <w:tcW w:w="780" w:type="dxa"/>
            <w:vAlign w:val="bottom"/>
            <w:tcBorders>
              <w:bottom w:val="single" w:sz="8" w:color="auto"/>
            </w:tcBorders>
          </w:tcPr>
          <w:p>
            <w:pPr>
              <w:jc w:val="right"/>
              <w:spacing w:after="0"/>
              <w:rPr>
                <w:rFonts w:ascii="Arial" w:cs="Arial" w:eastAsia="Arial" w:hAnsi="Arial"/>
                <w:sz w:val="18"/>
                <w:szCs w:val="18"/>
                <w:color w:val="0000FF"/>
              </w:rPr>
            </w:pPr>
            <w:hyperlink w:anchor="page117">
              <w:r>
                <w:rPr>
                  <w:rFonts w:ascii="Arial" w:cs="Arial" w:eastAsia="Arial" w:hAnsi="Arial"/>
                  <w:sz w:val="18"/>
                  <w:szCs w:val="18"/>
                  <w:color w:val="0000FF"/>
                </w:rPr>
                <w:t>114</w:t>
              </w:r>
            </w:hyperlink>
          </w:p>
        </w:tc>
      </w:tr>
      <w:tr>
        <w:trPr>
          <w:trHeight w:val="223"/>
        </w:trPr>
        <w:tc>
          <w:tcPr>
            <w:tcW w:w="10460" w:type="dxa"/>
            <w:vAlign w:val="bottom"/>
            <w:tcBorders>
              <w:bottom w:val="single" w:sz="8" w:color="auto"/>
            </w:tcBorders>
          </w:tcPr>
          <w:p>
            <w:pPr>
              <w:ind w:left="20"/>
              <w:spacing w:after="0"/>
              <w:rPr>
                <w:rFonts w:ascii="Arial" w:cs="Arial" w:eastAsia="Arial" w:hAnsi="Arial"/>
                <w:sz w:val="18"/>
                <w:szCs w:val="18"/>
                <w:u w:val="single" w:color="auto"/>
                <w:color w:val="auto"/>
              </w:rPr>
            </w:pPr>
            <w:hyperlink w:anchor="page117">
              <w:r>
                <w:rPr>
                  <w:rFonts w:ascii="Arial" w:cs="Arial" w:eastAsia="Arial" w:hAnsi="Arial"/>
                  <w:sz w:val="18"/>
                  <w:szCs w:val="18"/>
                  <w:u w:val="single" w:color="auto"/>
                  <w:color w:val="auto"/>
                </w:rPr>
                <w:t>Other Information</w:t>
              </w:r>
            </w:hyperlink>
          </w:p>
        </w:tc>
        <w:tc>
          <w:tcPr>
            <w:tcW w:w="780" w:type="dxa"/>
            <w:vAlign w:val="bottom"/>
            <w:tcBorders>
              <w:bottom w:val="single" w:sz="8" w:color="auto"/>
            </w:tcBorders>
          </w:tcPr>
          <w:p>
            <w:pPr>
              <w:jc w:val="right"/>
              <w:spacing w:after="0"/>
              <w:rPr>
                <w:rFonts w:ascii="Arial" w:cs="Arial" w:eastAsia="Arial" w:hAnsi="Arial"/>
                <w:sz w:val="18"/>
                <w:szCs w:val="18"/>
                <w:color w:val="0000FF"/>
              </w:rPr>
            </w:pPr>
            <w:hyperlink w:anchor="page117">
              <w:r>
                <w:rPr>
                  <w:rFonts w:ascii="Arial" w:cs="Arial" w:eastAsia="Arial" w:hAnsi="Arial"/>
                  <w:sz w:val="18"/>
                  <w:szCs w:val="18"/>
                  <w:color w:val="0000FF"/>
                </w:rPr>
                <w:t>114</w:t>
              </w:r>
            </w:hyperlink>
          </w:p>
        </w:tc>
      </w:tr>
      <w:tr>
        <w:trPr>
          <w:trHeight w:val="223"/>
        </w:trPr>
        <w:tc>
          <w:tcPr>
            <w:tcW w:w="10460" w:type="dxa"/>
            <w:vAlign w:val="bottom"/>
            <w:tcBorders>
              <w:bottom w:val="single" w:sz="8" w:color="auto"/>
            </w:tcBorders>
          </w:tcPr>
          <w:p>
            <w:pPr>
              <w:ind w:left="20"/>
              <w:spacing w:after="0"/>
              <w:rPr>
                <w:rFonts w:ascii="Arial" w:cs="Arial" w:eastAsia="Arial" w:hAnsi="Arial"/>
                <w:sz w:val="18"/>
                <w:szCs w:val="18"/>
                <w:u w:val="single" w:color="auto"/>
                <w:color w:val="auto"/>
              </w:rPr>
            </w:pPr>
            <w:hyperlink w:anchor="page117">
              <w:r>
                <w:rPr>
                  <w:rFonts w:ascii="Arial" w:cs="Arial" w:eastAsia="Arial" w:hAnsi="Arial"/>
                  <w:sz w:val="18"/>
                  <w:szCs w:val="18"/>
                  <w:u w:val="single" w:color="auto"/>
                  <w:color w:val="auto"/>
                </w:rPr>
                <w:t>Directors, and Executive Officers and Corporate Governance</w:t>
              </w:r>
            </w:hyperlink>
          </w:p>
        </w:tc>
        <w:tc>
          <w:tcPr>
            <w:tcW w:w="780" w:type="dxa"/>
            <w:vAlign w:val="bottom"/>
            <w:tcBorders>
              <w:bottom w:val="single" w:sz="8" w:color="auto"/>
            </w:tcBorders>
          </w:tcPr>
          <w:p>
            <w:pPr>
              <w:jc w:val="right"/>
              <w:spacing w:after="0"/>
              <w:rPr>
                <w:rFonts w:ascii="Arial" w:cs="Arial" w:eastAsia="Arial" w:hAnsi="Arial"/>
                <w:sz w:val="18"/>
                <w:szCs w:val="18"/>
                <w:color w:val="0000FF"/>
              </w:rPr>
            </w:pPr>
            <w:hyperlink w:anchor="page117">
              <w:r>
                <w:rPr>
                  <w:rFonts w:ascii="Arial" w:cs="Arial" w:eastAsia="Arial" w:hAnsi="Arial"/>
                  <w:sz w:val="18"/>
                  <w:szCs w:val="18"/>
                  <w:color w:val="0000FF"/>
                </w:rPr>
                <w:t>115</w:t>
              </w:r>
            </w:hyperlink>
          </w:p>
        </w:tc>
      </w:tr>
      <w:tr>
        <w:trPr>
          <w:trHeight w:val="223"/>
        </w:trPr>
        <w:tc>
          <w:tcPr>
            <w:tcW w:w="10460" w:type="dxa"/>
            <w:vAlign w:val="bottom"/>
            <w:tcBorders>
              <w:bottom w:val="single" w:sz="8" w:color="auto"/>
            </w:tcBorders>
          </w:tcPr>
          <w:p>
            <w:pPr>
              <w:ind w:left="20"/>
              <w:spacing w:after="0"/>
              <w:rPr>
                <w:rFonts w:ascii="Arial" w:cs="Arial" w:eastAsia="Arial" w:hAnsi="Arial"/>
                <w:sz w:val="18"/>
                <w:szCs w:val="18"/>
                <w:u w:val="single" w:color="auto"/>
                <w:color w:val="auto"/>
              </w:rPr>
            </w:pPr>
            <w:hyperlink w:anchor="page118">
              <w:r>
                <w:rPr>
                  <w:rFonts w:ascii="Arial" w:cs="Arial" w:eastAsia="Arial" w:hAnsi="Arial"/>
                  <w:sz w:val="18"/>
                  <w:szCs w:val="18"/>
                  <w:u w:val="single" w:color="auto"/>
                  <w:color w:val="auto"/>
                </w:rPr>
                <w:t>Executive Compensation</w:t>
              </w:r>
            </w:hyperlink>
          </w:p>
        </w:tc>
        <w:tc>
          <w:tcPr>
            <w:tcW w:w="780" w:type="dxa"/>
            <w:vAlign w:val="bottom"/>
            <w:tcBorders>
              <w:bottom w:val="single" w:sz="8" w:color="auto"/>
            </w:tcBorders>
          </w:tcPr>
          <w:p>
            <w:pPr>
              <w:jc w:val="right"/>
              <w:spacing w:after="0"/>
              <w:rPr>
                <w:rFonts w:ascii="Arial" w:cs="Arial" w:eastAsia="Arial" w:hAnsi="Arial"/>
                <w:sz w:val="18"/>
                <w:szCs w:val="18"/>
                <w:color w:val="0000FF"/>
              </w:rPr>
            </w:pPr>
            <w:hyperlink w:anchor="page118">
              <w:r>
                <w:rPr>
                  <w:rFonts w:ascii="Arial" w:cs="Arial" w:eastAsia="Arial" w:hAnsi="Arial"/>
                  <w:sz w:val="18"/>
                  <w:szCs w:val="18"/>
                  <w:color w:val="0000FF"/>
                </w:rPr>
                <w:t>115</w:t>
              </w:r>
            </w:hyperlink>
          </w:p>
        </w:tc>
      </w:tr>
      <w:tr>
        <w:trPr>
          <w:trHeight w:val="223"/>
        </w:trPr>
        <w:tc>
          <w:tcPr>
            <w:tcW w:w="10460" w:type="dxa"/>
            <w:vAlign w:val="bottom"/>
            <w:tcBorders>
              <w:bottom w:val="single" w:sz="8" w:color="auto"/>
            </w:tcBorders>
          </w:tcPr>
          <w:p>
            <w:pPr>
              <w:ind w:left="20"/>
              <w:spacing w:after="0"/>
              <w:rPr>
                <w:rFonts w:ascii="Arial" w:cs="Arial" w:eastAsia="Arial" w:hAnsi="Arial"/>
                <w:sz w:val="18"/>
                <w:szCs w:val="18"/>
                <w:u w:val="single" w:color="auto"/>
                <w:color w:val="auto"/>
              </w:rPr>
            </w:pPr>
            <w:hyperlink w:anchor="page118">
              <w:r>
                <w:rPr>
                  <w:rFonts w:ascii="Arial" w:cs="Arial" w:eastAsia="Arial" w:hAnsi="Arial"/>
                  <w:sz w:val="18"/>
                  <w:szCs w:val="18"/>
                  <w:u w:val="single" w:color="auto"/>
                  <w:color w:val="auto"/>
                </w:rPr>
                <w:t>Security Ownership of Certain Beneficial Owners and Management and Related Stockholder Matters</w:t>
              </w:r>
            </w:hyperlink>
          </w:p>
        </w:tc>
        <w:tc>
          <w:tcPr>
            <w:tcW w:w="780" w:type="dxa"/>
            <w:vAlign w:val="bottom"/>
            <w:tcBorders>
              <w:bottom w:val="single" w:sz="8" w:color="auto"/>
            </w:tcBorders>
          </w:tcPr>
          <w:p>
            <w:pPr>
              <w:jc w:val="right"/>
              <w:spacing w:after="0"/>
              <w:rPr>
                <w:rFonts w:ascii="Arial" w:cs="Arial" w:eastAsia="Arial" w:hAnsi="Arial"/>
                <w:sz w:val="18"/>
                <w:szCs w:val="18"/>
                <w:color w:val="0000FF"/>
              </w:rPr>
            </w:pPr>
            <w:hyperlink w:anchor="page118">
              <w:r>
                <w:rPr>
                  <w:rFonts w:ascii="Arial" w:cs="Arial" w:eastAsia="Arial" w:hAnsi="Arial"/>
                  <w:sz w:val="18"/>
                  <w:szCs w:val="18"/>
                  <w:color w:val="0000FF"/>
                </w:rPr>
                <w:t>115</w:t>
              </w:r>
            </w:hyperlink>
          </w:p>
        </w:tc>
      </w:tr>
      <w:tr>
        <w:trPr>
          <w:trHeight w:val="223"/>
        </w:trPr>
        <w:tc>
          <w:tcPr>
            <w:tcW w:w="10460" w:type="dxa"/>
            <w:vAlign w:val="bottom"/>
            <w:tcBorders>
              <w:bottom w:val="single" w:sz="8" w:color="auto"/>
            </w:tcBorders>
          </w:tcPr>
          <w:p>
            <w:pPr>
              <w:ind w:left="20"/>
              <w:spacing w:after="0"/>
              <w:rPr>
                <w:rFonts w:ascii="Arial" w:cs="Arial" w:eastAsia="Arial" w:hAnsi="Arial"/>
                <w:sz w:val="18"/>
                <w:szCs w:val="18"/>
                <w:u w:val="single" w:color="auto"/>
                <w:color w:val="auto"/>
              </w:rPr>
            </w:pPr>
            <w:hyperlink w:anchor="page119">
              <w:r>
                <w:rPr>
                  <w:rFonts w:ascii="Arial" w:cs="Arial" w:eastAsia="Arial" w:hAnsi="Arial"/>
                  <w:sz w:val="18"/>
                  <w:szCs w:val="18"/>
                  <w:u w:val="single" w:color="auto"/>
                  <w:color w:val="auto"/>
                </w:rPr>
                <w:t>Certain Relationships and Related Transactions and Director Independence</w:t>
              </w:r>
            </w:hyperlink>
          </w:p>
        </w:tc>
        <w:tc>
          <w:tcPr>
            <w:tcW w:w="780" w:type="dxa"/>
            <w:vAlign w:val="bottom"/>
            <w:tcBorders>
              <w:bottom w:val="single" w:sz="8" w:color="auto"/>
            </w:tcBorders>
          </w:tcPr>
          <w:p>
            <w:pPr>
              <w:jc w:val="right"/>
              <w:spacing w:after="0"/>
              <w:rPr>
                <w:rFonts w:ascii="Arial" w:cs="Arial" w:eastAsia="Arial" w:hAnsi="Arial"/>
                <w:sz w:val="18"/>
                <w:szCs w:val="18"/>
                <w:color w:val="0000FF"/>
              </w:rPr>
            </w:pPr>
            <w:hyperlink w:anchor="page119">
              <w:r>
                <w:rPr>
                  <w:rFonts w:ascii="Arial" w:cs="Arial" w:eastAsia="Arial" w:hAnsi="Arial"/>
                  <w:sz w:val="18"/>
                  <w:szCs w:val="18"/>
                  <w:color w:val="0000FF"/>
                </w:rPr>
                <w:t>117</w:t>
              </w:r>
            </w:hyperlink>
          </w:p>
        </w:tc>
      </w:tr>
      <w:tr>
        <w:trPr>
          <w:trHeight w:val="223"/>
        </w:trPr>
        <w:tc>
          <w:tcPr>
            <w:tcW w:w="10460" w:type="dxa"/>
            <w:vAlign w:val="bottom"/>
            <w:tcBorders>
              <w:bottom w:val="single" w:sz="8" w:color="auto"/>
            </w:tcBorders>
          </w:tcPr>
          <w:p>
            <w:pPr>
              <w:ind w:left="20"/>
              <w:spacing w:after="0"/>
              <w:rPr>
                <w:rFonts w:ascii="Arial" w:cs="Arial" w:eastAsia="Arial" w:hAnsi="Arial"/>
                <w:sz w:val="18"/>
                <w:szCs w:val="18"/>
                <w:u w:val="single" w:color="auto"/>
                <w:color w:val="auto"/>
              </w:rPr>
            </w:pPr>
            <w:hyperlink w:anchor="page120">
              <w:r>
                <w:rPr>
                  <w:rFonts w:ascii="Arial" w:cs="Arial" w:eastAsia="Arial" w:hAnsi="Arial"/>
                  <w:sz w:val="18"/>
                  <w:szCs w:val="18"/>
                  <w:u w:val="single" w:color="auto"/>
                  <w:color w:val="auto"/>
                </w:rPr>
                <w:t>Principal Accounting Fees and Services</w:t>
              </w:r>
            </w:hyperlink>
          </w:p>
        </w:tc>
        <w:tc>
          <w:tcPr>
            <w:tcW w:w="780" w:type="dxa"/>
            <w:vAlign w:val="bottom"/>
            <w:tcBorders>
              <w:bottom w:val="single" w:sz="8" w:color="auto"/>
            </w:tcBorders>
          </w:tcPr>
          <w:p>
            <w:pPr>
              <w:jc w:val="right"/>
              <w:spacing w:after="0"/>
              <w:rPr>
                <w:rFonts w:ascii="Arial" w:cs="Arial" w:eastAsia="Arial" w:hAnsi="Arial"/>
                <w:sz w:val="18"/>
                <w:szCs w:val="18"/>
                <w:color w:val="0000FF"/>
              </w:rPr>
            </w:pPr>
            <w:hyperlink w:anchor="page120">
              <w:r>
                <w:rPr>
                  <w:rFonts w:ascii="Arial" w:cs="Arial" w:eastAsia="Arial" w:hAnsi="Arial"/>
                  <w:sz w:val="18"/>
                  <w:szCs w:val="18"/>
                  <w:color w:val="0000FF"/>
                </w:rPr>
                <w:t>117</w:t>
              </w:r>
            </w:hyperlink>
          </w:p>
        </w:tc>
      </w:tr>
      <w:tr>
        <w:trPr>
          <w:trHeight w:val="223"/>
        </w:trPr>
        <w:tc>
          <w:tcPr>
            <w:tcW w:w="10460" w:type="dxa"/>
            <w:vAlign w:val="bottom"/>
            <w:tcBorders>
              <w:bottom w:val="single" w:sz="8" w:color="auto"/>
            </w:tcBorders>
          </w:tcPr>
          <w:p>
            <w:pPr>
              <w:ind w:left="20"/>
              <w:spacing w:after="0"/>
              <w:rPr>
                <w:rFonts w:ascii="Arial" w:cs="Arial" w:eastAsia="Arial" w:hAnsi="Arial"/>
                <w:sz w:val="18"/>
                <w:szCs w:val="18"/>
                <w:u w:val="single" w:color="auto"/>
                <w:color w:val="auto"/>
              </w:rPr>
            </w:pPr>
            <w:hyperlink w:anchor="page120">
              <w:r>
                <w:rPr>
                  <w:rFonts w:ascii="Arial" w:cs="Arial" w:eastAsia="Arial" w:hAnsi="Arial"/>
                  <w:sz w:val="18"/>
                  <w:szCs w:val="18"/>
                  <w:u w:val="single" w:color="auto"/>
                  <w:color w:val="auto"/>
                </w:rPr>
                <w:t>Exhibits and Financial Statement Schedules</w:t>
              </w:r>
            </w:hyperlink>
          </w:p>
        </w:tc>
        <w:tc>
          <w:tcPr>
            <w:tcW w:w="780" w:type="dxa"/>
            <w:vAlign w:val="bottom"/>
            <w:tcBorders>
              <w:bottom w:val="single" w:sz="8" w:color="auto"/>
            </w:tcBorders>
          </w:tcPr>
          <w:p>
            <w:pPr>
              <w:jc w:val="right"/>
              <w:spacing w:after="0"/>
              <w:rPr>
                <w:rFonts w:ascii="Arial" w:cs="Arial" w:eastAsia="Arial" w:hAnsi="Arial"/>
                <w:sz w:val="18"/>
                <w:szCs w:val="18"/>
                <w:color w:val="0000FF"/>
              </w:rPr>
            </w:pPr>
            <w:hyperlink w:anchor="page120">
              <w:r>
                <w:rPr>
                  <w:rFonts w:ascii="Arial" w:cs="Arial" w:eastAsia="Arial" w:hAnsi="Arial"/>
                  <w:sz w:val="18"/>
                  <w:szCs w:val="18"/>
                  <w:color w:val="0000FF"/>
                </w:rPr>
                <w:t>117</w:t>
              </w:r>
            </w:hyperlink>
          </w:p>
        </w:tc>
      </w:tr>
      <w:tr>
        <w:trPr>
          <w:trHeight w:val="223"/>
        </w:trPr>
        <w:tc>
          <w:tcPr>
            <w:tcW w:w="10460" w:type="dxa"/>
            <w:vAlign w:val="bottom"/>
            <w:tcBorders>
              <w:bottom w:val="single" w:sz="8" w:color="auto"/>
            </w:tcBorders>
          </w:tcPr>
          <w:p>
            <w:pPr>
              <w:ind w:left="20"/>
              <w:spacing w:after="0"/>
              <w:rPr>
                <w:rFonts w:ascii="Arial" w:cs="Arial" w:eastAsia="Arial" w:hAnsi="Arial"/>
                <w:sz w:val="18"/>
                <w:szCs w:val="18"/>
                <w:u w:val="single" w:color="auto"/>
                <w:color w:val="auto"/>
              </w:rPr>
            </w:pPr>
            <w:hyperlink w:anchor="page120">
              <w:r>
                <w:rPr>
                  <w:rFonts w:ascii="Arial" w:cs="Arial" w:eastAsia="Arial" w:hAnsi="Arial"/>
                  <w:sz w:val="18"/>
                  <w:szCs w:val="18"/>
                  <w:u w:val="single" w:color="auto"/>
                  <w:color w:val="auto"/>
                </w:rPr>
                <w:t>Form 10-K Summary</w:t>
              </w:r>
            </w:hyperlink>
          </w:p>
        </w:tc>
        <w:tc>
          <w:tcPr>
            <w:tcW w:w="780" w:type="dxa"/>
            <w:vAlign w:val="bottom"/>
            <w:tcBorders>
              <w:bottom w:val="single" w:sz="8" w:color="auto"/>
            </w:tcBorders>
          </w:tcPr>
          <w:p>
            <w:pPr>
              <w:jc w:val="right"/>
              <w:spacing w:after="0"/>
              <w:rPr>
                <w:rFonts w:ascii="Arial" w:cs="Arial" w:eastAsia="Arial" w:hAnsi="Arial"/>
                <w:sz w:val="18"/>
                <w:szCs w:val="18"/>
                <w:color w:val="0000FF"/>
              </w:rPr>
            </w:pPr>
            <w:hyperlink w:anchor="page120">
              <w:r>
                <w:rPr>
                  <w:rFonts w:ascii="Arial" w:cs="Arial" w:eastAsia="Arial" w:hAnsi="Arial"/>
                  <w:sz w:val="18"/>
                  <w:szCs w:val="18"/>
                  <w:color w:val="0000FF"/>
                </w:rPr>
                <w:t>117</w:t>
              </w:r>
            </w:hyperlink>
          </w:p>
        </w:tc>
      </w:tr>
      <w:tr>
        <w:trPr>
          <w:trHeight w:val="223"/>
        </w:trPr>
        <w:tc>
          <w:tcPr>
            <w:tcW w:w="10460" w:type="dxa"/>
            <w:vAlign w:val="bottom"/>
            <w:tcBorders>
              <w:bottom w:val="single" w:sz="8" w:color="auto"/>
            </w:tcBorders>
          </w:tcPr>
          <w:p>
            <w:pPr>
              <w:ind w:left="20"/>
              <w:spacing w:after="0"/>
              <w:rPr>
                <w:rFonts w:ascii="Arial" w:cs="Arial" w:eastAsia="Arial" w:hAnsi="Arial"/>
                <w:sz w:val="18"/>
                <w:szCs w:val="18"/>
                <w:u w:val="single" w:color="auto"/>
                <w:color w:val="auto"/>
              </w:rPr>
            </w:pPr>
            <w:hyperlink w:anchor="page125">
              <w:r>
                <w:rPr>
                  <w:rFonts w:ascii="Arial" w:cs="Arial" w:eastAsia="Arial" w:hAnsi="Arial"/>
                  <w:sz w:val="18"/>
                  <w:szCs w:val="18"/>
                  <w:u w:val="single" w:color="auto"/>
                  <w:color w:val="auto"/>
                </w:rPr>
                <w:t>Signatures</w:t>
              </w:r>
            </w:hyperlink>
          </w:p>
        </w:tc>
        <w:tc>
          <w:tcPr>
            <w:tcW w:w="780" w:type="dxa"/>
            <w:vAlign w:val="bottom"/>
            <w:tcBorders>
              <w:bottom w:val="single" w:sz="8" w:color="auto"/>
            </w:tcBorders>
          </w:tcPr>
          <w:p>
            <w:pPr>
              <w:jc w:val="right"/>
              <w:spacing w:after="0"/>
              <w:rPr>
                <w:rFonts w:ascii="Arial" w:cs="Arial" w:eastAsia="Arial" w:hAnsi="Arial"/>
                <w:sz w:val="18"/>
                <w:szCs w:val="18"/>
                <w:color w:val="0000FF"/>
              </w:rPr>
            </w:pPr>
            <w:hyperlink w:anchor="page125">
              <w:r>
                <w:rPr>
                  <w:rFonts w:ascii="Arial" w:cs="Arial" w:eastAsia="Arial" w:hAnsi="Arial"/>
                  <w:sz w:val="18"/>
                  <w:szCs w:val="18"/>
                  <w:color w:val="0000FF"/>
                </w:rPr>
                <w:t>123</w:t>
              </w:r>
            </w:hyperlink>
          </w:p>
        </w:tc>
      </w:tr>
      <w:tr>
        <w:trPr>
          <w:trHeight w:val="230"/>
        </w:trPr>
        <w:tc>
          <w:tcPr>
            <w:tcW w:w="10460" w:type="dxa"/>
            <w:vAlign w:val="bottom"/>
            <w:tcBorders>
              <w:bottom w:val="single" w:sz="8" w:color="DC202E"/>
            </w:tcBorders>
          </w:tcPr>
          <w:p>
            <w:pPr>
              <w:ind w:left="20"/>
              <w:spacing w:after="0"/>
              <w:rPr>
                <w:rFonts w:ascii="Arial" w:cs="Arial" w:eastAsia="Arial" w:hAnsi="Arial"/>
                <w:sz w:val="18"/>
                <w:szCs w:val="18"/>
                <w:u w:val="single" w:color="auto"/>
                <w:color w:val="auto"/>
              </w:rPr>
            </w:pPr>
            <w:hyperlink w:anchor="page126">
              <w:r>
                <w:rPr>
                  <w:rFonts w:ascii="Arial" w:cs="Arial" w:eastAsia="Arial" w:hAnsi="Arial"/>
                  <w:sz w:val="18"/>
                  <w:szCs w:val="18"/>
                  <w:u w:val="single" w:color="auto"/>
                  <w:color w:val="auto"/>
                </w:rPr>
                <w:t>Form 10-K Cross-Reference Index</w:t>
              </w:r>
            </w:hyperlink>
          </w:p>
        </w:tc>
        <w:tc>
          <w:tcPr>
            <w:tcW w:w="780" w:type="dxa"/>
            <w:vAlign w:val="bottom"/>
            <w:tcBorders>
              <w:bottom w:val="single" w:sz="8" w:color="DC202E"/>
            </w:tcBorders>
          </w:tcPr>
          <w:p>
            <w:pPr>
              <w:jc w:val="right"/>
              <w:spacing w:after="0"/>
              <w:rPr>
                <w:rFonts w:ascii="Arial" w:cs="Arial" w:eastAsia="Arial" w:hAnsi="Arial"/>
                <w:sz w:val="18"/>
                <w:szCs w:val="18"/>
                <w:color w:val="0000FF"/>
              </w:rPr>
            </w:pPr>
            <w:hyperlink w:anchor="page126">
              <w:r>
                <w:rPr>
                  <w:rFonts w:ascii="Arial" w:cs="Arial" w:eastAsia="Arial" w:hAnsi="Arial"/>
                  <w:sz w:val="18"/>
                  <w:szCs w:val="18"/>
                  <w:color w:val="0000FF"/>
                </w:rPr>
                <w:t>124</w:t>
              </w:r>
            </w:hyperlink>
          </w:p>
        </w:tc>
      </w:tr>
      <w:tr>
        <w:trPr>
          <w:trHeight w:val="1343"/>
        </w:trPr>
        <w:tc>
          <w:tcPr>
            <w:tcW w:w="104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3" w:name="page4"/>
    <w:bookmarkEnd w:id="3"/>
    <w:p>
      <w:pPr>
        <w:spacing w:after="0" w:line="145" w:lineRule="exact"/>
        <w:rPr>
          <w:sz w:val="20"/>
          <w:szCs w:val="20"/>
          <w:color w:val="auto"/>
        </w:rPr>
      </w:pPr>
    </w:p>
    <w:p>
      <w:pPr>
        <w:spacing w:after="0"/>
        <w:rPr>
          <w:sz w:val="20"/>
          <w:szCs w:val="20"/>
          <w:color w:val="auto"/>
        </w:rPr>
      </w:pPr>
      <w:r>
        <w:rPr>
          <w:rFonts w:ascii="Arial" w:cs="Arial" w:eastAsia="Arial" w:hAnsi="Arial"/>
          <w:sz w:val="29"/>
          <w:szCs w:val="29"/>
          <w:b w:val="1"/>
          <w:bCs w:val="1"/>
          <w:color w:val="DC202E"/>
        </w:rPr>
        <w:t>CAUTIONARY STATEMENT ABOUT FORWARD-LOOKING STATEMENTS</w:t>
      </w:r>
    </w:p>
    <w:p>
      <w:pPr>
        <w:spacing w:after="0" w:line="15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describe many of the trends and other factors that drive our business and future results in the section titled Management’s Discussion and Analysis of Financial Condition and Results of Operations and in other parts of this report (including under the section titled Risk Factors). Such discussions contain forward-looking statements within the meaning of Section 21E of the Securities Exchange Act of 1934, as amended (the Exchange Act). Forward-looking statements are those that address activities, events or developments that management intends, expects, projects, believes or anticipates will or may occur in the future. They are based on management’s assumptions and assessments in light of past experience and trends, current economic and industry conditions, expected future developments and other relevant factors. They are not guarantees of future performance, and actual results, developments and business decisions may differ significantly from those envisaged by our forward-looking statements. We do not undertake to update or revise any of our forward-looking statements. Our forward-looking statements are also subject to risks and uncertainties, including the impact of the coronavirus pandemic (COVID-19), that can affect our performance in both the near- and long-term. These forward-looking statements should be considered in light of the information included in this Form 10-K, including, in particular, the factors discussed within the section titled Risk Factors. Such factors may be revised or supplemented in subsequent reports on Forms 10-Q and 8-K.</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1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Arial" w:cs="Arial" w:eastAsia="Arial" w:hAnsi="Arial"/>
          <w:sz w:val="29"/>
          <w:szCs w:val="29"/>
          <w:b w:val="1"/>
          <w:bCs w:val="1"/>
          <w:color w:val="DC202E"/>
        </w:rPr>
        <w:t>BUSINESS</w:t>
      </w:r>
    </w:p>
    <w:p>
      <w:pPr>
        <w:spacing w:after="0" w:line="15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Honeywell International Inc. (Honeywell or the Company) invents and commercializes technologies that address some of the world’s most critical challenges around energy, safety, security, air travel, productivity and global urbanization. As a diversified technology and manufacturing company, we are uniquely positioned to blend physical products with software to serve customers worldwide with aerospace products and services, energy efficient products and solutions for businesses, specialty chemicals, electronic and advanced materials, process technology for refining and petrochemicals, and productivity, sensing, safety and security technologies for buildings and industries. Our products and solutions enable a safer, more comfortable and more productive world, enhancing the quality of life of people around the globe. The Honeywell brand dates back to 1906, and the Company was incorporated in Delaware in 1985.</w:t>
      </w:r>
    </w:p>
    <w:p>
      <w:pPr>
        <w:spacing w:after="0" w:line="9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Annual Report on Form 10-K, Quarterly Reports on Form 10-Q, Current Reports on Form 8-K and any amendments to those reports, are available free of charge on our website (honeywell.com) under the heading Investors (see SEC Filings) immediately after they are filed with, or furnished to, the SEC. In addition, in this Form 10-K, the Company incorporates by reference certain information from its definitive Proxy Statement for the 2021 Annual Meeting of Stockholders, which we expect to file with the SEC on or about April 9, 2021 (the Proxy Statement), and which will also be available free of charge on our website.</w:t>
      </w:r>
    </w:p>
    <w:p>
      <w:pPr>
        <w:spacing w:after="0" w:line="28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MAJOR BUSINESSES</w:t>
      </w:r>
    </w:p>
    <w:p>
      <w:pPr>
        <w:spacing w:after="0" w:line="1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globally manage our business operations through four segments: Aerospace, Honeywell Building Technologies, Performance Materials and Technologies, and Safety and Productivity Solutions. Financial information related to our segments is included in Note 23 Segment Financial Data of Notes to Consolidated Financial Statements. The major products and services, including Honeywell Forge solutions supported by Honeywell Connected Enterprise, customers, uses and key competitors of each of our segments are:</w:t>
      </w:r>
    </w:p>
    <w:p>
      <w:pPr>
        <w:spacing w:after="0" w:line="28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AEROSPACE</w:t>
      </w:r>
    </w:p>
    <w:p>
      <w:pPr>
        <w:spacing w:after="0" w:line="1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Aerospace is a leading global supplier of products, software and services for aircrafts that it sells to original equipment manufacturers (OEM) and other customers in a variety of end markets including: air transport, regional, business and general aviation aircraft, airlines, aircraft operators and defense and space contractors. Aerospace products and services include auxiliary power units, propulsion engines, environmental control systems, integrated avionics, wireless connectivity services, electric power systems, engine controls, flight safety, communications, navigation hardware, data and software applications, radar and surveillance systems, aircraft lighting, management and technical services, advanced systems and instruments, satellite and space components, aircraft wheels and brakes, repair and overhaul services and thermal systems. Aerospace also provides spare parts, repair, overhaul and maintenance services (principally to aircraft operators) for the aftermarket. Honeywell Forge solutions are leveraged by our customers as tools to turn data into predictive maintenance and predictive analytics to enable better fleet management and make flight operations more efficient.</w:t>
      </w:r>
    </w:p>
    <w:p>
      <w:pPr>
        <w:spacing w:after="0" w:line="29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HONEYWELL BUILDING TECHNOLOGIES</w:t>
      </w:r>
    </w:p>
    <w:p>
      <w:pPr>
        <w:spacing w:after="0" w:line="1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Honeywell Building Technologies is a leading global provider of products, software, solutions and technologies that enable building owners and occupants to ensure their facilities are safe, energy efficient, sustainable and productive. Honeywell Building Technologies products and services include advanced software applications for building control and optimization; sensors, switches, control systems and instruments for energy management; access control; video surveillance; fire products; remote patient monitoring systems; and installation, maintenance and upgrades of systems. Honeywell Forge solutions enable our customers to digitally manage buildings, connecting data from different assets to enable smart maintenance, improve building performance and even protect from incoming security threats.</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2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5" w:name="page6"/>
    <w:bookmarkEnd w:id="5"/>
    <w:p>
      <w:pPr>
        <w:spacing w:after="0" w:line="30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PERFORMANCE MATERIALS AND TECHNOLOGIES</w:t>
      </w:r>
    </w:p>
    <w:p>
      <w:pPr>
        <w:spacing w:after="0" w:line="1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Performance Materials and Technologies is a global leader in developing and manufacturing high-quality performance chemicals and materials, process technologies and automation solutions. The segment is comprised of Process Solutions, UOP and Advanced Materials. Process Solutions provides automation control, instrumentation, advanced software and related services for the oil and gas, refining, pulp and paper, industrial power generation, chemicals and petrochemicals, biofuels, life sciences, and metals, minerals and mining industries. Through its smart energy products, Process Solutions enables utilities and distribution companies to deploy advanced capabilities to improve operations, reliability and environmental sustainability. UOP provides process technology, products, including catalysts and adsorbents, equipment, and consulting services that enable customers to efficiently produce gasoline, diesel, jet fuel, petrochemicals and renewable fuels for the petroleum refining, gas processing, petrochemical, and other industries. Advanced Materials manufactures a wide variety of high-performance products, including materials used to manufacture end products such as bullet-resistant armor, nylon, computer chips and pharmaceutical packaging, and provides reduced and low global-warming-potential materials based on hydrofluoro-olefin technology. In the industrial environment, Honeywell Forge solutions enable integration and connectivity to provide a holistic view of operations and turn data into clear actions to maximize productivity and efficiency. Honeywell Forge's cybersecurity capabilities help identify risks and act on cyber-related incidents, together enabling improved operations and protecting processes, people and assets.</w:t>
      </w:r>
    </w:p>
    <w:p>
      <w:pPr>
        <w:spacing w:after="0" w:line="28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SAFETY AND PRODUCTIVITY SOLUTIONS</w:t>
      </w:r>
    </w:p>
    <w:p>
      <w:pPr>
        <w:spacing w:after="0" w:line="1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Safety and Productivity Solutions is a leading global provider of products and software that improve productivity, workplace safety and asset performance to customers around the globe. Safety products include personal protection equipment (PPE), apparel, gear, and footwear designed for work, play and outdoor activities; gas detection technology; and cloud-based notification and emergency messaging. Productivity Solutions products and services include mobile devices and software for computing, data collection and thermal printing; supply chain and warehouse automation equipment, software and solutions; custom-engineered sensors, switches and controls for sensing and productivity solutions; and software-based data and asset management productivity solutions. Honeywell Forge solutions digitally automate processes to improve efficiency while reducing downtime and safety costs.</w:t>
      </w:r>
    </w:p>
    <w:p>
      <w:pPr>
        <w:spacing w:after="0" w:line="28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COMPETITION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We are subject to competition in substantially all product and service areas. Some of our key competitors include but are not limited to:</w:t>
      </w:r>
    </w:p>
    <w:p>
      <w:pPr>
        <w:spacing w:after="0" w:line="117"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Aerospace: Garmin, Raytheon Technologies, Safran and Thales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Honeywell Building Technologies: Carrier Global, Johnson Controls, Schneider Electric and Siemens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Performance Materials and Technologies: ABB, Albemarle, Arkema, BASF, Dupont, Emerson Electric, Exterran, Grace and Yokogawa</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Safety and Productivity Solutions: 3M, Kion Group, MSA Safety Incorporated, TE Connectivity and Zebra Technologies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businesses compete on a variety of factors such as performance, applied technology, product innovation, product recognition, quality, reliability, customer service, delivery, and price. Brand identity, service to customers and quality are important competitive factors for our products and services. Our products face considerable price competition. While our competitive position varies among our products and services, we are a significant competitor in each of our major product and service classes.</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3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30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EXECUTIVE SUMMARY</w:t>
      </w:r>
    </w:p>
    <w:p>
      <w:pPr>
        <w:spacing w:after="0" w:line="1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Despite a challenging 2020, we continued to deliver on our financial commitments and create long-term shareowner value. Although sales declined 11% to $32.6 billion, our differentiated solutions delivered double-digit sales growth in the defense and space, warehouse automation, PPE and recurring connected software businesses. We adapted to apply Honeywell's capabilities toward addressing the COVID-19 challenges of our customers around the world. Our execution through the downturn demonstrated our ability to move quickly and decisively to reduce fixed costs, ensure liquidity, invest in growth, and position ourselves for recovery, while at the same time, remaining focused on our three transformation initiatives – Honeywell Connected Enterprise, Honeywell Digital, and Integrated Supply Chain.</w:t>
      </w:r>
    </w:p>
    <w:p>
      <w:pPr>
        <w:spacing w:after="0" w:line="10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maintained our commitment to create long-term shareowner value and, despite the downturn, we deployed $7.5 billion to capital expenditures, dividends, share repurchases and mergers and acquisitions, which was approximately $ 1.3 billion in excess of our operating cash flow for the year. Further, we improved our cash and short-term investments by $4.8 billion, which provided stability as well as opportunity for investment during challenging times.</w:t>
      </w:r>
    </w:p>
    <w:p>
      <w:pPr>
        <w:spacing w:after="0" w:line="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we look forward, we intend to continue deploying capital to high-return opportunities, including software and services with recurring revenue streams, positioning our business for future growth. Orders for our warehouse automation, PPE, and healthy building solutions remain strong, and we carry a robust backlog of $26.4 billion as of December 31, 2020. We are a leading software-industrial company committed to introducing state of the art technology solutions to improve efficiency, productivity and safety in high growth businesses in broad-based, attractive industrial end markets.</w:t>
      </w:r>
    </w:p>
    <w:p>
      <w:pPr>
        <w:spacing w:after="0" w:line="28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BUSINESS OBJECTIVES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Our businesses are focused on the following objectives:</w:t>
      </w:r>
    </w:p>
    <w:p>
      <w:pPr>
        <w:spacing w:after="0" w:line="117" w:lineRule="exact"/>
        <w:rPr>
          <w:sz w:val="20"/>
          <w:szCs w:val="20"/>
          <w:color w:val="auto"/>
        </w:rPr>
      </w:pPr>
    </w:p>
    <w:p>
      <w:pPr>
        <w:ind w:left="660" w:hanging="328"/>
        <w:spacing w:after="0" w:line="250"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Driving profitable growth by delivering innovative products through research and development and technological excellence, and through continued enhancement of our footprint in high growth regions;</w:t>
      </w:r>
    </w:p>
    <w:p>
      <w:pPr>
        <w:ind w:left="660" w:right="40" w:hanging="328"/>
        <w:spacing w:after="0" w:line="250"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Continuing to execute on our strategy to be a premier software-industrial company, including the ongoing expansion of Honeywell Forge connected solutions for aircraft, buildings, cybersecurity, plants, and workers and driving a recurring revenue model across the Company. Honeywell Forge provides Enterprise Performance Management Software-as-a-Service solutions to help drive operational excellence for our customers, collecting operational data from various assets and organizing data into an ecosystem where it can be useful;</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Expanding margins by optimizing the Company’s performance through the Integrated Supply Chain and Honeywell Digital transformation initiatives, commercial excellence, repositioning, and other manufacturing and operational process improvements;</w:t>
      </w:r>
    </w:p>
    <w:p>
      <w:pPr>
        <w:ind w:left="660" w:hanging="328"/>
        <w:spacing w:after="0" w:line="250"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Executing disciplined portfolio management through rigorous merger and acquisition, divestiture, and integration processes to deliver growth and shareholder value;</w:t>
      </w:r>
    </w:p>
    <w:p>
      <w:pPr>
        <w:ind w:left="660" w:right="20" w:hanging="328"/>
        <w:spacing w:after="0" w:line="250"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Controlling corporate costs, including costs incurred for asbestos and environmental matters, and pension and other post-retirement benefits; and</w:t>
      </w:r>
    </w:p>
    <w:p>
      <w:pPr>
        <w:jc w:val="both"/>
        <w:ind w:left="660" w:hanging="328"/>
        <w:spacing w:after="0" w:line="256"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Increasing availability of capital through strong cash flow generation and conversion from effective working capital management and proactive management of debt to enable the Company to strategically deploy capital for acquisitions, dividends, share repurchases and capital expenditures.</w:t>
      </w:r>
    </w:p>
    <w:p>
      <w:pPr>
        <w:spacing w:after="0" w:line="28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BACKLOG</w:t>
      </w:r>
    </w:p>
    <w:p>
      <w:pPr>
        <w:spacing w:after="0" w:line="1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backlog represents the estimated remaining value of work to be performed under firm contracts. Backlog is equal to our remaining performance obligations under the contracts that meet the guidance on revenue from contracts with customers as discussed in Note 3 Revenue Recognition and Contracts with Customers of Notes to Consolidated Financial Statements. Backlog was $26,376 million and $25,612 million at December 31, 2020 and 2019. We expect to recognize approximately 55% of our remaining performance obligations as revenue in 2021, and the remaining balance thereafter.</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4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30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U.S. GOVERNMENT SALES</w:t>
      </w:r>
    </w:p>
    <w:p>
      <w:pPr>
        <w:spacing w:after="0" w:line="1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principally through our Aerospace segment, sells to the U.S. Government acting through its various departments and agencies and through prime contractors, including the U.S. Department of Defense (as both a prime contractor and subcontractor). We do not expect our overall operating results to be significantly affected by any proposed changes in 2021 federal defense spending due to the varied mix of the government programs which impact us (OEM production, engineering development programs, aftermarket spares and repairs and overhaul programs), as well as our diversified customer base.</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DC202E"/>
            </w:tcBorders>
          </w:tcPr>
          <w:p>
            <w:pPr>
              <w:spacing w:after="0"/>
              <w:rPr>
                <w:sz w:val="17"/>
                <w:szCs w:val="17"/>
                <w:color w:val="auto"/>
              </w:rPr>
            </w:pPr>
          </w:p>
        </w:tc>
        <w:tc>
          <w:tcPr>
            <w:tcW w:w="1260" w:type="dxa"/>
            <w:vAlign w:val="bottom"/>
            <w:tcBorders>
              <w:bottom w:val="single" w:sz="8" w:color="DC202E"/>
            </w:tcBorders>
          </w:tcPr>
          <w:p>
            <w:pPr>
              <w:spacing w:after="0"/>
              <w:rPr>
                <w:sz w:val="17"/>
                <w:szCs w:val="17"/>
                <w:color w:val="auto"/>
              </w:rPr>
            </w:pPr>
          </w:p>
        </w:tc>
        <w:tc>
          <w:tcPr>
            <w:tcW w:w="1880" w:type="dxa"/>
            <w:vAlign w:val="bottom"/>
            <w:tcBorders>
              <w:bottom w:val="single" w:sz="8" w:color="DC202E"/>
            </w:tcBorders>
            <w:gridSpan w:val="4"/>
          </w:tcPr>
          <w:p>
            <w:pPr>
              <w:ind w:left="20"/>
              <w:spacing w:after="0"/>
              <w:rPr>
                <w:sz w:val="20"/>
                <w:szCs w:val="20"/>
                <w:color w:val="auto"/>
              </w:rPr>
            </w:pPr>
            <w:r>
              <w:rPr>
                <w:rFonts w:ascii="Arial" w:cs="Arial" w:eastAsia="Arial" w:hAnsi="Arial"/>
                <w:sz w:val="14"/>
                <w:szCs w:val="14"/>
                <w:b w:val="1"/>
                <w:bCs w:val="1"/>
                <w:color w:val="auto"/>
              </w:rPr>
              <w:t>Years Ended December 31,</w:t>
            </w:r>
          </w:p>
        </w:tc>
        <w:tc>
          <w:tcPr>
            <w:tcW w:w="400" w:type="dxa"/>
            <w:vAlign w:val="bottom"/>
            <w:tcBorders>
              <w:bottom w:val="single" w:sz="8" w:color="DC202E"/>
            </w:tcBorders>
          </w:tcPr>
          <w:p>
            <w:pPr>
              <w:spacing w:after="0"/>
              <w:rPr>
                <w:sz w:val="17"/>
                <w:szCs w:val="17"/>
                <w:color w:val="auto"/>
              </w:rPr>
            </w:pPr>
          </w:p>
        </w:tc>
        <w:tc>
          <w:tcPr>
            <w:tcW w:w="1260" w:type="dxa"/>
            <w:vAlign w:val="bottom"/>
            <w:tcBorders>
              <w:bottom w:val="single" w:sz="8" w:color="DC202E"/>
            </w:tcBorders>
          </w:tcPr>
          <w:p>
            <w:pPr>
              <w:spacing w:after="0"/>
              <w:rPr>
                <w:sz w:val="17"/>
                <w:szCs w:val="17"/>
                <w:color w:val="auto"/>
              </w:rPr>
            </w:pPr>
          </w:p>
        </w:tc>
      </w:tr>
      <w:tr>
        <w:trPr>
          <w:trHeight w:val="237"/>
        </w:trPr>
        <w:tc>
          <w:tcPr>
            <w:tcW w:w="6040" w:type="dxa"/>
            <w:vAlign w:val="bottom"/>
            <w:gridSpan w:val="2"/>
          </w:tcPr>
          <w:p>
            <w:pPr>
              <w:ind w:left="2180"/>
              <w:spacing w:after="0"/>
              <w:rPr>
                <w:sz w:val="20"/>
                <w:szCs w:val="20"/>
                <w:color w:val="auto"/>
              </w:rPr>
            </w:pPr>
            <w:r>
              <w:rPr>
                <w:rFonts w:ascii="Arial" w:cs="Arial" w:eastAsia="Arial" w:hAnsi="Arial"/>
                <w:sz w:val="14"/>
                <w:szCs w:val="14"/>
                <w:b w:val="1"/>
                <w:bCs w:val="1"/>
                <w:color w:val="auto"/>
              </w:rPr>
              <w:t>U.S. Government Sales</w:t>
            </w:r>
          </w:p>
        </w:tc>
        <w:tc>
          <w:tcPr>
            <w:tcW w:w="400" w:type="dxa"/>
            <w:vAlign w:val="bottom"/>
          </w:tcPr>
          <w:p>
            <w:pPr>
              <w:spacing w:after="0"/>
              <w:rPr>
                <w:sz w:val="20"/>
                <w:szCs w:val="20"/>
                <w:color w:val="auto"/>
              </w:rPr>
            </w:pPr>
          </w:p>
        </w:tc>
        <w:tc>
          <w:tcPr>
            <w:tcW w:w="1260" w:type="dxa"/>
            <w:vAlign w:val="bottom"/>
          </w:tcPr>
          <w:p>
            <w:pPr>
              <w:jc w:val="right"/>
              <w:ind w:right="57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9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ind w:right="595"/>
              <w:spacing w:after="0"/>
              <w:rPr>
                <w:sz w:val="20"/>
                <w:szCs w:val="20"/>
                <w:color w:val="auto"/>
              </w:rPr>
            </w:pPr>
            <w:r>
              <w:rPr>
                <w:rFonts w:ascii="Arial" w:cs="Arial" w:eastAsia="Arial" w:hAnsi="Arial"/>
                <w:sz w:val="14"/>
                <w:szCs w:val="14"/>
                <w:b w:val="1"/>
                <w:bCs w:val="1"/>
                <w:color w:val="auto"/>
              </w:rPr>
              <w:t>2018</w:t>
            </w:r>
          </w:p>
        </w:tc>
      </w:tr>
      <w:tr>
        <w:trPr>
          <w:trHeight w:val="68"/>
        </w:trPr>
        <w:tc>
          <w:tcPr>
            <w:tcW w:w="5940" w:type="dxa"/>
            <w:vAlign w:val="bottom"/>
            <w:tcBorders>
              <w:top w:val="single" w:sz="8" w:color="DC202E"/>
            </w:tcBorders>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Borders>
              <w:top w:val="single" w:sz="8" w:color="DC202E"/>
            </w:tcBorders>
          </w:tcPr>
          <w:p>
            <w:pPr>
              <w:spacing w:after="0"/>
              <w:rPr>
                <w:sz w:val="5"/>
                <w:szCs w:val="5"/>
                <w:color w:val="auto"/>
              </w:rPr>
            </w:pPr>
          </w:p>
        </w:tc>
        <w:tc>
          <w:tcPr>
            <w:tcW w:w="1260" w:type="dxa"/>
            <w:vAlign w:val="bottom"/>
            <w:tcBorders>
              <w:top w:val="single" w:sz="8" w:color="DC202E"/>
            </w:tcBorders>
          </w:tcPr>
          <w:p>
            <w:pPr>
              <w:spacing w:after="0"/>
              <w:rPr>
                <w:sz w:val="5"/>
                <w:szCs w:val="5"/>
                <w:color w:val="auto"/>
              </w:rPr>
            </w:pPr>
          </w:p>
        </w:tc>
        <w:tc>
          <w:tcPr>
            <w:tcW w:w="120" w:type="dxa"/>
            <w:vAlign w:val="bottom"/>
            <w:tcBorders>
              <w:top w:val="single" w:sz="8" w:color="DC202E"/>
            </w:tcBorders>
          </w:tcPr>
          <w:p>
            <w:pPr>
              <w:spacing w:after="0"/>
              <w:rPr>
                <w:sz w:val="5"/>
                <w:szCs w:val="5"/>
                <w:color w:val="auto"/>
              </w:rPr>
            </w:pPr>
          </w:p>
        </w:tc>
        <w:tc>
          <w:tcPr>
            <w:tcW w:w="380" w:type="dxa"/>
            <w:vAlign w:val="bottom"/>
            <w:tcBorders>
              <w:top w:val="single" w:sz="8" w:color="DC202E"/>
            </w:tcBorders>
          </w:tcPr>
          <w:p>
            <w:pPr>
              <w:spacing w:after="0"/>
              <w:rPr>
                <w:sz w:val="5"/>
                <w:szCs w:val="5"/>
                <w:color w:val="auto"/>
              </w:rPr>
            </w:pPr>
          </w:p>
        </w:tc>
        <w:tc>
          <w:tcPr>
            <w:tcW w:w="1280" w:type="dxa"/>
            <w:vAlign w:val="bottom"/>
            <w:tcBorders>
              <w:top w:val="single" w:sz="8" w:color="DC202E"/>
            </w:tcBorders>
          </w:tcPr>
          <w:p>
            <w:pPr>
              <w:spacing w:after="0"/>
              <w:rPr>
                <w:sz w:val="5"/>
                <w:szCs w:val="5"/>
                <w:color w:val="auto"/>
              </w:rPr>
            </w:pPr>
          </w:p>
        </w:tc>
        <w:tc>
          <w:tcPr>
            <w:tcW w:w="100" w:type="dxa"/>
            <w:vAlign w:val="bottom"/>
            <w:tcBorders>
              <w:top w:val="single" w:sz="8" w:color="DC202E"/>
            </w:tcBorders>
          </w:tcPr>
          <w:p>
            <w:pPr>
              <w:spacing w:after="0"/>
              <w:rPr>
                <w:sz w:val="5"/>
                <w:szCs w:val="5"/>
                <w:color w:val="auto"/>
              </w:rPr>
            </w:pPr>
          </w:p>
        </w:tc>
        <w:tc>
          <w:tcPr>
            <w:tcW w:w="400" w:type="dxa"/>
            <w:vAlign w:val="bottom"/>
            <w:tcBorders>
              <w:top w:val="single" w:sz="8" w:color="DC202E"/>
            </w:tcBorders>
          </w:tcPr>
          <w:p>
            <w:pPr>
              <w:spacing w:after="0"/>
              <w:rPr>
                <w:sz w:val="5"/>
                <w:szCs w:val="5"/>
                <w:color w:val="auto"/>
              </w:rPr>
            </w:pPr>
          </w:p>
        </w:tc>
        <w:tc>
          <w:tcPr>
            <w:tcW w:w="1260" w:type="dxa"/>
            <w:vAlign w:val="bottom"/>
            <w:tcBorders>
              <w:top w:val="single" w:sz="8" w:color="DC202E"/>
            </w:tcBorders>
          </w:tcPr>
          <w:p>
            <w:pPr>
              <w:spacing w:after="0"/>
              <w:rPr>
                <w:sz w:val="5"/>
                <w:szCs w:val="5"/>
                <w:color w:val="auto"/>
              </w:rPr>
            </w:pPr>
          </w:p>
        </w:tc>
      </w:tr>
      <w:tr>
        <w:trPr>
          <w:trHeight w:val="229"/>
        </w:trPr>
        <w:tc>
          <w:tcPr>
            <w:tcW w:w="60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Sales to the U.S. Department of Defense</w:t>
            </w:r>
          </w:p>
        </w:tc>
        <w:tc>
          <w:tcPr>
            <w:tcW w:w="40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3,661</w:t>
            </w:r>
          </w:p>
        </w:tc>
        <w:tc>
          <w:tcPr>
            <w:tcW w:w="500" w:type="dxa"/>
            <w:vAlign w:val="bottom"/>
            <w:gridSpan w:val="2"/>
            <w:shd w:val="clear" w:color="auto" w:fill="DBDBDB"/>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3,491</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2,832</w:t>
            </w:r>
          </w:p>
        </w:tc>
      </w:tr>
      <w:tr>
        <w:trPr>
          <w:trHeight w:val="229"/>
        </w:trPr>
        <w:tc>
          <w:tcPr>
            <w:tcW w:w="604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Sales to other U.S. Government departments and agencies</w:t>
            </w: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w:t>
            </w:r>
          </w:p>
        </w:tc>
        <w:tc>
          <w:tcPr>
            <w:tcW w:w="12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w:t>
            </w:r>
          </w:p>
        </w:tc>
        <w:tc>
          <w:tcPr>
            <w:tcW w:w="100" w:type="dxa"/>
            <w:vAlign w:val="bottom"/>
            <w:tcBorders>
              <w:bottom w:val="single" w:sz="8" w:color="DBDBDB"/>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w:t>
            </w:r>
          </w:p>
        </w:tc>
      </w:tr>
      <w:tr>
        <w:trPr>
          <w:trHeight w:val="243"/>
        </w:trPr>
        <w:tc>
          <w:tcPr>
            <w:tcW w:w="6040" w:type="dxa"/>
            <w:vAlign w:val="bottom"/>
            <w:gridSpan w:val="2"/>
            <w:shd w:val="clear" w:color="auto" w:fill="DBDBDB"/>
          </w:tcPr>
          <w:p>
            <w:pPr>
              <w:ind w:left="240"/>
              <w:spacing w:after="0"/>
              <w:rPr>
                <w:sz w:val="20"/>
                <w:szCs w:val="20"/>
                <w:color w:val="auto"/>
              </w:rPr>
            </w:pPr>
            <w:r>
              <w:rPr>
                <w:rFonts w:ascii="Arial" w:cs="Arial" w:eastAsia="Arial" w:hAnsi="Arial"/>
                <w:sz w:val="18"/>
                <w:szCs w:val="18"/>
                <w:color w:val="auto"/>
              </w:rPr>
              <w:t>Total Sales to the U.S. Government</w:t>
            </w:r>
          </w:p>
        </w:tc>
        <w:tc>
          <w:tcPr>
            <w:tcW w:w="40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4,218</w:t>
            </w:r>
          </w:p>
        </w:tc>
        <w:tc>
          <w:tcPr>
            <w:tcW w:w="500" w:type="dxa"/>
            <w:vAlign w:val="bottom"/>
            <w:gridSpan w:val="2"/>
            <w:shd w:val="clear" w:color="auto" w:fill="DBDBDB"/>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4,057</w:t>
            </w:r>
          </w:p>
        </w:tc>
        <w:tc>
          <w:tcPr>
            <w:tcW w:w="100" w:type="dxa"/>
            <w:vAlign w:val="bottom"/>
            <w:shd w:val="clear" w:color="auto" w:fill="DBDBDB"/>
          </w:tcPr>
          <w:p>
            <w:pPr>
              <w:spacing w:after="0"/>
              <w:rPr>
                <w:sz w:val="21"/>
                <w:szCs w:val="21"/>
                <w:color w:val="auto"/>
              </w:rPr>
            </w:pPr>
          </w:p>
        </w:tc>
        <w:tc>
          <w:tcPr>
            <w:tcW w:w="40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3,403</w:t>
            </w:r>
          </w:p>
        </w:tc>
      </w:tr>
      <w:tr>
        <w:trPr>
          <w:trHeight w:val="20"/>
        </w:trPr>
        <w:tc>
          <w:tcPr>
            <w:tcW w:w="594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37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INTERNATIONAL OPERATIONS</w:t>
      </w:r>
    </w:p>
    <w:p>
      <w:pPr>
        <w:spacing w:after="0" w:line="1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engage in manufacturing, sales, service and research and development globally. U.S. exports and non-U.S. manufactured products are significant to our operations. U.S. exports represented 12% of our total sales in 2020, 15% in 2019 and 13% in 2018. Non-U.S. manufactured products and services, mainly in Europe and Asia, were 40% of our total sales in 2020, 40% in 2019 and 43% in 2018.</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tcBorders>
              <w:bottom w:val="single" w:sz="8" w:color="DC202E"/>
            </w:tcBorders>
          </w:tcPr>
          <w:p>
            <w:pPr>
              <w:spacing w:after="0"/>
              <w:rPr>
                <w:sz w:val="17"/>
                <w:szCs w:val="17"/>
                <w:color w:val="auto"/>
              </w:rPr>
            </w:pPr>
          </w:p>
        </w:tc>
        <w:tc>
          <w:tcPr>
            <w:tcW w:w="3720" w:type="dxa"/>
            <w:vAlign w:val="bottom"/>
            <w:tcBorders>
              <w:bottom w:val="single" w:sz="8" w:color="DC202E"/>
            </w:tcBorders>
            <w:gridSpan w:val="2"/>
          </w:tcPr>
          <w:p>
            <w:pPr>
              <w:jc w:val="right"/>
              <w:ind w:right="921"/>
              <w:spacing w:after="0"/>
              <w:rPr>
                <w:sz w:val="20"/>
                <w:szCs w:val="20"/>
                <w:color w:val="auto"/>
              </w:rPr>
            </w:pPr>
            <w:r>
              <w:rPr>
                <w:rFonts w:ascii="Arial" w:cs="Arial" w:eastAsia="Arial" w:hAnsi="Arial"/>
                <w:sz w:val="14"/>
                <w:szCs w:val="14"/>
                <w:b w:val="1"/>
                <w:bCs w:val="1"/>
                <w:color w:val="auto"/>
              </w:rPr>
              <w:t>Year Ended December 31, 2020</w:t>
            </w:r>
          </w:p>
        </w:tc>
        <w:tc>
          <w:tcPr>
            <w:tcW w:w="1580" w:type="dxa"/>
            <w:vAlign w:val="bottom"/>
            <w:tcBorders>
              <w:bottom w:val="single" w:sz="8" w:color="DC202E"/>
            </w:tcBorders>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9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Manufactured Products and Systems and</w:t>
            </w:r>
          </w:p>
        </w:tc>
        <w:tc>
          <w:tcPr>
            <w:tcW w:w="1980" w:type="dxa"/>
            <w:vAlign w:val="bottom"/>
          </w:tcPr>
          <w:p>
            <w:pPr>
              <w:spacing w:after="0"/>
              <w:rPr>
                <w:sz w:val="21"/>
                <w:szCs w:val="21"/>
                <w:color w:val="auto"/>
              </w:rPr>
            </w:pPr>
          </w:p>
        </w:tc>
        <w:tc>
          <w:tcPr>
            <w:tcW w:w="1840" w:type="dxa"/>
            <w:vAlign w:val="bottom"/>
          </w:tcPr>
          <w:p>
            <w:pPr>
              <w:jc w:val="center"/>
              <w:ind w:right="322"/>
              <w:spacing w:after="0"/>
              <w:rPr>
                <w:sz w:val="20"/>
                <w:szCs w:val="20"/>
                <w:color w:val="auto"/>
              </w:rPr>
            </w:pPr>
            <w:r>
              <w:rPr>
                <w:rFonts w:ascii="Arial" w:cs="Arial" w:eastAsia="Arial" w:hAnsi="Arial"/>
                <w:sz w:val="14"/>
                <w:szCs w:val="14"/>
                <w:b w:val="1"/>
                <w:bCs w:val="1"/>
                <w:color w:val="auto"/>
              </w:rPr>
              <w:t>Honeywell</w:t>
            </w:r>
          </w:p>
        </w:tc>
        <w:tc>
          <w:tcPr>
            <w:tcW w:w="1880" w:type="dxa"/>
            <w:vAlign w:val="bottom"/>
          </w:tcPr>
          <w:p>
            <w:pPr>
              <w:ind w:left="300"/>
              <w:spacing w:after="0"/>
              <w:rPr>
                <w:sz w:val="20"/>
                <w:szCs w:val="20"/>
                <w:color w:val="auto"/>
              </w:rPr>
            </w:pPr>
            <w:r>
              <w:rPr>
                <w:rFonts w:ascii="Arial" w:cs="Arial" w:eastAsia="Arial" w:hAnsi="Arial"/>
                <w:sz w:val="14"/>
                <w:szCs w:val="14"/>
                <w:b w:val="1"/>
                <w:bCs w:val="1"/>
                <w:color w:val="auto"/>
              </w:rPr>
              <w:t>Performance</w:t>
            </w:r>
          </w:p>
        </w:tc>
        <w:tc>
          <w:tcPr>
            <w:tcW w:w="1580" w:type="dxa"/>
            <w:vAlign w:val="bottom"/>
          </w:tcPr>
          <w:p>
            <w:pPr>
              <w:jc w:val="center"/>
              <w:ind w:right="101"/>
              <w:spacing w:after="0"/>
              <w:rPr>
                <w:sz w:val="20"/>
                <w:szCs w:val="20"/>
                <w:color w:val="auto"/>
              </w:rPr>
            </w:pPr>
            <w:r>
              <w:rPr>
                <w:rFonts w:ascii="Arial" w:cs="Arial" w:eastAsia="Arial" w:hAnsi="Arial"/>
                <w:sz w:val="14"/>
                <w:szCs w:val="14"/>
                <w:b w:val="1"/>
                <w:bCs w:val="1"/>
                <w:color w:val="auto"/>
              </w:rPr>
              <w:t>Safety and</w:t>
            </w:r>
          </w:p>
        </w:tc>
        <w:tc>
          <w:tcPr>
            <w:tcW w:w="0" w:type="dxa"/>
            <w:vAlign w:val="bottom"/>
          </w:tcPr>
          <w:p>
            <w:pPr>
              <w:spacing w:after="0"/>
              <w:rPr>
                <w:sz w:val="1"/>
                <w:szCs w:val="1"/>
                <w:color w:val="auto"/>
              </w:rPr>
            </w:pPr>
          </w:p>
        </w:tc>
      </w:tr>
      <w:tr>
        <w:trPr>
          <w:trHeight w:val="135"/>
        </w:trPr>
        <w:tc>
          <w:tcPr>
            <w:tcW w:w="3900" w:type="dxa"/>
            <w:vAlign w:val="bottom"/>
            <w:gridSpan w:val="2"/>
            <w:vMerge w:val="continue"/>
          </w:tcPr>
          <w:p>
            <w:pPr>
              <w:spacing w:after="0"/>
              <w:rPr>
                <w:sz w:val="11"/>
                <w:szCs w:val="11"/>
                <w:color w:val="auto"/>
              </w:rPr>
            </w:pPr>
          </w:p>
        </w:tc>
        <w:tc>
          <w:tcPr>
            <w:tcW w:w="1980" w:type="dxa"/>
            <w:vAlign w:val="bottom"/>
            <w:vMerge w:val="restart"/>
          </w:tcPr>
          <w:p>
            <w:pPr>
              <w:jc w:val="right"/>
              <w:ind w:right="656"/>
              <w:spacing w:after="0"/>
              <w:rPr>
                <w:sz w:val="20"/>
                <w:szCs w:val="20"/>
                <w:color w:val="auto"/>
              </w:rPr>
            </w:pPr>
            <w:r>
              <w:rPr>
                <w:rFonts w:ascii="Arial" w:cs="Arial" w:eastAsia="Arial" w:hAnsi="Arial"/>
                <w:sz w:val="14"/>
                <w:szCs w:val="14"/>
                <w:b w:val="1"/>
                <w:bCs w:val="1"/>
                <w:color w:val="auto"/>
              </w:rPr>
              <w:t>Aerospace</w:t>
            </w:r>
          </w:p>
        </w:tc>
        <w:tc>
          <w:tcPr>
            <w:tcW w:w="1840" w:type="dxa"/>
            <w:vAlign w:val="bottom"/>
          </w:tcPr>
          <w:p>
            <w:pPr>
              <w:jc w:val="center"/>
              <w:ind w:right="302"/>
              <w:spacing w:after="0" w:line="135" w:lineRule="exact"/>
              <w:rPr>
                <w:sz w:val="20"/>
                <w:szCs w:val="20"/>
                <w:color w:val="auto"/>
              </w:rPr>
            </w:pPr>
            <w:r>
              <w:rPr>
                <w:rFonts w:ascii="Arial" w:cs="Arial" w:eastAsia="Arial" w:hAnsi="Arial"/>
                <w:sz w:val="14"/>
                <w:szCs w:val="14"/>
                <w:b w:val="1"/>
                <w:bCs w:val="1"/>
                <w:color w:val="auto"/>
              </w:rPr>
              <w:t>Building</w:t>
            </w:r>
          </w:p>
        </w:tc>
        <w:tc>
          <w:tcPr>
            <w:tcW w:w="1880" w:type="dxa"/>
            <w:vAlign w:val="bottom"/>
          </w:tcPr>
          <w:p>
            <w:pPr>
              <w:ind w:left="280"/>
              <w:spacing w:after="0" w:line="135" w:lineRule="exact"/>
              <w:rPr>
                <w:sz w:val="20"/>
                <w:szCs w:val="20"/>
                <w:color w:val="auto"/>
              </w:rPr>
            </w:pPr>
            <w:r>
              <w:rPr>
                <w:rFonts w:ascii="Arial" w:cs="Arial" w:eastAsia="Arial" w:hAnsi="Arial"/>
                <w:sz w:val="14"/>
                <w:szCs w:val="14"/>
                <w:b w:val="1"/>
                <w:bCs w:val="1"/>
                <w:color w:val="auto"/>
              </w:rPr>
              <w:t>Materials and</w:t>
            </w:r>
          </w:p>
        </w:tc>
        <w:tc>
          <w:tcPr>
            <w:tcW w:w="1580" w:type="dxa"/>
            <w:vAlign w:val="bottom"/>
          </w:tcPr>
          <w:p>
            <w:pPr>
              <w:jc w:val="center"/>
              <w:ind w:right="101"/>
              <w:spacing w:after="0" w:line="135" w:lineRule="exact"/>
              <w:rPr>
                <w:sz w:val="20"/>
                <w:szCs w:val="20"/>
                <w:color w:val="auto"/>
              </w:rPr>
            </w:pPr>
            <w:r>
              <w:rPr>
                <w:rFonts w:ascii="Arial" w:cs="Arial" w:eastAsia="Arial" w:hAnsi="Arial"/>
                <w:sz w:val="14"/>
                <w:szCs w:val="14"/>
                <w:b w:val="1"/>
                <w:bCs w:val="1"/>
                <w:color w:val="auto"/>
              </w:rPr>
              <w:t>Productivity</w:t>
            </w:r>
          </w:p>
        </w:tc>
        <w:tc>
          <w:tcPr>
            <w:tcW w:w="0" w:type="dxa"/>
            <w:vAlign w:val="bottom"/>
          </w:tcPr>
          <w:p>
            <w:pPr>
              <w:spacing w:after="0"/>
              <w:rPr>
                <w:sz w:val="1"/>
                <w:szCs w:val="1"/>
                <w:color w:val="auto"/>
              </w:rPr>
            </w:pPr>
          </w:p>
        </w:tc>
      </w:tr>
      <w:tr>
        <w:trPr>
          <w:trHeight w:val="183"/>
        </w:trPr>
        <w:tc>
          <w:tcPr>
            <w:tcW w:w="3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Performance of Services</w:t>
            </w:r>
          </w:p>
        </w:tc>
        <w:tc>
          <w:tcPr>
            <w:tcW w:w="1980" w:type="dxa"/>
            <w:vAlign w:val="bottom"/>
            <w:vMerge w:val="continue"/>
          </w:tcPr>
          <w:p>
            <w:pPr>
              <w:spacing w:after="0"/>
              <w:rPr>
                <w:sz w:val="15"/>
                <w:szCs w:val="15"/>
                <w:color w:val="auto"/>
              </w:rPr>
            </w:pPr>
          </w:p>
        </w:tc>
        <w:tc>
          <w:tcPr>
            <w:tcW w:w="1840" w:type="dxa"/>
            <w:vAlign w:val="bottom"/>
          </w:tcPr>
          <w:p>
            <w:pPr>
              <w:jc w:val="center"/>
              <w:ind w:right="322"/>
              <w:spacing w:after="0"/>
              <w:rPr>
                <w:sz w:val="20"/>
                <w:szCs w:val="20"/>
                <w:color w:val="auto"/>
              </w:rPr>
            </w:pPr>
            <w:r>
              <w:rPr>
                <w:rFonts w:ascii="Arial" w:cs="Arial" w:eastAsia="Arial" w:hAnsi="Arial"/>
                <w:sz w:val="14"/>
                <w:szCs w:val="14"/>
                <w:b w:val="1"/>
                <w:bCs w:val="1"/>
                <w:color w:val="auto"/>
              </w:rPr>
              <w:t>Technologies</w:t>
            </w:r>
          </w:p>
        </w:tc>
        <w:tc>
          <w:tcPr>
            <w:tcW w:w="1880" w:type="dxa"/>
            <w:vAlign w:val="bottom"/>
          </w:tcPr>
          <w:p>
            <w:pPr>
              <w:ind w:left="280"/>
              <w:spacing w:after="0"/>
              <w:rPr>
                <w:sz w:val="20"/>
                <w:szCs w:val="20"/>
                <w:color w:val="auto"/>
              </w:rPr>
            </w:pPr>
            <w:r>
              <w:rPr>
                <w:rFonts w:ascii="Arial" w:cs="Arial" w:eastAsia="Arial" w:hAnsi="Arial"/>
                <w:sz w:val="14"/>
                <w:szCs w:val="14"/>
                <w:b w:val="1"/>
                <w:bCs w:val="1"/>
                <w:color w:val="auto"/>
              </w:rPr>
              <w:t>Technologies</w:t>
            </w:r>
          </w:p>
        </w:tc>
        <w:tc>
          <w:tcPr>
            <w:tcW w:w="1580" w:type="dxa"/>
            <w:vAlign w:val="bottom"/>
          </w:tcPr>
          <w:p>
            <w:pPr>
              <w:jc w:val="center"/>
              <w:ind w:right="101"/>
              <w:spacing w:after="0"/>
              <w:rPr>
                <w:sz w:val="20"/>
                <w:szCs w:val="20"/>
                <w:color w:val="auto"/>
              </w:rPr>
            </w:pPr>
            <w:r>
              <w:rPr>
                <w:rFonts w:ascii="Arial" w:cs="Arial" w:eastAsia="Arial" w:hAnsi="Arial"/>
                <w:sz w:val="14"/>
                <w:szCs w:val="14"/>
                <w:b w:val="1"/>
                <w:bCs w:val="1"/>
                <w:color w:val="auto"/>
              </w:rPr>
              <w:t>Solutions</w:t>
            </w:r>
          </w:p>
        </w:tc>
        <w:tc>
          <w:tcPr>
            <w:tcW w:w="0" w:type="dxa"/>
            <w:vAlign w:val="bottom"/>
          </w:tcPr>
          <w:p>
            <w:pPr>
              <w:spacing w:after="0"/>
              <w:rPr>
                <w:sz w:val="1"/>
                <w:szCs w:val="1"/>
                <w:color w:val="auto"/>
              </w:rPr>
            </w:pPr>
          </w:p>
        </w:tc>
      </w:tr>
      <w:tr>
        <w:trPr>
          <w:trHeight w:val="215"/>
        </w:trPr>
        <w:tc>
          <w:tcPr>
            <w:tcW w:w="3800" w:type="dxa"/>
            <w:vAlign w:val="bottom"/>
            <w:tcBorders>
              <w:top w:val="single" w:sz="8" w:color="DC202E"/>
            </w:tcBorders>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Borders>
              <w:top w:val="single" w:sz="8" w:color="DC202E"/>
            </w:tcBorders>
          </w:tcPr>
          <w:p>
            <w:pPr>
              <w:spacing w:after="0"/>
              <w:rPr>
                <w:sz w:val="18"/>
                <w:szCs w:val="18"/>
                <w:color w:val="auto"/>
              </w:rPr>
            </w:pPr>
          </w:p>
        </w:tc>
        <w:tc>
          <w:tcPr>
            <w:tcW w:w="3720" w:type="dxa"/>
            <w:vAlign w:val="bottom"/>
            <w:tcBorders>
              <w:top w:val="single" w:sz="8" w:color="DC202E"/>
            </w:tcBorders>
            <w:gridSpan w:val="2"/>
          </w:tcPr>
          <w:p>
            <w:pPr>
              <w:jc w:val="right"/>
              <w:ind w:right="1161"/>
              <w:spacing w:after="0"/>
              <w:rPr>
                <w:sz w:val="20"/>
                <w:szCs w:val="20"/>
                <w:color w:val="auto"/>
              </w:rPr>
            </w:pPr>
            <w:r>
              <w:rPr>
                <w:rFonts w:ascii="Arial" w:cs="Arial" w:eastAsia="Arial" w:hAnsi="Arial"/>
                <w:sz w:val="16"/>
                <w:szCs w:val="16"/>
                <w:b w:val="1"/>
                <w:bCs w:val="1"/>
                <w:color w:val="auto"/>
              </w:rPr>
              <w:t>(% of Segment Sales)</w:t>
            </w:r>
          </w:p>
        </w:tc>
        <w:tc>
          <w:tcPr>
            <w:tcW w:w="1580" w:type="dxa"/>
            <w:vAlign w:val="bottom"/>
            <w:tcBorders>
              <w:top w:val="single" w:sz="8" w:color="DC202E"/>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gridSpan w:val="2"/>
            <w:shd w:val="clear" w:color="auto" w:fill="D0D0CE"/>
          </w:tcPr>
          <w:p>
            <w:pPr>
              <w:ind w:left="20"/>
              <w:spacing w:after="0"/>
              <w:rPr>
                <w:sz w:val="20"/>
                <w:szCs w:val="20"/>
                <w:color w:val="auto"/>
              </w:rPr>
            </w:pPr>
            <w:r>
              <w:rPr>
                <w:rFonts w:ascii="Arial" w:cs="Arial" w:eastAsia="Arial" w:hAnsi="Arial"/>
                <w:sz w:val="18"/>
                <w:szCs w:val="18"/>
                <w:color w:val="auto"/>
              </w:rPr>
              <w:t>U.S. exports</w:t>
            </w:r>
          </w:p>
        </w:tc>
        <w:tc>
          <w:tcPr>
            <w:tcW w:w="1980" w:type="dxa"/>
            <w:vAlign w:val="bottom"/>
            <w:shd w:val="clear" w:color="auto" w:fill="D0D0CE"/>
          </w:tcPr>
          <w:p>
            <w:pPr>
              <w:jc w:val="right"/>
              <w:ind w:right="196"/>
              <w:spacing w:after="0"/>
              <w:rPr>
                <w:sz w:val="20"/>
                <w:szCs w:val="20"/>
                <w:color w:val="auto"/>
              </w:rPr>
            </w:pPr>
            <w:r>
              <w:rPr>
                <w:rFonts w:ascii="Arial" w:cs="Arial" w:eastAsia="Arial" w:hAnsi="Arial"/>
                <w:sz w:val="18"/>
                <w:szCs w:val="18"/>
                <w:color w:val="auto"/>
              </w:rPr>
              <w:t>22 %</w:t>
            </w:r>
          </w:p>
        </w:tc>
        <w:tc>
          <w:tcPr>
            <w:tcW w:w="1840" w:type="dxa"/>
            <w:vAlign w:val="bottom"/>
            <w:shd w:val="clear" w:color="auto" w:fill="D0D0CE"/>
          </w:tcPr>
          <w:p>
            <w:pPr>
              <w:jc w:val="right"/>
              <w:ind w:right="182"/>
              <w:spacing w:after="0"/>
              <w:rPr>
                <w:sz w:val="20"/>
                <w:szCs w:val="20"/>
                <w:color w:val="auto"/>
              </w:rPr>
            </w:pPr>
            <w:r>
              <w:rPr>
                <w:rFonts w:ascii="Arial" w:cs="Arial" w:eastAsia="Arial" w:hAnsi="Arial"/>
                <w:sz w:val="18"/>
                <w:szCs w:val="18"/>
                <w:color w:val="auto"/>
              </w:rPr>
              <w:t>2 %</w:t>
            </w:r>
          </w:p>
        </w:tc>
        <w:tc>
          <w:tcPr>
            <w:tcW w:w="1880" w:type="dxa"/>
            <w:vAlign w:val="bottom"/>
            <w:shd w:val="clear" w:color="auto" w:fill="D0D0CE"/>
          </w:tcPr>
          <w:p>
            <w:pPr>
              <w:jc w:val="right"/>
              <w:ind w:right="221"/>
              <w:spacing w:after="0"/>
              <w:rPr>
                <w:sz w:val="20"/>
                <w:szCs w:val="20"/>
                <w:color w:val="auto"/>
              </w:rPr>
            </w:pPr>
            <w:r>
              <w:rPr>
                <w:rFonts w:ascii="Arial" w:cs="Arial" w:eastAsia="Arial" w:hAnsi="Arial"/>
                <w:sz w:val="18"/>
                <w:szCs w:val="18"/>
                <w:color w:val="auto"/>
              </w:rPr>
              <w:t>13 %</w:t>
            </w:r>
          </w:p>
        </w:tc>
        <w:tc>
          <w:tcPr>
            <w:tcW w:w="1580" w:type="dxa"/>
            <w:vAlign w:val="bottom"/>
            <w:shd w:val="clear" w:color="auto" w:fill="D0D0CE"/>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30"/>
        </w:trPr>
        <w:tc>
          <w:tcPr>
            <w:tcW w:w="3900" w:type="dxa"/>
            <w:vAlign w:val="bottom"/>
            <w:gridSpan w:val="2"/>
          </w:tcPr>
          <w:p>
            <w:pPr>
              <w:ind w:left="20"/>
              <w:spacing w:after="0"/>
              <w:rPr>
                <w:sz w:val="20"/>
                <w:szCs w:val="20"/>
                <w:color w:val="auto"/>
              </w:rPr>
            </w:pPr>
            <w:r>
              <w:rPr>
                <w:rFonts w:ascii="Arial" w:cs="Arial" w:eastAsia="Arial" w:hAnsi="Arial"/>
                <w:sz w:val="18"/>
                <w:szCs w:val="18"/>
                <w:color w:val="auto"/>
              </w:rPr>
              <w:t>Non-U.S. manufactured products/services</w:t>
            </w:r>
          </w:p>
        </w:tc>
        <w:tc>
          <w:tcPr>
            <w:tcW w:w="1980" w:type="dxa"/>
            <w:vAlign w:val="bottom"/>
          </w:tcPr>
          <w:p>
            <w:pPr>
              <w:jc w:val="right"/>
              <w:ind w:right="196"/>
              <w:spacing w:after="0"/>
              <w:rPr>
                <w:sz w:val="20"/>
                <w:szCs w:val="20"/>
                <w:color w:val="auto"/>
              </w:rPr>
            </w:pPr>
            <w:r>
              <w:rPr>
                <w:rFonts w:ascii="Arial" w:cs="Arial" w:eastAsia="Arial" w:hAnsi="Arial"/>
                <w:sz w:val="18"/>
                <w:szCs w:val="18"/>
                <w:color w:val="auto"/>
              </w:rPr>
              <w:t>15 %</w:t>
            </w:r>
          </w:p>
        </w:tc>
        <w:tc>
          <w:tcPr>
            <w:tcW w:w="1840" w:type="dxa"/>
            <w:vAlign w:val="bottom"/>
          </w:tcPr>
          <w:p>
            <w:pPr>
              <w:jc w:val="right"/>
              <w:ind w:right="182"/>
              <w:spacing w:after="0"/>
              <w:rPr>
                <w:sz w:val="20"/>
                <w:szCs w:val="20"/>
                <w:color w:val="auto"/>
              </w:rPr>
            </w:pPr>
            <w:r>
              <w:rPr>
                <w:rFonts w:ascii="Arial" w:cs="Arial" w:eastAsia="Arial" w:hAnsi="Arial"/>
                <w:sz w:val="18"/>
                <w:szCs w:val="18"/>
                <w:color w:val="auto"/>
              </w:rPr>
              <w:t>65 %</w:t>
            </w:r>
          </w:p>
        </w:tc>
        <w:tc>
          <w:tcPr>
            <w:tcW w:w="1880" w:type="dxa"/>
            <w:vAlign w:val="bottom"/>
          </w:tcPr>
          <w:p>
            <w:pPr>
              <w:jc w:val="right"/>
              <w:ind w:right="221"/>
              <w:spacing w:after="0"/>
              <w:rPr>
                <w:sz w:val="20"/>
                <w:szCs w:val="20"/>
                <w:color w:val="auto"/>
              </w:rPr>
            </w:pPr>
            <w:r>
              <w:rPr>
                <w:rFonts w:ascii="Arial" w:cs="Arial" w:eastAsia="Arial" w:hAnsi="Arial"/>
                <w:sz w:val="18"/>
                <w:szCs w:val="18"/>
                <w:color w:val="auto"/>
              </w:rPr>
              <w:t>58 %</w:t>
            </w:r>
          </w:p>
        </w:tc>
        <w:tc>
          <w:tcPr>
            <w:tcW w:w="1580" w:type="dxa"/>
            <w:vAlign w:val="bottom"/>
          </w:tcPr>
          <w:p>
            <w:pPr>
              <w:jc w:val="right"/>
              <w:spacing w:after="0"/>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bl>
    <w:p>
      <w:pPr>
        <w:spacing w:after="0" w:line="10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Information related to risks related to our foreign operations is included in the section titled Risk Factors under the caption “Macroeconomic and Industry Risks.”</w:t>
      </w:r>
    </w:p>
    <w:p>
      <w:pPr>
        <w:spacing w:after="0" w:line="27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RAW MATERIALS</w:t>
      </w:r>
    </w:p>
    <w:p>
      <w:pPr>
        <w:spacing w:after="0" w:line="1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principal raw materials used in our operations are readily available. Although we occasionally experience disruption in raw materials supply, we experienced no significant problems in the purchase of key raw materials or commodities in 2020. We are not dependent on any one supplier for a material amount of our raw materials.</w:t>
      </w:r>
    </w:p>
    <w:p>
      <w:pPr>
        <w:spacing w:after="0" w:line="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Prices of certain key raw materials, including copper, fluorspar, tungsten salts, ethylene, aluminum, and molybdenum in Performance Materials and Technologies and nickel, steel, titanium and other metals in Aerospace, are expected to fluctuate. We offset raw material cost increases with formula-driven or long-term supply agreements, price increases and hedging activities where feasible. We do not presently anticipate that a shortage of raw materials will cause any material adverse impacts during 2021.</w:t>
      </w:r>
    </w:p>
    <w:p>
      <w:pPr>
        <w:spacing w:after="0" w:line="28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PATENTS, TRADEMARKS, LICENSES AND DISTRIBUTION RIGHTS</w:t>
      </w:r>
    </w:p>
    <w:p>
      <w:pPr>
        <w:spacing w:after="0" w:line="1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segments are not dependent upon any single patent or related group of patents, trademarks, or any licenses or distribution rights. In our judgment, our intellectual property rights are adequate for the conduct of our business. We believe that, in the aggregate, the rights under our patents, trademarks, licenses and distribution rights are generally important to our operations, but we do not consider any individual patent, trademark or any licensing or distribution rights related to a specific process or product to be of material importance in relation to our total business.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5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30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REGULATIONS</w:t>
      </w:r>
    </w:p>
    <w:p>
      <w:pPr>
        <w:spacing w:after="0" w:line="1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operations are subject to various federal, state, local and foreign government regulations, including requirements regarding the protection of human health and the environment. Our policies, practices and procedures are designed to prevent unreasonable risk of environmental damage, and of resulting financial liability, in connection with our business. Some risk of environmental damage is, however, inherent in some of our operations and products, as it is with other companies engaged in similar businesses.</w:t>
      </w:r>
    </w:p>
    <w:p>
      <w:pPr>
        <w:spacing w:after="0" w:line="9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engage in the handling, manufacturing, use and disposal of many substances classified as hazardous by one or more regulatory agencies. Our policies, practices and procedures are designed to prevent unreasonable risk of environmental damage and personal injury, and to ensure that our handling, manufacture, use and disposal of these substances meet or exceed environmental and safety laws and regulations. It is possible that future knowledge or other developments, such as improved capability to detect substances in the environment or increasingly strict environmental laws and standards and enforcement policies, could bring into question our current or past handling, manufacture, use or disposal of these substances.</w:t>
      </w:r>
    </w:p>
    <w:p>
      <w:pPr>
        <w:spacing w:after="0" w:line="10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Among other environmental requirements, we are subject to the Federal Superfund and similar state and foreign laws and regulations, under which we have been designated as a potentially responsible party that may be liable for cleanup costs associated with current and former operating sites and various hazardous waste sites, some of which are on the U.S. Environmental Protection Agency’s National Priority List. While there is a possibility that a responsible party might be unable to obtain appropriate contribution from other responsible parties, we do not anticipate having to bear significantly more than our proportional share in multi-party situations taken as a whole.</w:t>
      </w:r>
    </w:p>
    <w:p>
      <w:pPr>
        <w:spacing w:after="0" w:line="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do not believe that Federal, State and local provisions regulating the discharge of materials into the environment, or otherwise relating to the protection of the environment, or any existing or pending climate change legislation, regulation, or international treaties or accords are reasonably likely to have a material effect in the foreseeable future on the Company’s business and we will continue to monitor emerging developments in this area.</w:t>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Beyond our compliance requirements with environmental regulations, compliance with other government regulations has not had, and based on laws and regulations currently in effect, is not expected to have a material effect on the Company's capital expenditures, earnings or competitive position. See section titled Risk Factors for additional information on government regulation that could impact our business.</w:t>
      </w:r>
    </w:p>
    <w:p>
      <w:pPr>
        <w:spacing w:after="0" w:line="28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HUMAN CAPITAL MANAGEMENT</w:t>
      </w:r>
    </w:p>
    <w:p>
      <w:pPr>
        <w:spacing w:after="0" w:line="1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believe a commitment to and investment in human capital management enables better decision making, helps us build competitive advantage, and furthers our long-term success. As of December 31, 2020, we employed approximately 103,000 employees across 70 countries, 41,000 of whom are in the United States. Human capital management is the key driver of our performance culture, which enables our workforce to respond to the fast-changing needs of our customers. Our performance culture is defined by a set of Honeywell Behaviors (Have a Passion for Winning, Be a Zealot for Growth, Think Big … Then Make It Happen, Act with Urgency, Be Courageous, Become Your Best, Be Committed, and Build Exceptional Talent), which reflect the bold, entrepreneurial spirit of our employees while emphasizing our goal to operate with speed and precision. At their foundation is a commitment to Integrity and Ethics, Inclusion and Diversity, and Workplace Respect, fundamental values that underlie everything we do.</w:t>
      </w:r>
    </w:p>
    <w:p>
      <w:pPr>
        <w:spacing w:after="0" w:line="9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commitment to these fundamental values and the Honeywell Behaviors starts at the top with a diverse Board of Directors and executive management team, who represent a broad spectrum of backgrounds and perspectives. We believe that the diversity of our current Board of Directors (four women, two Hispanics, and two African Americans) and the diversity of Honeywell’s executive leadership (more than half of the Company’s nine executive officers is diverse by ethnic background or gender) supports our evolving business strategy and is a testament to Honeywell’s ongoing commitment to hiring, developing, and retaining diverse talent. The Company’s commitment to Inclusion and Diversity enables better decision-making, helps build competitive advantages, and furthers long-term success.</w:t>
      </w:r>
    </w:p>
    <w:p>
      <w:pPr>
        <w:spacing w:after="0" w:line="10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2020, the Company established a Global Inclusion and Diversity Steering Committee co-sponsored by our Chairman and CEO, Senior Vice President and General Counsel, and Senior Vice President and Human Resources and fortified our inclusion and diversity governance structure by embedding Inclusion and Diversity Councils in each of our business groups. The re-designed governance structure provides a scalable model that supports our six affinity group employee networks for women, Black, Hispanic, veteran, LGBTQ, and disabled employees and facilitates the introduction of new networks to reflect the diverse characteristics of our workforce. These networks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6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are designed to provide training and development opportunities and expand internal networks for promotional opportunities.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our people managers are expected to model behaviors that promote a culture that is open and inclusive for all employees. We help managers develop this skill as they do any other leadership skill, though training programs, interactive learning and real time events, including the hiring and talent review processes. Our Leadership Edge program provides training in core management skills to more than 13,000 leaders across the organization.</w:t>
      </w:r>
    </w:p>
    <w:p>
      <w:pPr>
        <w:spacing w:after="0" w:line="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Training programs are available to all employees through our internal learning and development platform, which assigns curriculum tailored to an employee’s job responsibilities. Employees can also access additional trainings on-demand to continue to enhance their skills. This year, we also deployed a mandatory unconscious bias training program to our global workforce as a supplement to their other learning opportunities.</w:t>
      </w:r>
    </w:p>
    <w:p>
      <w:pPr>
        <w:spacing w:after="0" w:line="9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internal talent acquisition and management platform is a key component to recruiting, hiring, and developing top-performing talent. Our hiring practices consider a diverse slate of candidates and our hiring managers are provided training and toolkits to reinforce their role in bringing diverse talent into the Company. Further, we partner with top academic institutions and external professional organizations to enhance the diversity of our workforce to attract and retain top talent. Our talent review process requires our people managers to have quarterly career discussions with each member of their teams to discuss the best opportunity for growth and development, which enhances our identification of candidates for internal promotion and succession planning.</w:t>
      </w:r>
    </w:p>
    <w:p>
      <w:pPr>
        <w:spacing w:after="0" w:line="10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Finally, our Code of Business Conduct establishes the baseline requirements of our integrity and compliance program and promotes an environment where everyone is treated ethically and with respect. It outlines our pledge to recognize the dignity of each individual, respect each employee, provide compensation and benefits that are competitive, promote self-development through training, and value diversity of perspectives and ideas. All employees must complete Code of Business Conduct training and, where permitted by law, must also certify each year that they will comply with the Code. In 2020, we received certifications from 100% of officers and employees where permitted by law.</w:t>
      </w:r>
    </w:p>
    <w:p>
      <w:pPr>
        <w:spacing w:after="0" w:line="8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Overall, we believe our culture, along with our internal tools and initiatives, enable us to effectively execute our human capital strategy. For discussion on the risks relating to our inability to attract and retain top-performing talent, please see section titled Risk Factors.</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7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293" w:lineRule="exact"/>
        <w:rPr>
          <w:sz w:val="20"/>
          <w:szCs w:val="20"/>
          <w:color w:val="auto"/>
        </w:rPr>
      </w:pPr>
    </w:p>
    <w:p>
      <w:pPr>
        <w:spacing w:after="0"/>
        <w:rPr>
          <w:sz w:val="20"/>
          <w:szCs w:val="20"/>
          <w:color w:val="auto"/>
        </w:rPr>
      </w:pPr>
      <w:r>
        <w:rPr>
          <w:rFonts w:ascii="Arial" w:cs="Arial" w:eastAsia="Arial" w:hAnsi="Arial"/>
          <w:sz w:val="29"/>
          <w:szCs w:val="29"/>
          <w:b w:val="1"/>
          <w:bCs w:val="1"/>
          <w:color w:val="DC202E"/>
        </w:rPr>
        <w:t>SELECTED FINANCIAL DATA</w:t>
      </w:r>
    </w:p>
    <w:p>
      <w:pPr>
        <w:spacing w:after="0" w:line="1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This selected financial data should be read in conjunction with the Company's Consolidated Financial Statements and related Notes included elsewhere in this Annual Report as well as the section Management's Discussion and Analysis of Financial Condition and Results of Operations.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640" w:type="dxa"/>
            <w:vAlign w:val="bottom"/>
          </w:tcPr>
          <w:p>
            <w:pPr>
              <w:spacing w:after="0"/>
              <w:rPr>
                <w:sz w:val="17"/>
                <w:szCs w:val="17"/>
                <w:color w:val="auto"/>
              </w:rPr>
            </w:pPr>
          </w:p>
        </w:tc>
        <w:tc>
          <w:tcPr>
            <w:tcW w:w="340" w:type="dxa"/>
            <w:vAlign w:val="bottom"/>
            <w:tcBorders>
              <w:bottom w:val="single" w:sz="8" w:color="DC202E"/>
            </w:tcBorders>
          </w:tcPr>
          <w:p>
            <w:pPr>
              <w:spacing w:after="0"/>
              <w:rPr>
                <w:sz w:val="17"/>
                <w:szCs w:val="17"/>
                <w:color w:val="auto"/>
              </w:rPr>
            </w:pPr>
          </w:p>
        </w:tc>
        <w:tc>
          <w:tcPr>
            <w:tcW w:w="1100" w:type="dxa"/>
            <w:vAlign w:val="bottom"/>
            <w:tcBorders>
              <w:bottom w:val="single" w:sz="8" w:color="DC202E"/>
            </w:tcBorders>
          </w:tcPr>
          <w:p>
            <w:pPr>
              <w:spacing w:after="0"/>
              <w:rPr>
                <w:sz w:val="17"/>
                <w:szCs w:val="17"/>
                <w:color w:val="auto"/>
              </w:rPr>
            </w:pPr>
          </w:p>
        </w:tc>
        <w:tc>
          <w:tcPr>
            <w:tcW w:w="420" w:type="dxa"/>
            <w:vAlign w:val="bottom"/>
            <w:tcBorders>
              <w:bottom w:val="single" w:sz="8" w:color="DC202E"/>
            </w:tcBorders>
          </w:tcPr>
          <w:p>
            <w:pPr>
              <w:spacing w:after="0"/>
              <w:rPr>
                <w:sz w:val="17"/>
                <w:szCs w:val="17"/>
                <w:color w:val="auto"/>
              </w:rPr>
            </w:pPr>
          </w:p>
        </w:tc>
        <w:tc>
          <w:tcPr>
            <w:tcW w:w="3060" w:type="dxa"/>
            <w:vAlign w:val="bottom"/>
            <w:tcBorders>
              <w:bottom w:val="single" w:sz="8" w:color="DC202E"/>
            </w:tcBorders>
            <w:gridSpan w:val="4"/>
          </w:tcPr>
          <w:p>
            <w:pPr>
              <w:jc w:val="center"/>
              <w:ind w:left="694"/>
              <w:spacing w:after="0"/>
              <w:rPr>
                <w:sz w:val="20"/>
                <w:szCs w:val="20"/>
                <w:color w:val="auto"/>
              </w:rPr>
            </w:pPr>
            <w:r>
              <w:rPr>
                <w:rFonts w:ascii="Arial" w:cs="Arial" w:eastAsia="Arial" w:hAnsi="Arial"/>
                <w:sz w:val="14"/>
                <w:szCs w:val="14"/>
                <w:b w:val="1"/>
                <w:bCs w:val="1"/>
                <w:color w:val="auto"/>
              </w:rPr>
              <w:t>Years Ended December 31,</w:t>
            </w:r>
          </w:p>
        </w:tc>
        <w:tc>
          <w:tcPr>
            <w:tcW w:w="1140" w:type="dxa"/>
            <w:vAlign w:val="bottom"/>
            <w:tcBorders>
              <w:bottom w:val="single" w:sz="8" w:color="DC202E"/>
            </w:tcBorders>
          </w:tcPr>
          <w:p>
            <w:pPr>
              <w:spacing w:after="0"/>
              <w:rPr>
                <w:sz w:val="17"/>
                <w:szCs w:val="17"/>
                <w:color w:val="auto"/>
              </w:rPr>
            </w:pPr>
          </w:p>
        </w:tc>
        <w:tc>
          <w:tcPr>
            <w:tcW w:w="420" w:type="dxa"/>
            <w:vAlign w:val="bottom"/>
            <w:tcBorders>
              <w:bottom w:val="single" w:sz="8" w:color="DC202E"/>
            </w:tcBorders>
          </w:tcPr>
          <w:p>
            <w:pPr>
              <w:spacing w:after="0"/>
              <w:rPr>
                <w:sz w:val="17"/>
                <w:szCs w:val="17"/>
                <w:color w:val="auto"/>
              </w:rPr>
            </w:pPr>
          </w:p>
        </w:tc>
        <w:tc>
          <w:tcPr>
            <w:tcW w:w="1100" w:type="dxa"/>
            <w:vAlign w:val="bottom"/>
            <w:tcBorders>
              <w:bottom w:val="single" w:sz="8" w:color="DC202E"/>
            </w:tcBorders>
          </w:tcPr>
          <w:p>
            <w:pPr>
              <w:spacing w:after="0"/>
              <w:rPr>
                <w:sz w:val="17"/>
                <w:szCs w:val="17"/>
                <w:color w:val="auto"/>
              </w:rPr>
            </w:pPr>
          </w:p>
        </w:tc>
      </w:tr>
      <w:tr>
        <w:trPr>
          <w:trHeight w:val="196"/>
        </w:trPr>
        <w:tc>
          <w:tcPr>
            <w:tcW w:w="3640" w:type="dxa"/>
            <w:vAlign w:val="bottom"/>
          </w:tcPr>
          <w:p>
            <w:pPr>
              <w:spacing w:after="0"/>
              <w:rPr>
                <w:sz w:val="17"/>
                <w:szCs w:val="17"/>
                <w:color w:val="auto"/>
              </w:rPr>
            </w:pPr>
          </w:p>
        </w:tc>
        <w:tc>
          <w:tcPr>
            <w:tcW w:w="340" w:type="dxa"/>
            <w:vAlign w:val="bottom"/>
            <w:tcBorders>
              <w:bottom w:val="single" w:sz="8" w:color="DC202E"/>
            </w:tcBorders>
          </w:tcPr>
          <w:p>
            <w:pPr>
              <w:spacing w:after="0"/>
              <w:rPr>
                <w:sz w:val="17"/>
                <w:szCs w:val="17"/>
                <w:color w:val="auto"/>
              </w:rPr>
            </w:pPr>
          </w:p>
        </w:tc>
        <w:tc>
          <w:tcPr>
            <w:tcW w:w="1100" w:type="dxa"/>
            <w:vAlign w:val="bottom"/>
            <w:tcBorders>
              <w:bottom w:val="single" w:sz="8" w:color="DC202E"/>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DC202E"/>
            </w:tcBorders>
          </w:tcPr>
          <w:p>
            <w:pPr>
              <w:spacing w:after="0"/>
              <w:rPr>
                <w:sz w:val="17"/>
                <w:szCs w:val="17"/>
                <w:color w:val="auto"/>
              </w:rPr>
            </w:pPr>
          </w:p>
        </w:tc>
        <w:tc>
          <w:tcPr>
            <w:tcW w:w="1120" w:type="dxa"/>
            <w:vAlign w:val="bottom"/>
            <w:tcBorders>
              <w:bottom w:val="single" w:sz="8" w:color="DC202E"/>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DC202E"/>
            </w:tcBorders>
          </w:tcPr>
          <w:p>
            <w:pPr>
              <w:spacing w:after="0"/>
              <w:rPr>
                <w:sz w:val="17"/>
                <w:szCs w:val="17"/>
                <w:color w:val="auto"/>
              </w:rPr>
            </w:pPr>
          </w:p>
        </w:tc>
        <w:tc>
          <w:tcPr>
            <w:tcW w:w="1180" w:type="dxa"/>
            <w:vAlign w:val="bottom"/>
            <w:tcBorders>
              <w:bottom w:val="single" w:sz="8" w:color="DC202E"/>
            </w:tcBorders>
          </w:tcPr>
          <w:p>
            <w:pPr>
              <w:jc w:val="center"/>
              <w:ind w:right="214"/>
              <w:spacing w:after="0" w:line="189" w:lineRule="exact"/>
              <w:rPr>
                <w:sz w:val="20"/>
                <w:szCs w:val="20"/>
                <w:color w:val="auto"/>
              </w:rPr>
            </w:pPr>
            <w:r>
              <w:rPr>
                <w:rFonts w:ascii="Arial" w:cs="Arial" w:eastAsia="Arial" w:hAnsi="Arial"/>
                <w:sz w:val="21"/>
                <w:szCs w:val="21"/>
                <w:b w:val="1"/>
                <w:bCs w:val="1"/>
                <w:color w:val="auto"/>
                <w:vertAlign w:val="subscript"/>
              </w:rPr>
              <w:t>2018</w:t>
            </w:r>
            <w:r>
              <w:rPr>
                <w:rFonts w:ascii="Arial" w:cs="Arial" w:eastAsia="Arial" w:hAnsi="Arial"/>
                <w:sz w:val="8"/>
                <w:szCs w:val="8"/>
                <w:b w:val="1"/>
                <w:bCs w:val="1"/>
                <w:color w:val="auto"/>
              </w:rPr>
              <w:t>(1)(2)</w:t>
            </w:r>
          </w:p>
        </w:tc>
        <w:tc>
          <w:tcPr>
            <w:tcW w:w="400" w:type="dxa"/>
            <w:vAlign w:val="bottom"/>
            <w:tcBorders>
              <w:bottom w:val="single" w:sz="8" w:color="DC202E"/>
            </w:tcBorders>
          </w:tcPr>
          <w:p>
            <w:pPr>
              <w:spacing w:after="0"/>
              <w:rPr>
                <w:sz w:val="17"/>
                <w:szCs w:val="17"/>
                <w:color w:val="auto"/>
              </w:rPr>
            </w:pPr>
          </w:p>
        </w:tc>
        <w:tc>
          <w:tcPr>
            <w:tcW w:w="1140" w:type="dxa"/>
            <w:vAlign w:val="bottom"/>
            <w:tcBorders>
              <w:bottom w:val="single" w:sz="8" w:color="DC202E"/>
            </w:tcBorders>
          </w:tcPr>
          <w:p>
            <w:pPr>
              <w:jc w:val="right"/>
              <w:ind w:right="431"/>
              <w:spacing w:after="0" w:line="189" w:lineRule="exact"/>
              <w:rPr>
                <w:sz w:val="20"/>
                <w:szCs w:val="20"/>
                <w:color w:val="auto"/>
              </w:rPr>
            </w:pPr>
            <w:r>
              <w:rPr>
                <w:rFonts w:ascii="Arial" w:cs="Arial" w:eastAsia="Arial" w:hAnsi="Arial"/>
                <w:sz w:val="14"/>
                <w:szCs w:val="14"/>
                <w:b w:val="1"/>
                <w:bCs w:val="1"/>
                <w:color w:val="auto"/>
              </w:rPr>
              <w:t>2017</w:t>
            </w:r>
            <w:r>
              <w:rPr>
                <w:rFonts w:ascii="Arial" w:cs="Arial" w:eastAsia="Arial" w:hAnsi="Arial"/>
                <w:sz w:val="18"/>
                <w:szCs w:val="18"/>
                <w:b w:val="1"/>
                <w:bCs w:val="1"/>
                <w:color w:val="auto"/>
                <w:vertAlign w:val="superscript"/>
              </w:rPr>
              <w:t>(1)</w:t>
            </w:r>
          </w:p>
        </w:tc>
        <w:tc>
          <w:tcPr>
            <w:tcW w:w="420" w:type="dxa"/>
            <w:vAlign w:val="bottom"/>
            <w:tcBorders>
              <w:bottom w:val="single" w:sz="8" w:color="DC202E"/>
            </w:tcBorders>
          </w:tcPr>
          <w:p>
            <w:pPr>
              <w:spacing w:after="0"/>
              <w:rPr>
                <w:sz w:val="17"/>
                <w:szCs w:val="17"/>
                <w:color w:val="auto"/>
              </w:rPr>
            </w:pPr>
          </w:p>
        </w:tc>
        <w:tc>
          <w:tcPr>
            <w:tcW w:w="1100" w:type="dxa"/>
            <w:vAlign w:val="bottom"/>
            <w:tcBorders>
              <w:bottom w:val="single" w:sz="8" w:color="DC202E"/>
            </w:tcBorders>
          </w:tcPr>
          <w:p>
            <w:pPr>
              <w:jc w:val="right"/>
              <w:ind w:right="471"/>
              <w:spacing w:after="0"/>
              <w:rPr>
                <w:sz w:val="20"/>
                <w:szCs w:val="20"/>
                <w:color w:val="auto"/>
              </w:rPr>
            </w:pPr>
            <w:r>
              <w:rPr>
                <w:rFonts w:ascii="Arial" w:cs="Arial" w:eastAsia="Arial" w:hAnsi="Arial"/>
                <w:sz w:val="14"/>
                <w:szCs w:val="14"/>
                <w:b w:val="1"/>
                <w:bCs w:val="1"/>
                <w:color w:val="auto"/>
              </w:rPr>
              <w:t>2016</w:t>
            </w:r>
          </w:p>
        </w:tc>
      </w:tr>
      <w:tr>
        <w:trPr>
          <w:trHeight w:val="189"/>
        </w:trPr>
        <w:tc>
          <w:tcPr>
            <w:tcW w:w="3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0" w:type="dxa"/>
            <w:vAlign w:val="bottom"/>
            <w:gridSpan w:val="5"/>
          </w:tcPr>
          <w:p>
            <w:pPr>
              <w:jc w:val="center"/>
              <w:ind w:right="271"/>
              <w:spacing w:after="0"/>
              <w:rPr>
                <w:sz w:val="20"/>
                <w:szCs w:val="20"/>
                <w:color w:val="auto"/>
              </w:rPr>
            </w:pPr>
            <w:r>
              <w:rPr>
                <w:rFonts w:ascii="Arial" w:cs="Arial" w:eastAsia="Arial" w:hAnsi="Arial"/>
                <w:sz w:val="14"/>
                <w:szCs w:val="14"/>
                <w:b w:val="1"/>
                <w:bCs w:val="1"/>
                <w:color w:val="auto"/>
              </w:rPr>
              <w:t>(Dollars in millions, except per share amounts)</w:t>
            </w:r>
          </w:p>
        </w:tc>
        <w:tc>
          <w:tcPr>
            <w:tcW w:w="4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29"/>
        </w:trPr>
        <w:tc>
          <w:tcPr>
            <w:tcW w:w="3640" w:type="dxa"/>
            <w:vAlign w:val="bottom"/>
            <w:shd w:val="clear" w:color="auto" w:fill="D0D0CE"/>
          </w:tcPr>
          <w:p>
            <w:pPr>
              <w:ind w:left="20"/>
              <w:spacing w:after="0"/>
              <w:rPr>
                <w:sz w:val="20"/>
                <w:szCs w:val="20"/>
                <w:color w:val="auto"/>
              </w:rPr>
            </w:pPr>
            <w:r>
              <w:rPr>
                <w:rFonts w:ascii="Arial" w:cs="Arial" w:eastAsia="Arial" w:hAnsi="Arial"/>
                <w:sz w:val="18"/>
                <w:szCs w:val="18"/>
                <w:b w:val="1"/>
                <w:bCs w:val="1"/>
                <w:color w:val="auto"/>
              </w:rPr>
              <w:t>Results of Operations</w:t>
            </w:r>
          </w:p>
        </w:tc>
        <w:tc>
          <w:tcPr>
            <w:tcW w:w="340" w:type="dxa"/>
            <w:vAlign w:val="bottom"/>
            <w:shd w:val="clear" w:color="auto" w:fill="D0D0CE"/>
          </w:tcPr>
          <w:p>
            <w:pPr>
              <w:spacing w:after="0"/>
              <w:rPr>
                <w:sz w:val="19"/>
                <w:szCs w:val="19"/>
                <w:color w:val="auto"/>
              </w:rPr>
            </w:pPr>
          </w:p>
        </w:tc>
        <w:tc>
          <w:tcPr>
            <w:tcW w:w="1100" w:type="dxa"/>
            <w:vAlign w:val="bottom"/>
            <w:shd w:val="clear" w:color="auto" w:fill="D0D0CE"/>
          </w:tcPr>
          <w:p>
            <w:pPr>
              <w:spacing w:after="0"/>
              <w:rPr>
                <w:sz w:val="19"/>
                <w:szCs w:val="19"/>
                <w:color w:val="auto"/>
              </w:rPr>
            </w:pPr>
          </w:p>
        </w:tc>
        <w:tc>
          <w:tcPr>
            <w:tcW w:w="420" w:type="dxa"/>
            <w:vAlign w:val="bottom"/>
            <w:shd w:val="clear" w:color="auto" w:fill="D0D0CE"/>
          </w:tcPr>
          <w:p>
            <w:pPr>
              <w:spacing w:after="0"/>
              <w:rPr>
                <w:sz w:val="19"/>
                <w:szCs w:val="19"/>
                <w:color w:val="auto"/>
              </w:rPr>
            </w:pPr>
          </w:p>
        </w:tc>
        <w:tc>
          <w:tcPr>
            <w:tcW w:w="1120" w:type="dxa"/>
            <w:vAlign w:val="bottom"/>
            <w:shd w:val="clear" w:color="auto" w:fill="D0D0CE"/>
          </w:tcPr>
          <w:p>
            <w:pPr>
              <w:spacing w:after="0"/>
              <w:rPr>
                <w:sz w:val="19"/>
                <w:szCs w:val="19"/>
                <w:color w:val="auto"/>
              </w:rPr>
            </w:pPr>
          </w:p>
        </w:tc>
        <w:tc>
          <w:tcPr>
            <w:tcW w:w="360" w:type="dxa"/>
            <w:vAlign w:val="bottom"/>
            <w:shd w:val="clear" w:color="auto" w:fill="D0D0CE"/>
          </w:tcPr>
          <w:p>
            <w:pPr>
              <w:spacing w:after="0"/>
              <w:rPr>
                <w:sz w:val="19"/>
                <w:szCs w:val="19"/>
                <w:color w:val="auto"/>
              </w:rPr>
            </w:pPr>
          </w:p>
        </w:tc>
        <w:tc>
          <w:tcPr>
            <w:tcW w:w="1180" w:type="dxa"/>
            <w:vAlign w:val="bottom"/>
            <w:shd w:val="clear" w:color="auto" w:fill="D0D0CE"/>
          </w:tcPr>
          <w:p>
            <w:pPr>
              <w:spacing w:after="0"/>
              <w:rPr>
                <w:sz w:val="19"/>
                <w:szCs w:val="19"/>
                <w:color w:val="auto"/>
              </w:rPr>
            </w:pPr>
          </w:p>
        </w:tc>
        <w:tc>
          <w:tcPr>
            <w:tcW w:w="400" w:type="dxa"/>
            <w:vAlign w:val="bottom"/>
            <w:shd w:val="clear" w:color="auto" w:fill="D0D0CE"/>
          </w:tcPr>
          <w:p>
            <w:pPr>
              <w:spacing w:after="0"/>
              <w:rPr>
                <w:sz w:val="19"/>
                <w:szCs w:val="19"/>
                <w:color w:val="auto"/>
              </w:rPr>
            </w:pPr>
          </w:p>
        </w:tc>
        <w:tc>
          <w:tcPr>
            <w:tcW w:w="1140" w:type="dxa"/>
            <w:vAlign w:val="bottom"/>
            <w:shd w:val="clear" w:color="auto" w:fill="D0D0CE"/>
          </w:tcPr>
          <w:p>
            <w:pPr>
              <w:spacing w:after="0"/>
              <w:rPr>
                <w:sz w:val="19"/>
                <w:szCs w:val="19"/>
                <w:color w:val="auto"/>
              </w:rPr>
            </w:pPr>
          </w:p>
        </w:tc>
        <w:tc>
          <w:tcPr>
            <w:tcW w:w="420" w:type="dxa"/>
            <w:vAlign w:val="bottom"/>
            <w:shd w:val="clear" w:color="auto" w:fill="D0D0CE"/>
          </w:tcPr>
          <w:p>
            <w:pPr>
              <w:spacing w:after="0"/>
              <w:rPr>
                <w:sz w:val="19"/>
                <w:szCs w:val="19"/>
                <w:color w:val="auto"/>
              </w:rPr>
            </w:pPr>
          </w:p>
        </w:tc>
        <w:tc>
          <w:tcPr>
            <w:tcW w:w="1100" w:type="dxa"/>
            <w:vAlign w:val="bottom"/>
            <w:shd w:val="clear" w:color="auto" w:fill="D0D0CE"/>
          </w:tcPr>
          <w:p>
            <w:pPr>
              <w:spacing w:after="0"/>
              <w:rPr>
                <w:sz w:val="19"/>
                <w:szCs w:val="19"/>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Net sales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32,637</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36,709</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41,802</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40,534</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39,302</w:t>
            </w:r>
          </w:p>
        </w:tc>
      </w:tr>
      <w:tr>
        <w:trPr>
          <w:trHeight w:val="229"/>
        </w:trPr>
        <w:tc>
          <w:tcPr>
            <w:tcW w:w="3640" w:type="dxa"/>
            <w:vAlign w:val="bottom"/>
            <w:shd w:val="clear" w:color="auto" w:fill="D0D0CE"/>
          </w:tcPr>
          <w:p>
            <w:pPr>
              <w:ind w:left="20"/>
              <w:spacing w:after="0"/>
              <w:rPr>
                <w:sz w:val="20"/>
                <w:szCs w:val="20"/>
                <w:color w:val="auto"/>
              </w:rPr>
            </w:pPr>
            <w:r>
              <w:rPr>
                <w:rFonts w:ascii="Arial" w:cs="Arial" w:eastAsia="Arial" w:hAnsi="Arial"/>
                <w:sz w:val="18"/>
                <w:szCs w:val="18"/>
                <w:color w:val="auto"/>
              </w:rPr>
              <w:t>Net income attributable to Honeywell</w:t>
            </w:r>
          </w:p>
        </w:tc>
        <w:tc>
          <w:tcPr>
            <w:tcW w:w="340" w:type="dxa"/>
            <w:vAlign w:val="bottom"/>
            <w:shd w:val="clear" w:color="auto" w:fill="D0D0CE"/>
          </w:tcPr>
          <w:p>
            <w:pPr>
              <w:spacing w:after="0"/>
              <w:rPr>
                <w:sz w:val="19"/>
                <w:szCs w:val="19"/>
                <w:color w:val="auto"/>
              </w:rPr>
            </w:pPr>
          </w:p>
        </w:tc>
        <w:tc>
          <w:tcPr>
            <w:tcW w:w="1100" w:type="dxa"/>
            <w:vAlign w:val="bottom"/>
            <w:shd w:val="clear" w:color="auto" w:fill="D0D0CE"/>
          </w:tcPr>
          <w:p>
            <w:pPr>
              <w:jc w:val="right"/>
              <w:ind w:right="11"/>
              <w:spacing w:after="0"/>
              <w:rPr>
                <w:sz w:val="20"/>
                <w:szCs w:val="20"/>
                <w:color w:val="auto"/>
              </w:rPr>
            </w:pPr>
            <w:r>
              <w:rPr>
                <w:rFonts w:ascii="Arial" w:cs="Arial" w:eastAsia="Arial" w:hAnsi="Arial"/>
                <w:sz w:val="18"/>
                <w:szCs w:val="18"/>
                <w:color w:val="auto"/>
              </w:rPr>
              <w:t>4,779</w:t>
            </w:r>
          </w:p>
        </w:tc>
        <w:tc>
          <w:tcPr>
            <w:tcW w:w="420" w:type="dxa"/>
            <w:vAlign w:val="bottom"/>
            <w:shd w:val="clear" w:color="auto" w:fill="D0D0CE"/>
          </w:tcPr>
          <w:p>
            <w:pPr>
              <w:spacing w:after="0"/>
              <w:rPr>
                <w:sz w:val="19"/>
                <w:szCs w:val="19"/>
                <w:color w:val="auto"/>
              </w:rPr>
            </w:pPr>
          </w:p>
        </w:tc>
        <w:tc>
          <w:tcPr>
            <w:tcW w:w="1120" w:type="dxa"/>
            <w:vAlign w:val="bottom"/>
            <w:shd w:val="clear" w:color="auto" w:fill="D0D0CE"/>
          </w:tcPr>
          <w:p>
            <w:pPr>
              <w:jc w:val="right"/>
              <w:ind w:right="14"/>
              <w:spacing w:after="0"/>
              <w:rPr>
                <w:sz w:val="20"/>
                <w:szCs w:val="20"/>
                <w:color w:val="auto"/>
              </w:rPr>
            </w:pPr>
            <w:r>
              <w:rPr>
                <w:rFonts w:ascii="Arial" w:cs="Arial" w:eastAsia="Arial" w:hAnsi="Arial"/>
                <w:sz w:val="18"/>
                <w:szCs w:val="18"/>
                <w:color w:val="auto"/>
              </w:rPr>
              <w:t>6,143</w:t>
            </w:r>
          </w:p>
        </w:tc>
        <w:tc>
          <w:tcPr>
            <w:tcW w:w="360" w:type="dxa"/>
            <w:vAlign w:val="bottom"/>
            <w:shd w:val="clear" w:color="auto" w:fill="D0D0CE"/>
          </w:tcPr>
          <w:p>
            <w:pPr>
              <w:spacing w:after="0"/>
              <w:rPr>
                <w:sz w:val="19"/>
                <w:szCs w:val="19"/>
                <w:color w:val="auto"/>
              </w:rPr>
            </w:pPr>
          </w:p>
        </w:tc>
        <w:tc>
          <w:tcPr>
            <w:tcW w:w="1180" w:type="dxa"/>
            <w:vAlign w:val="bottom"/>
            <w:shd w:val="clear" w:color="auto" w:fill="D0D0CE"/>
          </w:tcPr>
          <w:p>
            <w:pPr>
              <w:jc w:val="right"/>
              <w:ind w:right="14"/>
              <w:spacing w:after="0"/>
              <w:rPr>
                <w:sz w:val="20"/>
                <w:szCs w:val="20"/>
                <w:color w:val="auto"/>
              </w:rPr>
            </w:pPr>
            <w:r>
              <w:rPr>
                <w:rFonts w:ascii="Arial" w:cs="Arial" w:eastAsia="Arial" w:hAnsi="Arial"/>
                <w:sz w:val="18"/>
                <w:szCs w:val="18"/>
                <w:color w:val="auto"/>
              </w:rPr>
              <w:t>6,765</w:t>
            </w:r>
          </w:p>
        </w:tc>
        <w:tc>
          <w:tcPr>
            <w:tcW w:w="400" w:type="dxa"/>
            <w:vAlign w:val="bottom"/>
            <w:shd w:val="clear" w:color="auto" w:fill="D0D0CE"/>
          </w:tcPr>
          <w:p>
            <w:pPr>
              <w:spacing w:after="0"/>
              <w:rPr>
                <w:sz w:val="19"/>
                <w:szCs w:val="19"/>
                <w:color w:val="auto"/>
              </w:rPr>
            </w:pPr>
          </w:p>
        </w:tc>
        <w:tc>
          <w:tcPr>
            <w:tcW w:w="1140" w:type="dxa"/>
            <w:vAlign w:val="bottom"/>
            <w:shd w:val="clear" w:color="auto" w:fill="D0D0CE"/>
          </w:tcPr>
          <w:p>
            <w:pPr>
              <w:jc w:val="right"/>
              <w:ind w:right="11"/>
              <w:spacing w:after="0"/>
              <w:rPr>
                <w:sz w:val="20"/>
                <w:szCs w:val="20"/>
                <w:color w:val="auto"/>
              </w:rPr>
            </w:pPr>
            <w:r>
              <w:rPr>
                <w:rFonts w:ascii="Arial" w:cs="Arial" w:eastAsia="Arial" w:hAnsi="Arial"/>
                <w:sz w:val="18"/>
                <w:szCs w:val="18"/>
                <w:color w:val="auto"/>
              </w:rPr>
              <w:t>1,545</w:t>
            </w:r>
          </w:p>
        </w:tc>
        <w:tc>
          <w:tcPr>
            <w:tcW w:w="420" w:type="dxa"/>
            <w:vAlign w:val="bottom"/>
            <w:shd w:val="clear" w:color="auto" w:fill="D0D0CE"/>
          </w:tcPr>
          <w:p>
            <w:pPr>
              <w:spacing w:after="0"/>
              <w:rPr>
                <w:sz w:val="19"/>
                <w:szCs w:val="19"/>
                <w:color w:val="auto"/>
              </w:rPr>
            </w:pPr>
          </w:p>
        </w:tc>
        <w:tc>
          <w:tcPr>
            <w:tcW w:w="1100" w:type="dxa"/>
            <w:vAlign w:val="bottom"/>
            <w:shd w:val="clear" w:color="auto" w:fill="D0D0CE"/>
          </w:tcPr>
          <w:p>
            <w:pPr>
              <w:jc w:val="right"/>
              <w:spacing w:after="0"/>
              <w:rPr>
                <w:sz w:val="20"/>
                <w:szCs w:val="20"/>
                <w:color w:val="auto"/>
              </w:rPr>
            </w:pPr>
            <w:r>
              <w:rPr>
                <w:rFonts w:ascii="Arial" w:cs="Arial" w:eastAsia="Arial" w:hAnsi="Arial"/>
                <w:sz w:val="18"/>
                <w:szCs w:val="18"/>
                <w:color w:val="auto"/>
              </w:rPr>
              <w:t>4,812</w:t>
            </w: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b w:val="1"/>
                <w:bCs w:val="1"/>
                <w:color w:val="auto"/>
              </w:rPr>
              <w:t>Earnings Per Common Share</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3640" w:type="dxa"/>
            <w:vAlign w:val="bottom"/>
            <w:shd w:val="clear" w:color="auto" w:fill="D0D0CE"/>
          </w:tcPr>
          <w:p>
            <w:pPr>
              <w:ind w:left="20"/>
              <w:spacing w:after="0"/>
              <w:rPr>
                <w:sz w:val="20"/>
                <w:szCs w:val="20"/>
                <w:color w:val="auto"/>
              </w:rPr>
            </w:pPr>
            <w:r>
              <w:rPr>
                <w:rFonts w:ascii="Arial" w:cs="Arial" w:eastAsia="Arial" w:hAnsi="Arial"/>
                <w:sz w:val="18"/>
                <w:szCs w:val="18"/>
                <w:color w:val="auto"/>
              </w:rPr>
              <w:t>Earnings from operations:</w:t>
            </w:r>
          </w:p>
        </w:tc>
        <w:tc>
          <w:tcPr>
            <w:tcW w:w="340" w:type="dxa"/>
            <w:vAlign w:val="bottom"/>
            <w:shd w:val="clear" w:color="auto" w:fill="D0D0CE"/>
          </w:tcPr>
          <w:p>
            <w:pPr>
              <w:spacing w:after="0"/>
              <w:rPr>
                <w:sz w:val="19"/>
                <w:szCs w:val="19"/>
                <w:color w:val="auto"/>
              </w:rPr>
            </w:pPr>
          </w:p>
        </w:tc>
        <w:tc>
          <w:tcPr>
            <w:tcW w:w="1100" w:type="dxa"/>
            <w:vAlign w:val="bottom"/>
            <w:shd w:val="clear" w:color="auto" w:fill="D0D0CE"/>
          </w:tcPr>
          <w:p>
            <w:pPr>
              <w:spacing w:after="0"/>
              <w:rPr>
                <w:sz w:val="19"/>
                <w:szCs w:val="19"/>
                <w:color w:val="auto"/>
              </w:rPr>
            </w:pPr>
          </w:p>
        </w:tc>
        <w:tc>
          <w:tcPr>
            <w:tcW w:w="420" w:type="dxa"/>
            <w:vAlign w:val="bottom"/>
            <w:shd w:val="clear" w:color="auto" w:fill="D0D0CE"/>
          </w:tcPr>
          <w:p>
            <w:pPr>
              <w:spacing w:after="0"/>
              <w:rPr>
                <w:sz w:val="19"/>
                <w:szCs w:val="19"/>
                <w:color w:val="auto"/>
              </w:rPr>
            </w:pPr>
          </w:p>
        </w:tc>
        <w:tc>
          <w:tcPr>
            <w:tcW w:w="1120" w:type="dxa"/>
            <w:vAlign w:val="bottom"/>
            <w:shd w:val="clear" w:color="auto" w:fill="D0D0CE"/>
          </w:tcPr>
          <w:p>
            <w:pPr>
              <w:spacing w:after="0"/>
              <w:rPr>
                <w:sz w:val="19"/>
                <w:szCs w:val="19"/>
                <w:color w:val="auto"/>
              </w:rPr>
            </w:pPr>
          </w:p>
        </w:tc>
        <w:tc>
          <w:tcPr>
            <w:tcW w:w="360" w:type="dxa"/>
            <w:vAlign w:val="bottom"/>
            <w:shd w:val="clear" w:color="auto" w:fill="D0D0CE"/>
          </w:tcPr>
          <w:p>
            <w:pPr>
              <w:spacing w:after="0"/>
              <w:rPr>
                <w:sz w:val="19"/>
                <w:szCs w:val="19"/>
                <w:color w:val="auto"/>
              </w:rPr>
            </w:pPr>
          </w:p>
        </w:tc>
        <w:tc>
          <w:tcPr>
            <w:tcW w:w="1180" w:type="dxa"/>
            <w:vAlign w:val="bottom"/>
            <w:shd w:val="clear" w:color="auto" w:fill="D0D0CE"/>
          </w:tcPr>
          <w:p>
            <w:pPr>
              <w:spacing w:after="0"/>
              <w:rPr>
                <w:sz w:val="19"/>
                <w:szCs w:val="19"/>
                <w:color w:val="auto"/>
              </w:rPr>
            </w:pPr>
          </w:p>
        </w:tc>
        <w:tc>
          <w:tcPr>
            <w:tcW w:w="400" w:type="dxa"/>
            <w:vAlign w:val="bottom"/>
            <w:shd w:val="clear" w:color="auto" w:fill="D0D0CE"/>
          </w:tcPr>
          <w:p>
            <w:pPr>
              <w:spacing w:after="0"/>
              <w:rPr>
                <w:sz w:val="19"/>
                <w:szCs w:val="19"/>
                <w:color w:val="auto"/>
              </w:rPr>
            </w:pPr>
          </w:p>
        </w:tc>
        <w:tc>
          <w:tcPr>
            <w:tcW w:w="1140" w:type="dxa"/>
            <w:vAlign w:val="bottom"/>
            <w:shd w:val="clear" w:color="auto" w:fill="D0D0CE"/>
          </w:tcPr>
          <w:p>
            <w:pPr>
              <w:spacing w:after="0"/>
              <w:rPr>
                <w:sz w:val="19"/>
                <w:szCs w:val="19"/>
                <w:color w:val="auto"/>
              </w:rPr>
            </w:pPr>
          </w:p>
        </w:tc>
        <w:tc>
          <w:tcPr>
            <w:tcW w:w="420" w:type="dxa"/>
            <w:vAlign w:val="bottom"/>
            <w:shd w:val="clear" w:color="auto" w:fill="D0D0CE"/>
          </w:tcPr>
          <w:p>
            <w:pPr>
              <w:spacing w:after="0"/>
              <w:rPr>
                <w:sz w:val="19"/>
                <w:szCs w:val="19"/>
                <w:color w:val="auto"/>
              </w:rPr>
            </w:pPr>
          </w:p>
        </w:tc>
        <w:tc>
          <w:tcPr>
            <w:tcW w:w="1100" w:type="dxa"/>
            <w:vAlign w:val="bottom"/>
            <w:shd w:val="clear" w:color="auto" w:fill="D0D0CE"/>
          </w:tcPr>
          <w:p>
            <w:pPr>
              <w:spacing w:after="0"/>
              <w:rPr>
                <w:sz w:val="19"/>
                <w:szCs w:val="19"/>
                <w:color w:val="auto"/>
              </w:rPr>
            </w:pPr>
          </w:p>
        </w:tc>
      </w:tr>
      <w:tr>
        <w:trPr>
          <w:trHeight w:val="229"/>
        </w:trPr>
        <w:tc>
          <w:tcPr>
            <w:tcW w:w="3640" w:type="dxa"/>
            <w:vAlign w:val="bottom"/>
          </w:tcPr>
          <w:p>
            <w:pPr>
              <w:ind w:left="360"/>
              <w:spacing w:after="0"/>
              <w:rPr>
                <w:sz w:val="20"/>
                <w:szCs w:val="20"/>
                <w:color w:val="auto"/>
              </w:rPr>
            </w:pPr>
            <w:r>
              <w:rPr>
                <w:rFonts w:ascii="Arial" w:cs="Arial" w:eastAsia="Arial" w:hAnsi="Arial"/>
                <w:sz w:val="18"/>
                <w:szCs w:val="18"/>
                <w:color w:val="auto"/>
              </w:rPr>
              <w:t>Basic</w:t>
            </w:r>
          </w:p>
        </w:tc>
        <w:tc>
          <w:tcPr>
            <w:tcW w:w="340" w:type="dxa"/>
            <w:vAlign w:val="bottom"/>
          </w:tcPr>
          <w:p>
            <w:pPr>
              <w:spacing w:after="0"/>
              <w:rPr>
                <w:sz w:val="19"/>
                <w:szCs w:val="19"/>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6.79</w:t>
            </w:r>
          </w:p>
        </w:tc>
        <w:tc>
          <w:tcPr>
            <w:tcW w:w="420" w:type="dxa"/>
            <w:vAlign w:val="bottom"/>
          </w:tcPr>
          <w:p>
            <w:pPr>
              <w:spacing w:after="0"/>
              <w:rPr>
                <w:sz w:val="19"/>
                <w:szCs w:val="19"/>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8.52</w:t>
            </w:r>
          </w:p>
        </w:tc>
        <w:tc>
          <w:tcPr>
            <w:tcW w:w="360" w:type="dxa"/>
            <w:vAlign w:val="bottom"/>
          </w:tcPr>
          <w:p>
            <w:pPr>
              <w:spacing w:after="0"/>
              <w:rPr>
                <w:sz w:val="19"/>
                <w:szCs w:val="19"/>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9.10</w:t>
            </w:r>
          </w:p>
        </w:tc>
        <w:tc>
          <w:tcPr>
            <w:tcW w:w="400" w:type="dxa"/>
            <w:vAlign w:val="bottom"/>
          </w:tcPr>
          <w:p>
            <w:pPr>
              <w:spacing w:after="0"/>
              <w:rPr>
                <w:sz w:val="19"/>
                <w:szCs w:val="19"/>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2.03</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6.30</w:t>
            </w:r>
          </w:p>
        </w:tc>
      </w:tr>
      <w:tr>
        <w:trPr>
          <w:trHeight w:val="229"/>
        </w:trPr>
        <w:tc>
          <w:tcPr>
            <w:tcW w:w="3640" w:type="dxa"/>
            <w:vAlign w:val="bottom"/>
            <w:shd w:val="clear" w:color="auto" w:fill="D0D0CE"/>
          </w:tcPr>
          <w:p>
            <w:pPr>
              <w:ind w:left="360"/>
              <w:spacing w:after="0"/>
              <w:rPr>
                <w:sz w:val="20"/>
                <w:szCs w:val="20"/>
                <w:color w:val="auto"/>
              </w:rPr>
            </w:pPr>
            <w:r>
              <w:rPr>
                <w:rFonts w:ascii="Arial" w:cs="Arial" w:eastAsia="Arial" w:hAnsi="Arial"/>
                <w:sz w:val="18"/>
                <w:szCs w:val="18"/>
                <w:color w:val="auto"/>
              </w:rPr>
              <w:t>Assuming dilution</w:t>
            </w:r>
          </w:p>
        </w:tc>
        <w:tc>
          <w:tcPr>
            <w:tcW w:w="340" w:type="dxa"/>
            <w:vAlign w:val="bottom"/>
            <w:shd w:val="clear" w:color="auto" w:fill="D0D0CE"/>
          </w:tcPr>
          <w:p>
            <w:pPr>
              <w:spacing w:after="0"/>
              <w:rPr>
                <w:sz w:val="19"/>
                <w:szCs w:val="19"/>
                <w:color w:val="auto"/>
              </w:rPr>
            </w:pPr>
          </w:p>
        </w:tc>
        <w:tc>
          <w:tcPr>
            <w:tcW w:w="1100" w:type="dxa"/>
            <w:vAlign w:val="bottom"/>
            <w:shd w:val="clear" w:color="auto" w:fill="D0D0CE"/>
          </w:tcPr>
          <w:p>
            <w:pPr>
              <w:jc w:val="right"/>
              <w:ind w:right="11"/>
              <w:spacing w:after="0"/>
              <w:rPr>
                <w:sz w:val="20"/>
                <w:szCs w:val="20"/>
                <w:color w:val="auto"/>
              </w:rPr>
            </w:pPr>
            <w:r>
              <w:rPr>
                <w:rFonts w:ascii="Arial" w:cs="Arial" w:eastAsia="Arial" w:hAnsi="Arial"/>
                <w:sz w:val="18"/>
                <w:szCs w:val="18"/>
                <w:color w:val="auto"/>
              </w:rPr>
              <w:t>6.72</w:t>
            </w:r>
          </w:p>
        </w:tc>
        <w:tc>
          <w:tcPr>
            <w:tcW w:w="420" w:type="dxa"/>
            <w:vAlign w:val="bottom"/>
            <w:shd w:val="clear" w:color="auto" w:fill="D0D0CE"/>
          </w:tcPr>
          <w:p>
            <w:pPr>
              <w:spacing w:after="0"/>
              <w:rPr>
                <w:sz w:val="19"/>
                <w:szCs w:val="19"/>
                <w:color w:val="auto"/>
              </w:rPr>
            </w:pPr>
          </w:p>
        </w:tc>
        <w:tc>
          <w:tcPr>
            <w:tcW w:w="1120" w:type="dxa"/>
            <w:vAlign w:val="bottom"/>
            <w:shd w:val="clear" w:color="auto" w:fill="D0D0CE"/>
          </w:tcPr>
          <w:p>
            <w:pPr>
              <w:jc w:val="right"/>
              <w:ind w:right="14"/>
              <w:spacing w:after="0"/>
              <w:rPr>
                <w:sz w:val="20"/>
                <w:szCs w:val="20"/>
                <w:color w:val="auto"/>
              </w:rPr>
            </w:pPr>
            <w:r>
              <w:rPr>
                <w:rFonts w:ascii="Arial" w:cs="Arial" w:eastAsia="Arial" w:hAnsi="Arial"/>
                <w:sz w:val="18"/>
                <w:szCs w:val="18"/>
                <w:color w:val="auto"/>
              </w:rPr>
              <w:t>8.41</w:t>
            </w:r>
          </w:p>
        </w:tc>
        <w:tc>
          <w:tcPr>
            <w:tcW w:w="360" w:type="dxa"/>
            <w:vAlign w:val="bottom"/>
            <w:shd w:val="clear" w:color="auto" w:fill="D0D0CE"/>
          </w:tcPr>
          <w:p>
            <w:pPr>
              <w:spacing w:after="0"/>
              <w:rPr>
                <w:sz w:val="19"/>
                <w:szCs w:val="19"/>
                <w:color w:val="auto"/>
              </w:rPr>
            </w:pPr>
          </w:p>
        </w:tc>
        <w:tc>
          <w:tcPr>
            <w:tcW w:w="1180" w:type="dxa"/>
            <w:vAlign w:val="bottom"/>
            <w:shd w:val="clear" w:color="auto" w:fill="D0D0CE"/>
          </w:tcPr>
          <w:p>
            <w:pPr>
              <w:jc w:val="right"/>
              <w:ind w:right="14"/>
              <w:spacing w:after="0"/>
              <w:rPr>
                <w:sz w:val="20"/>
                <w:szCs w:val="20"/>
                <w:color w:val="auto"/>
              </w:rPr>
            </w:pPr>
            <w:r>
              <w:rPr>
                <w:rFonts w:ascii="Arial" w:cs="Arial" w:eastAsia="Arial" w:hAnsi="Arial"/>
                <w:sz w:val="18"/>
                <w:szCs w:val="18"/>
                <w:color w:val="auto"/>
              </w:rPr>
              <w:t>8.98</w:t>
            </w:r>
          </w:p>
        </w:tc>
        <w:tc>
          <w:tcPr>
            <w:tcW w:w="400" w:type="dxa"/>
            <w:vAlign w:val="bottom"/>
            <w:shd w:val="clear" w:color="auto" w:fill="D0D0CE"/>
          </w:tcPr>
          <w:p>
            <w:pPr>
              <w:spacing w:after="0"/>
              <w:rPr>
                <w:sz w:val="19"/>
                <w:szCs w:val="19"/>
                <w:color w:val="auto"/>
              </w:rPr>
            </w:pPr>
          </w:p>
        </w:tc>
        <w:tc>
          <w:tcPr>
            <w:tcW w:w="1140" w:type="dxa"/>
            <w:vAlign w:val="bottom"/>
            <w:shd w:val="clear" w:color="auto" w:fill="D0D0CE"/>
          </w:tcPr>
          <w:p>
            <w:pPr>
              <w:jc w:val="right"/>
              <w:ind w:right="11"/>
              <w:spacing w:after="0"/>
              <w:rPr>
                <w:sz w:val="20"/>
                <w:szCs w:val="20"/>
                <w:color w:val="auto"/>
              </w:rPr>
            </w:pPr>
            <w:r>
              <w:rPr>
                <w:rFonts w:ascii="Arial" w:cs="Arial" w:eastAsia="Arial" w:hAnsi="Arial"/>
                <w:sz w:val="18"/>
                <w:szCs w:val="18"/>
                <w:color w:val="auto"/>
              </w:rPr>
              <w:t>2.00</w:t>
            </w:r>
          </w:p>
        </w:tc>
        <w:tc>
          <w:tcPr>
            <w:tcW w:w="420" w:type="dxa"/>
            <w:vAlign w:val="bottom"/>
            <w:shd w:val="clear" w:color="auto" w:fill="D0D0CE"/>
          </w:tcPr>
          <w:p>
            <w:pPr>
              <w:spacing w:after="0"/>
              <w:rPr>
                <w:sz w:val="19"/>
                <w:szCs w:val="19"/>
                <w:color w:val="auto"/>
              </w:rPr>
            </w:pPr>
          </w:p>
        </w:tc>
        <w:tc>
          <w:tcPr>
            <w:tcW w:w="1100" w:type="dxa"/>
            <w:vAlign w:val="bottom"/>
            <w:shd w:val="clear" w:color="auto" w:fill="D0D0CE"/>
          </w:tcPr>
          <w:p>
            <w:pPr>
              <w:jc w:val="right"/>
              <w:spacing w:after="0"/>
              <w:rPr>
                <w:sz w:val="20"/>
                <w:szCs w:val="20"/>
                <w:color w:val="auto"/>
              </w:rPr>
            </w:pPr>
            <w:r>
              <w:rPr>
                <w:rFonts w:ascii="Arial" w:cs="Arial" w:eastAsia="Arial" w:hAnsi="Arial"/>
                <w:sz w:val="18"/>
                <w:szCs w:val="18"/>
                <w:color w:val="auto"/>
              </w:rPr>
              <w:t>6.21</w:t>
            </w: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Dividends per share</w:t>
            </w:r>
          </w:p>
        </w:tc>
        <w:tc>
          <w:tcPr>
            <w:tcW w:w="340" w:type="dxa"/>
            <w:vAlign w:val="bottom"/>
          </w:tcPr>
          <w:p>
            <w:pPr>
              <w:spacing w:after="0"/>
              <w:rPr>
                <w:sz w:val="19"/>
                <w:szCs w:val="19"/>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3.63</w:t>
            </w:r>
          </w:p>
        </w:tc>
        <w:tc>
          <w:tcPr>
            <w:tcW w:w="420" w:type="dxa"/>
            <w:vAlign w:val="bottom"/>
          </w:tcPr>
          <w:p>
            <w:pPr>
              <w:spacing w:after="0"/>
              <w:rPr>
                <w:sz w:val="19"/>
                <w:szCs w:val="19"/>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3.36</w:t>
            </w:r>
          </w:p>
        </w:tc>
        <w:tc>
          <w:tcPr>
            <w:tcW w:w="360" w:type="dxa"/>
            <w:vAlign w:val="bottom"/>
          </w:tcPr>
          <w:p>
            <w:pPr>
              <w:spacing w:after="0"/>
              <w:rPr>
                <w:sz w:val="19"/>
                <w:szCs w:val="19"/>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3.06</w:t>
            </w:r>
          </w:p>
        </w:tc>
        <w:tc>
          <w:tcPr>
            <w:tcW w:w="400" w:type="dxa"/>
            <w:vAlign w:val="bottom"/>
          </w:tcPr>
          <w:p>
            <w:pPr>
              <w:spacing w:after="0"/>
              <w:rPr>
                <w:sz w:val="19"/>
                <w:szCs w:val="19"/>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2.74</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2.45</w:t>
            </w:r>
          </w:p>
        </w:tc>
      </w:tr>
      <w:tr>
        <w:trPr>
          <w:trHeight w:val="229"/>
        </w:trPr>
        <w:tc>
          <w:tcPr>
            <w:tcW w:w="3640" w:type="dxa"/>
            <w:vAlign w:val="bottom"/>
            <w:shd w:val="clear" w:color="auto" w:fill="D0D0CE"/>
          </w:tcPr>
          <w:p>
            <w:pPr>
              <w:ind w:left="20"/>
              <w:spacing w:after="0"/>
              <w:rPr>
                <w:sz w:val="20"/>
                <w:szCs w:val="20"/>
                <w:color w:val="auto"/>
              </w:rPr>
            </w:pPr>
            <w:r>
              <w:rPr>
                <w:rFonts w:ascii="Arial" w:cs="Arial" w:eastAsia="Arial" w:hAnsi="Arial"/>
                <w:sz w:val="18"/>
                <w:szCs w:val="18"/>
                <w:b w:val="1"/>
                <w:bCs w:val="1"/>
                <w:color w:val="auto"/>
              </w:rPr>
              <w:t>Balance Sheet Data</w:t>
            </w:r>
          </w:p>
        </w:tc>
        <w:tc>
          <w:tcPr>
            <w:tcW w:w="340" w:type="dxa"/>
            <w:vAlign w:val="bottom"/>
            <w:shd w:val="clear" w:color="auto" w:fill="D0D0CE"/>
          </w:tcPr>
          <w:p>
            <w:pPr>
              <w:spacing w:after="0"/>
              <w:rPr>
                <w:sz w:val="19"/>
                <w:szCs w:val="19"/>
                <w:color w:val="auto"/>
              </w:rPr>
            </w:pPr>
          </w:p>
        </w:tc>
        <w:tc>
          <w:tcPr>
            <w:tcW w:w="1100" w:type="dxa"/>
            <w:vAlign w:val="bottom"/>
            <w:shd w:val="clear" w:color="auto" w:fill="D0D0CE"/>
          </w:tcPr>
          <w:p>
            <w:pPr>
              <w:spacing w:after="0"/>
              <w:rPr>
                <w:sz w:val="19"/>
                <w:szCs w:val="19"/>
                <w:color w:val="auto"/>
              </w:rPr>
            </w:pPr>
          </w:p>
        </w:tc>
        <w:tc>
          <w:tcPr>
            <w:tcW w:w="420" w:type="dxa"/>
            <w:vAlign w:val="bottom"/>
            <w:shd w:val="clear" w:color="auto" w:fill="D0D0CE"/>
          </w:tcPr>
          <w:p>
            <w:pPr>
              <w:spacing w:after="0"/>
              <w:rPr>
                <w:sz w:val="19"/>
                <w:szCs w:val="19"/>
                <w:color w:val="auto"/>
              </w:rPr>
            </w:pPr>
          </w:p>
        </w:tc>
        <w:tc>
          <w:tcPr>
            <w:tcW w:w="1120" w:type="dxa"/>
            <w:vAlign w:val="bottom"/>
            <w:shd w:val="clear" w:color="auto" w:fill="D0D0CE"/>
          </w:tcPr>
          <w:p>
            <w:pPr>
              <w:spacing w:after="0"/>
              <w:rPr>
                <w:sz w:val="19"/>
                <w:szCs w:val="19"/>
                <w:color w:val="auto"/>
              </w:rPr>
            </w:pPr>
          </w:p>
        </w:tc>
        <w:tc>
          <w:tcPr>
            <w:tcW w:w="360" w:type="dxa"/>
            <w:vAlign w:val="bottom"/>
            <w:shd w:val="clear" w:color="auto" w:fill="D0D0CE"/>
          </w:tcPr>
          <w:p>
            <w:pPr>
              <w:spacing w:after="0"/>
              <w:rPr>
                <w:sz w:val="19"/>
                <w:szCs w:val="19"/>
                <w:color w:val="auto"/>
              </w:rPr>
            </w:pPr>
          </w:p>
        </w:tc>
        <w:tc>
          <w:tcPr>
            <w:tcW w:w="1180" w:type="dxa"/>
            <w:vAlign w:val="bottom"/>
            <w:shd w:val="clear" w:color="auto" w:fill="D0D0CE"/>
          </w:tcPr>
          <w:p>
            <w:pPr>
              <w:spacing w:after="0"/>
              <w:rPr>
                <w:sz w:val="19"/>
                <w:szCs w:val="19"/>
                <w:color w:val="auto"/>
              </w:rPr>
            </w:pPr>
          </w:p>
        </w:tc>
        <w:tc>
          <w:tcPr>
            <w:tcW w:w="400" w:type="dxa"/>
            <w:vAlign w:val="bottom"/>
            <w:shd w:val="clear" w:color="auto" w:fill="D0D0CE"/>
          </w:tcPr>
          <w:p>
            <w:pPr>
              <w:spacing w:after="0"/>
              <w:rPr>
                <w:sz w:val="19"/>
                <w:szCs w:val="19"/>
                <w:color w:val="auto"/>
              </w:rPr>
            </w:pPr>
          </w:p>
        </w:tc>
        <w:tc>
          <w:tcPr>
            <w:tcW w:w="1140" w:type="dxa"/>
            <w:vAlign w:val="bottom"/>
            <w:shd w:val="clear" w:color="auto" w:fill="D0D0CE"/>
          </w:tcPr>
          <w:p>
            <w:pPr>
              <w:spacing w:after="0"/>
              <w:rPr>
                <w:sz w:val="19"/>
                <w:szCs w:val="19"/>
                <w:color w:val="auto"/>
              </w:rPr>
            </w:pPr>
          </w:p>
        </w:tc>
        <w:tc>
          <w:tcPr>
            <w:tcW w:w="420" w:type="dxa"/>
            <w:vAlign w:val="bottom"/>
            <w:shd w:val="clear" w:color="auto" w:fill="D0D0CE"/>
          </w:tcPr>
          <w:p>
            <w:pPr>
              <w:spacing w:after="0"/>
              <w:rPr>
                <w:sz w:val="19"/>
                <w:szCs w:val="19"/>
                <w:color w:val="auto"/>
              </w:rPr>
            </w:pPr>
          </w:p>
        </w:tc>
        <w:tc>
          <w:tcPr>
            <w:tcW w:w="1100" w:type="dxa"/>
            <w:vAlign w:val="bottom"/>
            <w:shd w:val="clear" w:color="auto" w:fill="D0D0CE"/>
          </w:tcPr>
          <w:p>
            <w:pPr>
              <w:spacing w:after="0"/>
              <w:rPr>
                <w:sz w:val="19"/>
                <w:szCs w:val="19"/>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Property, plant and equipment—net</w:t>
            </w:r>
          </w:p>
        </w:tc>
        <w:tc>
          <w:tcPr>
            <w:tcW w:w="340" w:type="dxa"/>
            <w:vAlign w:val="bottom"/>
          </w:tcPr>
          <w:p>
            <w:pPr>
              <w:spacing w:after="0"/>
              <w:rPr>
                <w:sz w:val="19"/>
                <w:szCs w:val="19"/>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5,570</w:t>
            </w:r>
          </w:p>
        </w:tc>
        <w:tc>
          <w:tcPr>
            <w:tcW w:w="420" w:type="dxa"/>
            <w:vAlign w:val="bottom"/>
          </w:tcPr>
          <w:p>
            <w:pPr>
              <w:spacing w:after="0"/>
              <w:rPr>
                <w:sz w:val="19"/>
                <w:szCs w:val="19"/>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5,325</w:t>
            </w:r>
          </w:p>
        </w:tc>
        <w:tc>
          <w:tcPr>
            <w:tcW w:w="360" w:type="dxa"/>
            <w:vAlign w:val="bottom"/>
          </w:tcPr>
          <w:p>
            <w:pPr>
              <w:spacing w:after="0"/>
              <w:rPr>
                <w:sz w:val="19"/>
                <w:szCs w:val="19"/>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5,296</w:t>
            </w:r>
          </w:p>
        </w:tc>
        <w:tc>
          <w:tcPr>
            <w:tcW w:w="400" w:type="dxa"/>
            <w:vAlign w:val="bottom"/>
          </w:tcPr>
          <w:p>
            <w:pPr>
              <w:spacing w:after="0"/>
              <w:rPr>
                <w:sz w:val="19"/>
                <w:szCs w:val="19"/>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5,926</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5,793</w:t>
            </w:r>
          </w:p>
        </w:tc>
      </w:tr>
      <w:tr>
        <w:trPr>
          <w:trHeight w:val="229"/>
        </w:trPr>
        <w:tc>
          <w:tcPr>
            <w:tcW w:w="3640" w:type="dxa"/>
            <w:vAlign w:val="bottom"/>
            <w:shd w:val="clear" w:color="auto" w:fill="D0D0CE"/>
          </w:tcPr>
          <w:p>
            <w:pPr>
              <w:ind w:left="20"/>
              <w:spacing w:after="0"/>
              <w:rPr>
                <w:sz w:val="20"/>
                <w:szCs w:val="20"/>
                <w:color w:val="auto"/>
              </w:rPr>
            </w:pPr>
            <w:r>
              <w:rPr>
                <w:rFonts w:ascii="Arial" w:cs="Arial" w:eastAsia="Arial" w:hAnsi="Arial"/>
                <w:sz w:val="18"/>
                <w:szCs w:val="18"/>
                <w:color w:val="auto"/>
              </w:rPr>
              <w:t>Total assets</w:t>
            </w:r>
          </w:p>
        </w:tc>
        <w:tc>
          <w:tcPr>
            <w:tcW w:w="340" w:type="dxa"/>
            <w:vAlign w:val="bottom"/>
            <w:shd w:val="clear" w:color="auto" w:fill="D0D0CE"/>
          </w:tcPr>
          <w:p>
            <w:pPr>
              <w:spacing w:after="0"/>
              <w:rPr>
                <w:sz w:val="19"/>
                <w:szCs w:val="19"/>
                <w:color w:val="auto"/>
              </w:rPr>
            </w:pPr>
          </w:p>
        </w:tc>
        <w:tc>
          <w:tcPr>
            <w:tcW w:w="1100" w:type="dxa"/>
            <w:vAlign w:val="bottom"/>
            <w:shd w:val="clear" w:color="auto" w:fill="D0D0CE"/>
          </w:tcPr>
          <w:p>
            <w:pPr>
              <w:jc w:val="right"/>
              <w:ind w:right="11"/>
              <w:spacing w:after="0"/>
              <w:rPr>
                <w:sz w:val="20"/>
                <w:szCs w:val="20"/>
                <w:color w:val="auto"/>
              </w:rPr>
            </w:pPr>
            <w:r>
              <w:rPr>
                <w:rFonts w:ascii="Arial" w:cs="Arial" w:eastAsia="Arial" w:hAnsi="Arial"/>
                <w:sz w:val="18"/>
                <w:szCs w:val="18"/>
                <w:color w:val="auto"/>
              </w:rPr>
              <w:t>64,586</w:t>
            </w:r>
          </w:p>
        </w:tc>
        <w:tc>
          <w:tcPr>
            <w:tcW w:w="420" w:type="dxa"/>
            <w:vAlign w:val="bottom"/>
            <w:shd w:val="clear" w:color="auto" w:fill="D0D0CE"/>
          </w:tcPr>
          <w:p>
            <w:pPr>
              <w:spacing w:after="0"/>
              <w:rPr>
                <w:sz w:val="19"/>
                <w:szCs w:val="19"/>
                <w:color w:val="auto"/>
              </w:rPr>
            </w:pPr>
          </w:p>
        </w:tc>
        <w:tc>
          <w:tcPr>
            <w:tcW w:w="1120" w:type="dxa"/>
            <w:vAlign w:val="bottom"/>
            <w:shd w:val="clear" w:color="auto" w:fill="D0D0CE"/>
          </w:tcPr>
          <w:p>
            <w:pPr>
              <w:jc w:val="right"/>
              <w:ind w:right="14"/>
              <w:spacing w:after="0"/>
              <w:rPr>
                <w:sz w:val="20"/>
                <w:szCs w:val="20"/>
                <w:color w:val="auto"/>
              </w:rPr>
            </w:pPr>
            <w:r>
              <w:rPr>
                <w:rFonts w:ascii="Arial" w:cs="Arial" w:eastAsia="Arial" w:hAnsi="Arial"/>
                <w:sz w:val="18"/>
                <w:szCs w:val="18"/>
                <w:color w:val="auto"/>
              </w:rPr>
              <w:t>58,679</w:t>
            </w:r>
          </w:p>
        </w:tc>
        <w:tc>
          <w:tcPr>
            <w:tcW w:w="360" w:type="dxa"/>
            <w:vAlign w:val="bottom"/>
            <w:shd w:val="clear" w:color="auto" w:fill="D0D0CE"/>
          </w:tcPr>
          <w:p>
            <w:pPr>
              <w:spacing w:after="0"/>
              <w:rPr>
                <w:sz w:val="19"/>
                <w:szCs w:val="19"/>
                <w:color w:val="auto"/>
              </w:rPr>
            </w:pPr>
          </w:p>
        </w:tc>
        <w:tc>
          <w:tcPr>
            <w:tcW w:w="1180" w:type="dxa"/>
            <w:vAlign w:val="bottom"/>
            <w:shd w:val="clear" w:color="auto" w:fill="D0D0CE"/>
          </w:tcPr>
          <w:p>
            <w:pPr>
              <w:jc w:val="right"/>
              <w:ind w:right="14"/>
              <w:spacing w:after="0"/>
              <w:rPr>
                <w:sz w:val="20"/>
                <w:szCs w:val="20"/>
                <w:color w:val="auto"/>
              </w:rPr>
            </w:pPr>
            <w:r>
              <w:rPr>
                <w:rFonts w:ascii="Arial" w:cs="Arial" w:eastAsia="Arial" w:hAnsi="Arial"/>
                <w:sz w:val="18"/>
                <w:szCs w:val="18"/>
                <w:color w:val="auto"/>
              </w:rPr>
              <w:t>57,773</w:t>
            </w:r>
          </w:p>
        </w:tc>
        <w:tc>
          <w:tcPr>
            <w:tcW w:w="400" w:type="dxa"/>
            <w:vAlign w:val="bottom"/>
            <w:shd w:val="clear" w:color="auto" w:fill="D0D0CE"/>
          </w:tcPr>
          <w:p>
            <w:pPr>
              <w:spacing w:after="0"/>
              <w:rPr>
                <w:sz w:val="19"/>
                <w:szCs w:val="19"/>
                <w:color w:val="auto"/>
              </w:rPr>
            </w:pPr>
          </w:p>
        </w:tc>
        <w:tc>
          <w:tcPr>
            <w:tcW w:w="1140" w:type="dxa"/>
            <w:vAlign w:val="bottom"/>
            <w:shd w:val="clear" w:color="auto" w:fill="D0D0CE"/>
          </w:tcPr>
          <w:p>
            <w:pPr>
              <w:jc w:val="right"/>
              <w:ind w:right="11"/>
              <w:spacing w:after="0"/>
              <w:rPr>
                <w:sz w:val="20"/>
                <w:szCs w:val="20"/>
                <w:color w:val="auto"/>
              </w:rPr>
            </w:pPr>
            <w:r>
              <w:rPr>
                <w:rFonts w:ascii="Arial" w:cs="Arial" w:eastAsia="Arial" w:hAnsi="Arial"/>
                <w:sz w:val="18"/>
                <w:szCs w:val="18"/>
                <w:color w:val="auto"/>
              </w:rPr>
              <w:t>59,470</w:t>
            </w:r>
          </w:p>
        </w:tc>
        <w:tc>
          <w:tcPr>
            <w:tcW w:w="420" w:type="dxa"/>
            <w:vAlign w:val="bottom"/>
            <w:shd w:val="clear" w:color="auto" w:fill="D0D0CE"/>
          </w:tcPr>
          <w:p>
            <w:pPr>
              <w:spacing w:after="0"/>
              <w:rPr>
                <w:sz w:val="19"/>
                <w:szCs w:val="19"/>
                <w:color w:val="auto"/>
              </w:rPr>
            </w:pPr>
          </w:p>
        </w:tc>
        <w:tc>
          <w:tcPr>
            <w:tcW w:w="1100" w:type="dxa"/>
            <w:vAlign w:val="bottom"/>
            <w:shd w:val="clear" w:color="auto" w:fill="D0D0CE"/>
          </w:tcPr>
          <w:p>
            <w:pPr>
              <w:jc w:val="right"/>
              <w:spacing w:after="0"/>
              <w:rPr>
                <w:sz w:val="20"/>
                <w:szCs w:val="20"/>
                <w:color w:val="auto"/>
              </w:rPr>
            </w:pPr>
            <w:r>
              <w:rPr>
                <w:rFonts w:ascii="Arial" w:cs="Arial" w:eastAsia="Arial" w:hAnsi="Arial"/>
                <w:sz w:val="18"/>
                <w:szCs w:val="18"/>
                <w:color w:val="auto"/>
              </w:rPr>
              <w:t>54,566</w:t>
            </w: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color w:val="auto"/>
              </w:rPr>
              <w:t>Short-term debt</w:t>
            </w:r>
          </w:p>
        </w:tc>
        <w:tc>
          <w:tcPr>
            <w:tcW w:w="340" w:type="dxa"/>
            <w:vAlign w:val="bottom"/>
          </w:tcPr>
          <w:p>
            <w:pPr>
              <w:spacing w:after="0"/>
              <w:rPr>
                <w:sz w:val="19"/>
                <w:szCs w:val="19"/>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6,042</w:t>
            </w:r>
          </w:p>
        </w:tc>
        <w:tc>
          <w:tcPr>
            <w:tcW w:w="420" w:type="dxa"/>
            <w:vAlign w:val="bottom"/>
          </w:tcPr>
          <w:p>
            <w:pPr>
              <w:spacing w:after="0"/>
              <w:rPr>
                <w:sz w:val="19"/>
                <w:szCs w:val="19"/>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4,892</w:t>
            </w:r>
          </w:p>
        </w:tc>
        <w:tc>
          <w:tcPr>
            <w:tcW w:w="360" w:type="dxa"/>
            <w:vAlign w:val="bottom"/>
          </w:tcPr>
          <w:p>
            <w:pPr>
              <w:spacing w:after="0"/>
              <w:rPr>
                <w:sz w:val="19"/>
                <w:szCs w:val="19"/>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6,458</w:t>
            </w:r>
          </w:p>
        </w:tc>
        <w:tc>
          <w:tcPr>
            <w:tcW w:w="400" w:type="dxa"/>
            <w:vAlign w:val="bottom"/>
          </w:tcPr>
          <w:p>
            <w:pPr>
              <w:spacing w:after="0"/>
              <w:rPr>
                <w:sz w:val="19"/>
                <w:szCs w:val="19"/>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5,309</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3,593</w:t>
            </w:r>
          </w:p>
        </w:tc>
      </w:tr>
      <w:tr>
        <w:trPr>
          <w:trHeight w:val="230"/>
        </w:trPr>
        <w:tc>
          <w:tcPr>
            <w:tcW w:w="3640" w:type="dxa"/>
            <w:vAlign w:val="bottom"/>
            <w:shd w:val="clear" w:color="auto" w:fill="D0D0CE"/>
          </w:tcPr>
          <w:p>
            <w:pPr>
              <w:ind w:left="20"/>
              <w:spacing w:after="0"/>
              <w:rPr>
                <w:sz w:val="20"/>
                <w:szCs w:val="20"/>
                <w:color w:val="auto"/>
              </w:rPr>
            </w:pPr>
            <w:r>
              <w:rPr>
                <w:rFonts w:ascii="Arial" w:cs="Arial" w:eastAsia="Arial" w:hAnsi="Arial"/>
                <w:sz w:val="18"/>
                <w:szCs w:val="18"/>
                <w:color w:val="auto"/>
              </w:rPr>
              <w:t>Long-term debt</w:t>
            </w:r>
          </w:p>
        </w:tc>
        <w:tc>
          <w:tcPr>
            <w:tcW w:w="340" w:type="dxa"/>
            <w:vAlign w:val="bottom"/>
            <w:shd w:val="clear" w:color="auto" w:fill="D0D0CE"/>
          </w:tcPr>
          <w:p>
            <w:pPr>
              <w:spacing w:after="0"/>
              <w:rPr>
                <w:sz w:val="19"/>
                <w:szCs w:val="19"/>
                <w:color w:val="auto"/>
              </w:rPr>
            </w:pPr>
          </w:p>
        </w:tc>
        <w:tc>
          <w:tcPr>
            <w:tcW w:w="1100" w:type="dxa"/>
            <w:vAlign w:val="bottom"/>
            <w:shd w:val="clear" w:color="auto" w:fill="D0D0CE"/>
          </w:tcPr>
          <w:p>
            <w:pPr>
              <w:jc w:val="right"/>
              <w:ind w:right="11"/>
              <w:spacing w:after="0"/>
              <w:rPr>
                <w:sz w:val="20"/>
                <w:szCs w:val="20"/>
                <w:color w:val="auto"/>
              </w:rPr>
            </w:pPr>
            <w:r>
              <w:rPr>
                <w:rFonts w:ascii="Arial" w:cs="Arial" w:eastAsia="Arial" w:hAnsi="Arial"/>
                <w:sz w:val="18"/>
                <w:szCs w:val="18"/>
                <w:color w:val="auto"/>
              </w:rPr>
              <w:t>16,342</w:t>
            </w:r>
          </w:p>
        </w:tc>
        <w:tc>
          <w:tcPr>
            <w:tcW w:w="420" w:type="dxa"/>
            <w:vAlign w:val="bottom"/>
            <w:shd w:val="clear" w:color="auto" w:fill="D0D0CE"/>
          </w:tcPr>
          <w:p>
            <w:pPr>
              <w:spacing w:after="0"/>
              <w:rPr>
                <w:sz w:val="19"/>
                <w:szCs w:val="19"/>
                <w:color w:val="auto"/>
              </w:rPr>
            </w:pPr>
          </w:p>
        </w:tc>
        <w:tc>
          <w:tcPr>
            <w:tcW w:w="1120" w:type="dxa"/>
            <w:vAlign w:val="bottom"/>
            <w:shd w:val="clear" w:color="auto" w:fill="D0D0CE"/>
          </w:tcPr>
          <w:p>
            <w:pPr>
              <w:jc w:val="right"/>
              <w:ind w:right="14"/>
              <w:spacing w:after="0"/>
              <w:rPr>
                <w:sz w:val="20"/>
                <w:szCs w:val="20"/>
                <w:color w:val="auto"/>
              </w:rPr>
            </w:pPr>
            <w:r>
              <w:rPr>
                <w:rFonts w:ascii="Arial" w:cs="Arial" w:eastAsia="Arial" w:hAnsi="Arial"/>
                <w:sz w:val="18"/>
                <w:szCs w:val="18"/>
                <w:color w:val="auto"/>
              </w:rPr>
              <w:t>11,110</w:t>
            </w:r>
          </w:p>
        </w:tc>
        <w:tc>
          <w:tcPr>
            <w:tcW w:w="360" w:type="dxa"/>
            <w:vAlign w:val="bottom"/>
            <w:shd w:val="clear" w:color="auto" w:fill="D0D0CE"/>
          </w:tcPr>
          <w:p>
            <w:pPr>
              <w:spacing w:after="0"/>
              <w:rPr>
                <w:sz w:val="19"/>
                <w:szCs w:val="19"/>
                <w:color w:val="auto"/>
              </w:rPr>
            </w:pPr>
          </w:p>
        </w:tc>
        <w:tc>
          <w:tcPr>
            <w:tcW w:w="1180" w:type="dxa"/>
            <w:vAlign w:val="bottom"/>
            <w:shd w:val="clear" w:color="auto" w:fill="D0D0CE"/>
          </w:tcPr>
          <w:p>
            <w:pPr>
              <w:jc w:val="right"/>
              <w:ind w:right="14"/>
              <w:spacing w:after="0"/>
              <w:rPr>
                <w:sz w:val="20"/>
                <w:szCs w:val="20"/>
                <w:color w:val="auto"/>
              </w:rPr>
            </w:pPr>
            <w:r>
              <w:rPr>
                <w:rFonts w:ascii="Arial" w:cs="Arial" w:eastAsia="Arial" w:hAnsi="Arial"/>
                <w:sz w:val="18"/>
                <w:szCs w:val="18"/>
                <w:color w:val="auto"/>
              </w:rPr>
              <w:t>9,756</w:t>
            </w:r>
          </w:p>
        </w:tc>
        <w:tc>
          <w:tcPr>
            <w:tcW w:w="400" w:type="dxa"/>
            <w:vAlign w:val="bottom"/>
            <w:shd w:val="clear" w:color="auto" w:fill="D0D0CE"/>
          </w:tcPr>
          <w:p>
            <w:pPr>
              <w:spacing w:after="0"/>
              <w:rPr>
                <w:sz w:val="19"/>
                <w:szCs w:val="19"/>
                <w:color w:val="auto"/>
              </w:rPr>
            </w:pPr>
          </w:p>
        </w:tc>
        <w:tc>
          <w:tcPr>
            <w:tcW w:w="1140" w:type="dxa"/>
            <w:vAlign w:val="bottom"/>
            <w:shd w:val="clear" w:color="auto" w:fill="D0D0CE"/>
          </w:tcPr>
          <w:p>
            <w:pPr>
              <w:jc w:val="right"/>
              <w:ind w:right="11"/>
              <w:spacing w:after="0"/>
              <w:rPr>
                <w:sz w:val="20"/>
                <w:szCs w:val="20"/>
                <w:color w:val="auto"/>
              </w:rPr>
            </w:pPr>
            <w:r>
              <w:rPr>
                <w:rFonts w:ascii="Arial" w:cs="Arial" w:eastAsia="Arial" w:hAnsi="Arial"/>
                <w:sz w:val="18"/>
                <w:szCs w:val="18"/>
                <w:color w:val="auto"/>
              </w:rPr>
              <w:t>12,573</w:t>
            </w:r>
          </w:p>
        </w:tc>
        <w:tc>
          <w:tcPr>
            <w:tcW w:w="420" w:type="dxa"/>
            <w:vAlign w:val="bottom"/>
            <w:shd w:val="clear" w:color="auto" w:fill="D0D0CE"/>
          </w:tcPr>
          <w:p>
            <w:pPr>
              <w:spacing w:after="0"/>
              <w:rPr>
                <w:sz w:val="19"/>
                <w:szCs w:val="19"/>
                <w:color w:val="auto"/>
              </w:rPr>
            </w:pPr>
          </w:p>
        </w:tc>
        <w:tc>
          <w:tcPr>
            <w:tcW w:w="1100" w:type="dxa"/>
            <w:vAlign w:val="bottom"/>
            <w:shd w:val="clear" w:color="auto" w:fill="D0D0CE"/>
          </w:tcPr>
          <w:p>
            <w:pPr>
              <w:jc w:val="right"/>
              <w:spacing w:after="0"/>
              <w:rPr>
                <w:sz w:val="20"/>
                <w:szCs w:val="20"/>
                <w:color w:val="auto"/>
              </w:rPr>
            </w:pPr>
            <w:r>
              <w:rPr>
                <w:rFonts w:ascii="Arial" w:cs="Arial" w:eastAsia="Arial" w:hAnsi="Arial"/>
                <w:sz w:val="18"/>
                <w:szCs w:val="18"/>
                <w:color w:val="auto"/>
              </w:rPr>
              <w:t>12,182</w:t>
            </w: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color w:val="auto"/>
              </w:rPr>
              <w:t>Total debt</w:t>
            </w:r>
          </w:p>
        </w:tc>
        <w:tc>
          <w:tcPr>
            <w:tcW w:w="340" w:type="dxa"/>
            <w:vAlign w:val="bottom"/>
          </w:tcPr>
          <w:p>
            <w:pPr>
              <w:spacing w:after="0"/>
              <w:rPr>
                <w:sz w:val="19"/>
                <w:szCs w:val="19"/>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22,384</w:t>
            </w:r>
          </w:p>
        </w:tc>
        <w:tc>
          <w:tcPr>
            <w:tcW w:w="420" w:type="dxa"/>
            <w:vAlign w:val="bottom"/>
          </w:tcPr>
          <w:p>
            <w:pPr>
              <w:spacing w:after="0"/>
              <w:rPr>
                <w:sz w:val="19"/>
                <w:szCs w:val="19"/>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16,002</w:t>
            </w:r>
          </w:p>
        </w:tc>
        <w:tc>
          <w:tcPr>
            <w:tcW w:w="360" w:type="dxa"/>
            <w:vAlign w:val="bottom"/>
          </w:tcPr>
          <w:p>
            <w:pPr>
              <w:spacing w:after="0"/>
              <w:rPr>
                <w:sz w:val="19"/>
                <w:szCs w:val="19"/>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16,214</w:t>
            </w:r>
          </w:p>
        </w:tc>
        <w:tc>
          <w:tcPr>
            <w:tcW w:w="400" w:type="dxa"/>
            <w:vAlign w:val="bottom"/>
          </w:tcPr>
          <w:p>
            <w:pPr>
              <w:spacing w:after="0"/>
              <w:rPr>
                <w:sz w:val="19"/>
                <w:szCs w:val="19"/>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17,882</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15,775</w:t>
            </w:r>
          </w:p>
        </w:tc>
      </w:tr>
      <w:tr>
        <w:trPr>
          <w:trHeight w:val="230"/>
        </w:trPr>
        <w:tc>
          <w:tcPr>
            <w:tcW w:w="3640" w:type="dxa"/>
            <w:vAlign w:val="bottom"/>
            <w:shd w:val="clear" w:color="auto" w:fill="D0D0CE"/>
          </w:tcPr>
          <w:p>
            <w:pPr>
              <w:ind w:left="20"/>
              <w:spacing w:after="0"/>
              <w:rPr>
                <w:sz w:val="20"/>
                <w:szCs w:val="20"/>
                <w:color w:val="auto"/>
              </w:rPr>
            </w:pPr>
            <w:r>
              <w:rPr>
                <w:rFonts w:ascii="Arial" w:cs="Arial" w:eastAsia="Arial" w:hAnsi="Arial"/>
                <w:sz w:val="18"/>
                <w:szCs w:val="18"/>
                <w:color w:val="auto"/>
              </w:rPr>
              <w:t>Redeemable noncontrolling interest</w:t>
            </w:r>
          </w:p>
        </w:tc>
        <w:tc>
          <w:tcPr>
            <w:tcW w:w="340" w:type="dxa"/>
            <w:vAlign w:val="bottom"/>
            <w:shd w:val="clear" w:color="auto" w:fill="D0D0CE"/>
          </w:tcPr>
          <w:p>
            <w:pPr>
              <w:spacing w:after="0"/>
              <w:rPr>
                <w:sz w:val="19"/>
                <w:szCs w:val="19"/>
                <w:color w:val="auto"/>
              </w:rPr>
            </w:pPr>
          </w:p>
        </w:tc>
        <w:tc>
          <w:tcPr>
            <w:tcW w:w="1100" w:type="dxa"/>
            <w:vAlign w:val="bottom"/>
            <w:shd w:val="clear" w:color="auto" w:fill="D0D0CE"/>
          </w:tcPr>
          <w:p>
            <w:pPr>
              <w:jc w:val="right"/>
              <w:ind w:right="11"/>
              <w:spacing w:after="0"/>
              <w:rPr>
                <w:sz w:val="20"/>
                <w:szCs w:val="20"/>
                <w:color w:val="auto"/>
              </w:rPr>
            </w:pPr>
            <w:r>
              <w:rPr>
                <w:rFonts w:ascii="Arial" w:cs="Arial" w:eastAsia="Arial" w:hAnsi="Arial"/>
                <w:sz w:val="18"/>
                <w:szCs w:val="18"/>
                <w:color w:val="auto"/>
              </w:rPr>
              <w:t>7</w:t>
            </w:r>
          </w:p>
        </w:tc>
        <w:tc>
          <w:tcPr>
            <w:tcW w:w="420" w:type="dxa"/>
            <w:vAlign w:val="bottom"/>
            <w:shd w:val="clear" w:color="auto" w:fill="D0D0CE"/>
          </w:tcPr>
          <w:p>
            <w:pPr>
              <w:spacing w:after="0"/>
              <w:rPr>
                <w:sz w:val="19"/>
                <w:szCs w:val="19"/>
                <w:color w:val="auto"/>
              </w:rPr>
            </w:pPr>
          </w:p>
        </w:tc>
        <w:tc>
          <w:tcPr>
            <w:tcW w:w="1120" w:type="dxa"/>
            <w:vAlign w:val="bottom"/>
            <w:shd w:val="clear" w:color="auto" w:fill="D0D0CE"/>
          </w:tcPr>
          <w:p>
            <w:pPr>
              <w:jc w:val="right"/>
              <w:ind w:right="14"/>
              <w:spacing w:after="0"/>
              <w:rPr>
                <w:sz w:val="20"/>
                <w:szCs w:val="20"/>
                <w:color w:val="auto"/>
              </w:rPr>
            </w:pPr>
            <w:r>
              <w:rPr>
                <w:rFonts w:ascii="Arial" w:cs="Arial" w:eastAsia="Arial" w:hAnsi="Arial"/>
                <w:sz w:val="18"/>
                <w:szCs w:val="18"/>
                <w:color w:val="auto"/>
              </w:rPr>
              <w:t>7</w:t>
            </w:r>
          </w:p>
        </w:tc>
        <w:tc>
          <w:tcPr>
            <w:tcW w:w="360" w:type="dxa"/>
            <w:vAlign w:val="bottom"/>
            <w:shd w:val="clear" w:color="auto" w:fill="D0D0CE"/>
          </w:tcPr>
          <w:p>
            <w:pPr>
              <w:spacing w:after="0"/>
              <w:rPr>
                <w:sz w:val="19"/>
                <w:szCs w:val="19"/>
                <w:color w:val="auto"/>
              </w:rPr>
            </w:pPr>
          </w:p>
        </w:tc>
        <w:tc>
          <w:tcPr>
            <w:tcW w:w="1180" w:type="dxa"/>
            <w:vAlign w:val="bottom"/>
            <w:shd w:val="clear" w:color="auto" w:fill="D0D0CE"/>
          </w:tcPr>
          <w:p>
            <w:pPr>
              <w:jc w:val="right"/>
              <w:ind w:right="14"/>
              <w:spacing w:after="0"/>
              <w:rPr>
                <w:sz w:val="20"/>
                <w:szCs w:val="20"/>
                <w:color w:val="auto"/>
              </w:rPr>
            </w:pPr>
            <w:r>
              <w:rPr>
                <w:rFonts w:ascii="Arial" w:cs="Arial" w:eastAsia="Arial" w:hAnsi="Arial"/>
                <w:sz w:val="18"/>
                <w:szCs w:val="18"/>
                <w:color w:val="auto"/>
              </w:rPr>
              <w:t>7</w:t>
            </w:r>
          </w:p>
        </w:tc>
        <w:tc>
          <w:tcPr>
            <w:tcW w:w="400" w:type="dxa"/>
            <w:vAlign w:val="bottom"/>
            <w:shd w:val="clear" w:color="auto" w:fill="D0D0CE"/>
          </w:tcPr>
          <w:p>
            <w:pPr>
              <w:spacing w:after="0"/>
              <w:rPr>
                <w:sz w:val="19"/>
                <w:szCs w:val="19"/>
                <w:color w:val="auto"/>
              </w:rPr>
            </w:pPr>
          </w:p>
        </w:tc>
        <w:tc>
          <w:tcPr>
            <w:tcW w:w="1140" w:type="dxa"/>
            <w:vAlign w:val="bottom"/>
            <w:shd w:val="clear" w:color="auto" w:fill="D0D0CE"/>
          </w:tcPr>
          <w:p>
            <w:pPr>
              <w:jc w:val="right"/>
              <w:ind w:right="11"/>
              <w:spacing w:after="0"/>
              <w:rPr>
                <w:sz w:val="20"/>
                <w:szCs w:val="20"/>
                <w:color w:val="auto"/>
              </w:rPr>
            </w:pPr>
            <w:r>
              <w:rPr>
                <w:rFonts w:ascii="Arial" w:cs="Arial" w:eastAsia="Arial" w:hAnsi="Arial"/>
                <w:sz w:val="18"/>
                <w:szCs w:val="18"/>
                <w:color w:val="auto"/>
              </w:rPr>
              <w:t>5</w:t>
            </w:r>
          </w:p>
        </w:tc>
        <w:tc>
          <w:tcPr>
            <w:tcW w:w="420" w:type="dxa"/>
            <w:vAlign w:val="bottom"/>
            <w:shd w:val="clear" w:color="auto" w:fill="D0D0CE"/>
          </w:tcPr>
          <w:p>
            <w:pPr>
              <w:spacing w:after="0"/>
              <w:rPr>
                <w:sz w:val="19"/>
                <w:szCs w:val="19"/>
                <w:color w:val="auto"/>
              </w:rPr>
            </w:pPr>
          </w:p>
        </w:tc>
        <w:tc>
          <w:tcPr>
            <w:tcW w:w="1100" w:type="dxa"/>
            <w:vAlign w:val="bottom"/>
            <w:shd w:val="clear" w:color="auto" w:fill="D0D0CE"/>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Shareowners’ equity</w:t>
            </w:r>
          </w:p>
        </w:tc>
        <w:tc>
          <w:tcPr>
            <w:tcW w:w="340" w:type="dxa"/>
            <w:vAlign w:val="bottom"/>
          </w:tcPr>
          <w:p>
            <w:pPr>
              <w:spacing w:after="0"/>
              <w:rPr>
                <w:sz w:val="19"/>
                <w:szCs w:val="19"/>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17,790</w:t>
            </w:r>
          </w:p>
        </w:tc>
        <w:tc>
          <w:tcPr>
            <w:tcW w:w="420" w:type="dxa"/>
            <w:vAlign w:val="bottom"/>
          </w:tcPr>
          <w:p>
            <w:pPr>
              <w:spacing w:after="0"/>
              <w:rPr>
                <w:sz w:val="19"/>
                <w:szCs w:val="19"/>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18,706</w:t>
            </w:r>
          </w:p>
        </w:tc>
        <w:tc>
          <w:tcPr>
            <w:tcW w:w="360" w:type="dxa"/>
            <w:vAlign w:val="bottom"/>
          </w:tcPr>
          <w:p>
            <w:pPr>
              <w:spacing w:after="0"/>
              <w:rPr>
                <w:sz w:val="19"/>
                <w:szCs w:val="19"/>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18,358</w:t>
            </w:r>
          </w:p>
        </w:tc>
        <w:tc>
          <w:tcPr>
            <w:tcW w:w="400" w:type="dxa"/>
            <w:vAlign w:val="bottom"/>
          </w:tcPr>
          <w:p>
            <w:pPr>
              <w:spacing w:after="0"/>
              <w:rPr>
                <w:sz w:val="19"/>
                <w:szCs w:val="19"/>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16,665</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18,883</w:t>
            </w:r>
          </w:p>
        </w:tc>
      </w:tr>
    </w:tbl>
    <w:p>
      <w:pPr>
        <w:spacing w:after="0" w:line="107" w:lineRule="exact"/>
        <w:rPr>
          <w:sz w:val="20"/>
          <w:szCs w:val="20"/>
          <w:color w:val="auto"/>
        </w:rPr>
      </w:pPr>
    </w:p>
    <w:p>
      <w:pPr>
        <w:ind w:left="340" w:hanging="332"/>
        <w:spacing w:after="0" w:line="250" w:lineRule="auto"/>
        <w:tabs>
          <w:tab w:leader="none" w:pos="357" w:val="left"/>
        </w:tabs>
        <w:numPr>
          <w:ilvl w:val="0"/>
          <w:numId w:val="6"/>
        </w:numPr>
        <w:rPr>
          <w:rFonts w:ascii="Arial" w:cs="Arial" w:eastAsia="Arial" w:hAnsi="Arial"/>
          <w:sz w:val="18"/>
          <w:szCs w:val="18"/>
          <w:color w:val="auto"/>
        </w:rPr>
      </w:pPr>
      <w:r>
        <w:rPr>
          <w:rFonts w:ascii="Arial" w:cs="Arial" w:eastAsia="Arial" w:hAnsi="Arial"/>
          <w:sz w:val="18"/>
          <w:szCs w:val="18"/>
          <w:color w:val="auto"/>
        </w:rPr>
        <w:t>2018 and 2017 Net Income attributable to Honeywell and Earnings Per Common Share were impacted by the U.S. Tax Cuts and Jobs Act.</w:t>
      </w:r>
    </w:p>
    <w:p>
      <w:pPr>
        <w:ind w:left="340" w:hanging="332"/>
        <w:spacing w:after="0" w:line="261" w:lineRule="auto"/>
        <w:tabs>
          <w:tab w:leader="none" w:pos="33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results of operations for the Transportation Systems and Homes and Global Distribution businesses are included in the Consolidated Statement of Operations through the effective dates of the respective spin-offs, which occurred in 2018.</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8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185" w:lineRule="exact"/>
        <w:rPr>
          <w:sz w:val="20"/>
          <w:szCs w:val="20"/>
          <w:color w:val="auto"/>
        </w:rPr>
      </w:pPr>
    </w:p>
    <w:p>
      <w:pPr>
        <w:ind w:right="280"/>
        <w:spacing w:after="0" w:line="278" w:lineRule="auto"/>
        <w:rPr>
          <w:sz w:val="20"/>
          <w:szCs w:val="20"/>
          <w:color w:val="auto"/>
        </w:rPr>
      </w:pPr>
      <w:r>
        <w:rPr>
          <w:rFonts w:ascii="Arial" w:cs="Arial" w:eastAsia="Arial" w:hAnsi="Arial"/>
          <w:sz w:val="29"/>
          <w:szCs w:val="29"/>
          <w:b w:val="1"/>
          <w:bCs w:val="1"/>
          <w:color w:val="DC202E"/>
        </w:rPr>
        <w:t>MANAGEMENT'S DISCUSSION AND ANALYSIS OF FINANCIAL CONDITION AND RESULTS OF OPERATIONS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tables and graphs in millions)</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is intended to help the reader understand the results of operations and financial condition of Honeywell International Inc. and its consolidated subsidiaries (Honeywell or the Company) for the three years ended December 31, 2020. All references to Notes relate to Notes to Consolidated Financial Statements in the section titled Financial Statements and Supplementary Data.</w:t>
      </w:r>
    </w:p>
    <w:p>
      <w:pPr>
        <w:spacing w:after="0" w:line="9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October 1, 2018, we completed the tax-free spin-off to Honeywell shareowners of our Transportation Systems business, previously part of Aerospace, into a standalone publicly-traded company, Garrett Motion Inc. (Garrett).</w:t>
      </w:r>
    </w:p>
    <w:p>
      <w:pPr>
        <w:spacing w:after="0" w:line="9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October 29, 2018, we completed the tax-free spin-off to Honeywell shareowners of our Homes and Global Distribution business, previously part of Home and Building Technologies (renamed Honeywell Building Technologies following the spin-off), into a standalone publicly-traded company, Resideo Technologies, Inc. (Resideo).</w:t>
      </w:r>
    </w:p>
    <w:p>
      <w:pPr>
        <w:spacing w:after="0" w:line="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removed the assets and liabilities associated with Garrett and Resideo from our Consolidated Balance Sheet as of the effective dates of the respective spin-offs. We included the results of operations for Garrett and Resideo in our Consolidated Statement of Operations through the effective dates of the respective spin-offs. Total sales attributable to these spin-offs were $6.6 billion for the year ended December 31, 2018.</w:t>
      </w:r>
    </w:p>
    <w:p>
      <w:pPr>
        <w:spacing w:after="0" w:line="96" w:lineRule="exact"/>
        <w:rPr>
          <w:sz w:val="20"/>
          <w:szCs w:val="20"/>
          <w:color w:val="auto"/>
        </w:rPr>
      </w:pPr>
    </w:p>
    <w:p>
      <w:pPr>
        <w:jc w:val="both"/>
        <w:spacing w:after="0" w:line="256" w:lineRule="auto"/>
        <w:rPr>
          <w:rFonts w:ascii="Arial" w:cs="Arial" w:eastAsia="Arial" w:hAnsi="Arial"/>
          <w:sz w:val="18"/>
          <w:szCs w:val="18"/>
          <w:color w:val="0000FF"/>
        </w:rPr>
      </w:pPr>
      <w:r>
        <w:rPr>
          <w:rFonts w:ascii="Arial" w:cs="Arial" w:eastAsia="Arial" w:hAnsi="Arial"/>
          <w:sz w:val="18"/>
          <w:szCs w:val="18"/>
          <w:color w:val="auto"/>
        </w:rPr>
        <w:t xml:space="preserve">A detailed discussion of the prior year 2019 to 2018 year-over-year changes are not included herein and can be found in the Management's </w:t>
      </w:r>
      <w:hyperlink r:id="rId24">
        <w:r>
          <w:rPr>
            <w:rFonts w:ascii="Arial" w:cs="Arial" w:eastAsia="Arial" w:hAnsi="Arial"/>
            <w:sz w:val="18"/>
            <w:szCs w:val="18"/>
            <w:color w:val="auto"/>
          </w:rPr>
          <w:t xml:space="preserve">Discussion and Analysis of Financial Condition and Results of Operations section in the 2019 </w:t>
        </w:r>
        <w:r>
          <w:rPr>
            <w:rFonts w:ascii="Arial" w:cs="Arial" w:eastAsia="Arial" w:hAnsi="Arial"/>
            <w:sz w:val="18"/>
            <w:szCs w:val="18"/>
            <w:u w:val="single" w:color="auto"/>
            <w:color w:val="0000FF"/>
          </w:rPr>
          <w:t>Annual Report on Form 10-K filed February 14,</w:t>
        </w:r>
      </w:hyperlink>
      <w:r>
        <w:rPr>
          <w:rFonts w:ascii="Arial" w:cs="Arial" w:eastAsia="Arial" w:hAnsi="Arial"/>
          <w:sz w:val="18"/>
          <w:szCs w:val="18"/>
          <w:color w:val="auto"/>
        </w:rPr>
        <w:t xml:space="preserve"> </w:t>
      </w:r>
      <w:hyperlink r:id="rId24">
        <w:r>
          <w:rPr>
            <w:rFonts w:ascii="Arial" w:cs="Arial" w:eastAsia="Arial" w:hAnsi="Arial"/>
            <w:sz w:val="18"/>
            <w:szCs w:val="18"/>
            <w:u w:val="single" w:color="auto"/>
            <w:color w:val="0000FF"/>
          </w:rPr>
          <w:t>2020</w:t>
        </w:r>
        <w:r>
          <w:rPr>
            <w:rFonts w:ascii="Arial" w:cs="Arial" w:eastAsia="Arial" w:hAnsi="Arial"/>
            <w:sz w:val="18"/>
            <w:szCs w:val="18"/>
            <w:color w:val="000000"/>
          </w:rPr>
          <w:t>.</w:t>
        </w:r>
      </w:hyperlink>
    </w:p>
    <w:p>
      <w:pPr>
        <w:spacing w:after="0" w:line="28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COVID-19 UPDATE</w:t>
      </w:r>
    </w:p>
    <w:p>
      <w:pPr>
        <w:spacing w:after="0" w:line="1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December 2019, a novel strain of coronavirus (COVID-19) was identified in Asia. Over the next several months, COVID-19 quickly spread across the world. In March 2020, the World Health Organization declared COVID-19 a worldwide pandemic. As of December 31, 2020, the virus continues to spread and many countries are experiencing a resurgence in infection rates. Although vaccines have recently been made available, the availability and distribution of the vaccines continue to provide challenges.</w:t>
      </w:r>
    </w:p>
    <w:p>
      <w:pPr>
        <w:spacing w:after="0" w:line="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Governments took unprecedented actions to contain the spread of COVID-19, temporarily shutting down non-essential businesses, issuing stay at home or “shelter in place” orders and asking citizens to avoid all non-essential travel. In certain situations, governments closed borders and issued mandatory quarantines. Companies were asked, and in many cases were required, to allow non-essential employees to work remotely. Consumer spending declined, global travel demand declined significantly, and the world entered a global recession.</w:t>
      </w:r>
    </w:p>
    <w:p>
      <w:pPr>
        <w:spacing w:after="0" w:line="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These events impacted our business operations in multiple ways. In the first quarter of 2020, we quickly responded to the changing environment. In January 2020, we implemented policies in select countries within Asia to restrict travel and require employees to work from home for all roles that allow for remote work. In March 2020, we expanded this work from home policy to include our employees worldwide. We introduced appropriate safety and hygiene protocols to enable our manufacturing employees to operate safely through the pandemic. We actively monitored the changing government rules and regulations for each of our locations worldwide.</w:t>
      </w:r>
    </w:p>
    <w:p>
      <w:pPr>
        <w:spacing w:after="0" w:line="9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We remain cautious as many factors remain unpredictable, including the increasing rate of COVID-19 infections. We continue to monitor COVID-19 infection rates globally and acknowledge the risk of new surges in COVID-19 infections.</w:t>
      </w:r>
    </w:p>
    <w:p>
      <w:pPr>
        <w:spacing w:after="0" w:line="9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prepared procedures for the phased return of our employees to office sites and trained our local site leaders in the appropriate safety and hygiene protocols. As of December 31, 2020, all of our manufacturing sites continue to operate and, outside of India, most of our employees in Asia have returned to the workplace in some capacity. We also returned small numbers of workers to select office sites within Europe and North America. In many countries, including the U.S., most of our non-manufacturing employees continue to work from home (for all roles that allow for remote work).</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9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1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global recession resulted in a slow-down in demand for many of the products and services that we offer. The impact on each of our businesses is outlined below:</w:t>
      </w:r>
    </w:p>
    <w:p>
      <w:pPr>
        <w:spacing w:after="0" w:line="68" w:lineRule="exact"/>
        <w:rPr>
          <w:sz w:val="20"/>
          <w:szCs w:val="20"/>
          <w:color w:val="auto"/>
        </w:rPr>
      </w:pPr>
    </w:p>
    <w:p>
      <w:pPr>
        <w:jc w:val="both"/>
        <w:ind w:left="660" w:hanging="328"/>
        <w:spacing w:after="0" w:line="268"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Aerospace </w:t>
      </w:r>
      <w:r>
        <w:rPr>
          <w:rFonts w:ascii="Arial" w:cs="Arial" w:eastAsia="Arial" w:hAnsi="Arial"/>
          <w:sz w:val="18"/>
          <w:szCs w:val="18"/>
          <w:color w:val="auto"/>
        </w:rPr>
        <w:t>– The decline in global travel negatively impacted many of our customers, resulting in lower demand for our products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OEMs and negatively impacted demand for our commercial aftermarket businesses. As a result, this segment's sales and profits declined for the year ended December 31, 2020, compared to the year ended December 31, 2019.</w:t>
      </w:r>
    </w:p>
    <w:p>
      <w:pPr>
        <w:spacing w:after="0" w:line="8"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Performance Materials and Technologies </w:t>
      </w:r>
      <w:r>
        <w:rPr>
          <w:rFonts w:ascii="Arial" w:cs="Arial" w:eastAsia="Arial" w:hAnsi="Arial"/>
          <w:sz w:val="18"/>
          <w:szCs w:val="18"/>
          <w:color w:val="auto"/>
        </w:rPr>
        <w:t>– Many of our customers operate in the oil and gas industry. The decline in global travel,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coupled with excessive oil and gas supply, negatively impacted many of our customers and resulted in lower demand for our products. As a result, this segment's sales and profits declined for the year ended December 31, 2020, compared to the year ended December 31, 2019.</w:t>
      </w:r>
    </w:p>
    <w:p>
      <w:pPr>
        <w:spacing w:after="0" w:line="14"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Honeywell Building Technologies </w:t>
      </w:r>
      <w:r>
        <w:rPr>
          <w:rFonts w:ascii="Arial" w:cs="Arial" w:eastAsia="Arial" w:hAnsi="Arial"/>
          <w:sz w:val="18"/>
          <w:szCs w:val="18"/>
          <w:color w:val="auto"/>
        </w:rPr>
        <w:t>– Our customers own or manage buildings in a variety of industries including commercial real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estate, hospitality, government, healthcare, banking and education. The global recession impacted many of these industries, resulting in a reduction of discretionary spending. As a result, this segment's sales and profits declined for the year ended December 31, 2020, compared to the year ended December 31, 2019.</w:t>
      </w:r>
    </w:p>
    <w:p>
      <w:pPr>
        <w:spacing w:after="0" w:line="14"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Safety and Productivity Solutions </w:t>
      </w:r>
      <w:r>
        <w:rPr>
          <w:rFonts w:ascii="Arial" w:cs="Arial" w:eastAsia="Arial" w:hAnsi="Arial"/>
          <w:sz w:val="18"/>
          <w:szCs w:val="18"/>
          <w:color w:val="auto"/>
        </w:rPr>
        <w:t>– The global pandemic created significant demand for our respiratory PPE and warehouse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automation driving increases in this segment's sales and profits for the year ended December 31, 2020, compared to the year ended December 31, 2019.</w:t>
      </w:r>
    </w:p>
    <w:p>
      <w:pPr>
        <w:spacing w:after="0" w:line="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a result of the slowdown in demand for our products, we implemented several cost reduction programs across our enterprise. We canceled our 2020 merit increases and reduced executive and Board of Director compensation. We initiated reduced work schedules across the company and implemented permanent census reductions.</w:t>
      </w:r>
    </w:p>
    <w:p>
      <w:pPr>
        <w:spacing w:after="0" w:line="9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also took several steps to secure additional liquidity. In March 2020, we entered into a $6.0 billion Delayed Draw Term Loan Agreement. In May 2020, we completed a public Senior Notes offering, which provided $ 3.0 billion of available liquidity and permanently reduced the undrawn commitments under the Delayed Draw Term Loan Agreement by $3.0 billion. In June 2020, we drew on the remaining $3.0 billion of commitments under the Delayed Draw Term Loan Agreement. In August 2020, we completed a public Senior Notes offering, which provided $3.0 billion of available liquidity and was used to repay the outstanding principal amount of $3.0 billion under the Delayed Draw Term Loan Agreement. As of December 31, 2020, there are no outstanding borrowings or commitments remaining under the Delayed Draw Term Loan Agreement. Further, we held $15.2 billion of available cash and cash equivalents, including short-term investments.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We continue to monitor and respond to the changing conditions created by the pandemic.</w:t>
      </w:r>
    </w:p>
    <w:p>
      <w:pPr>
        <w:spacing w:after="0" w:line="3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Employee Health, Safety, and Economic Wellness</w:t>
      </w:r>
    </w:p>
    <w:p>
      <w:pPr>
        <w:spacing w:after="0" w:line="13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continue to monitor the COVID-19 situation and its impacts globally. We are prioritizing the health and safety of our employees. Out of an abundance of caution for the health of our employees and to support local government initiatives to stem the spread of the virus, we implemented several precautions at various sites around the world at all times in compliance with local government requirements and Centers for Disease Control and Prevention (CDC) guidelines. These include, but are not limited to:</w:t>
      </w:r>
    </w:p>
    <w:p>
      <w:pPr>
        <w:spacing w:after="0" w:line="96" w:lineRule="exact"/>
        <w:rPr>
          <w:sz w:val="20"/>
          <w:szCs w:val="20"/>
          <w:color w:val="auto"/>
        </w:rPr>
      </w:pPr>
    </w:p>
    <w:p>
      <w:pPr>
        <w:ind w:left="640" w:hanging="308"/>
        <w:spacing w:after="0"/>
        <w:tabs>
          <w:tab w:leader="none" w:pos="640" w:val="left"/>
        </w:tabs>
        <w:numPr>
          <w:ilvl w:val="0"/>
          <w:numId w:val="8"/>
        </w:numPr>
        <w:rPr>
          <w:rFonts w:ascii="Arial" w:cs="Arial" w:eastAsia="Arial" w:hAnsi="Arial"/>
          <w:sz w:val="20"/>
          <w:szCs w:val="20"/>
          <w:color w:val="auto"/>
        </w:rPr>
      </w:pPr>
      <w:r>
        <w:rPr>
          <w:rFonts w:ascii="Arial" w:cs="Arial" w:eastAsia="Arial" w:hAnsi="Arial"/>
          <w:sz w:val="18"/>
          <w:szCs w:val="18"/>
          <w:color w:val="auto"/>
        </w:rPr>
        <w:t>Limiting visitor site access to business-essential purposes;</w:t>
      </w:r>
    </w:p>
    <w:p>
      <w:pPr>
        <w:spacing w:after="0" w:line="3" w:lineRule="exact"/>
        <w:rPr>
          <w:rFonts w:ascii="Arial" w:cs="Arial" w:eastAsia="Arial" w:hAnsi="Arial"/>
          <w:sz w:val="20"/>
          <w:szCs w:val="20"/>
          <w:color w:val="auto"/>
        </w:rPr>
      </w:pPr>
    </w:p>
    <w:p>
      <w:pPr>
        <w:ind w:left="640" w:hanging="308"/>
        <w:spacing w:after="0" w:line="235" w:lineRule="auto"/>
        <w:tabs>
          <w:tab w:leader="none" w:pos="640" w:val="left"/>
        </w:tabs>
        <w:numPr>
          <w:ilvl w:val="0"/>
          <w:numId w:val="8"/>
        </w:numPr>
        <w:rPr>
          <w:rFonts w:ascii="Arial" w:cs="Arial" w:eastAsia="Arial" w:hAnsi="Arial"/>
          <w:sz w:val="20"/>
          <w:szCs w:val="20"/>
          <w:color w:val="auto"/>
        </w:rPr>
      </w:pPr>
      <w:r>
        <w:rPr>
          <w:rFonts w:ascii="Arial" w:cs="Arial" w:eastAsia="Arial" w:hAnsi="Arial"/>
          <w:sz w:val="18"/>
          <w:szCs w:val="18"/>
          <w:color w:val="auto"/>
        </w:rPr>
        <w:t>Introducing screening checks at certain sites where permissible or mandated;</w:t>
      </w:r>
    </w:p>
    <w:p>
      <w:pPr>
        <w:spacing w:after="0" w:line="4" w:lineRule="exact"/>
        <w:rPr>
          <w:rFonts w:ascii="Arial" w:cs="Arial" w:eastAsia="Arial" w:hAnsi="Arial"/>
          <w:sz w:val="20"/>
          <w:szCs w:val="20"/>
          <w:color w:val="auto"/>
        </w:rPr>
      </w:pPr>
    </w:p>
    <w:p>
      <w:pPr>
        <w:ind w:left="640" w:hanging="308"/>
        <w:spacing w:after="0" w:line="235" w:lineRule="auto"/>
        <w:tabs>
          <w:tab w:leader="none" w:pos="640" w:val="left"/>
        </w:tabs>
        <w:numPr>
          <w:ilvl w:val="0"/>
          <w:numId w:val="8"/>
        </w:numPr>
        <w:rPr>
          <w:rFonts w:ascii="Arial" w:cs="Arial" w:eastAsia="Arial" w:hAnsi="Arial"/>
          <w:sz w:val="20"/>
          <w:szCs w:val="20"/>
          <w:color w:val="auto"/>
        </w:rPr>
      </w:pPr>
      <w:r>
        <w:rPr>
          <w:rFonts w:ascii="Arial" w:cs="Arial" w:eastAsia="Arial" w:hAnsi="Arial"/>
          <w:sz w:val="18"/>
          <w:szCs w:val="18"/>
          <w:color w:val="auto"/>
        </w:rPr>
        <w:t>Enabling employees to work from home wherever and whenever required or appropriate;</w:t>
      </w:r>
    </w:p>
    <w:p>
      <w:pPr>
        <w:spacing w:after="0" w:line="4" w:lineRule="exact"/>
        <w:rPr>
          <w:rFonts w:ascii="Arial" w:cs="Arial" w:eastAsia="Arial" w:hAnsi="Arial"/>
          <w:sz w:val="20"/>
          <w:szCs w:val="20"/>
          <w:color w:val="auto"/>
        </w:rPr>
      </w:pPr>
    </w:p>
    <w:p>
      <w:pPr>
        <w:ind w:left="640" w:hanging="308"/>
        <w:spacing w:after="0" w:line="235" w:lineRule="auto"/>
        <w:tabs>
          <w:tab w:leader="none" w:pos="640" w:val="left"/>
        </w:tabs>
        <w:numPr>
          <w:ilvl w:val="0"/>
          <w:numId w:val="8"/>
        </w:numPr>
        <w:rPr>
          <w:rFonts w:ascii="Arial" w:cs="Arial" w:eastAsia="Arial" w:hAnsi="Arial"/>
          <w:sz w:val="20"/>
          <w:szCs w:val="20"/>
          <w:color w:val="auto"/>
        </w:rPr>
      </w:pPr>
      <w:r>
        <w:rPr>
          <w:rFonts w:ascii="Arial" w:cs="Arial" w:eastAsia="Arial" w:hAnsi="Arial"/>
          <w:sz w:val="18"/>
          <w:szCs w:val="18"/>
          <w:color w:val="auto"/>
        </w:rPr>
        <w:t>Continuously updating travel guidance, according to latest developments; and</w:t>
      </w:r>
    </w:p>
    <w:p>
      <w:pPr>
        <w:spacing w:after="0" w:line="12" w:lineRule="exact"/>
        <w:rPr>
          <w:rFonts w:ascii="Arial" w:cs="Arial" w:eastAsia="Arial" w:hAnsi="Arial"/>
          <w:sz w:val="20"/>
          <w:szCs w:val="20"/>
          <w:color w:val="auto"/>
        </w:rPr>
      </w:pPr>
    </w:p>
    <w:p>
      <w:pPr>
        <w:ind w:left="660" w:hanging="328"/>
        <w:spacing w:after="0" w:line="237" w:lineRule="auto"/>
        <w:tabs>
          <w:tab w:leader="none" w:pos="648" w:val="left"/>
        </w:tabs>
        <w:numPr>
          <w:ilvl w:val="0"/>
          <w:numId w:val="8"/>
        </w:numPr>
        <w:rPr>
          <w:rFonts w:ascii="Arial" w:cs="Arial" w:eastAsia="Arial" w:hAnsi="Arial"/>
          <w:sz w:val="20"/>
          <w:szCs w:val="20"/>
          <w:color w:val="auto"/>
        </w:rPr>
      </w:pPr>
      <w:r>
        <w:rPr>
          <w:rFonts w:ascii="Arial" w:cs="Arial" w:eastAsia="Arial" w:hAnsi="Arial"/>
          <w:sz w:val="18"/>
          <w:szCs w:val="18"/>
          <w:color w:val="auto"/>
        </w:rPr>
        <w:t>Complying with all local health authority guidance or regulations and our own protocols, including requesting employees to comply with self-quarantine requirements whenever advisable.</w:t>
      </w:r>
    </w:p>
    <w:p>
      <w:pPr>
        <w:spacing w:after="0" w:line="10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taken a number of measures to support our employees during these difficult times. We extended medical benefits globally to cover out-of-pocket costs associated with testing for coronavirus, and for those on our U.S. company medical plans, we are also covering treatment costs. In Mexico, we introduced a medical benefit for employees at lower compensation levels to ensure access to private medical treatment. In the U.S., we changed our sick leave plan for non-exempt employees to make more sick time available earlier in the year if it is needed. We established a $10 million company-funded relief fund targeting employees worldwide at lower compensation levels, especially those on reduced work hours who did not receive high levels of income replacement from unemployment or other government assistance.</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10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to the measures to assist our employees, Honeywell contributed $2 million to establish a Small Business Innovation Fund in Charlotte to help our local economy. The fund helps storefront businesses with 50 or fewer employees make investments in new technologies and business models to adjust to the realities of operating in the COVID-19 environment. The fund prioritizes businesses owned by women, minorities and veterans.</w:t>
      </w:r>
    </w:p>
    <w:p>
      <w:pPr>
        <w:spacing w:after="0" w:line="2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Commitment to Public Health</w:t>
      </w:r>
    </w:p>
    <w:p>
      <w:pPr>
        <w:spacing w:after="0" w:line="13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 partnership with the State of North Carolina and other local businesses, we announced a goal to deliver 1 million COVID-19 vaccines in North Carolina by July 4, 2021. In Phoenix, where our Aerospace business is headquartered, we will sponsor a week-long vaccination program in February 2021. In addition, Honeywell funded the provision of approximately 10 million meals and a month’s supply of hygiene kits to families in India suffering hardships due to the crisis.</w:t>
      </w:r>
    </w:p>
    <w:p>
      <w:pPr>
        <w:spacing w:after="0" w:line="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we produce critical worker safety gear such as face masks, gloves, goggles, safety suits, and protective footwear, we play an essential role in the health and well-being of people and economies. To date, Honeywell has donated more than 2 million masks to frontline workers across multiple regions. Our customers and communities are depending on us more than ever to deliver for them and we are committed to supporting the safety of our employees, customers and fellow citizens around the world.</w:t>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investing in new production facilities and continue to expand existing facilities to increase production of essential PPE products. We will bring these products to market as quickly as possible. We are committed to healthcare professionals, first responders, distributors and other stakeholders in an effort to ensure our PPE products are being placed quickly and cost-effectively in the hands of those most in need.</w:t>
      </w:r>
    </w:p>
    <w:p>
      <w:pPr>
        <w:spacing w:after="0" w:line="9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announced our new capacity in the U.S. to make N95 masks, with production lines added in Rhode Island and Arizona that will collectively produce 40 million masks each month to support health, safety, and response workers globally. In addition, we are expanding our non-U.S. capacity with a new mask manufacturing line in the UK that is expected to produce 4.5 million masks each month, and a new line in India that is expected to produce 2 million masks each month. Separately, we are collaborating with Mubadala Investment Company's subsidiary, Strata Manufacturing, in the UAE to produce 30 million masks annually.</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We have communicated the following principles to our authorized distributor network:</w:t>
      </w:r>
    </w:p>
    <w:p>
      <w:pPr>
        <w:spacing w:after="0" w:line="131" w:lineRule="exact"/>
        <w:rPr>
          <w:sz w:val="20"/>
          <w:szCs w:val="20"/>
          <w:color w:val="auto"/>
        </w:rPr>
      </w:pPr>
    </w:p>
    <w:p>
      <w:pPr>
        <w:jc w:val="both"/>
        <w:ind w:left="660" w:hanging="328"/>
        <w:spacing w:after="0" w:line="242" w:lineRule="auto"/>
        <w:tabs>
          <w:tab w:leader="none" w:pos="648" w:val="left"/>
        </w:tabs>
        <w:numPr>
          <w:ilvl w:val="0"/>
          <w:numId w:val="9"/>
        </w:numPr>
        <w:rPr>
          <w:rFonts w:ascii="Arial" w:cs="Arial" w:eastAsia="Arial" w:hAnsi="Arial"/>
          <w:sz w:val="20"/>
          <w:szCs w:val="20"/>
          <w:color w:val="auto"/>
        </w:rPr>
      </w:pPr>
      <w:r>
        <w:rPr>
          <w:rFonts w:ascii="Arial" w:cs="Arial" w:eastAsia="Arial" w:hAnsi="Arial"/>
          <w:sz w:val="18"/>
          <w:szCs w:val="18"/>
          <w:color w:val="auto"/>
        </w:rPr>
        <w:t>Our expectation that, at a minimum, all of our partners will comply with all applicable laws prohibiting price gouging and apply appropriate diligence to the greatest extent possible to understand how our products are being purchased so that they are placed quickly and cost-effectively in the hands of those most in need - including first responders and medical professionals.</w:t>
      </w:r>
    </w:p>
    <w:p>
      <w:pPr>
        <w:spacing w:after="0" w:line="66" w:lineRule="exact"/>
        <w:rPr>
          <w:rFonts w:ascii="Arial" w:cs="Arial" w:eastAsia="Arial" w:hAnsi="Arial"/>
          <w:sz w:val="20"/>
          <w:szCs w:val="20"/>
          <w:color w:val="auto"/>
        </w:rPr>
      </w:pPr>
    </w:p>
    <w:p>
      <w:pPr>
        <w:ind w:left="660" w:right="20" w:hanging="328"/>
        <w:spacing w:after="0" w:line="237" w:lineRule="auto"/>
        <w:tabs>
          <w:tab w:leader="none" w:pos="648" w:val="left"/>
        </w:tabs>
        <w:numPr>
          <w:ilvl w:val="0"/>
          <w:numId w:val="9"/>
        </w:numPr>
        <w:rPr>
          <w:rFonts w:ascii="Arial" w:cs="Arial" w:eastAsia="Arial" w:hAnsi="Arial"/>
          <w:sz w:val="20"/>
          <w:szCs w:val="20"/>
          <w:color w:val="auto"/>
        </w:rPr>
      </w:pPr>
      <w:r>
        <w:rPr>
          <w:rFonts w:ascii="Arial" w:cs="Arial" w:eastAsia="Arial" w:hAnsi="Arial"/>
          <w:sz w:val="18"/>
          <w:szCs w:val="18"/>
          <w:color w:val="auto"/>
        </w:rPr>
        <w:t>While we do not control the prices that third parties set, we expect our partners to fairly price PPE used in the COVID-19 response effort.</w:t>
      </w:r>
    </w:p>
    <w:p>
      <w:pPr>
        <w:spacing w:after="0" w:line="67" w:lineRule="exact"/>
        <w:rPr>
          <w:rFonts w:ascii="Arial" w:cs="Arial" w:eastAsia="Arial" w:hAnsi="Arial"/>
          <w:sz w:val="20"/>
          <w:szCs w:val="20"/>
          <w:color w:val="auto"/>
        </w:rPr>
      </w:pPr>
    </w:p>
    <w:p>
      <w:pPr>
        <w:ind w:left="660" w:hanging="328"/>
        <w:spacing w:after="0" w:line="237" w:lineRule="auto"/>
        <w:tabs>
          <w:tab w:leader="none" w:pos="648" w:val="left"/>
        </w:tabs>
        <w:numPr>
          <w:ilvl w:val="0"/>
          <w:numId w:val="9"/>
        </w:numPr>
        <w:rPr>
          <w:rFonts w:ascii="Arial" w:cs="Arial" w:eastAsia="Arial" w:hAnsi="Arial"/>
          <w:sz w:val="20"/>
          <w:szCs w:val="20"/>
          <w:color w:val="auto"/>
        </w:rPr>
      </w:pPr>
      <w:r>
        <w:rPr>
          <w:rFonts w:ascii="Arial" w:cs="Arial" w:eastAsia="Arial" w:hAnsi="Arial"/>
          <w:sz w:val="18"/>
          <w:szCs w:val="18"/>
          <w:color w:val="auto"/>
        </w:rPr>
        <w:t>If we find that one of our partners is not upholding the letter or spirit of these principles, we reserve the right not to fulfill that partner’s orders and terminate our relationship with that party.</w:t>
      </w:r>
    </w:p>
    <w:p>
      <w:pPr>
        <w:spacing w:after="0" w:line="10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also investing in developing and bringing to market a wide array of new COVID-related products, including but not limited to Healthy Buildings solutions, remote operations offerings, automation technologies to help speed vaccine development, vaccine packaging solutions, an ultraviolet cleaning system for aircraft, innovative dual-layer face covers and safety packs.</w:t>
      </w: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Plant Productivity and Safety</w:t>
      </w:r>
    </w:p>
    <w:p>
      <w:pPr>
        <w:spacing w:after="0" w:line="13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situations where our businesses were deemed essential, we worked with local officials to determine how to safely operate our manufacturing facilities. We successfully operated these manufacturing facilities with minimal disruption in our productivity. In the second quarter of 2020, we repurposed certain manufacturing facilities to produce PPE that was in short supply around the world. As of December 31, 2020, more than 95% of our manufacturing sites were operating at normal production levels.</w:t>
      </w:r>
    </w:p>
    <w:p>
      <w:pPr>
        <w:spacing w:after="0" w:line="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continue to provide essential services and produce essential goods around the world. We employ standards such as screening checks, use of masks, face coverings and other safety equipment and social distancing practices along production lines in our production facilities at all times in compliance with local government requirements and CDC guidelines. We take appropriate actions including disinfecting and quarantine procedures when a suspected COVID-19 case is identified.</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11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3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Customers and Suppliers</w:t>
      </w:r>
    </w:p>
    <w:p>
      <w:pPr>
        <w:spacing w:after="0" w:line="13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Current global economic conditions due to COVID-19 have adversely affected and may continue to adversely affect our customers’ and suppliers’ ability to operate or obtain financing, particularly in our airline, oil and gas, and automotive end markets. Customer or supplier bankruptcies, delays in their ability to obtain financing, or the unavailability of financing could adversely affect our cash flow or results of operations. We continue to actively monitor both supplier and customer financial health and take measures to manage our supply chain disruptions and limit our exposure.</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See section titled Risk Factors for discussion of risks associated to the COVID-19 pandemic.</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12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rPr>
          <w:sz w:val="20"/>
          <w:szCs w:val="20"/>
          <w:color w:val="auto"/>
        </w:rPr>
      </w:pPr>
      <w:r>
        <w:rPr>
          <w:rFonts w:ascii="Arial" w:cs="Arial" w:eastAsia="Arial" w:hAnsi="Arial"/>
          <w:sz w:val="24"/>
          <w:szCs w:val="24"/>
          <w:b w:val="1"/>
          <w:bCs w:val="1"/>
          <w:color w:val="auto"/>
        </w:rPr>
        <w:t>RESULTS OF OPERATIONS</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168910</wp:posOffset>
            </wp:positionV>
            <wp:extent cx="5254625" cy="32575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5254625"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Sales by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14605</wp:posOffset>
            </wp:positionV>
            <wp:extent cx="5254625" cy="32575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5254625" cy="3257550"/>
                    </a:xfrm>
                    <a:prstGeom prst="rect">
                      <a:avLst/>
                    </a:prstGeom>
                    <a:noFill/>
                  </pic:spPr>
                </pic:pic>
              </a:graphicData>
            </a:graphic>
          </wp:anchor>
        </w:drawing>
      </w:r>
    </w:p>
    <w:p>
      <w:pPr>
        <w:sectPr>
          <w:pgSz w:w="11900" w:h="16838" w:orient="portrait"/>
          <w:cols w:equalWidth="0" w:num="1">
            <w:col w:w="10139"/>
          </w:cols>
          <w:pgMar w:left="320" w:top="14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13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419" w:right="1440"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21"/>
          <w:szCs w:val="21"/>
          <w:b w:val="1"/>
          <w:bCs w:val="1"/>
          <w:color w:val="auto"/>
        </w:rPr>
        <w:t>Net Sales Attributable to Spun-Off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21590</wp:posOffset>
            </wp:positionV>
            <wp:extent cx="5254625" cy="32575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5254625"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Segment Profit by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168910</wp:posOffset>
            </wp:positionV>
            <wp:extent cx="5254625" cy="32575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5254625" cy="3257550"/>
                    </a:xfrm>
                    <a:prstGeom prst="rect">
                      <a:avLst/>
                    </a:prstGeom>
                    <a:noFill/>
                  </pic:spPr>
                </pic:pic>
              </a:graphicData>
            </a:graphic>
          </wp:anchor>
        </w:drawing>
      </w:r>
    </w:p>
    <w:p>
      <w:pPr>
        <w:sectPr>
          <w:pgSz w:w="11900" w:h="16838" w:orient="portrait"/>
          <w:cols w:equalWidth="0" w:num="1">
            <w:col w:w="10139"/>
          </w:cols>
          <w:pgMar w:left="320" w:top="143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14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430" w:right="1440" w:bottom="1440" w:gutter="0" w:footer="0" w:header="0"/>
          <w:type w:val="continuous"/>
        </w:sectPr>
      </w:pPr>
    </w:p>
    <w:bookmarkStart w:id="17" w:name="page18"/>
    <w:bookmarkEnd w:id="17"/>
    <w:p>
      <w:pPr>
        <w:spacing w:after="0" w:line="30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CONSOLIDATED OPERATING RESULTS</w:t>
      </w: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2327910</wp:posOffset>
            </wp:positionH>
            <wp:positionV relativeFrom="paragraph">
              <wp:posOffset>151765</wp:posOffset>
            </wp:positionV>
            <wp:extent cx="2486025" cy="18002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2486025"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The change in net sales was attributable to the following:</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1560" w:type="dxa"/>
            <w:vAlign w:val="bottom"/>
          </w:tcPr>
          <w:p>
            <w:pPr>
              <w:jc w:val="right"/>
              <w:ind w:right="537"/>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1560" w:type="dxa"/>
            <w:vAlign w:val="bottom"/>
          </w:tcPr>
          <w:p>
            <w:pPr>
              <w:jc w:val="right"/>
              <w:ind w:right="537"/>
              <w:spacing w:after="0"/>
              <w:rPr>
                <w:sz w:val="20"/>
                <w:szCs w:val="20"/>
                <w:color w:val="auto"/>
              </w:rPr>
            </w:pPr>
            <w:r>
              <w:rPr>
                <w:rFonts w:ascii="Arial" w:cs="Arial" w:eastAsia="Arial" w:hAnsi="Arial"/>
                <w:sz w:val="14"/>
                <w:szCs w:val="14"/>
                <w:b w:val="1"/>
                <w:bCs w:val="1"/>
                <w:color w:val="auto"/>
              </w:rPr>
              <w:t>2019</w:t>
            </w:r>
          </w:p>
        </w:tc>
      </w:tr>
      <w:tr>
        <w:trPr>
          <w:trHeight w:val="135"/>
        </w:trPr>
        <w:tc>
          <w:tcPr>
            <w:tcW w:w="8000" w:type="dxa"/>
            <w:vAlign w:val="bottom"/>
          </w:tcPr>
          <w:p>
            <w:pPr>
              <w:spacing w:after="0"/>
              <w:rPr>
                <w:sz w:val="11"/>
                <w:szCs w:val="11"/>
                <w:color w:val="auto"/>
              </w:rPr>
            </w:pPr>
          </w:p>
        </w:tc>
        <w:tc>
          <w:tcPr>
            <w:tcW w:w="1660" w:type="dxa"/>
            <w:vAlign w:val="bottom"/>
            <w:gridSpan w:val="2"/>
          </w:tcPr>
          <w:p>
            <w:pPr>
              <w:ind w:left="540"/>
              <w:spacing w:after="0" w:line="135" w:lineRule="exact"/>
              <w:rPr>
                <w:sz w:val="20"/>
                <w:szCs w:val="20"/>
                <w:color w:val="auto"/>
              </w:rPr>
            </w:pPr>
            <w:r>
              <w:rPr>
                <w:rFonts w:ascii="Arial" w:cs="Arial" w:eastAsia="Arial" w:hAnsi="Arial"/>
                <w:sz w:val="14"/>
                <w:szCs w:val="14"/>
                <w:b w:val="1"/>
                <w:bCs w:val="1"/>
                <w:color w:val="auto"/>
              </w:rPr>
              <w:t>Versus</w:t>
            </w:r>
          </w:p>
        </w:tc>
        <w:tc>
          <w:tcPr>
            <w:tcW w:w="1560" w:type="dxa"/>
            <w:vAlign w:val="bottom"/>
          </w:tcPr>
          <w:p>
            <w:pPr>
              <w:jc w:val="right"/>
              <w:ind w:right="457"/>
              <w:spacing w:after="0" w:line="135" w:lineRule="exact"/>
              <w:rPr>
                <w:sz w:val="20"/>
                <w:szCs w:val="20"/>
                <w:color w:val="auto"/>
              </w:rPr>
            </w:pPr>
            <w:r>
              <w:rPr>
                <w:rFonts w:ascii="Arial" w:cs="Arial" w:eastAsia="Arial" w:hAnsi="Arial"/>
                <w:sz w:val="14"/>
                <w:szCs w:val="14"/>
                <w:b w:val="1"/>
                <w:bCs w:val="1"/>
                <w:color w:val="auto"/>
              </w:rPr>
              <w:t>Versus</w:t>
            </w:r>
          </w:p>
        </w:tc>
      </w:tr>
      <w:tr>
        <w:trPr>
          <w:trHeight w:val="183"/>
        </w:trPr>
        <w:tc>
          <w:tcPr>
            <w:tcW w:w="8000" w:type="dxa"/>
            <w:vAlign w:val="bottom"/>
            <w:tcBorders>
              <w:bottom w:val="single" w:sz="8" w:color="DDDDDD"/>
            </w:tcBorders>
          </w:tcPr>
          <w:p>
            <w:pPr>
              <w:spacing w:after="0"/>
              <w:rPr>
                <w:sz w:val="15"/>
                <w:szCs w:val="15"/>
                <w:color w:val="auto"/>
              </w:rPr>
            </w:pPr>
          </w:p>
        </w:tc>
        <w:tc>
          <w:tcPr>
            <w:tcW w:w="1560" w:type="dxa"/>
            <w:vAlign w:val="bottom"/>
            <w:tcBorders>
              <w:bottom w:val="single" w:sz="8" w:color="DC202E"/>
            </w:tcBorders>
          </w:tcPr>
          <w:p>
            <w:pPr>
              <w:jc w:val="right"/>
              <w:ind w:right="53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DDDDDD"/>
            </w:tcBorders>
          </w:tcPr>
          <w:p>
            <w:pPr>
              <w:spacing w:after="0"/>
              <w:rPr>
                <w:sz w:val="15"/>
                <w:szCs w:val="15"/>
                <w:color w:val="auto"/>
              </w:rPr>
            </w:pPr>
          </w:p>
        </w:tc>
        <w:tc>
          <w:tcPr>
            <w:tcW w:w="1560" w:type="dxa"/>
            <w:vAlign w:val="bottom"/>
            <w:tcBorders>
              <w:bottom w:val="single" w:sz="8" w:color="DC202E"/>
            </w:tcBorders>
          </w:tcPr>
          <w:p>
            <w:pPr>
              <w:jc w:val="right"/>
              <w:ind w:right="537"/>
              <w:spacing w:after="0"/>
              <w:rPr>
                <w:sz w:val="20"/>
                <w:szCs w:val="20"/>
                <w:color w:val="auto"/>
              </w:rPr>
            </w:pPr>
            <w:r>
              <w:rPr>
                <w:rFonts w:ascii="Arial" w:cs="Arial" w:eastAsia="Arial" w:hAnsi="Arial"/>
                <w:sz w:val="14"/>
                <w:szCs w:val="14"/>
                <w:b w:val="1"/>
                <w:bCs w:val="1"/>
                <w:color w:val="auto"/>
              </w:rPr>
              <w:t>2018</w:t>
            </w:r>
          </w:p>
        </w:tc>
      </w:tr>
      <w:tr>
        <w:trPr>
          <w:trHeight w:val="230"/>
        </w:trPr>
        <w:tc>
          <w:tcPr>
            <w:tcW w:w="8000" w:type="dxa"/>
            <w:vAlign w:val="bottom"/>
            <w:shd w:val="clear" w:color="auto" w:fill="DDDDDD"/>
          </w:tcPr>
          <w:p>
            <w:pPr>
              <w:ind w:left="20"/>
              <w:spacing w:after="0"/>
              <w:rPr>
                <w:sz w:val="20"/>
                <w:szCs w:val="20"/>
                <w:color w:val="auto"/>
              </w:rPr>
            </w:pPr>
            <w:r>
              <w:rPr>
                <w:rFonts w:ascii="Arial" w:cs="Arial" w:eastAsia="Arial" w:hAnsi="Arial"/>
                <w:sz w:val="18"/>
                <w:szCs w:val="18"/>
                <w:color w:val="auto"/>
              </w:rPr>
              <w:t>Volume</w:t>
            </w:r>
          </w:p>
        </w:tc>
        <w:tc>
          <w:tcPr>
            <w:tcW w:w="15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DDDDDD"/>
          </w:tcPr>
          <w:p>
            <w:pPr>
              <w:spacing w:after="0"/>
              <w:rPr>
                <w:sz w:val="19"/>
                <w:szCs w:val="19"/>
                <w:color w:val="auto"/>
              </w:rPr>
            </w:pPr>
          </w:p>
        </w:tc>
        <w:tc>
          <w:tcPr>
            <w:tcW w:w="15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3 %</w:t>
            </w:r>
          </w:p>
        </w:tc>
      </w:tr>
      <w:tr>
        <w:trPr>
          <w:trHeight w:val="230"/>
        </w:trPr>
        <w:tc>
          <w:tcPr>
            <w:tcW w:w="8000" w:type="dxa"/>
            <w:vAlign w:val="bottom"/>
          </w:tcPr>
          <w:p>
            <w:pPr>
              <w:ind w:left="20"/>
              <w:spacing w:after="0"/>
              <w:rPr>
                <w:sz w:val="20"/>
                <w:szCs w:val="20"/>
                <w:color w:val="auto"/>
              </w:rPr>
            </w:pPr>
            <w:r>
              <w:rPr>
                <w:rFonts w:ascii="Arial" w:cs="Arial" w:eastAsia="Arial" w:hAnsi="Arial"/>
                <w:sz w:val="18"/>
                <w:szCs w:val="18"/>
                <w:color w:val="auto"/>
              </w:rPr>
              <w:t>Price</w:t>
            </w:r>
          </w:p>
        </w:tc>
        <w:tc>
          <w:tcPr>
            <w:tcW w:w="1560" w:type="dxa"/>
            <w:vAlign w:val="bottom"/>
          </w:tcPr>
          <w:p>
            <w:pPr>
              <w:jc w:val="right"/>
              <w:spacing w:after="0"/>
              <w:rPr>
                <w:sz w:val="20"/>
                <w:szCs w:val="20"/>
                <w:color w:val="auto"/>
              </w:rPr>
            </w:pPr>
            <w:r>
              <w:rPr>
                <w:rFonts w:ascii="Arial" w:cs="Arial" w:eastAsia="Arial" w:hAnsi="Arial"/>
                <w:sz w:val="18"/>
                <w:szCs w:val="18"/>
                <w:color w:val="auto"/>
              </w:rPr>
              <w:t>1 %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2 %</w:t>
            </w:r>
          </w:p>
        </w:tc>
      </w:tr>
      <w:tr>
        <w:trPr>
          <w:trHeight w:val="230"/>
        </w:trPr>
        <w:tc>
          <w:tcPr>
            <w:tcW w:w="8000" w:type="dxa"/>
            <w:vAlign w:val="bottom"/>
            <w:shd w:val="clear" w:color="auto" w:fill="DDDDDD"/>
          </w:tcPr>
          <w:p>
            <w:pPr>
              <w:ind w:left="20"/>
              <w:spacing w:after="0"/>
              <w:rPr>
                <w:sz w:val="20"/>
                <w:szCs w:val="20"/>
                <w:color w:val="auto"/>
              </w:rPr>
            </w:pPr>
            <w:r>
              <w:rPr>
                <w:rFonts w:ascii="Arial" w:cs="Arial" w:eastAsia="Arial" w:hAnsi="Arial"/>
                <w:sz w:val="18"/>
                <w:szCs w:val="18"/>
                <w:color w:val="auto"/>
              </w:rPr>
              <w:t>Foreign Currency Translation</w:t>
            </w:r>
          </w:p>
        </w:tc>
        <w:tc>
          <w:tcPr>
            <w:tcW w:w="1660" w:type="dxa"/>
            <w:vAlign w:val="bottom"/>
            <w:gridSpan w:val="2"/>
            <w:shd w:val="clear" w:color="auto" w:fill="DDDDDD"/>
          </w:tcPr>
          <w:p>
            <w:pPr>
              <w:jc w:val="right"/>
              <w:ind w:right="120"/>
              <w:spacing w:after="0"/>
              <w:rPr>
                <w:sz w:val="20"/>
                <w:szCs w:val="20"/>
                <w:color w:val="auto"/>
              </w:rPr>
            </w:pPr>
            <w:r>
              <w:rPr>
                <w:rFonts w:ascii="Arial" w:cs="Arial" w:eastAsia="Arial" w:hAnsi="Arial"/>
                <w:sz w:val="18"/>
                <w:szCs w:val="18"/>
                <w:color w:val="auto"/>
              </w:rPr>
              <w:t>— %</w:t>
            </w:r>
          </w:p>
        </w:tc>
        <w:tc>
          <w:tcPr>
            <w:tcW w:w="15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8000" w:type="dxa"/>
            <w:vAlign w:val="bottom"/>
          </w:tcPr>
          <w:p>
            <w:pPr>
              <w:ind w:left="20"/>
              <w:spacing w:after="0"/>
              <w:rPr>
                <w:sz w:val="20"/>
                <w:szCs w:val="20"/>
                <w:color w:val="auto"/>
              </w:rPr>
            </w:pPr>
            <w:r>
              <w:rPr>
                <w:rFonts w:ascii="Arial" w:cs="Arial" w:eastAsia="Arial" w:hAnsi="Arial"/>
                <w:sz w:val="18"/>
                <w:szCs w:val="18"/>
                <w:color w:val="auto"/>
              </w:rPr>
              <w:t>Acquisitions/Divestitures</w:t>
            </w: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5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48"/>
        </w:trPr>
        <w:tc>
          <w:tcPr>
            <w:tcW w:w="8000" w:type="dxa"/>
            <w:vAlign w:val="bottom"/>
            <w:tcBorders>
              <w:top w:val="single" w:sz="8" w:color="DDDDDD"/>
              <w:bottom w:val="single" w:sz="8" w:color="DDDDDD"/>
            </w:tcBorders>
            <w:shd w:val="clear" w:color="auto" w:fill="DDDDDD"/>
          </w:tcPr>
          <w:p>
            <w:pPr>
              <w:spacing w:after="0"/>
              <w:rPr>
                <w:sz w:val="21"/>
                <w:szCs w:val="21"/>
                <w:color w:val="auto"/>
              </w:rPr>
            </w:pPr>
          </w:p>
        </w:tc>
        <w:tc>
          <w:tcPr>
            <w:tcW w:w="156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DDDDDD"/>
              <w:bottom w:val="single" w:sz="8" w:color="DDDDDD"/>
            </w:tcBorders>
            <w:shd w:val="clear" w:color="auto" w:fill="DDDDDD"/>
          </w:tcPr>
          <w:p>
            <w:pPr>
              <w:spacing w:after="0"/>
              <w:rPr>
                <w:sz w:val="21"/>
                <w:szCs w:val="21"/>
                <w:color w:val="auto"/>
              </w:rPr>
            </w:pPr>
          </w:p>
        </w:tc>
        <w:tc>
          <w:tcPr>
            <w:tcW w:w="156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8000" w:type="dxa"/>
            <w:vAlign w:val="bottom"/>
            <w:tcBorders>
              <w:top w:val="single" w:sz="8" w:color="DDDDDD"/>
            </w:tcBorders>
          </w:tcPr>
          <w:p>
            <w:pPr>
              <w:spacing w:after="0" w:line="20" w:lineRule="exact"/>
              <w:rPr>
                <w:sz w:val="1"/>
                <w:szCs w:val="1"/>
                <w:color w:val="auto"/>
              </w:rPr>
            </w:pPr>
          </w:p>
        </w:tc>
        <w:tc>
          <w:tcPr>
            <w:tcW w:w="1560" w:type="dxa"/>
            <w:vAlign w:val="bottom"/>
            <w:tcBorders>
              <w:top w:val="single" w:sz="8" w:color="DDDDDD"/>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1560" w:type="dxa"/>
            <w:vAlign w:val="bottom"/>
            <w:tcBorders>
              <w:top w:val="single" w:sz="8" w:color="DDDDDD"/>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compared with 2019</w:t>
      </w:r>
    </w:p>
    <w:p>
      <w:pPr>
        <w:spacing w:after="0" w:line="13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 discussion of net sales by segment can be found in the Review of Business Segments section of this Management Discussion and Analysis.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unfavorable volume in 2020 was driven by:</w:t>
      </w:r>
    </w:p>
    <w:p>
      <w:pPr>
        <w:spacing w:after="0" w:line="117" w:lineRule="exact"/>
        <w:rPr>
          <w:sz w:val="20"/>
          <w:szCs w:val="20"/>
          <w:color w:val="auto"/>
        </w:rPr>
      </w:pPr>
    </w:p>
    <w:p>
      <w:pPr>
        <w:ind w:left="660" w:hanging="328"/>
        <w:spacing w:after="0" w:line="261"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Lower sales across our businesses due to the impact of the global recession attributable to COVID-19 and volatility in the oil and gas industry,</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Partially offset by strength in respiratory PPE products, warehouse automation projects, and defense and space.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15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Cost of Products and Services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2327910</wp:posOffset>
            </wp:positionH>
            <wp:positionV relativeFrom="paragraph">
              <wp:posOffset>134620</wp:posOffset>
            </wp:positionV>
            <wp:extent cx="2486025" cy="18002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2486025"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compared with 2019</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Cost of products and services sold decreased in 2020 primarily due to the following:</w:t>
      </w:r>
    </w:p>
    <w:p>
      <w:pPr>
        <w:spacing w:after="0" w:line="117"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Lower direct and indirect material costs by approximately $1,130 million and $310 million,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Lower labor costs by approximately $800 million, driven by lower sales volumes and other cost actions to improve productivity.</w:t>
      </w:r>
    </w:p>
    <w:p>
      <w:pPr>
        <w:spacing w:after="0" w:line="3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Gross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2327910</wp:posOffset>
            </wp:positionH>
            <wp:positionV relativeFrom="paragraph">
              <wp:posOffset>134620</wp:posOffset>
            </wp:positionV>
            <wp:extent cx="2486025" cy="18002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2486025"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compared with 2019</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Gross margin percentage decreased in 2020 primarily due to the following:</w:t>
      </w:r>
    </w:p>
    <w:p>
      <w:pPr>
        <w:spacing w:after="0" w:line="117"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Lower gross margin in the Performance Materials and Technologies, Aerospace, and Safety and Productivity Solutions segments,</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Partially offset by higher Honeywell Building Technologies gross margin.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16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320" w:top="1440" w:right="619" w:bottom="1440" w:gutter="0" w:footer="0" w:header="0"/>
        </w:sectPr>
      </w:pPr>
    </w:p>
    <w:bookmarkStart w:id="19" w:name="page20"/>
    <w:bookmarkEnd w:id="19"/>
    <w:p>
      <w:pPr>
        <w:spacing w:after="0"/>
        <w:rPr>
          <w:sz w:val="20"/>
          <w:szCs w:val="20"/>
          <w:color w:val="auto"/>
        </w:rPr>
      </w:pPr>
      <w:r>
        <w:rPr>
          <w:rFonts w:ascii="Arial" w:cs="Arial" w:eastAsia="Arial" w:hAnsi="Arial"/>
          <w:sz w:val="22"/>
          <w:szCs w:val="22"/>
          <w:b w:val="1"/>
          <w:bCs w:val="1"/>
          <w:color w:val="auto"/>
        </w:rPr>
        <w:t>Selling, 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219710</wp:posOffset>
            </wp:positionV>
            <wp:extent cx="2486025" cy="18002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2486025"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compared with 2019</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Selling, general and administrative expenses decreased due to higher productivity, including lower costs resulting from repositioning actions.</w:t>
      </w:r>
    </w:p>
    <w:p>
      <w:pPr>
        <w:spacing w:after="0" w:line="3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(Income) Expense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6680" w:type="dxa"/>
            <w:vAlign w:val="bottom"/>
            <w:tcBorders>
              <w:bottom w:val="single" w:sz="8" w:color="DDDDDD"/>
            </w:tcBorders>
          </w:tcPr>
          <w:p>
            <w:pPr>
              <w:spacing w:after="0"/>
              <w:rPr>
                <w:sz w:val="17"/>
                <w:szCs w:val="17"/>
                <w:color w:val="auto"/>
              </w:rPr>
            </w:pPr>
          </w:p>
        </w:tc>
        <w:tc>
          <w:tcPr>
            <w:tcW w:w="92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DC202E"/>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340" w:type="dxa"/>
            <w:vAlign w:val="bottom"/>
            <w:tcBorders>
              <w:bottom w:val="single" w:sz="8" w:color="DC202E"/>
            </w:tcBorders>
          </w:tcPr>
          <w:p>
            <w:pPr>
              <w:spacing w:after="0"/>
              <w:rPr>
                <w:sz w:val="17"/>
                <w:szCs w:val="17"/>
                <w:color w:val="auto"/>
              </w:rPr>
            </w:pPr>
          </w:p>
        </w:tc>
        <w:tc>
          <w:tcPr>
            <w:tcW w:w="1120" w:type="dxa"/>
            <w:vAlign w:val="bottom"/>
            <w:tcBorders>
              <w:bottom w:val="single" w:sz="8" w:color="DC202E"/>
            </w:tcBorders>
          </w:tcPr>
          <w:p>
            <w:pPr>
              <w:jc w:val="right"/>
              <w:ind w:right="47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DDDDDD"/>
            </w:tcBorders>
          </w:tcPr>
          <w:p>
            <w:pPr>
              <w:spacing w:after="0"/>
              <w:rPr>
                <w:sz w:val="17"/>
                <w:szCs w:val="17"/>
                <w:color w:val="auto"/>
              </w:rPr>
            </w:pPr>
          </w:p>
        </w:tc>
        <w:tc>
          <w:tcPr>
            <w:tcW w:w="340" w:type="dxa"/>
            <w:vAlign w:val="bottom"/>
            <w:tcBorders>
              <w:bottom w:val="single" w:sz="8" w:color="DC202E"/>
            </w:tcBorders>
          </w:tcPr>
          <w:p>
            <w:pPr>
              <w:spacing w:after="0"/>
              <w:rPr>
                <w:sz w:val="17"/>
                <w:szCs w:val="17"/>
                <w:color w:val="auto"/>
              </w:rPr>
            </w:pPr>
          </w:p>
        </w:tc>
        <w:tc>
          <w:tcPr>
            <w:tcW w:w="1100" w:type="dxa"/>
            <w:vAlign w:val="bottom"/>
            <w:tcBorders>
              <w:bottom w:val="single" w:sz="8" w:color="DC202E"/>
            </w:tcBorders>
          </w:tcPr>
          <w:p>
            <w:pPr>
              <w:jc w:val="right"/>
              <w:ind w:right="479"/>
              <w:spacing w:after="0"/>
              <w:rPr>
                <w:sz w:val="20"/>
                <w:szCs w:val="20"/>
                <w:color w:val="auto"/>
              </w:rPr>
            </w:pPr>
            <w:r>
              <w:rPr>
                <w:rFonts w:ascii="Arial" w:cs="Arial" w:eastAsia="Arial" w:hAnsi="Arial"/>
                <w:sz w:val="14"/>
                <w:szCs w:val="14"/>
                <w:b w:val="1"/>
                <w:bCs w:val="1"/>
                <w:color w:val="auto"/>
              </w:rPr>
              <w:t>2018</w:t>
            </w:r>
          </w:p>
        </w:tc>
      </w:tr>
      <w:tr>
        <w:trPr>
          <w:trHeight w:val="230"/>
        </w:trPr>
        <w:tc>
          <w:tcPr>
            <w:tcW w:w="6680" w:type="dxa"/>
            <w:vAlign w:val="bottom"/>
            <w:shd w:val="clear" w:color="auto" w:fill="DDDDDD"/>
          </w:tcPr>
          <w:p>
            <w:pPr>
              <w:ind w:left="20"/>
              <w:spacing w:after="0"/>
              <w:rPr>
                <w:sz w:val="20"/>
                <w:szCs w:val="20"/>
                <w:color w:val="auto"/>
              </w:rPr>
            </w:pPr>
            <w:r>
              <w:rPr>
                <w:rFonts w:ascii="Arial" w:cs="Arial" w:eastAsia="Arial" w:hAnsi="Arial"/>
                <w:sz w:val="18"/>
                <w:szCs w:val="18"/>
                <w:color w:val="auto"/>
              </w:rPr>
              <w:t>Other (income) expense</w:t>
            </w:r>
          </w:p>
        </w:tc>
        <w:tc>
          <w:tcPr>
            <w:tcW w:w="920" w:type="dxa"/>
            <w:vAlign w:val="bottom"/>
            <w:shd w:val="clear" w:color="auto" w:fill="DDDDDD"/>
          </w:tcPr>
          <w:p>
            <w:pPr>
              <w:jc w:val="right"/>
              <w:ind w:right="739"/>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(675)</w:t>
            </w:r>
          </w:p>
        </w:tc>
        <w:tc>
          <w:tcPr>
            <w:tcW w:w="100" w:type="dxa"/>
            <w:vAlign w:val="bottom"/>
            <w:shd w:val="clear" w:color="auto" w:fill="DDDDDD"/>
          </w:tcPr>
          <w:p>
            <w:pPr>
              <w:spacing w:after="0"/>
              <w:rPr>
                <w:sz w:val="19"/>
                <w:szCs w:val="19"/>
                <w:color w:val="auto"/>
              </w:rPr>
            </w:pPr>
          </w:p>
        </w:tc>
        <w:tc>
          <w:tcPr>
            <w:tcW w:w="3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(1,065)</w:t>
            </w:r>
          </w:p>
        </w:tc>
        <w:tc>
          <w:tcPr>
            <w:tcW w:w="100" w:type="dxa"/>
            <w:vAlign w:val="bottom"/>
            <w:shd w:val="clear" w:color="auto" w:fill="DDDDDD"/>
          </w:tcPr>
          <w:p>
            <w:pPr>
              <w:spacing w:after="0"/>
              <w:rPr>
                <w:sz w:val="19"/>
                <w:szCs w:val="19"/>
                <w:color w:val="auto"/>
              </w:rPr>
            </w:pPr>
          </w:p>
        </w:tc>
        <w:tc>
          <w:tcPr>
            <w:tcW w:w="3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(1,149)</w:t>
            </w: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compared with 2019</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changed due to the following:</w:t>
      </w:r>
    </w:p>
    <w:p>
      <w:pPr>
        <w:spacing w:after="0" w:line="117"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Non-cash charges associated with the reduction in value of reimbursement receivables due from Garrett,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Lower interest income,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Lower foreign exchange income,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Partially offset by higher pension income, higher equity income of affiliated companies and higher other postretirement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17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30" w:right="359" w:bottom="1440" w:gutter="0" w:footer="0" w:header="0"/>
        </w:sectPr>
      </w:pPr>
    </w:p>
    <w:bookmarkStart w:id="20" w:name="page21"/>
    <w:bookmarkEnd w:id="20"/>
    <w:p>
      <w:pPr>
        <w:spacing w:after="0" w:line="3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220345</wp:posOffset>
            </wp:positionV>
            <wp:extent cx="2486025" cy="18002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2486025"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compared with 2019</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effective tax rate for 2020 was lower than the U.S. federal statutory rate of 21% primarily due to the favorable resolution of a foreign tax matter related to the previously completed spin-off transactions, tax impact of restructuring, tax law changes in India, and the resolution of certain U.S. tax matters offset by accrued withholding taxes related to unremitted foreign earnings and non-cash charges related to the reduction of the aggregate carrying value of certain receivables with no corresponding tax benefit.</w:t>
      </w:r>
    </w:p>
    <w:p>
      <w:pPr>
        <w:spacing w:after="0" w:line="96"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effective tax rate for 2019 was lower than the U.S. federal statutory rate of 21% primarily resulting from the impacts of revised guidance related to U.S. Tax Cuts and Jobs Act and internal restructuring initiatives that resulted in a $281 million reduction of accrued withholding taxes related to unremitted foreign earnings.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For further discussion of changes in the effective tax rate, see Note 5 Income Taxes of Notes to Consolidated Financial Statements.</w:t>
      </w:r>
    </w:p>
    <w:p>
      <w:pPr>
        <w:spacing w:after="0" w:line="3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Income Attributable to Honeywell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220345</wp:posOffset>
            </wp:positionV>
            <wp:extent cx="2486025" cy="18002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2486025"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compared with 2019</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 of common stock–assuming dilution decreased due to the following:</w:t>
      </w:r>
    </w:p>
    <w:p>
      <w:pPr>
        <w:spacing w:after="0" w:line="117"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Lower segment profit due to the impact of the global recession attributable to COVID-19 and volatility in the oil and gas industry,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Non-cash charges associated with the reduction in value of reimbursement receivables due from Garrett,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Lower interest income, lower foreign exchange income, and higher repositioning costs,</w:t>
      </w:r>
    </w:p>
    <w:p>
      <w:pPr>
        <w:spacing w:after="0" w:line="11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Partially offset by lower income taxes, higher pension income, and the favorable impact of lower outstanding share count resulting from the Company's stock repurchases.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18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1" w:name="page22"/>
    <w:bookmarkEnd w:id="21"/>
    <w:p>
      <w:pPr>
        <w:spacing w:after="0" w:line="87" w:lineRule="exact"/>
        <w:rPr>
          <w:sz w:val="20"/>
          <w:szCs w:val="20"/>
          <w:color w:val="auto"/>
        </w:rPr>
      </w:pPr>
    </w:p>
    <w:p>
      <w:pPr>
        <w:spacing w:after="0"/>
        <w:rPr>
          <w:sz w:val="20"/>
          <w:szCs w:val="20"/>
          <w:color w:val="auto"/>
        </w:rPr>
      </w:pPr>
      <w:r>
        <w:rPr>
          <w:rFonts w:ascii="Arial" w:cs="Arial" w:eastAsia="Arial" w:hAnsi="Arial"/>
          <w:sz w:val="25"/>
          <w:szCs w:val="25"/>
          <w:b w:val="1"/>
          <w:bCs w:val="1"/>
          <w:color w:val="DC202E"/>
        </w:rPr>
        <w:t>REVIEW OF BUSINESS SEGMENTS</w:t>
      </w:r>
    </w:p>
    <w:p>
      <w:pPr>
        <w:spacing w:after="0" w:line="147"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We globally manage our business operations through four segments: Aerospace, Honeywell Building Technologies, Performance Materials and Technologies, and Safety and Productivity Solutions.</w:t>
      </w:r>
    </w:p>
    <w:p>
      <w:pPr>
        <w:spacing w:after="0" w:line="27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AEROSPACE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59690</wp:posOffset>
            </wp:positionV>
            <wp:extent cx="4114800" cy="32575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4114800"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520" w:type="dxa"/>
            <w:vAlign w:val="bottom"/>
            <w:tcBorders>
              <w:bottom w:val="single" w:sz="8" w:color="DDDDDD"/>
            </w:tcBorders>
          </w:tcPr>
          <w:p>
            <w:pPr>
              <w:spacing w:after="0"/>
              <w:rPr>
                <w:sz w:val="17"/>
                <w:szCs w:val="17"/>
                <w:color w:val="auto"/>
              </w:rPr>
            </w:pPr>
          </w:p>
        </w:tc>
        <w:tc>
          <w:tcPr>
            <w:tcW w:w="320" w:type="dxa"/>
            <w:vAlign w:val="bottom"/>
            <w:tcBorders>
              <w:bottom w:val="single" w:sz="8" w:color="DC202E"/>
            </w:tcBorders>
          </w:tcPr>
          <w:p>
            <w:pPr>
              <w:spacing w:after="0"/>
              <w:rPr>
                <w:sz w:val="17"/>
                <w:szCs w:val="17"/>
                <w:color w:val="auto"/>
              </w:rPr>
            </w:pPr>
          </w:p>
        </w:tc>
        <w:tc>
          <w:tcPr>
            <w:tcW w:w="980" w:type="dxa"/>
            <w:vAlign w:val="bottom"/>
            <w:tcBorders>
              <w:bottom w:val="single" w:sz="8" w:color="DC202E"/>
            </w:tcBorders>
          </w:tcPr>
          <w:p>
            <w:pPr>
              <w:jc w:val="right"/>
              <w:ind w:right="354"/>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DC202E"/>
            </w:tcBorders>
          </w:tcPr>
          <w:p>
            <w:pPr>
              <w:spacing w:after="0"/>
              <w:rPr>
                <w:sz w:val="17"/>
                <w:szCs w:val="17"/>
                <w:color w:val="auto"/>
              </w:rPr>
            </w:pPr>
          </w:p>
        </w:tc>
        <w:tc>
          <w:tcPr>
            <w:tcW w:w="120" w:type="dxa"/>
            <w:vAlign w:val="bottom"/>
            <w:tcBorders>
              <w:bottom w:val="single" w:sz="8" w:color="DDDDDD"/>
            </w:tcBorders>
          </w:tcPr>
          <w:p>
            <w:pPr>
              <w:spacing w:after="0"/>
              <w:rPr>
                <w:sz w:val="17"/>
                <w:szCs w:val="17"/>
                <w:color w:val="auto"/>
              </w:rPr>
            </w:pPr>
          </w:p>
        </w:tc>
        <w:tc>
          <w:tcPr>
            <w:tcW w:w="180" w:type="dxa"/>
            <w:vAlign w:val="bottom"/>
            <w:tcBorders>
              <w:bottom w:val="single" w:sz="8" w:color="DC202E"/>
            </w:tcBorders>
          </w:tcPr>
          <w:p>
            <w:pPr>
              <w:spacing w:after="0"/>
              <w:rPr>
                <w:sz w:val="17"/>
                <w:szCs w:val="17"/>
                <w:color w:val="auto"/>
              </w:rPr>
            </w:pPr>
          </w:p>
        </w:tc>
        <w:tc>
          <w:tcPr>
            <w:tcW w:w="1120" w:type="dxa"/>
            <w:vAlign w:val="bottom"/>
            <w:tcBorders>
              <w:bottom w:val="single" w:sz="8" w:color="DC202E"/>
            </w:tcBorders>
          </w:tcPr>
          <w:p>
            <w:pPr>
              <w:jc w:val="right"/>
              <w:ind w:right="355"/>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DC202E"/>
            </w:tcBorders>
          </w:tcPr>
          <w:p>
            <w:pPr>
              <w:spacing w:after="0"/>
              <w:rPr>
                <w:sz w:val="17"/>
                <w:szCs w:val="17"/>
                <w:color w:val="auto"/>
              </w:rPr>
            </w:pPr>
          </w:p>
        </w:tc>
        <w:tc>
          <w:tcPr>
            <w:tcW w:w="40" w:type="dxa"/>
            <w:vAlign w:val="bottom"/>
            <w:tcBorders>
              <w:bottom w:val="single" w:sz="8" w:color="DDDDDD"/>
            </w:tcBorders>
          </w:tcPr>
          <w:p>
            <w:pPr>
              <w:spacing w:after="0"/>
              <w:rPr>
                <w:sz w:val="17"/>
                <w:szCs w:val="17"/>
                <w:color w:val="auto"/>
              </w:rPr>
            </w:pPr>
          </w:p>
        </w:tc>
        <w:tc>
          <w:tcPr>
            <w:tcW w:w="80" w:type="dxa"/>
            <w:vAlign w:val="bottom"/>
            <w:tcBorders>
              <w:bottom w:val="single" w:sz="8" w:color="DDDDDD"/>
            </w:tcBorders>
          </w:tcPr>
          <w:p>
            <w:pPr>
              <w:spacing w:after="0"/>
              <w:rPr>
                <w:sz w:val="17"/>
                <w:szCs w:val="17"/>
                <w:color w:val="auto"/>
              </w:rPr>
            </w:pPr>
          </w:p>
        </w:tc>
        <w:tc>
          <w:tcPr>
            <w:tcW w:w="1540" w:type="dxa"/>
            <w:vAlign w:val="bottom"/>
            <w:tcBorders>
              <w:bottom w:val="single" w:sz="8" w:color="DC202E"/>
            </w:tcBorders>
            <w:gridSpan w:val="2"/>
          </w:tcPr>
          <w:p>
            <w:pPr>
              <w:jc w:val="right"/>
              <w:ind w:right="60"/>
              <w:spacing w:after="0"/>
              <w:rPr>
                <w:sz w:val="20"/>
                <w:szCs w:val="20"/>
                <w:color w:val="auto"/>
              </w:rPr>
            </w:pPr>
            <w:r>
              <w:rPr>
                <w:rFonts w:ascii="Arial" w:cs="Arial" w:eastAsia="Arial" w:hAnsi="Arial"/>
                <w:sz w:val="14"/>
                <w:szCs w:val="14"/>
                <w:b w:val="1"/>
                <w:bCs w:val="1"/>
                <w:color w:val="auto"/>
              </w:rPr>
              <w:t>Change 2020 vs 2019</w:t>
            </w:r>
          </w:p>
        </w:tc>
        <w:tc>
          <w:tcPr>
            <w:tcW w:w="100" w:type="dxa"/>
            <w:vAlign w:val="bottom"/>
            <w:tcBorders>
              <w:bottom w:val="single" w:sz="8" w:color="DDDDDD"/>
            </w:tcBorders>
          </w:tcPr>
          <w:p>
            <w:pPr>
              <w:spacing w:after="0"/>
              <w:rPr>
                <w:sz w:val="17"/>
                <w:szCs w:val="17"/>
                <w:color w:val="auto"/>
              </w:rPr>
            </w:pPr>
          </w:p>
        </w:tc>
        <w:tc>
          <w:tcPr>
            <w:tcW w:w="220" w:type="dxa"/>
            <w:vAlign w:val="bottom"/>
            <w:tcBorders>
              <w:bottom w:val="single" w:sz="8" w:color="DC202E"/>
            </w:tcBorders>
          </w:tcPr>
          <w:p>
            <w:pPr>
              <w:spacing w:after="0"/>
              <w:rPr>
                <w:sz w:val="17"/>
                <w:szCs w:val="17"/>
                <w:color w:val="auto"/>
              </w:rPr>
            </w:pPr>
          </w:p>
        </w:tc>
        <w:tc>
          <w:tcPr>
            <w:tcW w:w="1180" w:type="dxa"/>
            <w:vAlign w:val="bottom"/>
            <w:tcBorders>
              <w:bottom w:val="single" w:sz="8" w:color="DC202E"/>
            </w:tcBorders>
          </w:tcPr>
          <w:p>
            <w:pPr>
              <w:jc w:val="right"/>
              <w:ind w:right="45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DDDDDD"/>
            </w:tcBorders>
          </w:tcPr>
          <w:p>
            <w:pPr>
              <w:spacing w:after="0"/>
              <w:rPr>
                <w:sz w:val="17"/>
                <w:szCs w:val="17"/>
                <w:color w:val="auto"/>
              </w:rPr>
            </w:pPr>
          </w:p>
        </w:tc>
        <w:tc>
          <w:tcPr>
            <w:tcW w:w="1540" w:type="dxa"/>
            <w:vAlign w:val="bottom"/>
            <w:tcBorders>
              <w:bottom w:val="single" w:sz="8" w:color="DC202E"/>
            </w:tcBorders>
          </w:tcPr>
          <w:p>
            <w:pPr>
              <w:jc w:val="center"/>
              <w:spacing w:after="0"/>
              <w:rPr>
                <w:sz w:val="20"/>
                <w:szCs w:val="20"/>
                <w:color w:val="auto"/>
              </w:rPr>
            </w:pPr>
            <w:r>
              <w:rPr>
                <w:rFonts w:ascii="Arial" w:cs="Arial" w:eastAsia="Arial" w:hAnsi="Arial"/>
                <w:sz w:val="14"/>
                <w:szCs w:val="14"/>
                <w:b w:val="1"/>
                <w:bCs w:val="1"/>
                <w:color w:val="auto"/>
              </w:rPr>
              <w:t>Change 2019 vs 2018</w:t>
            </w:r>
          </w:p>
        </w:tc>
        <w:tc>
          <w:tcPr>
            <w:tcW w:w="0" w:type="dxa"/>
            <w:vAlign w:val="bottom"/>
          </w:tcPr>
          <w:p>
            <w:pPr>
              <w:spacing w:after="0"/>
              <w:rPr>
                <w:sz w:val="1"/>
                <w:szCs w:val="1"/>
                <w:color w:val="auto"/>
              </w:rPr>
            </w:pPr>
          </w:p>
        </w:tc>
      </w:tr>
      <w:tr>
        <w:trPr>
          <w:trHeight w:val="230"/>
        </w:trPr>
        <w:tc>
          <w:tcPr>
            <w:tcW w:w="3520" w:type="dxa"/>
            <w:vAlign w:val="bottom"/>
            <w:shd w:val="clear" w:color="auto" w:fill="DDDDDD"/>
          </w:tcPr>
          <w:p>
            <w:pPr>
              <w:ind w:left="20"/>
              <w:spacing w:after="0"/>
              <w:rPr>
                <w:sz w:val="20"/>
                <w:szCs w:val="20"/>
                <w:color w:val="auto"/>
              </w:rPr>
            </w:pPr>
            <w:r>
              <w:rPr>
                <w:rFonts w:ascii="Arial" w:cs="Arial" w:eastAsia="Arial" w:hAnsi="Arial"/>
                <w:sz w:val="18"/>
                <w:szCs w:val="18"/>
                <w:color w:val="auto"/>
              </w:rPr>
              <w:t>Net sales</w:t>
            </w:r>
          </w:p>
        </w:tc>
        <w:tc>
          <w:tcPr>
            <w:tcW w:w="320" w:type="dxa"/>
            <w:vAlign w:val="bottom"/>
            <w:shd w:val="clear" w:color="auto" w:fill="DDDDDD"/>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DDDDDD"/>
          </w:tcPr>
          <w:p>
            <w:pPr>
              <w:jc w:val="right"/>
              <w:ind w:right="60"/>
              <w:spacing w:after="0"/>
              <w:rPr>
                <w:sz w:val="20"/>
                <w:szCs w:val="20"/>
                <w:color w:val="auto"/>
              </w:rPr>
            </w:pPr>
            <w:r>
              <w:rPr>
                <w:rFonts w:ascii="Arial" w:cs="Arial" w:eastAsia="Arial" w:hAnsi="Arial"/>
                <w:sz w:val="18"/>
                <w:szCs w:val="18"/>
                <w:color w:val="auto"/>
              </w:rPr>
              <w:t>11,544</w:t>
            </w:r>
          </w:p>
        </w:tc>
        <w:tc>
          <w:tcPr>
            <w:tcW w:w="120" w:type="dxa"/>
            <w:vAlign w:val="bottom"/>
            <w:shd w:val="clear" w:color="auto" w:fill="DDDDDD"/>
          </w:tcPr>
          <w:p>
            <w:pPr>
              <w:spacing w:after="0"/>
              <w:rPr>
                <w:sz w:val="19"/>
                <w:szCs w:val="19"/>
                <w:color w:val="auto"/>
              </w:rPr>
            </w:pPr>
          </w:p>
        </w:tc>
        <w:tc>
          <w:tcPr>
            <w:tcW w:w="18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DDDDDD"/>
          </w:tcPr>
          <w:p>
            <w:pPr>
              <w:jc w:val="right"/>
              <w:ind w:right="60"/>
              <w:spacing w:after="0"/>
              <w:rPr>
                <w:sz w:val="20"/>
                <w:szCs w:val="20"/>
                <w:color w:val="auto"/>
              </w:rPr>
            </w:pPr>
            <w:r>
              <w:rPr>
                <w:rFonts w:ascii="Arial" w:cs="Arial" w:eastAsia="Arial" w:hAnsi="Arial"/>
                <w:sz w:val="18"/>
                <w:szCs w:val="18"/>
                <w:color w:val="auto"/>
              </w:rPr>
              <w:t>14,054</w:t>
            </w:r>
          </w:p>
        </w:tc>
        <w:tc>
          <w:tcPr>
            <w:tcW w:w="1660" w:type="dxa"/>
            <w:vAlign w:val="bottom"/>
            <w:gridSpan w:val="4"/>
            <w:shd w:val="clear" w:color="auto" w:fill="DDDDDD"/>
          </w:tcPr>
          <w:p>
            <w:pPr>
              <w:jc w:val="right"/>
              <w:ind w:right="2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DDDDDD"/>
          </w:tcPr>
          <w:p>
            <w:pPr>
              <w:spacing w:after="0"/>
              <w:rPr>
                <w:sz w:val="19"/>
                <w:szCs w:val="19"/>
                <w:color w:val="auto"/>
              </w:rPr>
            </w:pPr>
          </w:p>
        </w:tc>
        <w:tc>
          <w:tcPr>
            <w:tcW w:w="22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15,493</w:t>
            </w:r>
          </w:p>
        </w:tc>
        <w:tc>
          <w:tcPr>
            <w:tcW w:w="1660" w:type="dxa"/>
            <w:vAlign w:val="bottom"/>
            <w:gridSpan w:val="2"/>
            <w:shd w:val="clear" w:color="auto" w:fill="DDDDDD"/>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3520" w:type="dxa"/>
            <w:vAlign w:val="bottom"/>
          </w:tcPr>
          <w:p>
            <w:pPr>
              <w:ind w:left="20"/>
              <w:spacing w:after="0"/>
              <w:rPr>
                <w:sz w:val="20"/>
                <w:szCs w:val="20"/>
                <w:color w:val="auto"/>
              </w:rPr>
            </w:pPr>
            <w:r>
              <w:rPr>
                <w:rFonts w:ascii="Arial" w:cs="Arial" w:eastAsia="Arial" w:hAnsi="Arial"/>
                <w:sz w:val="18"/>
                <w:szCs w:val="18"/>
                <w:color w:val="auto"/>
              </w:rPr>
              <w:t>Cost of products and services sold</w:t>
            </w:r>
          </w:p>
        </w:tc>
        <w:tc>
          <w:tcPr>
            <w:tcW w:w="32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7,813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center"/>
              <w:ind w:left="535"/>
              <w:spacing w:after="0"/>
              <w:rPr>
                <w:sz w:val="20"/>
                <w:szCs w:val="20"/>
                <w:color w:val="auto"/>
              </w:rPr>
            </w:pPr>
            <w:r>
              <w:rPr>
                <w:rFonts w:ascii="Arial" w:cs="Arial" w:eastAsia="Arial" w:hAnsi="Arial"/>
                <w:sz w:val="18"/>
                <w:szCs w:val="18"/>
                <w:color w:val="auto"/>
              </w:rPr>
              <w:t>9,398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10,837</w:t>
            </w: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3520" w:type="dxa"/>
            <w:vAlign w:val="bottom"/>
            <w:shd w:val="clear" w:color="auto" w:fill="DDDDDD"/>
          </w:tcPr>
          <w:p>
            <w:pPr>
              <w:ind w:left="20"/>
              <w:spacing w:after="0" w:line="189" w:lineRule="exact"/>
              <w:rPr>
                <w:sz w:val="20"/>
                <w:szCs w:val="20"/>
                <w:color w:val="auto"/>
              </w:rPr>
            </w:pPr>
            <w:r>
              <w:rPr>
                <w:rFonts w:ascii="Arial" w:cs="Arial" w:eastAsia="Arial" w:hAnsi="Arial"/>
                <w:sz w:val="18"/>
                <w:szCs w:val="18"/>
                <w:color w:val="auto"/>
              </w:rPr>
              <w:t>Selling, general and administrative and</w:t>
            </w:r>
          </w:p>
        </w:tc>
        <w:tc>
          <w:tcPr>
            <w:tcW w:w="320" w:type="dxa"/>
            <w:vAlign w:val="bottom"/>
            <w:shd w:val="clear" w:color="auto" w:fill="DDDDDD"/>
          </w:tcPr>
          <w:p>
            <w:pPr>
              <w:spacing w:after="0"/>
              <w:rPr>
                <w:sz w:val="16"/>
                <w:szCs w:val="16"/>
                <w:color w:val="auto"/>
              </w:rPr>
            </w:pPr>
          </w:p>
        </w:tc>
        <w:tc>
          <w:tcPr>
            <w:tcW w:w="980" w:type="dxa"/>
            <w:vAlign w:val="bottom"/>
            <w:shd w:val="clear" w:color="auto" w:fill="DDDDDD"/>
          </w:tcPr>
          <w:p>
            <w:pPr>
              <w:spacing w:after="0"/>
              <w:rPr>
                <w:sz w:val="16"/>
                <w:szCs w:val="16"/>
                <w:color w:val="auto"/>
              </w:rPr>
            </w:pPr>
          </w:p>
        </w:tc>
        <w:tc>
          <w:tcPr>
            <w:tcW w:w="8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1120" w:type="dxa"/>
            <w:vAlign w:val="bottom"/>
            <w:shd w:val="clear" w:color="auto" w:fill="DDDDDD"/>
          </w:tcPr>
          <w:p>
            <w:pPr>
              <w:spacing w:after="0"/>
              <w:rPr>
                <w:sz w:val="16"/>
                <w:szCs w:val="16"/>
                <w:color w:val="auto"/>
              </w:rPr>
            </w:pPr>
          </w:p>
        </w:tc>
        <w:tc>
          <w:tcPr>
            <w:tcW w:w="80" w:type="dxa"/>
            <w:vAlign w:val="bottom"/>
            <w:shd w:val="clear" w:color="auto" w:fill="DDDDDD"/>
          </w:tcPr>
          <w:p>
            <w:pPr>
              <w:spacing w:after="0"/>
              <w:rPr>
                <w:sz w:val="16"/>
                <w:szCs w:val="16"/>
                <w:color w:val="auto"/>
              </w:rPr>
            </w:pPr>
          </w:p>
        </w:tc>
        <w:tc>
          <w:tcPr>
            <w:tcW w:w="40" w:type="dxa"/>
            <w:vAlign w:val="bottom"/>
            <w:shd w:val="clear" w:color="auto" w:fill="DDDDDD"/>
          </w:tcPr>
          <w:p>
            <w:pPr>
              <w:spacing w:after="0"/>
              <w:rPr>
                <w:sz w:val="16"/>
                <w:szCs w:val="16"/>
                <w:color w:val="auto"/>
              </w:rPr>
            </w:pPr>
          </w:p>
        </w:tc>
        <w:tc>
          <w:tcPr>
            <w:tcW w:w="80" w:type="dxa"/>
            <w:vAlign w:val="bottom"/>
            <w:shd w:val="clear" w:color="auto" w:fill="DDDDDD"/>
          </w:tcPr>
          <w:p>
            <w:pPr>
              <w:spacing w:after="0"/>
              <w:rPr>
                <w:sz w:val="16"/>
                <w:szCs w:val="16"/>
                <w:color w:val="auto"/>
              </w:rPr>
            </w:pPr>
          </w:p>
        </w:tc>
        <w:tc>
          <w:tcPr>
            <w:tcW w:w="14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20" w:type="dxa"/>
            <w:vAlign w:val="bottom"/>
            <w:shd w:val="clear" w:color="auto" w:fill="DDDDDD"/>
          </w:tcPr>
          <w:p>
            <w:pPr>
              <w:spacing w:after="0"/>
              <w:rPr>
                <w:sz w:val="16"/>
                <w:szCs w:val="16"/>
                <w:color w:val="auto"/>
              </w:rPr>
            </w:pPr>
          </w:p>
        </w:tc>
        <w:tc>
          <w:tcPr>
            <w:tcW w:w="118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154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520" w:type="dxa"/>
            <w:vAlign w:val="bottom"/>
            <w:shd w:val="clear" w:color="auto" w:fill="DDDDDD"/>
          </w:tcPr>
          <w:p>
            <w:pPr>
              <w:ind w:left="20"/>
              <w:spacing w:after="0"/>
              <w:rPr>
                <w:sz w:val="20"/>
                <w:szCs w:val="20"/>
                <w:color w:val="auto"/>
              </w:rPr>
            </w:pPr>
            <w:r>
              <w:rPr>
                <w:rFonts w:ascii="Arial" w:cs="Arial" w:eastAsia="Arial" w:hAnsi="Arial"/>
                <w:sz w:val="18"/>
                <w:szCs w:val="18"/>
                <w:color w:val="auto"/>
              </w:rPr>
              <w:t>other expenses</w:t>
            </w:r>
          </w:p>
        </w:tc>
        <w:tc>
          <w:tcPr>
            <w:tcW w:w="320" w:type="dxa"/>
            <w:vAlign w:val="bottom"/>
            <w:tcBorders>
              <w:bottom w:val="single" w:sz="8" w:color="auto"/>
            </w:tcBorders>
            <w:shd w:val="clear" w:color="auto" w:fill="DDDDDD"/>
          </w:tcPr>
          <w:p>
            <w:pPr>
              <w:spacing w:after="0"/>
              <w:rPr>
                <w:sz w:val="18"/>
                <w:szCs w:val="18"/>
                <w:color w:val="auto"/>
              </w:rPr>
            </w:pPr>
          </w:p>
        </w:tc>
        <w:tc>
          <w:tcPr>
            <w:tcW w:w="1060" w:type="dxa"/>
            <w:vAlign w:val="bottom"/>
            <w:tcBorders>
              <w:bottom w:val="single" w:sz="8" w:color="auto"/>
            </w:tcBorders>
            <w:gridSpan w:val="2"/>
            <w:shd w:val="clear" w:color="auto" w:fill="DDDDDD"/>
          </w:tcPr>
          <w:p>
            <w:pPr>
              <w:jc w:val="right"/>
              <w:ind w:right="60"/>
              <w:spacing w:after="0"/>
              <w:rPr>
                <w:sz w:val="20"/>
                <w:szCs w:val="20"/>
                <w:color w:val="auto"/>
              </w:rPr>
            </w:pPr>
            <w:r>
              <w:rPr>
                <w:rFonts w:ascii="Arial" w:cs="Arial" w:eastAsia="Arial" w:hAnsi="Arial"/>
                <w:sz w:val="18"/>
                <w:szCs w:val="18"/>
                <w:color w:val="auto"/>
              </w:rPr>
              <w:t>827</w:t>
            </w:r>
          </w:p>
        </w:tc>
        <w:tc>
          <w:tcPr>
            <w:tcW w:w="120" w:type="dxa"/>
            <w:vAlign w:val="bottom"/>
            <w:shd w:val="clear" w:color="auto" w:fill="DDDDDD"/>
          </w:tcPr>
          <w:p>
            <w:pPr>
              <w:spacing w:after="0"/>
              <w:rPr>
                <w:sz w:val="18"/>
                <w:szCs w:val="18"/>
                <w:color w:val="auto"/>
              </w:rPr>
            </w:pPr>
          </w:p>
        </w:tc>
        <w:tc>
          <w:tcPr>
            <w:tcW w:w="180" w:type="dxa"/>
            <w:vAlign w:val="bottom"/>
            <w:tcBorders>
              <w:bottom w:val="single" w:sz="8" w:color="auto"/>
            </w:tcBorders>
            <w:shd w:val="clear" w:color="auto" w:fill="DDDDDD"/>
          </w:tcPr>
          <w:p>
            <w:pPr>
              <w:spacing w:after="0"/>
              <w:rPr>
                <w:sz w:val="18"/>
                <w:szCs w:val="18"/>
                <w:color w:val="auto"/>
              </w:rPr>
            </w:pPr>
          </w:p>
        </w:tc>
        <w:tc>
          <w:tcPr>
            <w:tcW w:w="1200" w:type="dxa"/>
            <w:vAlign w:val="bottom"/>
            <w:tcBorders>
              <w:bottom w:val="single" w:sz="8" w:color="auto"/>
            </w:tcBorders>
            <w:gridSpan w:val="2"/>
            <w:shd w:val="clear" w:color="auto" w:fill="DDDDDD"/>
          </w:tcPr>
          <w:p>
            <w:pPr>
              <w:jc w:val="center"/>
              <w:ind w:left="535"/>
              <w:spacing w:after="0"/>
              <w:rPr>
                <w:sz w:val="20"/>
                <w:szCs w:val="20"/>
                <w:color w:val="auto"/>
              </w:rPr>
            </w:pPr>
            <w:r>
              <w:rPr>
                <w:rFonts w:ascii="Arial" w:cs="Arial" w:eastAsia="Arial" w:hAnsi="Arial"/>
                <w:sz w:val="18"/>
                <w:szCs w:val="18"/>
                <w:color w:val="auto"/>
              </w:rPr>
              <w:t>1,049</w:t>
            </w:r>
          </w:p>
        </w:tc>
        <w:tc>
          <w:tcPr>
            <w:tcW w:w="40" w:type="dxa"/>
            <w:vAlign w:val="bottom"/>
            <w:shd w:val="clear" w:color="auto" w:fill="DDDDDD"/>
          </w:tcPr>
          <w:p>
            <w:pPr>
              <w:spacing w:after="0"/>
              <w:rPr>
                <w:sz w:val="18"/>
                <w:szCs w:val="18"/>
                <w:color w:val="auto"/>
              </w:rPr>
            </w:pPr>
          </w:p>
        </w:tc>
        <w:tc>
          <w:tcPr>
            <w:tcW w:w="80" w:type="dxa"/>
            <w:vAlign w:val="bottom"/>
            <w:shd w:val="clear" w:color="auto" w:fill="DDDDDD"/>
          </w:tcPr>
          <w:p>
            <w:pPr>
              <w:spacing w:after="0"/>
              <w:rPr>
                <w:sz w:val="18"/>
                <w:szCs w:val="18"/>
                <w:color w:val="auto"/>
              </w:rPr>
            </w:pPr>
          </w:p>
        </w:tc>
        <w:tc>
          <w:tcPr>
            <w:tcW w:w="144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220" w:type="dxa"/>
            <w:vAlign w:val="bottom"/>
            <w:tcBorders>
              <w:bottom w:val="single" w:sz="8" w:color="auto"/>
            </w:tcBorders>
            <w:shd w:val="clear" w:color="auto" w:fill="DDDDDD"/>
          </w:tcPr>
          <w:p>
            <w:pPr>
              <w:spacing w:after="0"/>
              <w:rPr>
                <w:sz w:val="18"/>
                <w:szCs w:val="18"/>
                <w:color w:val="auto"/>
              </w:rPr>
            </w:pPr>
          </w:p>
        </w:tc>
        <w:tc>
          <w:tcPr>
            <w:tcW w:w="11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1,153</w:t>
            </w:r>
          </w:p>
        </w:tc>
        <w:tc>
          <w:tcPr>
            <w:tcW w:w="120" w:type="dxa"/>
            <w:vAlign w:val="bottom"/>
            <w:shd w:val="clear" w:color="auto" w:fill="DDDDDD"/>
          </w:tcPr>
          <w:p>
            <w:pPr>
              <w:spacing w:after="0"/>
              <w:rPr>
                <w:sz w:val="18"/>
                <w:szCs w:val="18"/>
                <w:color w:val="auto"/>
              </w:rPr>
            </w:pPr>
          </w:p>
        </w:tc>
        <w:tc>
          <w:tcPr>
            <w:tcW w:w="1540" w:type="dxa"/>
            <w:vAlign w:val="bottom"/>
            <w:shd w:val="clear" w:color="auto" w:fill="DDDDDD"/>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20" w:type="dxa"/>
            <w:vAlign w:val="bottom"/>
          </w:tcPr>
          <w:p>
            <w:pPr>
              <w:ind w:left="20"/>
              <w:spacing w:after="0"/>
              <w:rPr>
                <w:sz w:val="20"/>
                <w:szCs w:val="20"/>
                <w:color w:val="auto"/>
              </w:rPr>
            </w:pPr>
            <w:r>
              <w:rPr>
                <w:rFonts w:ascii="Arial" w:cs="Arial" w:eastAsia="Arial" w:hAnsi="Arial"/>
                <w:sz w:val="18"/>
                <w:szCs w:val="18"/>
                <w:color w:val="auto"/>
              </w:rPr>
              <w:t>Segment profit</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2,904</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gridSpan w:val="2"/>
          </w:tcPr>
          <w:p>
            <w:pPr>
              <w:jc w:val="center"/>
              <w:ind w:left="535"/>
              <w:spacing w:after="0"/>
              <w:rPr>
                <w:sz w:val="20"/>
                <w:szCs w:val="20"/>
                <w:color w:val="auto"/>
              </w:rPr>
            </w:pPr>
            <w:r>
              <w:rPr>
                <w:rFonts w:ascii="Arial" w:cs="Arial" w:eastAsia="Arial" w:hAnsi="Arial"/>
                <w:sz w:val="18"/>
                <w:szCs w:val="18"/>
                <w:color w:val="auto"/>
              </w:rPr>
              <w:t>3,607</w:t>
            </w:r>
          </w:p>
        </w:tc>
        <w:tc>
          <w:tcPr>
            <w:tcW w:w="1660" w:type="dxa"/>
            <w:vAlign w:val="bottom"/>
            <w:gridSpan w:val="4"/>
          </w:tcPr>
          <w:p>
            <w:pPr>
              <w:jc w:val="right"/>
              <w:ind w:right="2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3,503</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95"/>
        </w:trPr>
        <w:tc>
          <w:tcPr>
            <w:tcW w:w="3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Borders>
              <w:bottom w:val="single" w:sz="8" w:color="DC202E"/>
            </w:tcBorders>
          </w:tcPr>
          <w:p>
            <w:pPr>
              <w:spacing w:after="0"/>
              <w:rPr>
                <w:sz w:val="24"/>
                <w:szCs w:val="24"/>
                <w:color w:val="auto"/>
              </w:rPr>
            </w:pPr>
          </w:p>
        </w:tc>
        <w:tc>
          <w:tcPr>
            <w:tcW w:w="120" w:type="dxa"/>
            <w:vAlign w:val="bottom"/>
            <w:tcBorders>
              <w:bottom w:val="single" w:sz="8" w:color="DC202E"/>
            </w:tcBorders>
          </w:tcPr>
          <w:p>
            <w:pPr>
              <w:spacing w:after="0"/>
              <w:rPr>
                <w:sz w:val="24"/>
                <w:szCs w:val="24"/>
                <w:color w:val="auto"/>
              </w:rPr>
            </w:pPr>
          </w:p>
        </w:tc>
        <w:tc>
          <w:tcPr>
            <w:tcW w:w="180" w:type="dxa"/>
            <w:vAlign w:val="bottom"/>
            <w:tcBorders>
              <w:bottom w:val="single" w:sz="8" w:color="DC202E"/>
            </w:tcBorders>
          </w:tcPr>
          <w:p>
            <w:pPr>
              <w:spacing w:after="0"/>
              <w:rPr>
                <w:sz w:val="24"/>
                <w:szCs w:val="24"/>
                <w:color w:val="auto"/>
              </w:rPr>
            </w:pPr>
          </w:p>
        </w:tc>
        <w:tc>
          <w:tcPr>
            <w:tcW w:w="2760" w:type="dxa"/>
            <w:vAlign w:val="bottom"/>
            <w:tcBorders>
              <w:bottom w:val="single" w:sz="8" w:color="DC202E"/>
            </w:tcBorders>
            <w:gridSpan w:val="5"/>
          </w:tcPr>
          <w:p>
            <w:pPr>
              <w:jc w:val="right"/>
              <w:ind w:right="1024"/>
              <w:spacing w:after="0"/>
              <w:rPr>
                <w:sz w:val="20"/>
                <w:szCs w:val="20"/>
                <w:color w:val="auto"/>
              </w:rPr>
            </w:pPr>
            <w:r>
              <w:rPr>
                <w:rFonts w:ascii="Arial" w:cs="Arial" w:eastAsia="Arial" w:hAnsi="Arial"/>
                <w:sz w:val="14"/>
                <w:szCs w:val="14"/>
                <w:b w:val="1"/>
                <w:bCs w:val="1"/>
                <w:color w:val="auto"/>
              </w:rPr>
              <w:t>2020 vs. 2019</w:t>
            </w:r>
          </w:p>
        </w:tc>
        <w:tc>
          <w:tcPr>
            <w:tcW w:w="100" w:type="dxa"/>
            <w:vAlign w:val="bottom"/>
          </w:tcPr>
          <w:p>
            <w:pPr>
              <w:spacing w:after="0"/>
              <w:rPr>
                <w:sz w:val="24"/>
                <w:szCs w:val="24"/>
                <w:color w:val="auto"/>
              </w:rPr>
            </w:pPr>
          </w:p>
        </w:tc>
        <w:tc>
          <w:tcPr>
            <w:tcW w:w="100" w:type="dxa"/>
            <w:vAlign w:val="bottom"/>
            <w:tcBorders>
              <w:bottom w:val="single" w:sz="8" w:color="DC202E"/>
            </w:tcBorders>
          </w:tcPr>
          <w:p>
            <w:pPr>
              <w:spacing w:after="0"/>
              <w:rPr>
                <w:sz w:val="24"/>
                <w:szCs w:val="24"/>
                <w:color w:val="auto"/>
              </w:rPr>
            </w:pPr>
          </w:p>
        </w:tc>
        <w:tc>
          <w:tcPr>
            <w:tcW w:w="220" w:type="dxa"/>
            <w:vAlign w:val="bottom"/>
            <w:tcBorders>
              <w:bottom w:val="single" w:sz="8" w:color="DC202E"/>
            </w:tcBorders>
          </w:tcPr>
          <w:p>
            <w:pPr>
              <w:spacing w:after="0"/>
              <w:rPr>
                <w:sz w:val="24"/>
                <w:szCs w:val="24"/>
                <w:color w:val="auto"/>
              </w:rPr>
            </w:pPr>
          </w:p>
        </w:tc>
        <w:tc>
          <w:tcPr>
            <w:tcW w:w="2840" w:type="dxa"/>
            <w:vAlign w:val="bottom"/>
            <w:tcBorders>
              <w:bottom w:val="single" w:sz="8" w:color="DC202E"/>
            </w:tcBorders>
            <w:gridSpan w:val="3"/>
          </w:tcPr>
          <w:p>
            <w:pPr>
              <w:jc w:val="right"/>
              <w:ind w:right="1041"/>
              <w:spacing w:after="0"/>
              <w:rPr>
                <w:sz w:val="20"/>
                <w:szCs w:val="20"/>
                <w:color w:val="auto"/>
              </w:rPr>
            </w:pPr>
            <w:r>
              <w:rPr>
                <w:rFonts w:ascii="Arial" w:cs="Arial" w:eastAsia="Arial" w:hAnsi="Arial"/>
                <w:sz w:val="14"/>
                <w:szCs w:val="14"/>
                <w:b w:val="1"/>
                <w:bCs w:val="1"/>
                <w:color w:val="auto"/>
              </w:rPr>
              <w:t>2019 vs. 2018</w:t>
            </w:r>
          </w:p>
        </w:tc>
        <w:tc>
          <w:tcPr>
            <w:tcW w:w="0" w:type="dxa"/>
            <w:vAlign w:val="bottom"/>
          </w:tcPr>
          <w:p>
            <w:pPr>
              <w:spacing w:after="0"/>
              <w:rPr>
                <w:sz w:val="1"/>
                <w:szCs w:val="1"/>
                <w:color w:val="auto"/>
              </w:rPr>
            </w:pPr>
          </w:p>
        </w:tc>
      </w:tr>
      <w:tr>
        <w:trPr>
          <w:trHeight w:val="216"/>
        </w:trPr>
        <w:tc>
          <w:tcPr>
            <w:tcW w:w="3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Factors Contributing to Year-Over-Year Change</w:t>
            </w: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vMerge w:val="restart"/>
          </w:tcPr>
          <w:p>
            <w:pPr>
              <w:jc w:val="right"/>
              <w:ind w:right="335"/>
              <w:spacing w:after="0"/>
              <w:rPr>
                <w:sz w:val="20"/>
                <w:szCs w:val="20"/>
                <w:color w:val="auto"/>
              </w:rPr>
            </w:pPr>
            <w:r>
              <w:rPr>
                <w:rFonts w:ascii="Arial" w:cs="Arial" w:eastAsia="Arial" w:hAnsi="Arial"/>
                <w:sz w:val="14"/>
                <w:szCs w:val="14"/>
                <w:b w:val="1"/>
                <w:bCs w:val="1"/>
                <w:color w:val="auto"/>
              </w:rPr>
              <w:t>Net Sales</w:t>
            </w:r>
          </w:p>
        </w:tc>
        <w:tc>
          <w:tcPr>
            <w:tcW w:w="80" w:type="dxa"/>
            <w:vAlign w:val="bottom"/>
            <w:vMerge w:val="restart"/>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3"/>
          </w:tcPr>
          <w:p>
            <w:pPr>
              <w:ind w:left="380"/>
              <w:spacing w:after="0"/>
              <w:rPr>
                <w:sz w:val="20"/>
                <w:szCs w:val="20"/>
                <w:color w:val="auto"/>
              </w:rPr>
            </w:pPr>
            <w:r>
              <w:rPr>
                <w:rFonts w:ascii="Arial" w:cs="Arial" w:eastAsia="Arial" w:hAnsi="Arial"/>
                <w:sz w:val="14"/>
                <w:szCs w:val="14"/>
                <w:b w:val="1"/>
                <w:bCs w:val="1"/>
                <w:color w:val="auto"/>
              </w:rPr>
              <w:t>Segment</w:t>
            </w:r>
          </w:p>
        </w:tc>
        <w:tc>
          <w:tcPr>
            <w:tcW w:w="220" w:type="dxa"/>
            <w:vAlign w:val="bottom"/>
          </w:tcPr>
          <w:p>
            <w:pPr>
              <w:spacing w:after="0"/>
              <w:rPr>
                <w:sz w:val="18"/>
                <w:szCs w:val="18"/>
                <w:color w:val="auto"/>
              </w:rPr>
            </w:pPr>
          </w:p>
        </w:tc>
        <w:tc>
          <w:tcPr>
            <w:tcW w:w="1180" w:type="dxa"/>
            <w:vAlign w:val="bottom"/>
            <w:vMerge w:val="restart"/>
          </w:tcPr>
          <w:p>
            <w:pPr>
              <w:jc w:val="right"/>
              <w:ind w:right="335"/>
              <w:spacing w:after="0"/>
              <w:rPr>
                <w:sz w:val="20"/>
                <w:szCs w:val="20"/>
                <w:color w:val="auto"/>
              </w:rPr>
            </w:pPr>
            <w:r>
              <w:rPr>
                <w:rFonts w:ascii="Arial" w:cs="Arial" w:eastAsia="Arial" w:hAnsi="Arial"/>
                <w:sz w:val="14"/>
                <w:szCs w:val="14"/>
                <w:b w:val="1"/>
                <w:bCs w:val="1"/>
                <w:color w:val="auto"/>
              </w:rPr>
              <w:t>Net Sales</w:t>
            </w:r>
          </w:p>
        </w:tc>
        <w:tc>
          <w:tcPr>
            <w:tcW w:w="1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Segment</w:t>
            </w:r>
          </w:p>
        </w:tc>
        <w:tc>
          <w:tcPr>
            <w:tcW w:w="0" w:type="dxa"/>
            <w:vAlign w:val="bottom"/>
          </w:tcPr>
          <w:p>
            <w:pPr>
              <w:spacing w:after="0"/>
              <w:rPr>
                <w:sz w:val="1"/>
                <w:szCs w:val="1"/>
                <w:color w:val="auto"/>
              </w:rPr>
            </w:pPr>
          </w:p>
        </w:tc>
      </w:tr>
      <w:tr>
        <w:trPr>
          <w:trHeight w:val="183"/>
        </w:trPr>
        <w:tc>
          <w:tcPr>
            <w:tcW w:w="3520" w:type="dxa"/>
            <w:vAlign w:val="bottom"/>
            <w:tcBorders>
              <w:bottom w:val="single" w:sz="8" w:color="DDDDDD"/>
            </w:tcBorders>
            <w:vMerge w:val="continue"/>
          </w:tcPr>
          <w:p>
            <w:pPr>
              <w:spacing w:after="0"/>
              <w:rPr>
                <w:sz w:val="15"/>
                <w:szCs w:val="15"/>
                <w:color w:val="auto"/>
              </w:rPr>
            </w:pPr>
          </w:p>
        </w:tc>
        <w:tc>
          <w:tcPr>
            <w:tcW w:w="320" w:type="dxa"/>
            <w:vAlign w:val="bottom"/>
            <w:tcBorders>
              <w:bottom w:val="single" w:sz="8" w:color="DDDDDD"/>
            </w:tcBorders>
          </w:tcPr>
          <w:p>
            <w:pPr>
              <w:spacing w:after="0"/>
              <w:rPr>
                <w:sz w:val="15"/>
                <w:szCs w:val="15"/>
                <w:color w:val="auto"/>
              </w:rPr>
            </w:pPr>
          </w:p>
        </w:tc>
        <w:tc>
          <w:tcPr>
            <w:tcW w:w="980" w:type="dxa"/>
            <w:vAlign w:val="bottom"/>
            <w:tcBorders>
              <w:bottom w:val="single" w:sz="8" w:color="DDDDDD"/>
            </w:tcBorders>
          </w:tcPr>
          <w:p>
            <w:pPr>
              <w:spacing w:after="0"/>
              <w:rPr>
                <w:sz w:val="15"/>
                <w:szCs w:val="15"/>
                <w:color w:val="auto"/>
              </w:rPr>
            </w:pPr>
          </w:p>
        </w:tc>
        <w:tc>
          <w:tcPr>
            <w:tcW w:w="80" w:type="dxa"/>
            <w:vAlign w:val="bottom"/>
            <w:tcBorders>
              <w:bottom w:val="single" w:sz="8" w:color="DC202E"/>
            </w:tcBorders>
          </w:tcPr>
          <w:p>
            <w:pPr>
              <w:spacing w:after="0"/>
              <w:rPr>
                <w:sz w:val="15"/>
                <w:szCs w:val="15"/>
                <w:color w:val="auto"/>
              </w:rPr>
            </w:pPr>
          </w:p>
        </w:tc>
        <w:tc>
          <w:tcPr>
            <w:tcW w:w="120" w:type="dxa"/>
            <w:vAlign w:val="bottom"/>
            <w:tcBorders>
              <w:bottom w:val="single" w:sz="8" w:color="DC202E"/>
            </w:tcBorders>
          </w:tcPr>
          <w:p>
            <w:pPr>
              <w:spacing w:after="0"/>
              <w:rPr>
                <w:sz w:val="15"/>
                <w:szCs w:val="15"/>
                <w:color w:val="auto"/>
              </w:rPr>
            </w:pPr>
          </w:p>
        </w:tc>
        <w:tc>
          <w:tcPr>
            <w:tcW w:w="180" w:type="dxa"/>
            <w:vAlign w:val="bottom"/>
            <w:tcBorders>
              <w:bottom w:val="single" w:sz="8" w:color="DC202E"/>
            </w:tcBorders>
          </w:tcPr>
          <w:p>
            <w:pPr>
              <w:spacing w:after="0"/>
              <w:rPr>
                <w:sz w:val="15"/>
                <w:szCs w:val="15"/>
                <w:color w:val="auto"/>
              </w:rPr>
            </w:pPr>
          </w:p>
        </w:tc>
        <w:tc>
          <w:tcPr>
            <w:tcW w:w="1120" w:type="dxa"/>
            <w:vAlign w:val="bottom"/>
            <w:tcBorders>
              <w:bottom w:val="single" w:sz="8" w:color="DC202E"/>
            </w:tcBorders>
            <w:vMerge w:val="continue"/>
          </w:tcPr>
          <w:p>
            <w:pPr>
              <w:spacing w:after="0"/>
              <w:rPr>
                <w:sz w:val="15"/>
                <w:szCs w:val="15"/>
                <w:color w:val="auto"/>
              </w:rPr>
            </w:pPr>
          </w:p>
        </w:tc>
        <w:tc>
          <w:tcPr>
            <w:tcW w:w="80" w:type="dxa"/>
            <w:vAlign w:val="bottom"/>
            <w:tcBorders>
              <w:bottom w:val="single" w:sz="8" w:color="DDDDDD"/>
            </w:tcBorders>
            <w:vMerge w:val="continue"/>
          </w:tcPr>
          <w:p>
            <w:pPr>
              <w:spacing w:after="0"/>
              <w:rPr>
                <w:sz w:val="15"/>
                <w:szCs w:val="15"/>
                <w:color w:val="auto"/>
              </w:rPr>
            </w:pPr>
          </w:p>
        </w:tc>
        <w:tc>
          <w:tcPr>
            <w:tcW w:w="40" w:type="dxa"/>
            <w:vAlign w:val="bottom"/>
            <w:tcBorders>
              <w:bottom w:val="single" w:sz="8" w:color="DDDDDD"/>
            </w:tcBorders>
          </w:tcPr>
          <w:p>
            <w:pPr>
              <w:spacing w:after="0"/>
              <w:rPr>
                <w:sz w:val="15"/>
                <w:szCs w:val="15"/>
                <w:color w:val="auto"/>
              </w:rPr>
            </w:pPr>
          </w:p>
        </w:tc>
        <w:tc>
          <w:tcPr>
            <w:tcW w:w="80" w:type="dxa"/>
            <w:vAlign w:val="bottom"/>
            <w:tcBorders>
              <w:bottom w:val="single" w:sz="8" w:color="DC202E"/>
            </w:tcBorders>
          </w:tcPr>
          <w:p>
            <w:pPr>
              <w:spacing w:after="0"/>
              <w:rPr>
                <w:sz w:val="15"/>
                <w:szCs w:val="15"/>
                <w:color w:val="auto"/>
              </w:rPr>
            </w:pPr>
          </w:p>
        </w:tc>
        <w:tc>
          <w:tcPr>
            <w:tcW w:w="1440" w:type="dxa"/>
            <w:vAlign w:val="bottom"/>
            <w:tcBorders>
              <w:bottom w:val="single" w:sz="8" w:color="DC202E"/>
            </w:tcBorders>
          </w:tcPr>
          <w:p>
            <w:pPr>
              <w:jc w:val="right"/>
              <w:ind w:right="504"/>
              <w:spacing w:after="0"/>
              <w:rPr>
                <w:sz w:val="20"/>
                <w:szCs w:val="20"/>
                <w:color w:val="auto"/>
              </w:rPr>
            </w:pPr>
            <w:r>
              <w:rPr>
                <w:rFonts w:ascii="Arial" w:cs="Arial" w:eastAsia="Arial" w:hAnsi="Arial"/>
                <w:sz w:val="14"/>
                <w:szCs w:val="14"/>
                <w:b w:val="1"/>
                <w:bCs w:val="1"/>
                <w:color w:val="auto"/>
              </w:rPr>
              <w:t>Profit</w:t>
            </w:r>
          </w:p>
        </w:tc>
        <w:tc>
          <w:tcPr>
            <w:tcW w:w="100" w:type="dxa"/>
            <w:vAlign w:val="bottom"/>
            <w:tcBorders>
              <w:bottom w:val="single" w:sz="8" w:color="DDDDDD"/>
            </w:tcBorders>
          </w:tcPr>
          <w:p>
            <w:pPr>
              <w:spacing w:after="0"/>
              <w:rPr>
                <w:sz w:val="15"/>
                <w:szCs w:val="15"/>
                <w:color w:val="auto"/>
              </w:rPr>
            </w:pPr>
          </w:p>
        </w:tc>
        <w:tc>
          <w:tcPr>
            <w:tcW w:w="100" w:type="dxa"/>
            <w:vAlign w:val="bottom"/>
            <w:tcBorders>
              <w:bottom w:val="single" w:sz="8" w:color="DC202E"/>
            </w:tcBorders>
          </w:tcPr>
          <w:p>
            <w:pPr>
              <w:spacing w:after="0"/>
              <w:rPr>
                <w:sz w:val="15"/>
                <w:szCs w:val="15"/>
                <w:color w:val="auto"/>
              </w:rPr>
            </w:pPr>
          </w:p>
        </w:tc>
        <w:tc>
          <w:tcPr>
            <w:tcW w:w="220" w:type="dxa"/>
            <w:vAlign w:val="bottom"/>
            <w:tcBorders>
              <w:bottom w:val="single" w:sz="8" w:color="DC202E"/>
            </w:tcBorders>
          </w:tcPr>
          <w:p>
            <w:pPr>
              <w:spacing w:after="0"/>
              <w:rPr>
                <w:sz w:val="15"/>
                <w:szCs w:val="15"/>
                <w:color w:val="auto"/>
              </w:rPr>
            </w:pPr>
          </w:p>
        </w:tc>
        <w:tc>
          <w:tcPr>
            <w:tcW w:w="1180" w:type="dxa"/>
            <w:vAlign w:val="bottom"/>
            <w:tcBorders>
              <w:bottom w:val="single" w:sz="8" w:color="DC202E"/>
            </w:tcBorders>
            <w:vMerge w:val="continue"/>
          </w:tcPr>
          <w:p>
            <w:pPr>
              <w:spacing w:after="0"/>
              <w:rPr>
                <w:sz w:val="15"/>
                <w:szCs w:val="15"/>
                <w:color w:val="auto"/>
              </w:rPr>
            </w:pPr>
          </w:p>
        </w:tc>
        <w:tc>
          <w:tcPr>
            <w:tcW w:w="120" w:type="dxa"/>
            <w:vAlign w:val="bottom"/>
            <w:tcBorders>
              <w:bottom w:val="single" w:sz="8" w:color="DDDDDD"/>
            </w:tcBorders>
          </w:tcPr>
          <w:p>
            <w:pPr>
              <w:spacing w:after="0"/>
              <w:rPr>
                <w:sz w:val="15"/>
                <w:szCs w:val="15"/>
                <w:color w:val="auto"/>
              </w:rPr>
            </w:pPr>
          </w:p>
        </w:tc>
        <w:tc>
          <w:tcPr>
            <w:tcW w:w="1540" w:type="dxa"/>
            <w:vAlign w:val="bottom"/>
            <w:tcBorders>
              <w:bottom w:val="single" w:sz="8" w:color="DC202E"/>
            </w:tcBorders>
          </w:tcPr>
          <w:p>
            <w:pPr>
              <w:jc w:val="center"/>
              <w:spacing w:after="0"/>
              <w:rPr>
                <w:sz w:val="20"/>
                <w:szCs w:val="20"/>
                <w:color w:val="auto"/>
              </w:rPr>
            </w:pPr>
            <w:r>
              <w:rPr>
                <w:rFonts w:ascii="Arial" w:cs="Arial" w:eastAsia="Arial" w:hAnsi="Arial"/>
                <w:sz w:val="14"/>
                <w:szCs w:val="14"/>
                <w:b w:val="1"/>
                <w:bCs w:val="1"/>
                <w:color w:val="auto"/>
              </w:rPr>
              <w:t>Profit</w:t>
            </w:r>
          </w:p>
        </w:tc>
        <w:tc>
          <w:tcPr>
            <w:tcW w:w="0" w:type="dxa"/>
            <w:vAlign w:val="bottom"/>
          </w:tcPr>
          <w:p>
            <w:pPr>
              <w:spacing w:after="0"/>
              <w:rPr>
                <w:sz w:val="1"/>
                <w:szCs w:val="1"/>
                <w:color w:val="auto"/>
              </w:rPr>
            </w:pPr>
          </w:p>
        </w:tc>
      </w:tr>
      <w:tr>
        <w:trPr>
          <w:trHeight w:val="230"/>
        </w:trPr>
        <w:tc>
          <w:tcPr>
            <w:tcW w:w="3520" w:type="dxa"/>
            <w:vAlign w:val="bottom"/>
            <w:shd w:val="clear" w:color="auto" w:fill="DDDDDD"/>
          </w:tcPr>
          <w:p>
            <w:pPr>
              <w:ind w:left="20"/>
              <w:spacing w:after="0"/>
              <w:rPr>
                <w:sz w:val="20"/>
                <w:szCs w:val="20"/>
                <w:color w:val="auto"/>
              </w:rPr>
            </w:pPr>
            <w:r>
              <w:rPr>
                <w:rFonts w:ascii="Arial" w:cs="Arial" w:eastAsia="Arial" w:hAnsi="Arial"/>
                <w:sz w:val="18"/>
                <w:szCs w:val="18"/>
                <w:color w:val="auto"/>
              </w:rPr>
              <w:t>Organic</w:t>
            </w:r>
          </w:p>
        </w:tc>
        <w:tc>
          <w:tcPr>
            <w:tcW w:w="320" w:type="dxa"/>
            <w:vAlign w:val="bottom"/>
            <w:shd w:val="clear" w:color="auto" w:fill="DDDDDD"/>
          </w:tcPr>
          <w:p>
            <w:pPr>
              <w:spacing w:after="0"/>
              <w:rPr>
                <w:sz w:val="19"/>
                <w:szCs w:val="19"/>
                <w:color w:val="auto"/>
              </w:rPr>
            </w:pPr>
          </w:p>
        </w:tc>
        <w:tc>
          <w:tcPr>
            <w:tcW w:w="980" w:type="dxa"/>
            <w:vAlign w:val="bottom"/>
            <w:shd w:val="clear" w:color="auto" w:fill="DDDDDD"/>
          </w:tcPr>
          <w:p>
            <w:pPr>
              <w:spacing w:after="0"/>
              <w:rPr>
                <w:sz w:val="19"/>
                <w:szCs w:val="19"/>
                <w:color w:val="auto"/>
              </w:rPr>
            </w:pPr>
          </w:p>
        </w:tc>
        <w:tc>
          <w:tcPr>
            <w:tcW w:w="8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180" w:type="dxa"/>
            <w:vAlign w:val="bottom"/>
            <w:shd w:val="clear" w:color="auto" w:fill="DDDDDD"/>
          </w:tcPr>
          <w:p>
            <w:pPr>
              <w:spacing w:after="0"/>
              <w:rPr>
                <w:sz w:val="19"/>
                <w:szCs w:val="19"/>
                <w:color w:val="auto"/>
              </w:rPr>
            </w:pPr>
          </w:p>
        </w:tc>
        <w:tc>
          <w:tcPr>
            <w:tcW w:w="11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DDDDDD"/>
          </w:tcPr>
          <w:p>
            <w:pPr>
              <w:spacing w:after="0"/>
              <w:rPr>
                <w:sz w:val="19"/>
                <w:szCs w:val="19"/>
                <w:color w:val="auto"/>
              </w:rPr>
            </w:pPr>
          </w:p>
        </w:tc>
        <w:tc>
          <w:tcPr>
            <w:tcW w:w="1560" w:type="dxa"/>
            <w:vAlign w:val="bottom"/>
            <w:gridSpan w:val="3"/>
            <w:shd w:val="clear" w:color="auto" w:fill="DDDDDD"/>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220" w:type="dxa"/>
            <w:vAlign w:val="bottom"/>
            <w:shd w:val="clear" w:color="auto" w:fill="DDDDDD"/>
          </w:tcPr>
          <w:p>
            <w:pPr>
              <w:spacing w:after="0"/>
              <w:rPr>
                <w:sz w:val="19"/>
                <w:szCs w:val="19"/>
                <w:color w:val="auto"/>
              </w:rPr>
            </w:pPr>
          </w:p>
        </w:tc>
        <w:tc>
          <w:tcPr>
            <w:tcW w:w="11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9 %</w:t>
            </w:r>
          </w:p>
        </w:tc>
        <w:tc>
          <w:tcPr>
            <w:tcW w:w="1660" w:type="dxa"/>
            <w:vAlign w:val="bottom"/>
            <w:gridSpan w:val="2"/>
            <w:shd w:val="clear" w:color="auto" w:fill="DDDDDD"/>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30"/>
        </w:trPr>
        <w:tc>
          <w:tcPr>
            <w:tcW w:w="3520" w:type="dxa"/>
            <w:vAlign w:val="bottom"/>
          </w:tcPr>
          <w:p>
            <w:pPr>
              <w:ind w:left="20"/>
              <w:spacing w:after="0"/>
              <w:rPr>
                <w:sz w:val="20"/>
                <w:szCs w:val="20"/>
                <w:color w:val="auto"/>
              </w:rPr>
            </w:pPr>
            <w:r>
              <w:rPr>
                <w:rFonts w:ascii="Arial" w:cs="Arial" w:eastAsia="Arial" w:hAnsi="Arial"/>
                <w:sz w:val="18"/>
                <w:szCs w:val="18"/>
                <w:color w:val="auto"/>
              </w:rPr>
              <w:t>Foreign currency translation</w:t>
            </w: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center"/>
              <w:ind w:left="515"/>
              <w:spacing w:after="0"/>
              <w:rPr>
                <w:sz w:val="20"/>
                <w:szCs w:val="20"/>
                <w:color w:val="auto"/>
              </w:rPr>
            </w:pPr>
            <w:r>
              <w:rPr>
                <w:rFonts w:ascii="Arial" w:cs="Arial" w:eastAsia="Arial" w:hAnsi="Arial"/>
                <w:sz w:val="18"/>
                <w:szCs w:val="18"/>
                <w:color w:val="auto"/>
              </w:rPr>
              <w:t>— %</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40" w:type="dxa"/>
            <w:vAlign w:val="bottom"/>
            <w:gridSpan w:val="3"/>
          </w:tcPr>
          <w:p>
            <w:pPr>
              <w:jc w:val="right"/>
              <w:ind w:right="220"/>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9"/>
        </w:trPr>
        <w:tc>
          <w:tcPr>
            <w:tcW w:w="3520" w:type="dxa"/>
            <w:vAlign w:val="bottom"/>
            <w:shd w:val="clear" w:color="auto" w:fill="DDDDDD"/>
          </w:tcPr>
          <w:p>
            <w:pPr>
              <w:ind w:left="20"/>
              <w:spacing w:after="0"/>
              <w:rPr>
                <w:sz w:val="20"/>
                <w:szCs w:val="20"/>
                <w:color w:val="auto"/>
              </w:rPr>
            </w:pPr>
            <w:r>
              <w:rPr>
                <w:rFonts w:ascii="Arial" w:cs="Arial" w:eastAsia="Arial" w:hAnsi="Arial"/>
                <w:sz w:val="18"/>
                <w:szCs w:val="18"/>
                <w:color w:val="auto"/>
              </w:rPr>
              <w:t>Acquisitions, divestitures and other, net</w:t>
            </w:r>
          </w:p>
        </w:tc>
        <w:tc>
          <w:tcPr>
            <w:tcW w:w="320" w:type="dxa"/>
            <w:vAlign w:val="bottom"/>
            <w:shd w:val="clear" w:color="auto" w:fill="DDDDDD"/>
          </w:tcPr>
          <w:p>
            <w:pPr>
              <w:spacing w:after="0"/>
              <w:rPr>
                <w:sz w:val="19"/>
                <w:szCs w:val="19"/>
                <w:color w:val="auto"/>
              </w:rPr>
            </w:pPr>
          </w:p>
        </w:tc>
        <w:tc>
          <w:tcPr>
            <w:tcW w:w="980" w:type="dxa"/>
            <w:vAlign w:val="bottom"/>
            <w:shd w:val="clear" w:color="auto" w:fill="DDDDDD"/>
          </w:tcPr>
          <w:p>
            <w:pPr>
              <w:spacing w:after="0"/>
              <w:rPr>
                <w:sz w:val="19"/>
                <w:szCs w:val="19"/>
                <w:color w:val="auto"/>
              </w:rPr>
            </w:pPr>
          </w:p>
        </w:tc>
        <w:tc>
          <w:tcPr>
            <w:tcW w:w="80" w:type="dxa"/>
            <w:vAlign w:val="bottom"/>
            <w:tcBorders>
              <w:bottom w:val="single" w:sz="8" w:color="auto"/>
            </w:tcBorders>
            <w:shd w:val="clear" w:color="auto" w:fill="DDDDDD"/>
          </w:tcPr>
          <w:p>
            <w:pPr>
              <w:spacing w:after="0"/>
              <w:rPr>
                <w:sz w:val="19"/>
                <w:szCs w:val="19"/>
                <w:color w:val="auto"/>
              </w:rPr>
            </w:pPr>
          </w:p>
        </w:tc>
        <w:tc>
          <w:tcPr>
            <w:tcW w:w="120" w:type="dxa"/>
            <w:vAlign w:val="bottom"/>
            <w:tcBorders>
              <w:bottom w:val="single" w:sz="8" w:color="auto"/>
            </w:tcBorders>
            <w:shd w:val="clear" w:color="auto" w:fill="DDDDDD"/>
          </w:tcPr>
          <w:p>
            <w:pPr>
              <w:spacing w:after="0"/>
              <w:rPr>
                <w:sz w:val="19"/>
                <w:szCs w:val="19"/>
                <w:color w:val="auto"/>
              </w:rPr>
            </w:pPr>
          </w:p>
        </w:tc>
        <w:tc>
          <w:tcPr>
            <w:tcW w:w="180" w:type="dxa"/>
            <w:vAlign w:val="bottom"/>
            <w:tcBorders>
              <w:bottom w:val="single" w:sz="8" w:color="auto"/>
            </w:tcBorders>
            <w:shd w:val="clear" w:color="auto" w:fill="DDDDDD"/>
          </w:tcPr>
          <w:p>
            <w:pPr>
              <w:spacing w:after="0"/>
              <w:rPr>
                <w:sz w:val="19"/>
                <w:szCs w:val="19"/>
                <w:color w:val="auto"/>
              </w:rPr>
            </w:pPr>
          </w:p>
        </w:tc>
        <w:tc>
          <w:tcPr>
            <w:tcW w:w="1120" w:type="dxa"/>
            <w:vAlign w:val="bottom"/>
            <w:tcBorders>
              <w:bottom w:val="single" w:sz="8" w:color="auto"/>
            </w:tcBorders>
            <w:shd w:val="clear" w:color="auto" w:fill="DDDDDD"/>
          </w:tcPr>
          <w:p>
            <w:pPr>
              <w:jc w:val="center"/>
              <w:ind w:left="595"/>
              <w:spacing w:after="0"/>
              <w:rPr>
                <w:sz w:val="20"/>
                <w:szCs w:val="20"/>
                <w:color w:val="auto"/>
              </w:rPr>
            </w:pPr>
            <w:r>
              <w:rPr>
                <w:rFonts w:ascii="Arial" w:cs="Arial" w:eastAsia="Arial" w:hAnsi="Arial"/>
                <w:sz w:val="18"/>
                <w:szCs w:val="18"/>
                <w:color w:val="auto"/>
              </w:rPr>
              <w:t>— %</w:t>
            </w:r>
          </w:p>
        </w:tc>
        <w:tc>
          <w:tcPr>
            <w:tcW w:w="80" w:type="dxa"/>
            <w:vAlign w:val="bottom"/>
            <w:shd w:val="clear" w:color="auto" w:fill="DDDDDD"/>
          </w:tcPr>
          <w:p>
            <w:pPr>
              <w:spacing w:after="0"/>
              <w:rPr>
                <w:sz w:val="19"/>
                <w:szCs w:val="19"/>
                <w:color w:val="auto"/>
              </w:rPr>
            </w:pPr>
          </w:p>
        </w:tc>
        <w:tc>
          <w:tcPr>
            <w:tcW w:w="40" w:type="dxa"/>
            <w:vAlign w:val="bottom"/>
            <w:shd w:val="clear" w:color="auto" w:fill="DDDDDD"/>
          </w:tcPr>
          <w:p>
            <w:pPr>
              <w:spacing w:after="0"/>
              <w:rPr>
                <w:sz w:val="19"/>
                <w:szCs w:val="19"/>
                <w:color w:val="auto"/>
              </w:rPr>
            </w:pPr>
          </w:p>
        </w:tc>
        <w:tc>
          <w:tcPr>
            <w:tcW w:w="1520" w:type="dxa"/>
            <w:vAlign w:val="bottom"/>
            <w:tcBorders>
              <w:bottom w:val="single" w:sz="8" w:color="auto"/>
            </w:tcBorders>
            <w:gridSpan w:val="2"/>
            <w:shd w:val="clear" w:color="auto" w:fill="DDDDDD"/>
          </w:tcPr>
          <w:p>
            <w:pPr>
              <w:jc w:val="right"/>
              <w:spacing w:after="0"/>
              <w:rPr>
                <w:sz w:val="20"/>
                <w:szCs w:val="20"/>
                <w:color w:val="auto"/>
              </w:rPr>
            </w:pPr>
            <w:r>
              <w:rPr>
                <w:rFonts w:ascii="Arial" w:cs="Arial" w:eastAsia="Arial" w:hAnsi="Arial"/>
                <w:sz w:val="18"/>
                <w:szCs w:val="18"/>
                <w:color w:val="auto"/>
              </w:rPr>
              <w:t>1 %</w:t>
            </w:r>
          </w:p>
        </w:tc>
        <w:tc>
          <w:tcPr>
            <w:tcW w:w="100" w:type="dxa"/>
            <w:vAlign w:val="bottom"/>
            <w:shd w:val="clear" w:color="auto" w:fill="DDDDDD"/>
          </w:tcPr>
          <w:p>
            <w:pPr>
              <w:spacing w:after="0"/>
              <w:rPr>
                <w:sz w:val="19"/>
                <w:szCs w:val="19"/>
                <w:color w:val="auto"/>
              </w:rPr>
            </w:pPr>
          </w:p>
        </w:tc>
        <w:tc>
          <w:tcPr>
            <w:tcW w:w="100" w:type="dxa"/>
            <w:vAlign w:val="bottom"/>
            <w:tcBorders>
              <w:bottom w:val="single" w:sz="8" w:color="auto"/>
            </w:tcBorders>
            <w:shd w:val="clear" w:color="auto" w:fill="DDDDDD"/>
          </w:tcPr>
          <w:p>
            <w:pPr>
              <w:spacing w:after="0"/>
              <w:rPr>
                <w:sz w:val="19"/>
                <w:szCs w:val="19"/>
                <w:color w:val="auto"/>
              </w:rPr>
            </w:pPr>
          </w:p>
        </w:tc>
        <w:tc>
          <w:tcPr>
            <w:tcW w:w="220" w:type="dxa"/>
            <w:vAlign w:val="bottom"/>
            <w:tcBorders>
              <w:bottom w:val="single" w:sz="8" w:color="auto"/>
            </w:tcBorders>
            <w:shd w:val="clear" w:color="auto" w:fill="DDDDDD"/>
          </w:tcPr>
          <w:p>
            <w:pPr>
              <w:spacing w:after="0"/>
              <w:rPr>
                <w:sz w:val="19"/>
                <w:szCs w:val="19"/>
                <w:color w:val="auto"/>
              </w:rPr>
            </w:pPr>
          </w:p>
        </w:tc>
        <w:tc>
          <w:tcPr>
            <w:tcW w:w="11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DDDDDD"/>
          </w:tcPr>
          <w:p>
            <w:pPr>
              <w:spacing w:after="0"/>
              <w:rPr>
                <w:sz w:val="19"/>
                <w:szCs w:val="19"/>
                <w:color w:val="auto"/>
              </w:rPr>
            </w:pPr>
          </w:p>
        </w:tc>
        <w:tc>
          <w:tcPr>
            <w:tcW w:w="15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3520" w:type="dxa"/>
            <w:vAlign w:val="bottom"/>
          </w:tcPr>
          <w:p>
            <w:pPr>
              <w:ind w:left="360"/>
              <w:spacing w:after="0"/>
              <w:rPr>
                <w:sz w:val="20"/>
                <w:szCs w:val="20"/>
                <w:color w:val="auto"/>
              </w:rPr>
            </w:pPr>
            <w:r>
              <w:rPr>
                <w:rFonts w:ascii="Arial" w:cs="Arial" w:eastAsia="Arial" w:hAnsi="Arial"/>
                <w:sz w:val="18"/>
                <w:szCs w:val="18"/>
                <w:color w:val="auto"/>
              </w:rPr>
              <w:t>Total % Change</w:t>
            </w: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9"/>
                <w:szCs w:val="19"/>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19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2" w:name="page23"/>
    <w:bookmarkEnd w:id="22"/>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compared with 2019</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Aerospace Net sales decreased due to lower sales volumes as the decline in global travel resulting form COVID-19 negatively impacted many of our customers, resulting in lower demand for our products from OEMs and reduced demand for our aftermarket products and services.</w:t>
      </w:r>
    </w:p>
    <w:p>
      <w:pPr>
        <w:spacing w:after="0" w:line="107" w:lineRule="exact"/>
        <w:rPr>
          <w:sz w:val="20"/>
          <w:szCs w:val="20"/>
          <w:color w:val="auto"/>
        </w:rPr>
      </w:pPr>
    </w:p>
    <w:p>
      <w:pPr>
        <w:ind w:left="660" w:right="20" w:hanging="328"/>
        <w:spacing w:after="0" w:line="237" w:lineRule="auto"/>
        <w:tabs>
          <w:tab w:leader="none" w:pos="621" w:val="left"/>
        </w:tabs>
        <w:numPr>
          <w:ilvl w:val="0"/>
          <w:numId w:val="15"/>
        </w:numPr>
        <w:rPr>
          <w:rFonts w:ascii="Arial" w:cs="Arial" w:eastAsia="Arial" w:hAnsi="Arial"/>
          <w:sz w:val="20"/>
          <w:szCs w:val="20"/>
          <w:color w:val="auto"/>
        </w:rPr>
      </w:pPr>
      <w:r>
        <w:rPr>
          <w:rFonts w:ascii="Arial" w:cs="Arial" w:eastAsia="Arial" w:hAnsi="Arial"/>
          <w:sz w:val="18"/>
          <w:szCs w:val="18"/>
          <w:color w:val="auto"/>
        </w:rPr>
        <w:t>Commercial Aviation Original Equipment sales decreased 36% (decreased 35% organic) due to lower demand from air transport and regional and business aviation OEMs.</w:t>
      </w:r>
    </w:p>
    <w:p>
      <w:pPr>
        <w:spacing w:after="0" w:line="14" w:lineRule="exact"/>
        <w:rPr>
          <w:rFonts w:ascii="Arial" w:cs="Arial" w:eastAsia="Arial" w:hAnsi="Arial"/>
          <w:sz w:val="20"/>
          <w:szCs w:val="20"/>
          <w:color w:val="auto"/>
        </w:rPr>
      </w:pPr>
    </w:p>
    <w:p>
      <w:pPr>
        <w:ind w:left="660" w:hanging="328"/>
        <w:spacing w:after="0" w:line="237" w:lineRule="auto"/>
        <w:tabs>
          <w:tab w:leader="none" w:pos="621" w:val="left"/>
        </w:tabs>
        <w:numPr>
          <w:ilvl w:val="0"/>
          <w:numId w:val="15"/>
        </w:numPr>
        <w:rPr>
          <w:rFonts w:ascii="Arial" w:cs="Arial" w:eastAsia="Arial" w:hAnsi="Arial"/>
          <w:sz w:val="20"/>
          <w:szCs w:val="20"/>
          <w:color w:val="auto"/>
        </w:rPr>
      </w:pPr>
      <w:r>
        <w:rPr>
          <w:rFonts w:ascii="Arial" w:cs="Arial" w:eastAsia="Arial" w:hAnsi="Arial"/>
          <w:sz w:val="18"/>
          <w:szCs w:val="18"/>
          <w:color w:val="auto"/>
        </w:rPr>
        <w:t>Commercial Aviation Aftermarket sales decreased 34% (decreased 34% organic) due to lower demand in air transport and regional and business aviation.</w:t>
      </w:r>
    </w:p>
    <w:p>
      <w:pPr>
        <w:spacing w:after="0" w:line="1" w:lineRule="exact"/>
        <w:rPr>
          <w:rFonts w:ascii="Arial" w:cs="Arial" w:eastAsia="Arial" w:hAnsi="Arial"/>
          <w:sz w:val="20"/>
          <w:szCs w:val="20"/>
          <w:color w:val="auto"/>
        </w:rPr>
      </w:pPr>
    </w:p>
    <w:p>
      <w:pPr>
        <w:ind w:left="620" w:hanging="288"/>
        <w:spacing w:after="0"/>
        <w:tabs>
          <w:tab w:leader="none" w:pos="620" w:val="left"/>
        </w:tabs>
        <w:numPr>
          <w:ilvl w:val="0"/>
          <w:numId w:val="15"/>
        </w:numPr>
        <w:rPr>
          <w:rFonts w:ascii="Arial" w:cs="Arial" w:eastAsia="Arial" w:hAnsi="Arial"/>
          <w:sz w:val="20"/>
          <w:szCs w:val="20"/>
          <w:color w:val="auto"/>
        </w:rPr>
      </w:pPr>
      <w:r>
        <w:rPr>
          <w:rFonts w:ascii="Arial" w:cs="Arial" w:eastAsia="Arial" w:hAnsi="Arial"/>
          <w:sz w:val="18"/>
          <w:szCs w:val="18"/>
          <w:color w:val="auto"/>
        </w:rPr>
        <w:t>Defense and Space sales increased 9% (increased 10% organic) driven by growth in U.S. and international defense.</w:t>
      </w:r>
    </w:p>
    <w:p>
      <w:pPr>
        <w:spacing w:after="0" w:line="10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Aerospace segment profit decreased due to lower sales volume and lower sales of higher margin products and services, partially offset by favorable pricing. Cost of products and services sold decreased due to lower sales volumes.</w:t>
      </w:r>
    </w:p>
    <w:p>
      <w:pPr>
        <w:spacing w:after="0" w:line="27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HONEYWELL BUILDING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93980</wp:posOffset>
            </wp:positionV>
            <wp:extent cx="4114800" cy="32575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4114800"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540" w:type="dxa"/>
            <w:vAlign w:val="bottom"/>
            <w:tcBorders>
              <w:bottom w:val="single" w:sz="8" w:color="DDDDDD"/>
            </w:tcBorders>
          </w:tcPr>
          <w:p>
            <w:pPr>
              <w:spacing w:after="0"/>
              <w:rPr>
                <w:sz w:val="17"/>
                <w:szCs w:val="17"/>
                <w:color w:val="auto"/>
              </w:rPr>
            </w:pPr>
          </w:p>
        </w:tc>
        <w:tc>
          <w:tcPr>
            <w:tcW w:w="86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DC202E"/>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340" w:type="dxa"/>
            <w:vAlign w:val="bottom"/>
            <w:tcBorders>
              <w:bottom w:val="single" w:sz="8" w:color="DC202E"/>
            </w:tcBorders>
          </w:tcPr>
          <w:p>
            <w:pPr>
              <w:spacing w:after="0"/>
              <w:rPr>
                <w:sz w:val="17"/>
                <w:szCs w:val="17"/>
                <w:color w:val="auto"/>
              </w:rPr>
            </w:pPr>
          </w:p>
        </w:tc>
        <w:tc>
          <w:tcPr>
            <w:tcW w:w="1060" w:type="dxa"/>
            <w:vAlign w:val="bottom"/>
            <w:tcBorders>
              <w:bottom w:val="single" w:sz="8" w:color="DC202E"/>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DDDDDD"/>
            </w:tcBorders>
          </w:tcPr>
          <w:p>
            <w:pPr>
              <w:spacing w:after="0"/>
              <w:rPr>
                <w:sz w:val="17"/>
                <w:szCs w:val="17"/>
                <w:color w:val="auto"/>
              </w:rPr>
            </w:pPr>
          </w:p>
        </w:tc>
        <w:tc>
          <w:tcPr>
            <w:tcW w:w="154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Change 2020 vs. 2019</w:t>
            </w:r>
          </w:p>
        </w:tc>
        <w:tc>
          <w:tcPr>
            <w:tcW w:w="120" w:type="dxa"/>
            <w:vAlign w:val="bottom"/>
            <w:tcBorders>
              <w:bottom w:val="single" w:sz="8" w:color="DDDDDD"/>
            </w:tcBorders>
          </w:tcPr>
          <w:p>
            <w:pPr>
              <w:spacing w:after="0"/>
              <w:rPr>
                <w:sz w:val="17"/>
                <w:szCs w:val="17"/>
                <w:color w:val="auto"/>
              </w:rPr>
            </w:pPr>
          </w:p>
        </w:tc>
        <w:tc>
          <w:tcPr>
            <w:tcW w:w="320" w:type="dxa"/>
            <w:vAlign w:val="bottom"/>
            <w:tcBorders>
              <w:bottom w:val="single" w:sz="8" w:color="DC202E"/>
            </w:tcBorders>
          </w:tcPr>
          <w:p>
            <w:pPr>
              <w:spacing w:after="0"/>
              <w:rPr>
                <w:sz w:val="17"/>
                <w:szCs w:val="17"/>
                <w:color w:val="auto"/>
              </w:rPr>
            </w:pPr>
          </w:p>
        </w:tc>
        <w:tc>
          <w:tcPr>
            <w:tcW w:w="1060" w:type="dxa"/>
            <w:vAlign w:val="bottom"/>
            <w:tcBorders>
              <w:bottom w:val="single" w:sz="8" w:color="DC202E"/>
            </w:tcBorders>
          </w:tcPr>
          <w:p>
            <w:pPr>
              <w:jc w:val="right"/>
              <w:ind w:right="43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DDDDDD"/>
            </w:tcBorders>
          </w:tcPr>
          <w:p>
            <w:pPr>
              <w:spacing w:after="0"/>
              <w:rPr>
                <w:sz w:val="17"/>
                <w:szCs w:val="17"/>
                <w:color w:val="auto"/>
              </w:rPr>
            </w:pPr>
          </w:p>
        </w:tc>
        <w:tc>
          <w:tcPr>
            <w:tcW w:w="154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Change 2019 vs. 2018</w:t>
            </w:r>
          </w:p>
        </w:tc>
      </w:tr>
      <w:tr>
        <w:trPr>
          <w:trHeight w:val="229"/>
        </w:trPr>
        <w:tc>
          <w:tcPr>
            <w:tcW w:w="3540" w:type="dxa"/>
            <w:vAlign w:val="bottom"/>
            <w:shd w:val="clear" w:color="auto" w:fill="DDDDDD"/>
          </w:tcPr>
          <w:p>
            <w:pPr>
              <w:ind w:left="20"/>
              <w:spacing w:after="0"/>
              <w:rPr>
                <w:sz w:val="20"/>
                <w:szCs w:val="20"/>
                <w:color w:val="auto"/>
              </w:rPr>
            </w:pPr>
            <w:r>
              <w:rPr>
                <w:rFonts w:ascii="Arial" w:cs="Arial" w:eastAsia="Arial" w:hAnsi="Arial"/>
                <w:sz w:val="18"/>
                <w:szCs w:val="18"/>
                <w:color w:val="auto"/>
              </w:rPr>
              <w:t>Net sales</w:t>
            </w:r>
          </w:p>
        </w:tc>
        <w:tc>
          <w:tcPr>
            <w:tcW w:w="860" w:type="dxa"/>
            <w:vAlign w:val="bottom"/>
            <w:shd w:val="clear" w:color="auto" w:fill="DDDDDD"/>
          </w:tcPr>
          <w:p>
            <w:pPr>
              <w:jc w:val="right"/>
              <w:ind w:right="67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3"/>
              </w:rPr>
              <w:t>5,189</w:t>
            </w:r>
          </w:p>
        </w:tc>
        <w:tc>
          <w:tcPr>
            <w:tcW w:w="100" w:type="dxa"/>
            <w:vAlign w:val="bottom"/>
            <w:shd w:val="clear" w:color="auto" w:fill="DDDDDD"/>
          </w:tcPr>
          <w:p>
            <w:pPr>
              <w:spacing w:after="0"/>
              <w:rPr>
                <w:sz w:val="19"/>
                <w:szCs w:val="19"/>
                <w:color w:val="auto"/>
              </w:rPr>
            </w:pPr>
          </w:p>
        </w:tc>
        <w:tc>
          <w:tcPr>
            <w:tcW w:w="3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5,717</w:t>
            </w:r>
          </w:p>
        </w:tc>
        <w:tc>
          <w:tcPr>
            <w:tcW w:w="1640" w:type="dxa"/>
            <w:vAlign w:val="bottom"/>
            <w:gridSpan w:val="2"/>
            <w:shd w:val="clear" w:color="auto" w:fill="DDDDDD"/>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DDDDDD"/>
          </w:tcPr>
          <w:p>
            <w:pPr>
              <w:spacing w:after="0"/>
              <w:rPr>
                <w:sz w:val="19"/>
                <w:szCs w:val="19"/>
                <w:color w:val="auto"/>
              </w:rPr>
            </w:pPr>
          </w:p>
        </w:tc>
        <w:tc>
          <w:tcPr>
            <w:tcW w:w="320" w:type="dxa"/>
            <w:vAlign w:val="bottom"/>
            <w:shd w:val="clear" w:color="auto" w:fill="DDDDDD"/>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9,298</w:t>
            </w:r>
          </w:p>
        </w:tc>
        <w:tc>
          <w:tcPr>
            <w:tcW w:w="1660" w:type="dxa"/>
            <w:vAlign w:val="bottom"/>
            <w:gridSpan w:val="2"/>
            <w:shd w:val="clear" w:color="auto" w:fill="DDDDDD"/>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3540" w:type="dxa"/>
            <w:vAlign w:val="bottom"/>
          </w:tcPr>
          <w:p>
            <w:pPr>
              <w:ind w:left="20"/>
              <w:spacing w:after="0"/>
              <w:rPr>
                <w:sz w:val="20"/>
                <w:szCs w:val="20"/>
                <w:color w:val="auto"/>
              </w:rPr>
            </w:pPr>
            <w:r>
              <w:rPr>
                <w:rFonts w:ascii="Arial" w:cs="Arial" w:eastAsia="Arial" w:hAnsi="Arial"/>
                <w:sz w:val="18"/>
                <w:szCs w:val="18"/>
                <w:color w:val="auto"/>
              </w:rPr>
              <w:t>Cost of products and services sold</w:t>
            </w: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3,067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3,444</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6,066</w:t>
            </w: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188"/>
        </w:trPr>
        <w:tc>
          <w:tcPr>
            <w:tcW w:w="3540" w:type="dxa"/>
            <w:vAlign w:val="bottom"/>
            <w:shd w:val="clear" w:color="auto" w:fill="DDDDDD"/>
          </w:tcPr>
          <w:p>
            <w:pPr>
              <w:ind w:left="20"/>
              <w:spacing w:after="0" w:line="189" w:lineRule="exact"/>
              <w:rPr>
                <w:sz w:val="20"/>
                <w:szCs w:val="20"/>
                <w:color w:val="auto"/>
              </w:rPr>
            </w:pPr>
            <w:r>
              <w:rPr>
                <w:rFonts w:ascii="Arial" w:cs="Arial" w:eastAsia="Arial" w:hAnsi="Arial"/>
                <w:sz w:val="18"/>
                <w:szCs w:val="18"/>
                <w:color w:val="auto"/>
              </w:rPr>
              <w:t>Selling, general and administrative and</w:t>
            </w:r>
          </w:p>
        </w:tc>
        <w:tc>
          <w:tcPr>
            <w:tcW w:w="860" w:type="dxa"/>
            <w:vAlign w:val="bottom"/>
            <w:shd w:val="clear" w:color="auto" w:fill="DDDDDD"/>
          </w:tcPr>
          <w:p>
            <w:pPr>
              <w:spacing w:after="0"/>
              <w:rPr>
                <w:sz w:val="16"/>
                <w:szCs w:val="16"/>
                <w:color w:val="auto"/>
              </w:rPr>
            </w:pPr>
          </w:p>
        </w:tc>
        <w:tc>
          <w:tcPr>
            <w:tcW w:w="5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340" w:type="dxa"/>
            <w:vAlign w:val="bottom"/>
            <w:shd w:val="clear" w:color="auto" w:fill="DDDDDD"/>
          </w:tcPr>
          <w:p>
            <w:pPr>
              <w:spacing w:after="0"/>
              <w:rPr>
                <w:sz w:val="16"/>
                <w:szCs w:val="16"/>
                <w:color w:val="auto"/>
              </w:rPr>
            </w:pPr>
          </w:p>
        </w:tc>
        <w:tc>
          <w:tcPr>
            <w:tcW w:w="10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54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320" w:type="dxa"/>
            <w:vAlign w:val="bottom"/>
            <w:shd w:val="clear" w:color="auto" w:fill="DDDDDD"/>
          </w:tcPr>
          <w:p>
            <w:pPr>
              <w:spacing w:after="0"/>
              <w:rPr>
                <w:sz w:val="16"/>
                <w:szCs w:val="16"/>
                <w:color w:val="auto"/>
              </w:rPr>
            </w:pPr>
          </w:p>
        </w:tc>
        <w:tc>
          <w:tcPr>
            <w:tcW w:w="106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1540" w:type="dxa"/>
            <w:vAlign w:val="bottom"/>
            <w:shd w:val="clear" w:color="auto" w:fill="DDDDDD"/>
          </w:tcPr>
          <w:p>
            <w:pPr>
              <w:spacing w:after="0"/>
              <w:rPr>
                <w:sz w:val="16"/>
                <w:szCs w:val="16"/>
                <w:color w:val="auto"/>
              </w:rPr>
            </w:pPr>
          </w:p>
        </w:tc>
      </w:tr>
      <w:tr>
        <w:trPr>
          <w:trHeight w:val="217"/>
        </w:trPr>
        <w:tc>
          <w:tcPr>
            <w:tcW w:w="3540" w:type="dxa"/>
            <w:vAlign w:val="bottom"/>
            <w:shd w:val="clear" w:color="auto" w:fill="DDDDDD"/>
          </w:tcPr>
          <w:p>
            <w:pPr>
              <w:ind w:left="20"/>
              <w:spacing w:after="0"/>
              <w:rPr>
                <w:sz w:val="20"/>
                <w:szCs w:val="20"/>
                <w:color w:val="auto"/>
              </w:rPr>
            </w:pPr>
            <w:r>
              <w:rPr>
                <w:rFonts w:ascii="Arial" w:cs="Arial" w:eastAsia="Arial" w:hAnsi="Arial"/>
                <w:sz w:val="18"/>
                <w:szCs w:val="18"/>
                <w:color w:val="auto"/>
              </w:rPr>
              <w:t>other expenses</w:t>
            </w:r>
          </w:p>
        </w:tc>
        <w:tc>
          <w:tcPr>
            <w:tcW w:w="860" w:type="dxa"/>
            <w:vAlign w:val="bottom"/>
            <w:tcBorders>
              <w:bottom w:val="single" w:sz="8" w:color="auto"/>
            </w:tcBorders>
            <w:shd w:val="clear" w:color="auto" w:fill="DDDDDD"/>
          </w:tcPr>
          <w:p>
            <w:pPr>
              <w:spacing w:after="0"/>
              <w:rPr>
                <w:sz w:val="18"/>
                <w:szCs w:val="18"/>
                <w:color w:val="auto"/>
              </w:rPr>
            </w:pPr>
          </w:p>
        </w:tc>
        <w:tc>
          <w:tcPr>
            <w:tcW w:w="5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w w:val="93"/>
              </w:rPr>
              <w:t>1,023</w:t>
            </w:r>
          </w:p>
        </w:tc>
        <w:tc>
          <w:tcPr>
            <w:tcW w:w="100" w:type="dxa"/>
            <w:vAlign w:val="bottom"/>
            <w:shd w:val="clear" w:color="auto" w:fill="DDDDDD"/>
          </w:tcPr>
          <w:p>
            <w:pPr>
              <w:spacing w:after="0"/>
              <w:rPr>
                <w:sz w:val="18"/>
                <w:szCs w:val="18"/>
                <w:color w:val="auto"/>
              </w:rPr>
            </w:pPr>
          </w:p>
        </w:tc>
        <w:tc>
          <w:tcPr>
            <w:tcW w:w="340" w:type="dxa"/>
            <w:vAlign w:val="bottom"/>
            <w:tcBorders>
              <w:bottom w:val="single" w:sz="8" w:color="auto"/>
            </w:tcBorders>
            <w:shd w:val="clear" w:color="auto" w:fill="DDDDDD"/>
          </w:tcPr>
          <w:p>
            <w:pPr>
              <w:spacing w:after="0"/>
              <w:rPr>
                <w:sz w:val="18"/>
                <w:szCs w:val="18"/>
                <w:color w:val="auto"/>
              </w:rPr>
            </w:pPr>
          </w:p>
        </w:tc>
        <w:tc>
          <w:tcPr>
            <w:tcW w:w="10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1,108</w:t>
            </w:r>
          </w:p>
        </w:tc>
        <w:tc>
          <w:tcPr>
            <w:tcW w:w="100" w:type="dxa"/>
            <w:vAlign w:val="bottom"/>
            <w:shd w:val="clear" w:color="auto" w:fill="DDDDDD"/>
          </w:tcPr>
          <w:p>
            <w:pPr>
              <w:spacing w:after="0"/>
              <w:rPr>
                <w:sz w:val="18"/>
                <w:szCs w:val="18"/>
                <w:color w:val="auto"/>
              </w:rPr>
            </w:pPr>
          </w:p>
        </w:tc>
        <w:tc>
          <w:tcPr>
            <w:tcW w:w="154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320" w:type="dxa"/>
            <w:vAlign w:val="bottom"/>
            <w:tcBorders>
              <w:bottom w:val="single" w:sz="8" w:color="auto"/>
            </w:tcBorders>
            <w:shd w:val="clear" w:color="auto" w:fill="DDDDDD"/>
          </w:tcPr>
          <w:p>
            <w:pPr>
              <w:spacing w:after="0"/>
              <w:rPr>
                <w:sz w:val="18"/>
                <w:szCs w:val="18"/>
                <w:color w:val="auto"/>
              </w:rPr>
            </w:pPr>
          </w:p>
        </w:tc>
        <w:tc>
          <w:tcPr>
            <w:tcW w:w="10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1,624</w:t>
            </w:r>
          </w:p>
        </w:tc>
        <w:tc>
          <w:tcPr>
            <w:tcW w:w="120" w:type="dxa"/>
            <w:vAlign w:val="bottom"/>
            <w:shd w:val="clear" w:color="auto" w:fill="DDDDDD"/>
          </w:tcPr>
          <w:p>
            <w:pPr>
              <w:spacing w:after="0"/>
              <w:rPr>
                <w:sz w:val="18"/>
                <w:szCs w:val="18"/>
                <w:color w:val="auto"/>
              </w:rPr>
            </w:pPr>
          </w:p>
        </w:tc>
        <w:tc>
          <w:tcPr>
            <w:tcW w:w="1540" w:type="dxa"/>
            <w:vAlign w:val="bottom"/>
            <w:shd w:val="clear" w:color="auto" w:fill="DDDDDD"/>
          </w:tcPr>
          <w:p>
            <w:pPr>
              <w:spacing w:after="0"/>
              <w:rPr>
                <w:sz w:val="18"/>
                <w:szCs w:val="18"/>
                <w:color w:val="auto"/>
              </w:rPr>
            </w:pPr>
          </w:p>
        </w:tc>
      </w:tr>
      <w:tr>
        <w:trPr>
          <w:trHeight w:val="223"/>
        </w:trPr>
        <w:tc>
          <w:tcPr>
            <w:tcW w:w="3540" w:type="dxa"/>
            <w:vAlign w:val="bottom"/>
          </w:tcPr>
          <w:p>
            <w:pPr>
              <w:ind w:left="20"/>
              <w:spacing w:after="0"/>
              <w:rPr>
                <w:sz w:val="20"/>
                <w:szCs w:val="20"/>
                <w:color w:val="auto"/>
              </w:rPr>
            </w:pPr>
            <w:r>
              <w:rPr>
                <w:rFonts w:ascii="Arial" w:cs="Arial" w:eastAsia="Arial" w:hAnsi="Arial"/>
                <w:sz w:val="18"/>
                <w:szCs w:val="18"/>
                <w:color w:val="auto"/>
              </w:rPr>
              <w:t>Segment profit</w:t>
            </w:r>
          </w:p>
        </w:tc>
        <w:tc>
          <w:tcPr>
            <w:tcW w:w="860" w:type="dxa"/>
            <w:vAlign w:val="bottom"/>
            <w:tcBorders>
              <w:bottom w:val="single" w:sz="8" w:color="auto"/>
            </w:tcBorders>
          </w:tcPr>
          <w:p>
            <w:pPr>
              <w:jc w:val="right"/>
              <w:ind w:right="67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1,099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1,165</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1,608</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(28)%</w:t>
            </w:r>
          </w:p>
        </w:tc>
      </w:tr>
      <w:tr>
        <w:trPr>
          <w:trHeight w:val="21"/>
        </w:trPr>
        <w:tc>
          <w:tcPr>
            <w:tcW w:w="35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20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820" w:type="dxa"/>
            <w:vAlign w:val="bottom"/>
          </w:tcPr>
          <w:p>
            <w:pPr>
              <w:spacing w:after="0"/>
              <w:rPr>
                <w:sz w:val="17"/>
                <w:szCs w:val="17"/>
                <w:color w:val="auto"/>
              </w:rPr>
            </w:pPr>
          </w:p>
        </w:tc>
        <w:tc>
          <w:tcPr>
            <w:tcW w:w="1080" w:type="dxa"/>
            <w:vAlign w:val="bottom"/>
            <w:tcBorders>
              <w:bottom w:val="single" w:sz="8" w:color="DC202E"/>
            </w:tcBorders>
          </w:tcPr>
          <w:p>
            <w:pPr>
              <w:spacing w:after="0"/>
              <w:rPr>
                <w:sz w:val="17"/>
                <w:szCs w:val="17"/>
                <w:color w:val="auto"/>
              </w:rPr>
            </w:pPr>
          </w:p>
        </w:tc>
        <w:tc>
          <w:tcPr>
            <w:tcW w:w="1600" w:type="dxa"/>
            <w:vAlign w:val="bottom"/>
            <w:tcBorders>
              <w:bottom w:val="single" w:sz="8" w:color="DC202E"/>
            </w:tcBorders>
            <w:gridSpan w:val="3"/>
          </w:tcPr>
          <w:p>
            <w:pPr>
              <w:ind w:left="20"/>
              <w:spacing w:after="0"/>
              <w:rPr>
                <w:sz w:val="20"/>
                <w:szCs w:val="20"/>
                <w:color w:val="auto"/>
              </w:rPr>
            </w:pPr>
            <w:r>
              <w:rPr>
                <w:rFonts w:ascii="Arial" w:cs="Arial" w:eastAsia="Arial" w:hAnsi="Arial"/>
                <w:sz w:val="14"/>
                <w:szCs w:val="14"/>
                <w:b w:val="1"/>
                <w:bCs w:val="1"/>
                <w:color w:val="auto"/>
              </w:rPr>
              <w:t>2020 vs. 2019</w:t>
            </w:r>
          </w:p>
        </w:tc>
        <w:tc>
          <w:tcPr>
            <w:tcW w:w="440" w:type="dxa"/>
            <w:vAlign w:val="bottom"/>
            <w:tcBorders>
              <w:bottom w:val="single" w:sz="8" w:color="DC202E"/>
            </w:tcBorders>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tcBorders>
              <w:bottom w:val="single" w:sz="8" w:color="DC202E"/>
            </w:tcBorders>
            <w:gridSpan w:val="3"/>
          </w:tcPr>
          <w:p>
            <w:pPr>
              <w:ind w:left="1120"/>
              <w:spacing w:after="0"/>
              <w:rPr>
                <w:sz w:val="20"/>
                <w:szCs w:val="20"/>
                <w:color w:val="auto"/>
              </w:rPr>
            </w:pPr>
            <w:r>
              <w:rPr>
                <w:rFonts w:ascii="Arial" w:cs="Arial" w:eastAsia="Arial" w:hAnsi="Arial"/>
                <w:sz w:val="14"/>
                <w:szCs w:val="14"/>
                <w:b w:val="1"/>
                <w:bCs w:val="1"/>
                <w:color w:val="auto"/>
              </w:rPr>
              <w:t>2019 vs. 2018</w:t>
            </w:r>
          </w:p>
        </w:tc>
        <w:tc>
          <w:tcPr>
            <w:tcW w:w="1100" w:type="dxa"/>
            <w:vAlign w:val="bottom"/>
            <w:tcBorders>
              <w:bottom w:val="single" w:sz="8" w:color="DC202E"/>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Factors Contributing to Year-Over-Year Change</w:t>
            </w:r>
          </w:p>
        </w:tc>
        <w:tc>
          <w:tcPr>
            <w:tcW w:w="108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Net Sales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ind w:left="368"/>
              <w:spacing w:after="0"/>
              <w:rPr>
                <w:sz w:val="20"/>
                <w:szCs w:val="20"/>
                <w:color w:val="auto"/>
              </w:rPr>
            </w:pPr>
            <w:r>
              <w:rPr>
                <w:rFonts w:ascii="Arial" w:cs="Arial" w:eastAsia="Arial" w:hAnsi="Arial"/>
                <w:sz w:val="14"/>
                <w:szCs w:val="14"/>
                <w:b w:val="1"/>
                <w:bCs w:val="1"/>
                <w:color w:val="auto"/>
              </w:rPr>
              <w:t>Segment</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gridSpan w:val="3"/>
            <w:vMerge w:val="restart"/>
          </w:tcPr>
          <w:p>
            <w:pPr>
              <w:ind w:left="420"/>
              <w:spacing w:after="0"/>
              <w:rPr>
                <w:sz w:val="20"/>
                <w:szCs w:val="20"/>
                <w:color w:val="auto"/>
              </w:rPr>
            </w:pPr>
            <w:r>
              <w:rPr>
                <w:rFonts w:ascii="Arial" w:cs="Arial" w:eastAsia="Arial" w:hAnsi="Arial"/>
                <w:sz w:val="14"/>
                <w:szCs w:val="14"/>
                <w:b w:val="1"/>
                <w:bCs w:val="1"/>
                <w:color w:val="auto"/>
              </w:rPr>
              <w:t>Net Sales</w:t>
            </w:r>
          </w:p>
        </w:tc>
        <w:tc>
          <w:tcPr>
            <w:tcW w:w="1100" w:type="dxa"/>
            <w:vAlign w:val="bottom"/>
          </w:tcPr>
          <w:p>
            <w:pPr>
              <w:jc w:val="right"/>
              <w:ind w:right="396"/>
              <w:spacing w:after="0"/>
              <w:rPr>
                <w:sz w:val="20"/>
                <w:szCs w:val="20"/>
                <w:color w:val="auto"/>
              </w:rPr>
            </w:pPr>
            <w:r>
              <w:rPr>
                <w:rFonts w:ascii="Arial" w:cs="Arial" w:eastAsia="Arial" w:hAnsi="Arial"/>
                <w:sz w:val="14"/>
                <w:szCs w:val="14"/>
                <w:b w:val="1"/>
                <w:bCs w:val="1"/>
                <w:color w:val="auto"/>
              </w:rPr>
              <w:t>Segment</w:t>
            </w:r>
          </w:p>
        </w:tc>
        <w:tc>
          <w:tcPr>
            <w:tcW w:w="0" w:type="dxa"/>
            <w:vAlign w:val="bottom"/>
          </w:tcPr>
          <w:p>
            <w:pPr>
              <w:spacing w:after="0"/>
              <w:rPr>
                <w:sz w:val="1"/>
                <w:szCs w:val="1"/>
                <w:color w:val="auto"/>
              </w:rPr>
            </w:pPr>
          </w:p>
        </w:tc>
      </w:tr>
      <w:tr>
        <w:trPr>
          <w:trHeight w:val="183"/>
        </w:trPr>
        <w:tc>
          <w:tcPr>
            <w:tcW w:w="482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center"/>
              <w:ind w:left="388"/>
              <w:spacing w:after="0"/>
              <w:rPr>
                <w:sz w:val="20"/>
                <w:szCs w:val="20"/>
                <w:color w:val="auto"/>
              </w:rPr>
            </w:pPr>
            <w:r>
              <w:rPr>
                <w:rFonts w:ascii="Arial" w:cs="Arial" w:eastAsia="Arial" w:hAnsi="Arial"/>
                <w:sz w:val="14"/>
                <w:szCs w:val="14"/>
                <w:b w:val="1"/>
                <w:bCs w:val="1"/>
                <w:color w:val="auto"/>
              </w:rPr>
              <w:t>Profit</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gridSpan w:val="3"/>
            <w:vMerge w:val="continue"/>
          </w:tcPr>
          <w:p>
            <w:pPr>
              <w:spacing w:after="0"/>
              <w:rPr>
                <w:sz w:val="15"/>
                <w:szCs w:val="15"/>
                <w:color w:val="auto"/>
              </w:rPr>
            </w:pPr>
          </w:p>
        </w:tc>
        <w:tc>
          <w:tcPr>
            <w:tcW w:w="1100" w:type="dxa"/>
            <w:vAlign w:val="bottom"/>
          </w:tcPr>
          <w:p>
            <w:pPr>
              <w:jc w:val="right"/>
              <w:ind w:right="496"/>
              <w:spacing w:after="0"/>
              <w:rPr>
                <w:sz w:val="20"/>
                <w:szCs w:val="20"/>
                <w:color w:val="auto"/>
              </w:rPr>
            </w:pPr>
            <w:r>
              <w:rPr>
                <w:rFonts w:ascii="Arial" w:cs="Arial" w:eastAsia="Arial" w:hAnsi="Arial"/>
                <w:sz w:val="14"/>
                <w:szCs w:val="14"/>
                <w:b w:val="1"/>
                <w:bCs w:val="1"/>
                <w:color w:val="auto"/>
              </w:rPr>
              <w:t>Profit</w:t>
            </w:r>
          </w:p>
        </w:tc>
        <w:tc>
          <w:tcPr>
            <w:tcW w:w="0" w:type="dxa"/>
            <w:vAlign w:val="bottom"/>
          </w:tcPr>
          <w:p>
            <w:pPr>
              <w:spacing w:after="0"/>
              <w:rPr>
                <w:sz w:val="1"/>
                <w:szCs w:val="1"/>
                <w:color w:val="auto"/>
              </w:rPr>
            </w:pPr>
          </w:p>
        </w:tc>
      </w:tr>
      <w:tr>
        <w:trPr>
          <w:trHeight w:val="229"/>
        </w:trPr>
        <w:tc>
          <w:tcPr>
            <w:tcW w:w="4820" w:type="dxa"/>
            <w:vAlign w:val="bottom"/>
            <w:tcBorders>
              <w:top w:val="single" w:sz="8" w:color="DDDDDD"/>
            </w:tcBorders>
            <w:shd w:val="clear" w:color="auto" w:fill="DDDDDD"/>
          </w:tcPr>
          <w:p>
            <w:pPr>
              <w:ind w:left="20"/>
              <w:spacing w:after="0"/>
              <w:rPr>
                <w:sz w:val="20"/>
                <w:szCs w:val="20"/>
                <w:color w:val="auto"/>
              </w:rPr>
            </w:pPr>
            <w:r>
              <w:rPr>
                <w:rFonts w:ascii="Arial" w:cs="Arial" w:eastAsia="Arial" w:hAnsi="Arial"/>
                <w:sz w:val="18"/>
                <w:szCs w:val="18"/>
                <w:color w:val="auto"/>
              </w:rPr>
              <w:t>Organic</w:t>
            </w:r>
          </w:p>
        </w:tc>
        <w:tc>
          <w:tcPr>
            <w:tcW w:w="1080" w:type="dxa"/>
            <w:vAlign w:val="bottom"/>
            <w:tcBorders>
              <w:top w:val="single" w:sz="8" w:color="DC202E"/>
            </w:tcBorders>
            <w:shd w:val="clear" w:color="auto" w:fill="DDDDDD"/>
          </w:tcPr>
          <w:p>
            <w:pPr>
              <w:spacing w:after="0"/>
              <w:rPr>
                <w:sz w:val="19"/>
                <w:szCs w:val="19"/>
                <w:color w:val="auto"/>
              </w:rPr>
            </w:pPr>
          </w:p>
        </w:tc>
        <w:tc>
          <w:tcPr>
            <w:tcW w:w="420" w:type="dxa"/>
            <w:vAlign w:val="bottom"/>
            <w:tcBorders>
              <w:top w:val="single" w:sz="8" w:color="DC202E"/>
            </w:tcBorders>
            <w:shd w:val="clear" w:color="auto" w:fill="DDDDDD"/>
          </w:tcPr>
          <w:p>
            <w:pPr>
              <w:jc w:val="right"/>
              <w:spacing w:after="0"/>
              <w:rPr>
                <w:sz w:val="20"/>
                <w:szCs w:val="20"/>
                <w:color w:val="auto"/>
              </w:rPr>
            </w:pPr>
            <w:r>
              <w:rPr>
                <w:rFonts w:ascii="Arial" w:cs="Arial" w:eastAsia="Arial" w:hAnsi="Arial"/>
                <w:sz w:val="18"/>
                <w:szCs w:val="18"/>
                <w:color w:val="auto"/>
                <w:w w:val="99"/>
              </w:rPr>
              <w:t>(9)%</w:t>
            </w:r>
          </w:p>
        </w:tc>
        <w:tc>
          <w:tcPr>
            <w:tcW w:w="100" w:type="dxa"/>
            <w:vAlign w:val="bottom"/>
            <w:tcBorders>
              <w:top w:val="single" w:sz="8" w:color="DDDDDD"/>
            </w:tcBorders>
            <w:shd w:val="clear" w:color="auto" w:fill="DDDDDD"/>
          </w:tcPr>
          <w:p>
            <w:pPr>
              <w:spacing w:after="0"/>
              <w:rPr>
                <w:sz w:val="19"/>
                <w:szCs w:val="19"/>
                <w:color w:val="auto"/>
              </w:rPr>
            </w:pPr>
          </w:p>
        </w:tc>
        <w:tc>
          <w:tcPr>
            <w:tcW w:w="1080" w:type="dxa"/>
            <w:vAlign w:val="bottom"/>
            <w:tcBorders>
              <w:top w:val="single" w:sz="8" w:color="DC202E"/>
            </w:tcBorders>
            <w:shd w:val="clear" w:color="auto" w:fill="DDDDDD"/>
          </w:tcPr>
          <w:p>
            <w:pPr>
              <w:spacing w:after="0"/>
              <w:rPr>
                <w:sz w:val="19"/>
                <w:szCs w:val="19"/>
                <w:color w:val="auto"/>
              </w:rPr>
            </w:pPr>
          </w:p>
        </w:tc>
        <w:tc>
          <w:tcPr>
            <w:tcW w:w="440" w:type="dxa"/>
            <w:vAlign w:val="bottom"/>
            <w:tcBorders>
              <w:top w:val="single" w:sz="8" w:color="DC202E"/>
            </w:tcBorders>
            <w:shd w:val="clear" w:color="auto" w:fill="DDDDDD"/>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top w:val="single" w:sz="8" w:color="DDDDDD"/>
            </w:tcBorders>
            <w:shd w:val="clear" w:color="auto" w:fill="DDDDDD"/>
          </w:tcPr>
          <w:p>
            <w:pPr>
              <w:spacing w:after="0"/>
              <w:rPr>
                <w:sz w:val="19"/>
                <w:szCs w:val="19"/>
                <w:color w:val="auto"/>
              </w:rPr>
            </w:pPr>
          </w:p>
        </w:tc>
        <w:tc>
          <w:tcPr>
            <w:tcW w:w="1500" w:type="dxa"/>
            <w:vAlign w:val="bottom"/>
            <w:tcBorders>
              <w:top w:val="single" w:sz="8" w:color="DC202E"/>
            </w:tcBorders>
            <w:shd w:val="clear" w:color="auto" w:fill="DDDDDD"/>
          </w:tcPr>
          <w:p>
            <w:pPr>
              <w:jc w:val="right"/>
              <w:spacing w:after="0"/>
              <w:rPr>
                <w:sz w:val="20"/>
                <w:szCs w:val="20"/>
                <w:color w:val="auto"/>
              </w:rPr>
            </w:pPr>
            <w:r>
              <w:rPr>
                <w:rFonts w:ascii="Arial" w:cs="Arial" w:eastAsia="Arial" w:hAnsi="Arial"/>
                <w:sz w:val="18"/>
                <w:szCs w:val="18"/>
                <w:color w:val="auto"/>
              </w:rPr>
              <w:t>5 %</w:t>
            </w:r>
          </w:p>
        </w:tc>
        <w:tc>
          <w:tcPr>
            <w:tcW w:w="120" w:type="dxa"/>
            <w:vAlign w:val="bottom"/>
            <w:tcBorders>
              <w:top w:val="single" w:sz="8" w:color="DDDDDD"/>
            </w:tcBorders>
            <w:shd w:val="clear" w:color="auto" w:fill="DDDDDD"/>
          </w:tcPr>
          <w:p>
            <w:pPr>
              <w:spacing w:after="0"/>
              <w:rPr>
                <w:sz w:val="19"/>
                <w:szCs w:val="19"/>
                <w:color w:val="auto"/>
              </w:rPr>
            </w:pPr>
          </w:p>
        </w:tc>
        <w:tc>
          <w:tcPr>
            <w:tcW w:w="440" w:type="dxa"/>
            <w:vAlign w:val="bottom"/>
            <w:tcBorders>
              <w:top w:val="single" w:sz="8" w:color="DC202E"/>
            </w:tcBorders>
            <w:shd w:val="clear" w:color="auto" w:fill="DDDDDD"/>
          </w:tcPr>
          <w:p>
            <w:pPr>
              <w:spacing w:after="0"/>
              <w:rPr>
                <w:sz w:val="19"/>
                <w:szCs w:val="19"/>
                <w:color w:val="auto"/>
              </w:rPr>
            </w:pPr>
          </w:p>
        </w:tc>
        <w:tc>
          <w:tcPr>
            <w:tcW w:w="1100" w:type="dxa"/>
            <w:vAlign w:val="bottom"/>
            <w:tcBorders>
              <w:top w:val="single" w:sz="8" w:color="DC202E"/>
            </w:tcBorders>
            <w:shd w:val="clear" w:color="auto" w:fill="DDDDDD"/>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Foreign currency translation</w:t>
            </w:r>
          </w:p>
        </w:tc>
        <w:tc>
          <w:tcPr>
            <w:tcW w:w="1080" w:type="dxa"/>
            <w:vAlign w:val="bottom"/>
          </w:tcPr>
          <w:p>
            <w:pPr>
              <w:spacing w:after="0"/>
              <w:rPr>
                <w:sz w:val="19"/>
                <w:szCs w:val="19"/>
                <w:color w:val="auto"/>
              </w:rPr>
            </w:pPr>
          </w:p>
        </w:tc>
        <w:tc>
          <w:tcPr>
            <w:tcW w:w="1600" w:type="dxa"/>
            <w:vAlign w:val="bottom"/>
            <w:gridSpan w:val="3"/>
          </w:tcPr>
          <w:p>
            <w:pPr>
              <w:jc w:val="right"/>
              <w:ind w:right="1128"/>
              <w:spacing w:after="0"/>
              <w:rPr>
                <w:sz w:val="20"/>
                <w:szCs w:val="20"/>
                <w:color w:val="auto"/>
              </w:rPr>
            </w:pPr>
            <w:r>
              <w:rPr>
                <w:rFonts w:ascii="Arial" w:cs="Arial" w:eastAsia="Arial" w:hAnsi="Arial"/>
                <w:sz w:val="18"/>
                <w:szCs w:val="18"/>
                <w:color w:val="auto"/>
                <w:w w:val="97"/>
              </w:rPr>
              <w:t>— %</w:t>
            </w: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4820" w:type="dxa"/>
            <w:vAlign w:val="bottom"/>
            <w:shd w:val="clear" w:color="auto" w:fill="DDDDDD"/>
          </w:tcPr>
          <w:p>
            <w:pPr>
              <w:ind w:left="20"/>
              <w:spacing w:after="0"/>
              <w:rPr>
                <w:sz w:val="20"/>
                <w:szCs w:val="20"/>
                <w:color w:val="auto"/>
              </w:rPr>
            </w:pPr>
            <w:r>
              <w:rPr>
                <w:rFonts w:ascii="Arial" w:cs="Arial" w:eastAsia="Arial" w:hAnsi="Arial"/>
                <w:sz w:val="18"/>
                <w:szCs w:val="18"/>
                <w:color w:val="auto"/>
              </w:rPr>
              <w:t>Acquisitions, divestitures and other, net</w:t>
            </w:r>
          </w:p>
        </w:tc>
        <w:tc>
          <w:tcPr>
            <w:tcW w:w="1080" w:type="dxa"/>
            <w:vAlign w:val="bottom"/>
            <w:shd w:val="clear" w:color="auto" w:fill="DDDDDD"/>
          </w:tcPr>
          <w:p>
            <w:pPr>
              <w:spacing w:after="0"/>
              <w:rPr>
                <w:sz w:val="19"/>
                <w:szCs w:val="19"/>
                <w:color w:val="auto"/>
              </w:rPr>
            </w:pPr>
          </w:p>
        </w:tc>
        <w:tc>
          <w:tcPr>
            <w:tcW w:w="1600" w:type="dxa"/>
            <w:vAlign w:val="bottom"/>
            <w:gridSpan w:val="3"/>
            <w:shd w:val="clear" w:color="auto" w:fill="DDDDDD"/>
          </w:tcPr>
          <w:p>
            <w:pPr>
              <w:jc w:val="right"/>
              <w:ind w:right="1128"/>
              <w:spacing w:after="0"/>
              <w:rPr>
                <w:sz w:val="20"/>
                <w:szCs w:val="20"/>
                <w:color w:val="auto"/>
              </w:rPr>
            </w:pPr>
            <w:r>
              <w:rPr>
                <w:rFonts w:ascii="Arial" w:cs="Arial" w:eastAsia="Arial" w:hAnsi="Arial"/>
                <w:sz w:val="18"/>
                <w:szCs w:val="18"/>
                <w:color w:val="auto"/>
                <w:w w:val="97"/>
              </w:rPr>
              <w:t>— %</w:t>
            </w:r>
          </w:p>
        </w:tc>
        <w:tc>
          <w:tcPr>
            <w:tcW w:w="560" w:type="dxa"/>
            <w:vAlign w:val="bottom"/>
            <w:gridSpan w:val="2"/>
            <w:shd w:val="clear" w:color="auto" w:fill="DDDDDD"/>
          </w:tcPr>
          <w:p>
            <w:pPr>
              <w:jc w:val="right"/>
              <w:ind w:right="140"/>
              <w:spacing w:after="0"/>
              <w:rPr>
                <w:sz w:val="20"/>
                <w:szCs w:val="20"/>
                <w:color w:val="auto"/>
              </w:rPr>
            </w:pPr>
            <w:r>
              <w:rPr>
                <w:rFonts w:ascii="Arial" w:cs="Arial" w:eastAsia="Arial" w:hAnsi="Arial"/>
                <w:sz w:val="18"/>
                <w:szCs w:val="18"/>
                <w:color w:val="auto"/>
              </w:rPr>
              <w:t>— %</w:t>
            </w:r>
          </w:p>
        </w:tc>
        <w:tc>
          <w:tcPr>
            <w:tcW w:w="15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DDDDDD"/>
          </w:tcPr>
          <w:p>
            <w:pPr>
              <w:spacing w:after="0"/>
              <w:rPr>
                <w:sz w:val="19"/>
                <w:szCs w:val="19"/>
                <w:color w:val="auto"/>
              </w:rPr>
            </w:pPr>
          </w:p>
        </w:tc>
        <w:tc>
          <w:tcPr>
            <w:tcW w:w="4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3"/>
        </w:trPr>
        <w:tc>
          <w:tcPr>
            <w:tcW w:w="4820" w:type="dxa"/>
            <w:vAlign w:val="bottom"/>
          </w:tcPr>
          <w:p>
            <w:pPr>
              <w:ind w:left="360"/>
              <w:spacing w:after="0"/>
              <w:rPr>
                <w:sz w:val="20"/>
                <w:szCs w:val="20"/>
                <w:color w:val="auto"/>
              </w:rPr>
            </w:pPr>
            <w:r>
              <w:rPr>
                <w:rFonts w:ascii="Arial" w:cs="Arial" w:eastAsia="Arial" w:hAnsi="Arial"/>
                <w:sz w:val="18"/>
                <w:szCs w:val="18"/>
                <w:color w:val="auto"/>
              </w:rPr>
              <w:t>Total % Change</w:t>
            </w:r>
          </w:p>
        </w:tc>
        <w:tc>
          <w:tcPr>
            <w:tcW w:w="108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(9)%</w:t>
            </w:r>
          </w:p>
        </w:tc>
        <w:tc>
          <w:tcPr>
            <w:tcW w:w="100" w:type="dxa"/>
            <w:vAlign w:val="bottom"/>
          </w:tcPr>
          <w:p>
            <w:pPr>
              <w:spacing w:after="0"/>
              <w:rPr>
                <w:sz w:val="19"/>
                <w:szCs w:val="19"/>
                <w:color w:val="auto"/>
              </w:rPr>
            </w:pPr>
          </w:p>
        </w:tc>
        <w:tc>
          <w:tcPr>
            <w:tcW w:w="108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
        </w:trPr>
        <w:tc>
          <w:tcPr>
            <w:tcW w:w="48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compared with 2019</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Honeywell Building Technologies Net sales decreased due to lower organic sales. Our customers own or manage buildings in a variety of industries including commercial real estate, hospitality, airports and other government buildings, healthcare and education. The global recession resulting from the COVID-19 pandemic impacted many of these industries, resulting in a reduction of discretionary spending and demand for our products and services.</w:t>
      </w:r>
    </w:p>
    <w:p>
      <w:pPr>
        <w:spacing w:after="0" w:line="96" w:lineRule="exact"/>
        <w:rPr>
          <w:sz w:val="20"/>
          <w:szCs w:val="20"/>
          <w:color w:val="auto"/>
        </w:rPr>
      </w:pPr>
    </w:p>
    <w:p>
      <w:pPr>
        <w:ind w:left="620" w:hanging="288"/>
        <w:spacing w:after="0"/>
        <w:tabs>
          <w:tab w:leader="none" w:pos="620" w:val="left"/>
        </w:tabs>
        <w:numPr>
          <w:ilvl w:val="0"/>
          <w:numId w:val="16"/>
        </w:numPr>
        <w:rPr>
          <w:rFonts w:ascii="Arial" w:cs="Arial" w:eastAsia="Arial" w:hAnsi="Arial"/>
          <w:sz w:val="20"/>
          <w:szCs w:val="20"/>
          <w:color w:val="auto"/>
        </w:rPr>
      </w:pPr>
      <w:r>
        <w:rPr>
          <w:rFonts w:ascii="Arial" w:cs="Arial" w:eastAsia="Arial" w:hAnsi="Arial"/>
          <w:sz w:val="18"/>
          <w:szCs w:val="18"/>
          <w:color w:val="auto"/>
        </w:rPr>
        <w:t>Sales in Products decreased 10% (decreased 10% organic) primarily due to lower sales volumes.</w:t>
      </w:r>
    </w:p>
    <w:p>
      <w:pPr>
        <w:spacing w:after="0" w:line="12" w:lineRule="exact"/>
        <w:rPr>
          <w:rFonts w:ascii="Arial" w:cs="Arial" w:eastAsia="Arial" w:hAnsi="Arial"/>
          <w:sz w:val="20"/>
          <w:szCs w:val="20"/>
          <w:color w:val="auto"/>
        </w:rPr>
      </w:pPr>
    </w:p>
    <w:p>
      <w:pPr>
        <w:ind w:left="660" w:hanging="328"/>
        <w:spacing w:after="0" w:line="237" w:lineRule="auto"/>
        <w:tabs>
          <w:tab w:leader="none" w:pos="621" w:val="left"/>
        </w:tabs>
        <w:numPr>
          <w:ilvl w:val="0"/>
          <w:numId w:val="16"/>
        </w:numPr>
        <w:rPr>
          <w:rFonts w:ascii="Arial" w:cs="Arial" w:eastAsia="Arial" w:hAnsi="Arial"/>
          <w:sz w:val="20"/>
          <w:szCs w:val="20"/>
          <w:color w:val="auto"/>
        </w:rPr>
      </w:pPr>
      <w:r>
        <w:rPr>
          <w:rFonts w:ascii="Arial" w:cs="Arial" w:eastAsia="Arial" w:hAnsi="Arial"/>
          <w:sz w:val="18"/>
          <w:szCs w:val="18"/>
          <w:color w:val="auto"/>
        </w:rPr>
        <w:t>Sales in Building Solutions decreased 9% (decreased 8% organic) primarily due to lower sales volumes and the unfavorable impact of foreign currency translation.</w:t>
      </w:r>
    </w:p>
    <w:p>
      <w:pPr>
        <w:spacing w:after="0" w:line="10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Honeywell Building Technologies segment profit decreased primarily due to lower sales volumes and the unfavorable impact of foreign currency translation, partially offset by favorable pricing. Cost of products and services sold decreased due to lower sales volumes.</w:t>
      </w:r>
    </w:p>
    <w:p>
      <w:pPr>
        <w:spacing w:after="0" w:line="27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PERFORMANCE MATERIALS AND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93980</wp:posOffset>
            </wp:positionV>
            <wp:extent cx="4114800" cy="32575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4114800"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21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3520" w:type="dxa"/>
            <w:vAlign w:val="bottom"/>
            <w:tcBorders>
              <w:bottom w:val="single" w:sz="8" w:color="DDDDDD"/>
            </w:tcBorders>
          </w:tcPr>
          <w:p>
            <w:pPr>
              <w:spacing w:after="0"/>
              <w:rPr>
                <w:sz w:val="17"/>
                <w:szCs w:val="17"/>
                <w:color w:val="auto"/>
              </w:rPr>
            </w:pPr>
          </w:p>
        </w:tc>
        <w:tc>
          <w:tcPr>
            <w:tcW w:w="86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DC202E"/>
            </w:tcBorders>
          </w:tcPr>
          <w:p>
            <w:pPr>
              <w:spacing w:after="0"/>
              <w:rPr>
                <w:sz w:val="17"/>
                <w:szCs w:val="17"/>
                <w:color w:val="auto"/>
              </w:rPr>
            </w:pPr>
          </w:p>
        </w:tc>
        <w:tc>
          <w:tcPr>
            <w:tcW w:w="100" w:type="dxa"/>
            <w:vAlign w:val="bottom"/>
            <w:tcBorders>
              <w:bottom w:val="single" w:sz="8" w:color="DC202E"/>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180" w:type="dxa"/>
            <w:vAlign w:val="bottom"/>
            <w:tcBorders>
              <w:bottom w:val="single" w:sz="8" w:color="DC202E"/>
            </w:tcBorders>
          </w:tcPr>
          <w:p>
            <w:pPr>
              <w:spacing w:after="0"/>
              <w:rPr>
                <w:sz w:val="17"/>
                <w:szCs w:val="17"/>
                <w:color w:val="auto"/>
              </w:rPr>
            </w:pPr>
          </w:p>
        </w:tc>
        <w:tc>
          <w:tcPr>
            <w:tcW w:w="1120" w:type="dxa"/>
            <w:vAlign w:val="bottom"/>
            <w:tcBorders>
              <w:bottom w:val="single" w:sz="8" w:color="DC202E"/>
            </w:tcBorders>
          </w:tcPr>
          <w:p>
            <w:pPr>
              <w:jc w:val="right"/>
              <w:ind w:right="35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DC202E"/>
            </w:tcBorders>
          </w:tcPr>
          <w:p>
            <w:pPr>
              <w:spacing w:after="0"/>
              <w:rPr>
                <w:sz w:val="17"/>
                <w:szCs w:val="17"/>
                <w:color w:val="auto"/>
              </w:rPr>
            </w:pPr>
          </w:p>
        </w:tc>
        <w:tc>
          <w:tcPr>
            <w:tcW w:w="20" w:type="dxa"/>
            <w:vAlign w:val="bottom"/>
            <w:tcBorders>
              <w:bottom w:val="single" w:sz="8" w:color="DDDDDD"/>
            </w:tcBorders>
          </w:tcPr>
          <w:p>
            <w:pPr>
              <w:spacing w:after="0"/>
              <w:rPr>
                <w:sz w:val="17"/>
                <w:szCs w:val="17"/>
                <w:color w:val="auto"/>
              </w:rPr>
            </w:pPr>
          </w:p>
        </w:tc>
        <w:tc>
          <w:tcPr>
            <w:tcW w:w="80" w:type="dxa"/>
            <w:vAlign w:val="bottom"/>
            <w:tcBorders>
              <w:bottom w:val="single" w:sz="8" w:color="DDDDDD"/>
            </w:tcBorders>
          </w:tcPr>
          <w:p>
            <w:pPr>
              <w:spacing w:after="0"/>
              <w:rPr>
                <w:sz w:val="17"/>
                <w:szCs w:val="17"/>
                <w:color w:val="auto"/>
              </w:rPr>
            </w:pPr>
          </w:p>
        </w:tc>
        <w:tc>
          <w:tcPr>
            <w:tcW w:w="1540" w:type="dxa"/>
            <w:vAlign w:val="bottom"/>
            <w:tcBorders>
              <w:bottom w:val="single" w:sz="8" w:color="DC202E"/>
            </w:tcBorders>
            <w:gridSpan w:val="2"/>
          </w:tcPr>
          <w:p>
            <w:pPr>
              <w:ind w:left="40"/>
              <w:spacing w:after="0"/>
              <w:rPr>
                <w:sz w:val="20"/>
                <w:szCs w:val="20"/>
                <w:color w:val="auto"/>
              </w:rPr>
            </w:pPr>
            <w:r>
              <w:rPr>
                <w:rFonts w:ascii="Arial" w:cs="Arial" w:eastAsia="Arial" w:hAnsi="Arial"/>
                <w:sz w:val="14"/>
                <w:szCs w:val="14"/>
                <w:b w:val="1"/>
                <w:bCs w:val="1"/>
                <w:color w:val="auto"/>
              </w:rPr>
              <w:t>Change 2020 vs. 2019</w:t>
            </w:r>
          </w:p>
        </w:tc>
        <w:tc>
          <w:tcPr>
            <w:tcW w:w="120" w:type="dxa"/>
            <w:vAlign w:val="bottom"/>
            <w:tcBorders>
              <w:bottom w:val="single" w:sz="8" w:color="DDDDDD"/>
            </w:tcBorders>
          </w:tcPr>
          <w:p>
            <w:pPr>
              <w:spacing w:after="0"/>
              <w:rPr>
                <w:sz w:val="17"/>
                <w:szCs w:val="17"/>
                <w:color w:val="auto"/>
              </w:rPr>
            </w:pPr>
          </w:p>
        </w:tc>
        <w:tc>
          <w:tcPr>
            <w:tcW w:w="220" w:type="dxa"/>
            <w:vAlign w:val="bottom"/>
            <w:tcBorders>
              <w:bottom w:val="single" w:sz="8" w:color="DC202E"/>
            </w:tcBorders>
          </w:tcPr>
          <w:p>
            <w:pPr>
              <w:spacing w:after="0"/>
              <w:rPr>
                <w:sz w:val="17"/>
                <w:szCs w:val="17"/>
                <w:color w:val="auto"/>
              </w:rPr>
            </w:pPr>
          </w:p>
        </w:tc>
        <w:tc>
          <w:tcPr>
            <w:tcW w:w="1160" w:type="dxa"/>
            <w:vAlign w:val="bottom"/>
            <w:tcBorders>
              <w:bottom w:val="single" w:sz="8" w:color="DC202E"/>
            </w:tcBorders>
          </w:tcPr>
          <w:p>
            <w:pPr>
              <w:jc w:val="right"/>
              <w:ind w:right="435"/>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DC202E"/>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1540" w:type="dxa"/>
            <w:vAlign w:val="bottom"/>
            <w:tcBorders>
              <w:bottom w:val="single" w:sz="8" w:color="DC202E"/>
            </w:tcBorders>
          </w:tcPr>
          <w:p>
            <w:pPr>
              <w:jc w:val="center"/>
              <w:spacing w:after="0"/>
              <w:rPr>
                <w:sz w:val="20"/>
                <w:szCs w:val="20"/>
                <w:color w:val="auto"/>
              </w:rPr>
            </w:pPr>
            <w:r>
              <w:rPr>
                <w:rFonts w:ascii="Arial" w:cs="Arial" w:eastAsia="Arial" w:hAnsi="Arial"/>
                <w:sz w:val="14"/>
                <w:szCs w:val="14"/>
                <w:b w:val="1"/>
                <w:bCs w:val="1"/>
                <w:color w:val="auto"/>
              </w:rPr>
              <w:t>Change 2019 vs. 2018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20" w:type="dxa"/>
            <w:vAlign w:val="bottom"/>
            <w:shd w:val="clear" w:color="auto" w:fill="DDDDDD"/>
          </w:tcPr>
          <w:p>
            <w:pPr>
              <w:ind w:left="20"/>
              <w:spacing w:after="0"/>
              <w:rPr>
                <w:sz w:val="20"/>
                <w:szCs w:val="20"/>
                <w:color w:val="auto"/>
              </w:rPr>
            </w:pPr>
            <w:r>
              <w:rPr>
                <w:rFonts w:ascii="Arial" w:cs="Arial" w:eastAsia="Arial" w:hAnsi="Arial"/>
                <w:sz w:val="18"/>
                <w:szCs w:val="18"/>
                <w:color w:val="auto"/>
              </w:rPr>
              <w:t>Net sales</w:t>
            </w:r>
          </w:p>
        </w:tc>
        <w:tc>
          <w:tcPr>
            <w:tcW w:w="860" w:type="dxa"/>
            <w:vAlign w:val="bottom"/>
            <w:shd w:val="clear" w:color="auto" w:fill="DDDDDD"/>
          </w:tcPr>
          <w:p>
            <w:pPr>
              <w:jc w:val="right"/>
              <w:ind w:right="676"/>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DDDDDD"/>
          </w:tcPr>
          <w:p>
            <w:pPr>
              <w:jc w:val="right"/>
              <w:ind w:right="80"/>
              <w:spacing w:after="0"/>
              <w:rPr>
                <w:sz w:val="20"/>
                <w:szCs w:val="20"/>
                <w:color w:val="auto"/>
              </w:rPr>
            </w:pPr>
            <w:r>
              <w:rPr>
                <w:rFonts w:ascii="Arial" w:cs="Arial" w:eastAsia="Arial" w:hAnsi="Arial"/>
                <w:sz w:val="18"/>
                <w:szCs w:val="18"/>
                <w:color w:val="auto"/>
                <w:w w:val="93"/>
              </w:rPr>
              <w:t>9,423</w:t>
            </w:r>
          </w:p>
        </w:tc>
        <w:tc>
          <w:tcPr>
            <w:tcW w:w="100" w:type="dxa"/>
            <w:vAlign w:val="bottom"/>
            <w:shd w:val="clear" w:color="auto" w:fill="DDDDDD"/>
          </w:tcPr>
          <w:p>
            <w:pPr>
              <w:spacing w:after="0"/>
              <w:rPr>
                <w:sz w:val="19"/>
                <w:szCs w:val="19"/>
                <w:color w:val="auto"/>
              </w:rPr>
            </w:pPr>
          </w:p>
        </w:tc>
        <w:tc>
          <w:tcPr>
            <w:tcW w:w="18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DDDDDD"/>
          </w:tcPr>
          <w:p>
            <w:pPr>
              <w:jc w:val="right"/>
              <w:ind w:right="80"/>
              <w:spacing w:after="0"/>
              <w:rPr>
                <w:sz w:val="20"/>
                <w:szCs w:val="20"/>
                <w:color w:val="auto"/>
              </w:rPr>
            </w:pPr>
            <w:r>
              <w:rPr>
                <w:rFonts w:ascii="Arial" w:cs="Arial" w:eastAsia="Arial" w:hAnsi="Arial"/>
                <w:sz w:val="18"/>
                <w:szCs w:val="18"/>
                <w:color w:val="auto"/>
              </w:rPr>
              <w:t>10,834</w:t>
            </w:r>
          </w:p>
        </w:tc>
        <w:tc>
          <w:tcPr>
            <w:tcW w:w="1640" w:type="dxa"/>
            <w:vAlign w:val="bottom"/>
            <w:gridSpan w:val="4"/>
            <w:shd w:val="clear" w:color="auto" w:fill="DDDDDD"/>
          </w:tcPr>
          <w:p>
            <w:pPr>
              <w:ind w:left="1140"/>
              <w:spacing w:after="0"/>
              <w:rPr>
                <w:sz w:val="20"/>
                <w:szCs w:val="20"/>
                <w:color w:val="auto"/>
              </w:rPr>
            </w:pPr>
            <w:r>
              <w:rPr>
                <w:rFonts w:ascii="Arial" w:cs="Arial" w:eastAsia="Arial" w:hAnsi="Arial"/>
                <w:sz w:val="18"/>
                <w:szCs w:val="18"/>
                <w:color w:val="auto"/>
                <w:w w:val="99"/>
              </w:rPr>
              <w:t>(13)%</w:t>
            </w:r>
          </w:p>
        </w:tc>
        <w:tc>
          <w:tcPr>
            <w:tcW w:w="120" w:type="dxa"/>
            <w:vAlign w:val="bottom"/>
            <w:shd w:val="clear" w:color="auto" w:fill="DDDDDD"/>
          </w:tcPr>
          <w:p>
            <w:pPr>
              <w:spacing w:after="0"/>
              <w:rPr>
                <w:sz w:val="19"/>
                <w:szCs w:val="19"/>
                <w:color w:val="auto"/>
              </w:rPr>
            </w:pPr>
          </w:p>
        </w:tc>
        <w:tc>
          <w:tcPr>
            <w:tcW w:w="22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10,674</w:t>
            </w:r>
          </w:p>
        </w:tc>
        <w:tc>
          <w:tcPr>
            <w:tcW w:w="20" w:type="dxa"/>
            <w:vAlign w:val="bottom"/>
            <w:shd w:val="clear" w:color="auto" w:fill="DDDDDD"/>
          </w:tcPr>
          <w:p>
            <w:pPr>
              <w:spacing w:after="0"/>
              <w:rPr>
                <w:sz w:val="19"/>
                <w:szCs w:val="19"/>
                <w:color w:val="auto"/>
              </w:rPr>
            </w:pPr>
          </w:p>
        </w:tc>
        <w:tc>
          <w:tcPr>
            <w:tcW w:w="1640" w:type="dxa"/>
            <w:vAlign w:val="bottom"/>
            <w:gridSpan w:val="2"/>
            <w:shd w:val="clear" w:color="auto" w:fill="DDDDDD"/>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520" w:type="dxa"/>
            <w:vAlign w:val="bottom"/>
          </w:tcPr>
          <w:p>
            <w:pPr>
              <w:ind w:left="20"/>
              <w:spacing w:after="0"/>
              <w:rPr>
                <w:sz w:val="20"/>
                <w:szCs w:val="20"/>
                <w:color w:val="auto"/>
              </w:rPr>
            </w:pPr>
            <w:r>
              <w:rPr>
                <w:rFonts w:ascii="Arial" w:cs="Arial" w:eastAsia="Arial" w:hAnsi="Arial"/>
                <w:sz w:val="18"/>
                <w:szCs w:val="18"/>
                <w:color w:val="auto"/>
              </w:rPr>
              <w:t>Cost of products and services sold</w:t>
            </w:r>
          </w:p>
        </w:tc>
        <w:tc>
          <w:tcPr>
            <w:tcW w:w="860" w:type="dxa"/>
            <w:vAlign w:val="bottom"/>
          </w:tcPr>
          <w:p>
            <w:pPr>
              <w:spacing w:after="0"/>
              <w:rPr>
                <w:sz w:val="19"/>
                <w:szCs w:val="19"/>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6,331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6,989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6,948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520" w:type="dxa"/>
            <w:vAlign w:val="bottom"/>
            <w:shd w:val="clear" w:color="auto" w:fill="DDDDDD"/>
          </w:tcPr>
          <w:p>
            <w:pPr>
              <w:ind w:left="20"/>
              <w:spacing w:after="0" w:line="189" w:lineRule="exact"/>
              <w:rPr>
                <w:sz w:val="20"/>
                <w:szCs w:val="20"/>
                <w:color w:val="auto"/>
              </w:rPr>
            </w:pPr>
            <w:r>
              <w:rPr>
                <w:rFonts w:ascii="Arial" w:cs="Arial" w:eastAsia="Arial" w:hAnsi="Arial"/>
                <w:sz w:val="18"/>
                <w:szCs w:val="18"/>
                <w:color w:val="auto"/>
              </w:rPr>
              <w:t>Selling, general and administrative and</w:t>
            </w:r>
          </w:p>
        </w:tc>
        <w:tc>
          <w:tcPr>
            <w:tcW w:w="860" w:type="dxa"/>
            <w:vAlign w:val="bottom"/>
            <w:shd w:val="clear" w:color="auto" w:fill="DDDDDD"/>
          </w:tcPr>
          <w:p>
            <w:pPr>
              <w:spacing w:after="0"/>
              <w:rPr>
                <w:sz w:val="16"/>
                <w:szCs w:val="16"/>
                <w:color w:val="auto"/>
              </w:rPr>
            </w:pPr>
          </w:p>
        </w:tc>
        <w:tc>
          <w:tcPr>
            <w:tcW w:w="4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11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0" w:type="dxa"/>
            <w:vAlign w:val="bottom"/>
            <w:shd w:val="clear" w:color="auto" w:fill="DDDDDD"/>
          </w:tcPr>
          <w:p>
            <w:pPr>
              <w:spacing w:after="0"/>
              <w:rPr>
                <w:sz w:val="16"/>
                <w:szCs w:val="16"/>
                <w:color w:val="auto"/>
              </w:rPr>
            </w:pPr>
          </w:p>
        </w:tc>
        <w:tc>
          <w:tcPr>
            <w:tcW w:w="80" w:type="dxa"/>
            <w:vAlign w:val="bottom"/>
            <w:shd w:val="clear" w:color="auto" w:fill="DDDDDD"/>
          </w:tcPr>
          <w:p>
            <w:pPr>
              <w:spacing w:after="0"/>
              <w:rPr>
                <w:sz w:val="16"/>
                <w:szCs w:val="16"/>
                <w:color w:val="auto"/>
              </w:rPr>
            </w:pPr>
          </w:p>
        </w:tc>
        <w:tc>
          <w:tcPr>
            <w:tcW w:w="14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220" w:type="dxa"/>
            <w:vAlign w:val="bottom"/>
            <w:shd w:val="clear" w:color="auto" w:fill="DDDDDD"/>
          </w:tcPr>
          <w:p>
            <w:pPr>
              <w:spacing w:after="0"/>
              <w:rPr>
                <w:sz w:val="16"/>
                <w:szCs w:val="16"/>
                <w:color w:val="auto"/>
              </w:rPr>
            </w:pPr>
          </w:p>
        </w:tc>
        <w:tc>
          <w:tcPr>
            <w:tcW w:w="1160" w:type="dxa"/>
            <w:vAlign w:val="bottom"/>
            <w:shd w:val="clear" w:color="auto" w:fill="DDDDDD"/>
          </w:tcPr>
          <w:p>
            <w:pPr>
              <w:spacing w:after="0"/>
              <w:rPr>
                <w:sz w:val="16"/>
                <w:szCs w:val="16"/>
                <w:color w:val="auto"/>
              </w:rPr>
            </w:pPr>
          </w:p>
        </w:tc>
        <w:tc>
          <w:tcPr>
            <w:tcW w:w="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54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520" w:type="dxa"/>
            <w:vAlign w:val="bottom"/>
            <w:shd w:val="clear" w:color="auto" w:fill="DDDDDD"/>
          </w:tcPr>
          <w:p>
            <w:pPr>
              <w:ind w:left="20"/>
              <w:spacing w:after="0"/>
              <w:rPr>
                <w:sz w:val="20"/>
                <w:szCs w:val="20"/>
                <w:color w:val="auto"/>
              </w:rPr>
            </w:pPr>
            <w:r>
              <w:rPr>
                <w:rFonts w:ascii="Arial" w:cs="Arial" w:eastAsia="Arial" w:hAnsi="Arial"/>
                <w:sz w:val="18"/>
                <w:szCs w:val="18"/>
                <w:color w:val="auto"/>
              </w:rPr>
              <w:t>other expenses</w:t>
            </w:r>
          </w:p>
        </w:tc>
        <w:tc>
          <w:tcPr>
            <w:tcW w:w="860" w:type="dxa"/>
            <w:vAlign w:val="bottom"/>
            <w:tcBorders>
              <w:bottom w:val="single" w:sz="8" w:color="auto"/>
            </w:tcBorders>
            <w:shd w:val="clear" w:color="auto" w:fill="DDDDDD"/>
          </w:tcPr>
          <w:p>
            <w:pPr>
              <w:spacing w:after="0"/>
              <w:rPr>
                <w:sz w:val="18"/>
                <w:szCs w:val="18"/>
                <w:color w:val="auto"/>
              </w:rPr>
            </w:pPr>
          </w:p>
        </w:tc>
        <w:tc>
          <w:tcPr>
            <w:tcW w:w="520" w:type="dxa"/>
            <w:vAlign w:val="bottom"/>
            <w:tcBorders>
              <w:bottom w:val="single" w:sz="8" w:color="auto"/>
            </w:tcBorders>
            <w:gridSpan w:val="2"/>
            <w:shd w:val="clear" w:color="auto" w:fill="DDDDDD"/>
          </w:tcPr>
          <w:p>
            <w:pPr>
              <w:jc w:val="right"/>
              <w:ind w:right="80"/>
              <w:spacing w:after="0"/>
              <w:rPr>
                <w:sz w:val="20"/>
                <w:szCs w:val="20"/>
                <w:color w:val="auto"/>
              </w:rPr>
            </w:pPr>
            <w:r>
              <w:rPr>
                <w:rFonts w:ascii="Arial" w:cs="Arial" w:eastAsia="Arial" w:hAnsi="Arial"/>
                <w:sz w:val="18"/>
                <w:szCs w:val="18"/>
                <w:color w:val="auto"/>
                <w:w w:val="93"/>
              </w:rPr>
              <w:t>1,241</w:t>
            </w:r>
          </w:p>
        </w:tc>
        <w:tc>
          <w:tcPr>
            <w:tcW w:w="100" w:type="dxa"/>
            <w:vAlign w:val="bottom"/>
            <w:shd w:val="clear" w:color="auto" w:fill="DDDDDD"/>
          </w:tcPr>
          <w:p>
            <w:pPr>
              <w:spacing w:after="0"/>
              <w:rPr>
                <w:sz w:val="18"/>
                <w:szCs w:val="18"/>
                <w:color w:val="auto"/>
              </w:rPr>
            </w:pPr>
          </w:p>
        </w:tc>
        <w:tc>
          <w:tcPr>
            <w:tcW w:w="180" w:type="dxa"/>
            <w:vAlign w:val="bottom"/>
            <w:tcBorders>
              <w:bottom w:val="single" w:sz="8" w:color="auto"/>
            </w:tcBorders>
            <w:shd w:val="clear" w:color="auto" w:fill="DDDDDD"/>
          </w:tcPr>
          <w:p>
            <w:pPr>
              <w:spacing w:after="0"/>
              <w:rPr>
                <w:sz w:val="18"/>
                <w:szCs w:val="18"/>
                <w:color w:val="auto"/>
              </w:rPr>
            </w:pPr>
          </w:p>
        </w:tc>
        <w:tc>
          <w:tcPr>
            <w:tcW w:w="1220" w:type="dxa"/>
            <w:vAlign w:val="bottom"/>
            <w:tcBorders>
              <w:bottom w:val="single" w:sz="8" w:color="auto"/>
            </w:tcBorders>
            <w:gridSpan w:val="2"/>
            <w:shd w:val="clear" w:color="auto" w:fill="DDDDDD"/>
          </w:tcPr>
          <w:p>
            <w:pPr>
              <w:jc w:val="right"/>
              <w:ind w:right="80"/>
              <w:spacing w:after="0"/>
              <w:rPr>
                <w:sz w:val="20"/>
                <w:szCs w:val="20"/>
                <w:color w:val="auto"/>
              </w:rPr>
            </w:pPr>
            <w:r>
              <w:rPr>
                <w:rFonts w:ascii="Arial" w:cs="Arial" w:eastAsia="Arial" w:hAnsi="Arial"/>
                <w:sz w:val="18"/>
                <w:szCs w:val="18"/>
                <w:color w:val="auto"/>
              </w:rPr>
              <w:t>1,412</w:t>
            </w:r>
          </w:p>
        </w:tc>
        <w:tc>
          <w:tcPr>
            <w:tcW w:w="20" w:type="dxa"/>
            <w:vAlign w:val="bottom"/>
            <w:shd w:val="clear" w:color="auto" w:fill="DDDDDD"/>
          </w:tcPr>
          <w:p>
            <w:pPr>
              <w:spacing w:after="0"/>
              <w:rPr>
                <w:sz w:val="18"/>
                <w:szCs w:val="18"/>
                <w:color w:val="auto"/>
              </w:rPr>
            </w:pPr>
          </w:p>
        </w:tc>
        <w:tc>
          <w:tcPr>
            <w:tcW w:w="80" w:type="dxa"/>
            <w:vAlign w:val="bottom"/>
            <w:shd w:val="clear" w:color="auto" w:fill="DDDDDD"/>
          </w:tcPr>
          <w:p>
            <w:pPr>
              <w:spacing w:after="0"/>
              <w:rPr>
                <w:sz w:val="18"/>
                <w:szCs w:val="18"/>
                <w:color w:val="auto"/>
              </w:rPr>
            </w:pPr>
          </w:p>
        </w:tc>
        <w:tc>
          <w:tcPr>
            <w:tcW w:w="144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220" w:type="dxa"/>
            <w:vAlign w:val="bottom"/>
            <w:tcBorders>
              <w:bottom w:val="single" w:sz="8" w:color="auto"/>
            </w:tcBorders>
            <w:shd w:val="clear" w:color="auto" w:fill="DDDDDD"/>
          </w:tcPr>
          <w:p>
            <w:pPr>
              <w:spacing w:after="0"/>
              <w:rPr>
                <w:sz w:val="18"/>
                <w:szCs w:val="18"/>
                <w:color w:val="auto"/>
              </w:rPr>
            </w:pPr>
          </w:p>
        </w:tc>
        <w:tc>
          <w:tcPr>
            <w:tcW w:w="1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1,398</w:t>
            </w:r>
          </w:p>
        </w:tc>
        <w:tc>
          <w:tcPr>
            <w:tcW w:w="20" w:type="dxa"/>
            <w:vAlign w:val="bottom"/>
            <w:tcBorders>
              <w:bottom w:val="single" w:sz="8" w:color="auto"/>
            </w:tcBorders>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540" w:type="dxa"/>
            <w:vAlign w:val="bottom"/>
            <w:shd w:val="clear" w:color="auto" w:fill="DDDDDD"/>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20" w:type="dxa"/>
            <w:vAlign w:val="bottom"/>
          </w:tcPr>
          <w:p>
            <w:pPr>
              <w:ind w:left="20"/>
              <w:spacing w:after="0"/>
              <w:rPr>
                <w:sz w:val="20"/>
                <w:szCs w:val="20"/>
                <w:color w:val="auto"/>
              </w:rPr>
            </w:pPr>
            <w:r>
              <w:rPr>
                <w:rFonts w:ascii="Arial" w:cs="Arial" w:eastAsia="Arial" w:hAnsi="Arial"/>
                <w:sz w:val="18"/>
                <w:szCs w:val="18"/>
                <w:color w:val="auto"/>
              </w:rPr>
              <w:t>Segment profit</w:t>
            </w:r>
          </w:p>
        </w:tc>
        <w:tc>
          <w:tcPr>
            <w:tcW w:w="860" w:type="dxa"/>
            <w:vAlign w:val="bottom"/>
            <w:tcBorders>
              <w:bottom w:val="single" w:sz="8" w:color="auto"/>
            </w:tcBorders>
          </w:tcPr>
          <w:p>
            <w:pPr>
              <w:jc w:val="right"/>
              <w:ind w:right="67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93"/>
              </w:rPr>
              <w:t>1,851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2,433</w:t>
            </w:r>
          </w:p>
        </w:tc>
        <w:tc>
          <w:tcPr>
            <w:tcW w:w="1640" w:type="dxa"/>
            <w:vAlign w:val="bottom"/>
            <w:gridSpan w:val="4"/>
          </w:tcPr>
          <w:p>
            <w:pPr>
              <w:ind w:left="1140"/>
              <w:spacing w:after="0"/>
              <w:rPr>
                <w:sz w:val="20"/>
                <w:szCs w:val="20"/>
                <w:color w:val="auto"/>
              </w:rPr>
            </w:pPr>
            <w:r>
              <w:rPr>
                <w:rFonts w:ascii="Arial" w:cs="Arial" w:eastAsia="Arial" w:hAnsi="Arial"/>
                <w:sz w:val="18"/>
                <w:szCs w:val="18"/>
                <w:color w:val="auto"/>
                <w:w w:val="99"/>
              </w:rPr>
              <w:t>(24)%</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2,328</w:t>
            </w:r>
          </w:p>
        </w:tc>
        <w:tc>
          <w:tcPr>
            <w:tcW w:w="20" w:type="dxa"/>
            <w:vAlign w:val="bottom"/>
            <w:tcBorders>
              <w:bottom w:val="single" w:sz="8" w:color="auto"/>
            </w:tcBorders>
          </w:tcPr>
          <w:p>
            <w:pPr>
              <w:spacing w:after="0"/>
              <w:rPr>
                <w:sz w:val="19"/>
                <w:szCs w:val="19"/>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70"/>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Borders>
              <w:bottom w:val="single" w:sz="8" w:color="DC202E"/>
            </w:tcBorders>
          </w:tcPr>
          <w:p>
            <w:pPr>
              <w:spacing w:after="0"/>
              <w:rPr>
                <w:sz w:val="24"/>
                <w:szCs w:val="24"/>
                <w:color w:val="auto"/>
              </w:rPr>
            </w:pPr>
          </w:p>
        </w:tc>
        <w:tc>
          <w:tcPr>
            <w:tcW w:w="100" w:type="dxa"/>
            <w:vAlign w:val="bottom"/>
            <w:tcBorders>
              <w:bottom w:val="single" w:sz="8" w:color="DC202E"/>
            </w:tcBorders>
          </w:tcPr>
          <w:p>
            <w:pPr>
              <w:spacing w:after="0"/>
              <w:rPr>
                <w:sz w:val="24"/>
                <w:szCs w:val="24"/>
                <w:color w:val="auto"/>
              </w:rPr>
            </w:pPr>
          </w:p>
        </w:tc>
        <w:tc>
          <w:tcPr>
            <w:tcW w:w="180" w:type="dxa"/>
            <w:vAlign w:val="bottom"/>
            <w:tcBorders>
              <w:bottom w:val="single" w:sz="8" w:color="DC202E"/>
            </w:tcBorders>
          </w:tcPr>
          <w:p>
            <w:pPr>
              <w:spacing w:after="0"/>
              <w:rPr>
                <w:sz w:val="24"/>
                <w:szCs w:val="24"/>
                <w:color w:val="auto"/>
              </w:rPr>
            </w:pPr>
          </w:p>
        </w:tc>
        <w:tc>
          <w:tcPr>
            <w:tcW w:w="2760" w:type="dxa"/>
            <w:vAlign w:val="bottom"/>
            <w:tcBorders>
              <w:bottom w:val="single" w:sz="8" w:color="DC202E"/>
            </w:tcBorders>
            <w:gridSpan w:val="5"/>
          </w:tcPr>
          <w:p>
            <w:pPr>
              <w:jc w:val="right"/>
              <w:ind w:right="1021"/>
              <w:spacing w:after="0"/>
              <w:rPr>
                <w:sz w:val="20"/>
                <w:szCs w:val="20"/>
                <w:color w:val="auto"/>
              </w:rPr>
            </w:pPr>
            <w:r>
              <w:rPr>
                <w:rFonts w:ascii="Arial" w:cs="Arial" w:eastAsia="Arial" w:hAnsi="Arial"/>
                <w:sz w:val="14"/>
                <w:szCs w:val="14"/>
                <w:b w:val="1"/>
                <w:bCs w:val="1"/>
                <w:color w:val="auto"/>
              </w:rPr>
              <w:t>2020 vs. 2019</w:t>
            </w:r>
          </w:p>
        </w:tc>
        <w:tc>
          <w:tcPr>
            <w:tcW w:w="100" w:type="dxa"/>
            <w:vAlign w:val="bottom"/>
          </w:tcPr>
          <w:p>
            <w:pPr>
              <w:spacing w:after="0"/>
              <w:rPr>
                <w:sz w:val="24"/>
                <w:szCs w:val="24"/>
                <w:color w:val="auto"/>
              </w:rPr>
            </w:pPr>
          </w:p>
        </w:tc>
        <w:tc>
          <w:tcPr>
            <w:tcW w:w="120" w:type="dxa"/>
            <w:vAlign w:val="bottom"/>
            <w:tcBorders>
              <w:bottom w:val="single" w:sz="8" w:color="DC202E"/>
            </w:tcBorders>
          </w:tcPr>
          <w:p>
            <w:pPr>
              <w:spacing w:after="0"/>
              <w:rPr>
                <w:sz w:val="24"/>
                <w:szCs w:val="24"/>
                <w:color w:val="auto"/>
              </w:rPr>
            </w:pPr>
          </w:p>
        </w:tc>
        <w:tc>
          <w:tcPr>
            <w:tcW w:w="220" w:type="dxa"/>
            <w:vAlign w:val="bottom"/>
            <w:tcBorders>
              <w:bottom w:val="single" w:sz="8" w:color="DC202E"/>
            </w:tcBorders>
          </w:tcPr>
          <w:p>
            <w:pPr>
              <w:spacing w:after="0"/>
              <w:rPr>
                <w:sz w:val="24"/>
                <w:szCs w:val="24"/>
                <w:color w:val="auto"/>
              </w:rPr>
            </w:pPr>
          </w:p>
        </w:tc>
        <w:tc>
          <w:tcPr>
            <w:tcW w:w="2820" w:type="dxa"/>
            <w:vAlign w:val="bottom"/>
            <w:tcBorders>
              <w:bottom w:val="single" w:sz="8" w:color="DC202E"/>
            </w:tcBorders>
            <w:gridSpan w:val="4"/>
          </w:tcPr>
          <w:p>
            <w:pPr>
              <w:jc w:val="right"/>
              <w:ind w:right="1044"/>
              <w:spacing w:after="0"/>
              <w:rPr>
                <w:sz w:val="20"/>
                <w:szCs w:val="20"/>
                <w:color w:val="auto"/>
              </w:rPr>
            </w:pPr>
            <w:r>
              <w:rPr>
                <w:rFonts w:ascii="Arial" w:cs="Arial" w:eastAsia="Arial" w:hAnsi="Arial"/>
                <w:sz w:val="14"/>
                <w:szCs w:val="14"/>
                <w:b w:val="1"/>
                <w:bCs w:val="1"/>
                <w:color w:val="auto"/>
              </w:rPr>
              <w:t>2019 vs. 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vMerge w:val="restart"/>
          </w:tcPr>
          <w:p>
            <w:pPr>
              <w:spacing w:after="0"/>
              <w:rPr>
                <w:sz w:val="20"/>
                <w:szCs w:val="20"/>
                <w:color w:val="auto"/>
              </w:rPr>
            </w:pPr>
            <w:r>
              <w:rPr>
                <w:rFonts w:ascii="Arial" w:cs="Arial" w:eastAsia="Arial" w:hAnsi="Arial"/>
                <w:sz w:val="14"/>
                <w:szCs w:val="14"/>
                <w:b w:val="1"/>
                <w:bCs w:val="1"/>
                <w:color w:val="auto"/>
              </w:rPr>
              <w:t>Factors Contributing to Year-Over-Year Change</w:t>
            </w: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vMerge w:val="restart"/>
          </w:tcPr>
          <w:p>
            <w:pPr>
              <w:jc w:val="right"/>
              <w:ind w:right="335"/>
              <w:spacing w:after="0"/>
              <w:rPr>
                <w:sz w:val="20"/>
                <w:szCs w:val="20"/>
                <w:color w:val="auto"/>
              </w:rPr>
            </w:pPr>
            <w:r>
              <w:rPr>
                <w:rFonts w:ascii="Arial" w:cs="Arial" w:eastAsia="Arial" w:hAnsi="Arial"/>
                <w:sz w:val="14"/>
                <w:szCs w:val="14"/>
                <w:b w:val="1"/>
                <w:bCs w:val="1"/>
                <w:color w:val="auto"/>
              </w:rPr>
              <w:t>Net Sales</w:t>
            </w:r>
          </w:p>
        </w:tc>
        <w:tc>
          <w:tcPr>
            <w:tcW w:w="100" w:type="dxa"/>
            <w:vAlign w:val="bottom"/>
            <w:vMerge w:val="restart"/>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gridSpan w:val="3"/>
          </w:tcPr>
          <w:p>
            <w:pPr>
              <w:ind w:left="380"/>
              <w:spacing w:after="0"/>
              <w:rPr>
                <w:sz w:val="20"/>
                <w:szCs w:val="20"/>
                <w:color w:val="auto"/>
              </w:rPr>
            </w:pPr>
            <w:r>
              <w:rPr>
                <w:rFonts w:ascii="Arial" w:cs="Arial" w:eastAsia="Arial" w:hAnsi="Arial"/>
                <w:sz w:val="14"/>
                <w:szCs w:val="14"/>
                <w:b w:val="1"/>
                <w:bCs w:val="1"/>
                <w:color w:val="auto"/>
              </w:rPr>
              <w:t>Segment</w:t>
            </w:r>
          </w:p>
        </w:tc>
        <w:tc>
          <w:tcPr>
            <w:tcW w:w="220" w:type="dxa"/>
            <w:vAlign w:val="bottom"/>
          </w:tcPr>
          <w:p>
            <w:pPr>
              <w:spacing w:after="0"/>
              <w:rPr>
                <w:sz w:val="18"/>
                <w:szCs w:val="18"/>
                <w:color w:val="auto"/>
              </w:rPr>
            </w:pPr>
          </w:p>
        </w:tc>
        <w:tc>
          <w:tcPr>
            <w:tcW w:w="1160" w:type="dxa"/>
            <w:vAlign w:val="bottom"/>
            <w:vMerge w:val="restart"/>
          </w:tcPr>
          <w:p>
            <w:pPr>
              <w:jc w:val="right"/>
              <w:ind w:right="335"/>
              <w:spacing w:after="0"/>
              <w:rPr>
                <w:sz w:val="20"/>
                <w:szCs w:val="20"/>
                <w:color w:val="auto"/>
              </w:rPr>
            </w:pPr>
            <w:r>
              <w:rPr>
                <w:rFonts w:ascii="Arial" w:cs="Arial" w:eastAsia="Arial" w:hAnsi="Arial"/>
                <w:sz w:val="14"/>
                <w:szCs w:val="14"/>
                <w:b w:val="1"/>
                <w:bCs w:val="1"/>
                <w:color w:val="auto"/>
              </w:rPr>
              <w:t>Net Sales</w:t>
            </w:r>
          </w:p>
        </w:tc>
        <w:tc>
          <w:tcPr>
            <w:tcW w:w="20" w:type="dxa"/>
            <w:vAlign w:val="bottom"/>
            <w:vMerge w:val="restart"/>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Segment</w:t>
            </w:r>
          </w:p>
        </w:tc>
        <w:tc>
          <w:tcPr>
            <w:tcW w:w="0" w:type="dxa"/>
            <w:vAlign w:val="bottom"/>
          </w:tcPr>
          <w:p>
            <w:pPr>
              <w:spacing w:after="0"/>
              <w:rPr>
                <w:sz w:val="1"/>
                <w:szCs w:val="1"/>
                <w:color w:val="auto"/>
              </w:rPr>
            </w:pPr>
          </w:p>
        </w:tc>
      </w:tr>
      <w:tr>
        <w:trPr>
          <w:trHeight w:val="183"/>
        </w:trPr>
        <w:tc>
          <w:tcPr>
            <w:tcW w:w="20" w:type="dxa"/>
            <w:vAlign w:val="bottom"/>
            <w:tcBorders>
              <w:bottom w:val="single" w:sz="8" w:color="DDDDDD"/>
            </w:tcBorders>
          </w:tcPr>
          <w:p>
            <w:pPr>
              <w:spacing w:after="0"/>
              <w:rPr>
                <w:sz w:val="15"/>
                <w:szCs w:val="15"/>
                <w:color w:val="auto"/>
              </w:rPr>
            </w:pPr>
          </w:p>
        </w:tc>
        <w:tc>
          <w:tcPr>
            <w:tcW w:w="3520" w:type="dxa"/>
            <w:vAlign w:val="bottom"/>
            <w:tcBorders>
              <w:bottom w:val="single" w:sz="8" w:color="DDDDDD"/>
            </w:tcBorders>
            <w:vMerge w:val="continue"/>
          </w:tcPr>
          <w:p>
            <w:pPr>
              <w:spacing w:after="0"/>
              <w:rPr>
                <w:sz w:val="15"/>
                <w:szCs w:val="15"/>
                <w:color w:val="auto"/>
              </w:rPr>
            </w:pPr>
          </w:p>
        </w:tc>
        <w:tc>
          <w:tcPr>
            <w:tcW w:w="860" w:type="dxa"/>
            <w:vAlign w:val="bottom"/>
            <w:tcBorders>
              <w:bottom w:val="single" w:sz="8" w:color="DDDDDD"/>
            </w:tcBorders>
          </w:tcPr>
          <w:p>
            <w:pPr>
              <w:spacing w:after="0"/>
              <w:rPr>
                <w:sz w:val="15"/>
                <w:szCs w:val="15"/>
                <w:color w:val="auto"/>
              </w:rPr>
            </w:pPr>
          </w:p>
        </w:tc>
        <w:tc>
          <w:tcPr>
            <w:tcW w:w="420" w:type="dxa"/>
            <w:vAlign w:val="bottom"/>
            <w:tcBorders>
              <w:bottom w:val="single" w:sz="8" w:color="DDDDDD"/>
            </w:tcBorders>
          </w:tcPr>
          <w:p>
            <w:pPr>
              <w:spacing w:after="0"/>
              <w:rPr>
                <w:sz w:val="15"/>
                <w:szCs w:val="15"/>
                <w:color w:val="auto"/>
              </w:rPr>
            </w:pPr>
          </w:p>
        </w:tc>
        <w:tc>
          <w:tcPr>
            <w:tcW w:w="100" w:type="dxa"/>
            <w:vAlign w:val="bottom"/>
            <w:tcBorders>
              <w:bottom w:val="single" w:sz="8" w:color="DC202E"/>
            </w:tcBorders>
          </w:tcPr>
          <w:p>
            <w:pPr>
              <w:spacing w:after="0"/>
              <w:rPr>
                <w:sz w:val="15"/>
                <w:szCs w:val="15"/>
                <w:color w:val="auto"/>
              </w:rPr>
            </w:pPr>
          </w:p>
        </w:tc>
        <w:tc>
          <w:tcPr>
            <w:tcW w:w="100" w:type="dxa"/>
            <w:vAlign w:val="bottom"/>
            <w:tcBorders>
              <w:bottom w:val="single" w:sz="8" w:color="DC202E"/>
            </w:tcBorders>
          </w:tcPr>
          <w:p>
            <w:pPr>
              <w:spacing w:after="0"/>
              <w:rPr>
                <w:sz w:val="15"/>
                <w:szCs w:val="15"/>
                <w:color w:val="auto"/>
              </w:rPr>
            </w:pPr>
          </w:p>
        </w:tc>
        <w:tc>
          <w:tcPr>
            <w:tcW w:w="180" w:type="dxa"/>
            <w:vAlign w:val="bottom"/>
            <w:tcBorders>
              <w:bottom w:val="single" w:sz="8" w:color="DC202E"/>
            </w:tcBorders>
          </w:tcPr>
          <w:p>
            <w:pPr>
              <w:spacing w:after="0"/>
              <w:rPr>
                <w:sz w:val="15"/>
                <w:szCs w:val="15"/>
                <w:color w:val="auto"/>
              </w:rPr>
            </w:pPr>
          </w:p>
        </w:tc>
        <w:tc>
          <w:tcPr>
            <w:tcW w:w="1120" w:type="dxa"/>
            <w:vAlign w:val="bottom"/>
            <w:tcBorders>
              <w:bottom w:val="single" w:sz="8" w:color="DC202E"/>
            </w:tcBorders>
            <w:vMerge w:val="continue"/>
          </w:tcPr>
          <w:p>
            <w:pPr>
              <w:spacing w:after="0"/>
              <w:rPr>
                <w:sz w:val="15"/>
                <w:szCs w:val="15"/>
                <w:color w:val="auto"/>
              </w:rPr>
            </w:pPr>
          </w:p>
        </w:tc>
        <w:tc>
          <w:tcPr>
            <w:tcW w:w="100" w:type="dxa"/>
            <w:vAlign w:val="bottom"/>
            <w:tcBorders>
              <w:bottom w:val="single" w:sz="8" w:color="DDDDDD"/>
            </w:tcBorders>
            <w:vMerge w:val="continue"/>
          </w:tcPr>
          <w:p>
            <w:pPr>
              <w:spacing w:after="0"/>
              <w:rPr>
                <w:sz w:val="15"/>
                <w:szCs w:val="15"/>
                <w:color w:val="auto"/>
              </w:rPr>
            </w:pPr>
          </w:p>
        </w:tc>
        <w:tc>
          <w:tcPr>
            <w:tcW w:w="20" w:type="dxa"/>
            <w:vAlign w:val="bottom"/>
            <w:tcBorders>
              <w:bottom w:val="single" w:sz="8" w:color="DDDDDD"/>
            </w:tcBorders>
          </w:tcPr>
          <w:p>
            <w:pPr>
              <w:spacing w:after="0"/>
              <w:rPr>
                <w:sz w:val="15"/>
                <w:szCs w:val="15"/>
                <w:color w:val="auto"/>
              </w:rPr>
            </w:pPr>
          </w:p>
        </w:tc>
        <w:tc>
          <w:tcPr>
            <w:tcW w:w="80" w:type="dxa"/>
            <w:vAlign w:val="bottom"/>
            <w:tcBorders>
              <w:bottom w:val="single" w:sz="8" w:color="DC202E"/>
            </w:tcBorders>
          </w:tcPr>
          <w:p>
            <w:pPr>
              <w:spacing w:after="0"/>
              <w:rPr>
                <w:sz w:val="15"/>
                <w:szCs w:val="15"/>
                <w:color w:val="auto"/>
              </w:rPr>
            </w:pPr>
          </w:p>
        </w:tc>
        <w:tc>
          <w:tcPr>
            <w:tcW w:w="1440" w:type="dxa"/>
            <w:vAlign w:val="bottom"/>
            <w:tcBorders>
              <w:bottom w:val="single" w:sz="8" w:color="DC202E"/>
            </w:tcBorders>
          </w:tcPr>
          <w:p>
            <w:pPr>
              <w:jc w:val="right"/>
              <w:ind w:right="501"/>
              <w:spacing w:after="0"/>
              <w:rPr>
                <w:sz w:val="20"/>
                <w:szCs w:val="20"/>
                <w:color w:val="auto"/>
              </w:rPr>
            </w:pPr>
            <w:r>
              <w:rPr>
                <w:rFonts w:ascii="Arial" w:cs="Arial" w:eastAsia="Arial" w:hAnsi="Arial"/>
                <w:sz w:val="14"/>
                <w:szCs w:val="14"/>
                <w:b w:val="1"/>
                <w:bCs w:val="1"/>
                <w:color w:val="auto"/>
              </w:rPr>
              <w:t>Profit</w:t>
            </w:r>
          </w:p>
        </w:tc>
        <w:tc>
          <w:tcPr>
            <w:tcW w:w="100" w:type="dxa"/>
            <w:vAlign w:val="bottom"/>
            <w:tcBorders>
              <w:bottom w:val="single" w:sz="8" w:color="DDDDDD"/>
            </w:tcBorders>
          </w:tcPr>
          <w:p>
            <w:pPr>
              <w:spacing w:after="0"/>
              <w:rPr>
                <w:sz w:val="15"/>
                <w:szCs w:val="15"/>
                <w:color w:val="auto"/>
              </w:rPr>
            </w:pPr>
          </w:p>
        </w:tc>
        <w:tc>
          <w:tcPr>
            <w:tcW w:w="120" w:type="dxa"/>
            <w:vAlign w:val="bottom"/>
            <w:tcBorders>
              <w:bottom w:val="single" w:sz="8" w:color="DC202E"/>
            </w:tcBorders>
          </w:tcPr>
          <w:p>
            <w:pPr>
              <w:spacing w:after="0"/>
              <w:rPr>
                <w:sz w:val="15"/>
                <w:szCs w:val="15"/>
                <w:color w:val="auto"/>
              </w:rPr>
            </w:pPr>
          </w:p>
        </w:tc>
        <w:tc>
          <w:tcPr>
            <w:tcW w:w="220" w:type="dxa"/>
            <w:vAlign w:val="bottom"/>
            <w:tcBorders>
              <w:bottom w:val="single" w:sz="8" w:color="DC202E"/>
            </w:tcBorders>
          </w:tcPr>
          <w:p>
            <w:pPr>
              <w:spacing w:after="0"/>
              <w:rPr>
                <w:sz w:val="15"/>
                <w:szCs w:val="15"/>
                <w:color w:val="auto"/>
              </w:rPr>
            </w:pPr>
          </w:p>
        </w:tc>
        <w:tc>
          <w:tcPr>
            <w:tcW w:w="1160" w:type="dxa"/>
            <w:vAlign w:val="bottom"/>
            <w:tcBorders>
              <w:bottom w:val="single" w:sz="8" w:color="DC202E"/>
            </w:tcBorders>
            <w:vMerge w:val="continue"/>
          </w:tcPr>
          <w:p>
            <w:pPr>
              <w:spacing w:after="0"/>
              <w:rPr>
                <w:sz w:val="15"/>
                <w:szCs w:val="15"/>
                <w:color w:val="auto"/>
              </w:rPr>
            </w:pPr>
          </w:p>
        </w:tc>
        <w:tc>
          <w:tcPr>
            <w:tcW w:w="20" w:type="dxa"/>
            <w:vAlign w:val="bottom"/>
            <w:tcBorders>
              <w:bottom w:val="single" w:sz="8" w:color="DDDDDD"/>
            </w:tcBorders>
            <w:vMerge w:val="continue"/>
          </w:tcPr>
          <w:p>
            <w:pPr>
              <w:spacing w:after="0"/>
              <w:rPr>
                <w:sz w:val="15"/>
                <w:szCs w:val="15"/>
                <w:color w:val="auto"/>
              </w:rPr>
            </w:pPr>
          </w:p>
        </w:tc>
        <w:tc>
          <w:tcPr>
            <w:tcW w:w="100" w:type="dxa"/>
            <w:vAlign w:val="bottom"/>
            <w:tcBorders>
              <w:bottom w:val="single" w:sz="8" w:color="DDDDDD"/>
            </w:tcBorders>
          </w:tcPr>
          <w:p>
            <w:pPr>
              <w:spacing w:after="0"/>
              <w:rPr>
                <w:sz w:val="15"/>
                <w:szCs w:val="15"/>
                <w:color w:val="auto"/>
              </w:rPr>
            </w:pPr>
          </w:p>
        </w:tc>
        <w:tc>
          <w:tcPr>
            <w:tcW w:w="1540" w:type="dxa"/>
            <w:vAlign w:val="bottom"/>
            <w:tcBorders>
              <w:bottom w:val="single" w:sz="8" w:color="DC202E"/>
            </w:tcBorders>
          </w:tcPr>
          <w:p>
            <w:pPr>
              <w:jc w:val="center"/>
              <w:spacing w:after="0"/>
              <w:rPr>
                <w:sz w:val="20"/>
                <w:szCs w:val="20"/>
                <w:color w:val="auto"/>
              </w:rPr>
            </w:pPr>
            <w:r>
              <w:rPr>
                <w:rFonts w:ascii="Arial" w:cs="Arial" w:eastAsia="Arial" w:hAnsi="Arial"/>
                <w:sz w:val="14"/>
                <w:szCs w:val="14"/>
                <w:b w:val="1"/>
                <w:bCs w:val="1"/>
                <w:color w:val="auto"/>
              </w:rPr>
              <w:t>Profit</w:t>
            </w:r>
          </w:p>
        </w:tc>
        <w:tc>
          <w:tcPr>
            <w:tcW w:w="0" w:type="dxa"/>
            <w:vAlign w:val="bottom"/>
          </w:tcPr>
          <w:p>
            <w:pPr>
              <w:spacing w:after="0"/>
              <w:rPr>
                <w:sz w:val="1"/>
                <w:szCs w:val="1"/>
                <w:color w:val="auto"/>
              </w:rPr>
            </w:pPr>
          </w:p>
        </w:tc>
      </w:tr>
      <w:tr>
        <w:trPr>
          <w:trHeight w:val="230"/>
        </w:trPr>
        <w:tc>
          <w:tcPr>
            <w:tcW w:w="20" w:type="dxa"/>
            <w:vAlign w:val="bottom"/>
            <w:shd w:val="clear" w:color="auto" w:fill="DDDDDD"/>
          </w:tcPr>
          <w:p>
            <w:pPr>
              <w:spacing w:after="0"/>
              <w:rPr>
                <w:sz w:val="19"/>
                <w:szCs w:val="19"/>
                <w:color w:val="auto"/>
              </w:rPr>
            </w:pPr>
          </w:p>
        </w:tc>
        <w:tc>
          <w:tcPr>
            <w:tcW w:w="3520" w:type="dxa"/>
            <w:vAlign w:val="bottom"/>
            <w:shd w:val="clear" w:color="auto" w:fill="DDDDDD"/>
          </w:tcPr>
          <w:p>
            <w:pPr>
              <w:spacing w:after="0"/>
              <w:rPr>
                <w:sz w:val="20"/>
                <w:szCs w:val="20"/>
                <w:color w:val="auto"/>
              </w:rPr>
            </w:pPr>
            <w:r>
              <w:rPr>
                <w:rFonts w:ascii="Arial" w:cs="Arial" w:eastAsia="Arial" w:hAnsi="Arial"/>
                <w:sz w:val="18"/>
                <w:szCs w:val="18"/>
                <w:color w:val="auto"/>
              </w:rPr>
              <w:t>Organic</w:t>
            </w:r>
          </w:p>
        </w:tc>
        <w:tc>
          <w:tcPr>
            <w:tcW w:w="860" w:type="dxa"/>
            <w:vAlign w:val="bottom"/>
            <w:shd w:val="clear" w:color="auto" w:fill="DDDDDD"/>
          </w:tcPr>
          <w:p>
            <w:pPr>
              <w:spacing w:after="0"/>
              <w:rPr>
                <w:sz w:val="19"/>
                <w:szCs w:val="19"/>
                <w:color w:val="auto"/>
              </w:rPr>
            </w:pPr>
          </w:p>
        </w:tc>
        <w:tc>
          <w:tcPr>
            <w:tcW w:w="42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180" w:type="dxa"/>
            <w:vAlign w:val="bottom"/>
            <w:shd w:val="clear" w:color="auto" w:fill="DDDDDD"/>
          </w:tcPr>
          <w:p>
            <w:pPr>
              <w:spacing w:after="0"/>
              <w:rPr>
                <w:sz w:val="19"/>
                <w:szCs w:val="19"/>
                <w:color w:val="auto"/>
              </w:rPr>
            </w:pPr>
          </w:p>
        </w:tc>
        <w:tc>
          <w:tcPr>
            <w:tcW w:w="11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DDDDDD"/>
          </w:tcPr>
          <w:p>
            <w:pPr>
              <w:spacing w:after="0"/>
              <w:rPr>
                <w:sz w:val="19"/>
                <w:szCs w:val="19"/>
                <w:color w:val="auto"/>
              </w:rPr>
            </w:pPr>
          </w:p>
        </w:tc>
        <w:tc>
          <w:tcPr>
            <w:tcW w:w="1540" w:type="dxa"/>
            <w:vAlign w:val="bottom"/>
            <w:gridSpan w:val="3"/>
            <w:shd w:val="clear" w:color="auto" w:fill="DDDDDD"/>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220" w:type="dxa"/>
            <w:vAlign w:val="bottom"/>
            <w:shd w:val="clear" w:color="auto" w:fill="DDDDDD"/>
          </w:tcPr>
          <w:p>
            <w:pPr>
              <w:spacing w:after="0"/>
              <w:rPr>
                <w:sz w:val="19"/>
                <w:szCs w:val="19"/>
                <w:color w:val="auto"/>
              </w:rPr>
            </w:pPr>
          </w:p>
        </w:tc>
        <w:tc>
          <w:tcPr>
            <w:tcW w:w="11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4 %</w:t>
            </w:r>
          </w:p>
        </w:tc>
        <w:tc>
          <w:tcPr>
            <w:tcW w:w="20" w:type="dxa"/>
            <w:vAlign w:val="bottom"/>
            <w:shd w:val="clear" w:color="auto" w:fill="DDDDDD"/>
          </w:tcPr>
          <w:p>
            <w:pPr>
              <w:spacing w:after="0"/>
              <w:rPr>
                <w:sz w:val="19"/>
                <w:szCs w:val="19"/>
                <w:color w:val="auto"/>
              </w:rPr>
            </w:pPr>
          </w:p>
        </w:tc>
        <w:tc>
          <w:tcPr>
            <w:tcW w:w="1640" w:type="dxa"/>
            <w:vAlign w:val="bottom"/>
            <w:gridSpan w:val="2"/>
            <w:shd w:val="clear" w:color="auto" w:fill="DDDDDD"/>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8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60" w:type="dxa"/>
            <w:vAlign w:val="bottom"/>
            <w:gridSpan w:val="3"/>
          </w:tcPr>
          <w:p>
            <w:pPr>
              <w:jc w:val="right"/>
              <w:ind w:right="240"/>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shd w:val="clear" w:color="auto" w:fill="DDDDDD"/>
          </w:tcPr>
          <w:p>
            <w:pPr>
              <w:spacing w:after="0"/>
              <w:rPr>
                <w:sz w:val="19"/>
                <w:szCs w:val="19"/>
                <w:color w:val="auto"/>
              </w:rPr>
            </w:pPr>
          </w:p>
        </w:tc>
        <w:tc>
          <w:tcPr>
            <w:tcW w:w="3520" w:type="dxa"/>
            <w:vAlign w:val="bottom"/>
            <w:shd w:val="clear" w:color="auto" w:fill="DDDDDD"/>
          </w:tcPr>
          <w:p>
            <w:pPr>
              <w:spacing w:after="0"/>
              <w:rPr>
                <w:sz w:val="20"/>
                <w:szCs w:val="20"/>
                <w:color w:val="auto"/>
              </w:rPr>
            </w:pPr>
            <w:r>
              <w:rPr>
                <w:rFonts w:ascii="Arial" w:cs="Arial" w:eastAsia="Arial" w:hAnsi="Arial"/>
                <w:sz w:val="18"/>
                <w:szCs w:val="18"/>
                <w:color w:val="auto"/>
              </w:rPr>
              <w:t>Acquisitions, divestitures and other, net</w:t>
            </w:r>
          </w:p>
        </w:tc>
        <w:tc>
          <w:tcPr>
            <w:tcW w:w="860" w:type="dxa"/>
            <w:vAlign w:val="bottom"/>
            <w:shd w:val="clear" w:color="auto" w:fill="DDDDDD"/>
          </w:tcPr>
          <w:p>
            <w:pPr>
              <w:spacing w:after="0"/>
              <w:rPr>
                <w:sz w:val="19"/>
                <w:szCs w:val="19"/>
                <w:color w:val="auto"/>
              </w:rPr>
            </w:pPr>
          </w:p>
        </w:tc>
        <w:tc>
          <w:tcPr>
            <w:tcW w:w="420" w:type="dxa"/>
            <w:vAlign w:val="bottom"/>
            <w:shd w:val="clear" w:color="auto" w:fill="DDDDDD"/>
          </w:tcPr>
          <w:p>
            <w:pPr>
              <w:spacing w:after="0"/>
              <w:rPr>
                <w:sz w:val="19"/>
                <w:szCs w:val="19"/>
                <w:color w:val="auto"/>
              </w:rPr>
            </w:pPr>
          </w:p>
        </w:tc>
        <w:tc>
          <w:tcPr>
            <w:tcW w:w="100" w:type="dxa"/>
            <w:vAlign w:val="bottom"/>
            <w:tcBorders>
              <w:bottom w:val="single" w:sz="8" w:color="auto"/>
            </w:tcBorders>
            <w:shd w:val="clear" w:color="auto" w:fill="DDDDDD"/>
          </w:tcPr>
          <w:p>
            <w:pPr>
              <w:spacing w:after="0"/>
              <w:rPr>
                <w:sz w:val="19"/>
                <w:szCs w:val="19"/>
                <w:color w:val="auto"/>
              </w:rPr>
            </w:pPr>
          </w:p>
        </w:tc>
        <w:tc>
          <w:tcPr>
            <w:tcW w:w="100" w:type="dxa"/>
            <w:vAlign w:val="bottom"/>
            <w:tcBorders>
              <w:bottom w:val="single" w:sz="8" w:color="auto"/>
            </w:tcBorders>
            <w:shd w:val="clear" w:color="auto" w:fill="DDDDDD"/>
          </w:tcPr>
          <w:p>
            <w:pPr>
              <w:spacing w:after="0"/>
              <w:rPr>
                <w:sz w:val="19"/>
                <w:szCs w:val="19"/>
                <w:color w:val="auto"/>
              </w:rPr>
            </w:pPr>
          </w:p>
        </w:tc>
        <w:tc>
          <w:tcPr>
            <w:tcW w:w="180" w:type="dxa"/>
            <w:vAlign w:val="bottom"/>
            <w:tcBorders>
              <w:bottom w:val="single" w:sz="8" w:color="auto"/>
            </w:tcBorders>
            <w:shd w:val="clear" w:color="auto" w:fill="DDDDDD"/>
          </w:tcPr>
          <w:p>
            <w:pPr>
              <w:spacing w:after="0"/>
              <w:rPr>
                <w:sz w:val="19"/>
                <w:szCs w:val="19"/>
                <w:color w:val="auto"/>
              </w:rPr>
            </w:pPr>
          </w:p>
        </w:tc>
        <w:tc>
          <w:tcPr>
            <w:tcW w:w="1120" w:type="dxa"/>
            <w:vAlign w:val="bottom"/>
            <w:tcBorders>
              <w:bottom w:val="single" w:sz="8" w:color="auto"/>
            </w:tcBorders>
            <w:shd w:val="clear" w:color="auto" w:fill="DDDDDD"/>
          </w:tcPr>
          <w:p>
            <w:pPr>
              <w:jc w:val="right"/>
              <w:ind w:right="155"/>
              <w:spacing w:after="0"/>
              <w:rPr>
                <w:sz w:val="20"/>
                <w:szCs w:val="20"/>
                <w:color w:val="auto"/>
              </w:rPr>
            </w:pPr>
            <w:r>
              <w:rPr>
                <w:rFonts w:ascii="Arial" w:cs="Arial" w:eastAsia="Arial" w:hAnsi="Arial"/>
                <w:sz w:val="18"/>
                <w:szCs w:val="18"/>
                <w:color w:val="auto"/>
              </w:rPr>
              <w:t>—</w:t>
            </w:r>
          </w:p>
        </w:tc>
        <w:tc>
          <w:tcPr>
            <w:tcW w:w="10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80" w:type="dxa"/>
            <w:vAlign w:val="bottom"/>
            <w:tcBorders>
              <w:bottom w:val="single" w:sz="8" w:color="auto"/>
            </w:tcBorders>
            <w:shd w:val="clear" w:color="auto" w:fill="DDDDDD"/>
          </w:tcPr>
          <w:p>
            <w:pPr>
              <w:spacing w:after="0"/>
              <w:rPr>
                <w:sz w:val="19"/>
                <w:szCs w:val="19"/>
                <w:color w:val="auto"/>
              </w:rPr>
            </w:pPr>
          </w:p>
        </w:tc>
        <w:tc>
          <w:tcPr>
            <w:tcW w:w="1440" w:type="dxa"/>
            <w:vAlign w:val="bottom"/>
            <w:tcBorders>
              <w:bottom w:val="single" w:sz="8" w:color="auto"/>
            </w:tcBorders>
            <w:shd w:val="clear" w:color="auto" w:fill="DDDDDD"/>
          </w:tcPr>
          <w:p>
            <w:pPr>
              <w:ind w:left="1020"/>
              <w:spacing w:after="0"/>
              <w:rPr>
                <w:sz w:val="20"/>
                <w:szCs w:val="20"/>
                <w:color w:val="auto"/>
              </w:rPr>
            </w:pPr>
            <w:r>
              <w:rPr>
                <w:rFonts w:ascii="Arial" w:cs="Arial" w:eastAsia="Arial" w:hAnsi="Arial"/>
                <w:sz w:val="18"/>
                <w:szCs w:val="18"/>
                <w:color w:val="auto"/>
              </w:rPr>
              <w:t>—</w:t>
            </w:r>
          </w:p>
        </w:tc>
        <w:tc>
          <w:tcPr>
            <w:tcW w:w="100" w:type="dxa"/>
            <w:vAlign w:val="bottom"/>
            <w:shd w:val="clear" w:color="auto" w:fill="DDDDDD"/>
          </w:tcPr>
          <w:p>
            <w:pPr>
              <w:spacing w:after="0"/>
              <w:rPr>
                <w:sz w:val="19"/>
                <w:szCs w:val="19"/>
                <w:color w:val="auto"/>
              </w:rPr>
            </w:pPr>
          </w:p>
        </w:tc>
        <w:tc>
          <w:tcPr>
            <w:tcW w:w="120" w:type="dxa"/>
            <w:vAlign w:val="bottom"/>
            <w:tcBorders>
              <w:bottom w:val="single" w:sz="8" w:color="auto"/>
            </w:tcBorders>
            <w:shd w:val="clear" w:color="auto" w:fill="DDDDDD"/>
          </w:tcPr>
          <w:p>
            <w:pPr>
              <w:spacing w:after="0"/>
              <w:rPr>
                <w:sz w:val="19"/>
                <w:szCs w:val="19"/>
                <w:color w:val="auto"/>
              </w:rPr>
            </w:pPr>
          </w:p>
        </w:tc>
        <w:tc>
          <w:tcPr>
            <w:tcW w:w="220" w:type="dxa"/>
            <w:vAlign w:val="bottom"/>
            <w:tcBorders>
              <w:bottom w:val="single" w:sz="8" w:color="auto"/>
            </w:tcBorders>
            <w:shd w:val="clear" w:color="auto" w:fill="DDDDDD"/>
          </w:tcPr>
          <w:p>
            <w:pPr>
              <w:spacing w:after="0"/>
              <w:rPr>
                <w:sz w:val="19"/>
                <w:szCs w:val="19"/>
                <w:color w:val="auto"/>
              </w:rPr>
            </w:pPr>
          </w:p>
        </w:tc>
        <w:tc>
          <w:tcPr>
            <w:tcW w:w="1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 %</w:t>
            </w:r>
          </w:p>
        </w:tc>
        <w:tc>
          <w:tcPr>
            <w:tcW w:w="2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15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20" w:type="dxa"/>
            <w:vAlign w:val="bottom"/>
          </w:tcPr>
          <w:p>
            <w:pPr>
              <w:ind w:left="340"/>
              <w:spacing w:after="0"/>
              <w:rPr>
                <w:sz w:val="20"/>
                <w:szCs w:val="20"/>
                <w:color w:val="auto"/>
              </w:rPr>
            </w:pPr>
            <w:r>
              <w:rPr>
                <w:rFonts w:ascii="Arial" w:cs="Arial" w:eastAsia="Arial" w:hAnsi="Arial"/>
                <w:sz w:val="18"/>
                <w:szCs w:val="18"/>
                <w:color w:val="auto"/>
              </w:rPr>
              <w:t>Total % Change</w:t>
            </w:r>
          </w:p>
        </w:tc>
        <w:tc>
          <w:tcPr>
            <w:tcW w:w="8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1 %</w:t>
            </w:r>
          </w:p>
        </w:tc>
        <w:tc>
          <w:tcPr>
            <w:tcW w:w="20" w:type="dxa"/>
            <w:vAlign w:val="bottom"/>
          </w:tcPr>
          <w:p>
            <w:pPr>
              <w:spacing w:after="0"/>
              <w:rPr>
                <w:sz w:val="19"/>
                <w:szCs w:val="19"/>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compared with 2019</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Performance Materials and Technologies Net sales decreased primarily due to lower sales volumes. Many of our customers operate in the oil and gas industry. The decline in global travel, coupled with excessive oil and gas supply, negatively impacted many of our customers, resulting in lower demand for our products and services.</w:t>
      </w:r>
    </w:p>
    <w:p>
      <w:pPr>
        <w:spacing w:after="0" w:line="107" w:lineRule="exact"/>
        <w:rPr>
          <w:sz w:val="20"/>
          <w:szCs w:val="20"/>
          <w:color w:val="auto"/>
        </w:rPr>
      </w:pPr>
    </w:p>
    <w:p>
      <w:pPr>
        <w:ind w:left="660" w:hanging="328"/>
        <w:spacing w:after="0" w:line="237" w:lineRule="auto"/>
        <w:tabs>
          <w:tab w:leader="none" w:pos="621" w:val="left"/>
        </w:tabs>
        <w:numPr>
          <w:ilvl w:val="0"/>
          <w:numId w:val="17"/>
        </w:numPr>
        <w:rPr>
          <w:rFonts w:ascii="Arial" w:cs="Arial" w:eastAsia="Arial" w:hAnsi="Arial"/>
          <w:sz w:val="20"/>
          <w:szCs w:val="20"/>
          <w:color w:val="auto"/>
        </w:rPr>
      </w:pPr>
      <w:r>
        <w:rPr>
          <w:rFonts w:ascii="Arial" w:cs="Arial" w:eastAsia="Arial" w:hAnsi="Arial"/>
          <w:sz w:val="18"/>
          <w:szCs w:val="18"/>
          <w:color w:val="auto"/>
        </w:rPr>
        <w:t>UOP sales decreased 25% (decreased 25% organic) driven primarily by decreases in catalyst volumes, licensing, and engineering sales volumes.</w:t>
      </w:r>
    </w:p>
    <w:p>
      <w:pPr>
        <w:spacing w:after="0" w:line="13" w:lineRule="exact"/>
        <w:rPr>
          <w:rFonts w:ascii="Arial" w:cs="Arial" w:eastAsia="Arial" w:hAnsi="Arial"/>
          <w:sz w:val="20"/>
          <w:szCs w:val="20"/>
          <w:color w:val="auto"/>
        </w:rPr>
      </w:pPr>
    </w:p>
    <w:p>
      <w:pPr>
        <w:ind w:left="660" w:right="20" w:hanging="328"/>
        <w:spacing w:after="0" w:line="237" w:lineRule="auto"/>
        <w:tabs>
          <w:tab w:leader="none" w:pos="621" w:val="left"/>
        </w:tabs>
        <w:numPr>
          <w:ilvl w:val="0"/>
          <w:numId w:val="17"/>
        </w:numPr>
        <w:rPr>
          <w:rFonts w:ascii="Arial" w:cs="Arial" w:eastAsia="Arial" w:hAnsi="Arial"/>
          <w:sz w:val="20"/>
          <w:szCs w:val="20"/>
          <w:color w:val="auto"/>
        </w:rPr>
      </w:pPr>
      <w:r>
        <w:rPr>
          <w:rFonts w:ascii="Arial" w:cs="Arial" w:eastAsia="Arial" w:hAnsi="Arial"/>
          <w:sz w:val="18"/>
          <w:szCs w:val="18"/>
          <w:color w:val="auto"/>
        </w:rPr>
        <w:t>Process Solutions sales decreased 11% (decreased 10% organic) primarily due to lower sales volumes in products businesses, automation projects and migration services.</w:t>
      </w:r>
    </w:p>
    <w:p>
      <w:pPr>
        <w:spacing w:after="0" w:line="13" w:lineRule="exact"/>
        <w:rPr>
          <w:rFonts w:ascii="Arial" w:cs="Arial" w:eastAsia="Arial" w:hAnsi="Arial"/>
          <w:sz w:val="20"/>
          <w:szCs w:val="20"/>
          <w:color w:val="auto"/>
        </w:rPr>
      </w:pPr>
    </w:p>
    <w:p>
      <w:pPr>
        <w:ind w:left="660" w:hanging="328"/>
        <w:spacing w:after="0" w:line="237" w:lineRule="auto"/>
        <w:tabs>
          <w:tab w:leader="none" w:pos="621" w:val="left"/>
        </w:tabs>
        <w:numPr>
          <w:ilvl w:val="0"/>
          <w:numId w:val="17"/>
        </w:numPr>
        <w:rPr>
          <w:rFonts w:ascii="Arial" w:cs="Arial" w:eastAsia="Arial" w:hAnsi="Arial"/>
          <w:sz w:val="20"/>
          <w:szCs w:val="20"/>
          <w:color w:val="auto"/>
        </w:rPr>
      </w:pPr>
      <w:r>
        <w:rPr>
          <w:rFonts w:ascii="Arial" w:cs="Arial" w:eastAsia="Arial" w:hAnsi="Arial"/>
          <w:sz w:val="18"/>
          <w:szCs w:val="18"/>
          <w:color w:val="auto"/>
        </w:rPr>
        <w:t>Advanced Materials sales decreased 5% (decreased 6% organic) driven primarily by decreased sales volumes in fluorine products due to lower demand in automotive refrigerants, partially offset by increased sales volumes in specialty products.</w:t>
      </w:r>
    </w:p>
    <w:p>
      <w:pPr>
        <w:spacing w:after="0" w:line="10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Performance Materials and Technologies segment profit decreased primarily due to operating leverage on lower sales volumes and lower sales of higher margin products and services, partially offset by other productivity actions. Cost of products and services sold decreased primarily due to lower sales volumes.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22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rPr>
          <w:sz w:val="20"/>
          <w:szCs w:val="20"/>
          <w:color w:val="auto"/>
        </w:rPr>
      </w:pPr>
      <w:r>
        <w:rPr>
          <w:rFonts w:ascii="Arial" w:cs="Arial" w:eastAsia="Arial" w:hAnsi="Arial"/>
          <w:sz w:val="25"/>
          <w:szCs w:val="25"/>
          <w:b w:val="1"/>
          <w:bCs w:val="1"/>
          <w:color w:val="auto"/>
        </w:rPr>
        <w:t>SAFETY AND PRODUCTIVITY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59690</wp:posOffset>
            </wp:positionV>
            <wp:extent cx="4114800" cy="32575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4114800"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3520" w:type="dxa"/>
            <w:vAlign w:val="bottom"/>
            <w:tcBorders>
              <w:bottom w:val="single" w:sz="8" w:color="DDDDDD"/>
            </w:tcBorders>
          </w:tcPr>
          <w:p>
            <w:pPr>
              <w:spacing w:after="0"/>
              <w:rPr>
                <w:sz w:val="17"/>
                <w:szCs w:val="17"/>
                <w:color w:val="auto"/>
              </w:rPr>
            </w:pPr>
          </w:p>
        </w:tc>
        <w:tc>
          <w:tcPr>
            <w:tcW w:w="86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DC202E"/>
            </w:tcBorders>
          </w:tcPr>
          <w:p>
            <w:pPr>
              <w:spacing w:after="0"/>
              <w:rPr>
                <w:sz w:val="17"/>
                <w:szCs w:val="17"/>
                <w:color w:val="auto"/>
              </w:rPr>
            </w:pPr>
          </w:p>
        </w:tc>
        <w:tc>
          <w:tcPr>
            <w:tcW w:w="120" w:type="dxa"/>
            <w:vAlign w:val="bottom"/>
            <w:tcBorders>
              <w:bottom w:val="single" w:sz="8" w:color="DC202E"/>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160" w:type="dxa"/>
            <w:vAlign w:val="bottom"/>
            <w:tcBorders>
              <w:bottom w:val="single" w:sz="8" w:color="DC202E"/>
            </w:tcBorders>
          </w:tcPr>
          <w:p>
            <w:pPr>
              <w:spacing w:after="0"/>
              <w:rPr>
                <w:sz w:val="17"/>
                <w:szCs w:val="17"/>
                <w:color w:val="auto"/>
              </w:rPr>
            </w:pPr>
          </w:p>
        </w:tc>
        <w:tc>
          <w:tcPr>
            <w:tcW w:w="1120" w:type="dxa"/>
            <w:vAlign w:val="bottom"/>
            <w:tcBorders>
              <w:bottom w:val="single" w:sz="8" w:color="DC202E"/>
            </w:tcBorders>
          </w:tcPr>
          <w:p>
            <w:pPr>
              <w:jc w:val="right"/>
              <w:ind w:right="33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DC202E"/>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1540" w:type="dxa"/>
            <w:vAlign w:val="bottom"/>
            <w:tcBorders>
              <w:bottom w:val="single" w:sz="8" w:color="DC202E"/>
            </w:tcBorders>
            <w:gridSpan w:val="3"/>
          </w:tcPr>
          <w:p>
            <w:pPr>
              <w:ind w:left="20"/>
              <w:spacing w:after="0"/>
              <w:rPr>
                <w:sz w:val="20"/>
                <w:szCs w:val="20"/>
                <w:color w:val="auto"/>
              </w:rPr>
            </w:pPr>
            <w:r>
              <w:rPr>
                <w:rFonts w:ascii="Arial" w:cs="Arial" w:eastAsia="Arial" w:hAnsi="Arial"/>
                <w:sz w:val="14"/>
                <w:szCs w:val="14"/>
                <w:b w:val="1"/>
                <w:bCs w:val="1"/>
                <w:color w:val="auto"/>
              </w:rPr>
              <w:t>Change 2020 vs. 2019</w:t>
            </w:r>
          </w:p>
        </w:tc>
        <w:tc>
          <w:tcPr>
            <w:tcW w:w="100" w:type="dxa"/>
            <w:vAlign w:val="bottom"/>
            <w:tcBorders>
              <w:bottom w:val="single" w:sz="8" w:color="DDDDDD"/>
            </w:tcBorders>
          </w:tcPr>
          <w:p>
            <w:pPr>
              <w:spacing w:after="0"/>
              <w:rPr>
                <w:sz w:val="17"/>
                <w:szCs w:val="17"/>
                <w:color w:val="auto"/>
              </w:rPr>
            </w:pPr>
          </w:p>
        </w:tc>
        <w:tc>
          <w:tcPr>
            <w:tcW w:w="220" w:type="dxa"/>
            <w:vAlign w:val="bottom"/>
            <w:tcBorders>
              <w:bottom w:val="single" w:sz="8" w:color="DC202E"/>
            </w:tcBorders>
          </w:tcPr>
          <w:p>
            <w:pPr>
              <w:spacing w:after="0"/>
              <w:rPr>
                <w:sz w:val="17"/>
                <w:szCs w:val="17"/>
                <w:color w:val="auto"/>
              </w:rPr>
            </w:pPr>
          </w:p>
        </w:tc>
        <w:tc>
          <w:tcPr>
            <w:tcW w:w="1160" w:type="dxa"/>
            <w:vAlign w:val="bottom"/>
            <w:tcBorders>
              <w:bottom w:val="single" w:sz="8" w:color="DC202E"/>
            </w:tcBorders>
          </w:tcPr>
          <w:p>
            <w:pPr>
              <w:jc w:val="right"/>
              <w:ind w:right="435"/>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DC202E"/>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1540" w:type="dxa"/>
            <w:vAlign w:val="bottom"/>
            <w:tcBorders>
              <w:bottom w:val="single" w:sz="8" w:color="DC202E"/>
            </w:tcBorders>
          </w:tcPr>
          <w:p>
            <w:pPr>
              <w:jc w:val="center"/>
              <w:spacing w:after="0"/>
              <w:rPr>
                <w:sz w:val="20"/>
                <w:szCs w:val="20"/>
                <w:color w:val="auto"/>
              </w:rPr>
            </w:pPr>
            <w:r>
              <w:rPr>
                <w:rFonts w:ascii="Arial" w:cs="Arial" w:eastAsia="Arial" w:hAnsi="Arial"/>
                <w:sz w:val="14"/>
                <w:szCs w:val="14"/>
                <w:b w:val="1"/>
                <w:bCs w:val="1"/>
                <w:color w:val="auto"/>
              </w:rPr>
              <w:t>Change 2019 vs. 2018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20" w:type="dxa"/>
            <w:vAlign w:val="bottom"/>
            <w:shd w:val="clear" w:color="auto" w:fill="DDDDDD"/>
          </w:tcPr>
          <w:p>
            <w:pPr>
              <w:ind w:left="20"/>
              <w:spacing w:after="0"/>
              <w:rPr>
                <w:sz w:val="20"/>
                <w:szCs w:val="20"/>
                <w:color w:val="auto"/>
              </w:rPr>
            </w:pPr>
            <w:r>
              <w:rPr>
                <w:rFonts w:ascii="Arial" w:cs="Arial" w:eastAsia="Arial" w:hAnsi="Arial"/>
                <w:sz w:val="18"/>
                <w:szCs w:val="18"/>
                <w:color w:val="auto"/>
              </w:rPr>
              <w:t>Net sales</w:t>
            </w:r>
          </w:p>
        </w:tc>
        <w:tc>
          <w:tcPr>
            <w:tcW w:w="860" w:type="dxa"/>
            <w:vAlign w:val="bottom"/>
            <w:shd w:val="clear" w:color="auto" w:fill="DDDDDD"/>
          </w:tcPr>
          <w:p>
            <w:pPr>
              <w:jc w:val="right"/>
              <w:ind w:right="656"/>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DDDDDD"/>
          </w:tcPr>
          <w:p>
            <w:pPr>
              <w:jc w:val="right"/>
              <w:ind w:right="80"/>
              <w:spacing w:after="0"/>
              <w:rPr>
                <w:sz w:val="20"/>
                <w:szCs w:val="20"/>
                <w:color w:val="auto"/>
              </w:rPr>
            </w:pPr>
            <w:r>
              <w:rPr>
                <w:rFonts w:ascii="Arial" w:cs="Arial" w:eastAsia="Arial" w:hAnsi="Arial"/>
                <w:sz w:val="18"/>
                <w:szCs w:val="18"/>
                <w:color w:val="auto"/>
                <w:w w:val="97"/>
              </w:rPr>
              <w:t>6,481</w:t>
            </w:r>
          </w:p>
        </w:tc>
        <w:tc>
          <w:tcPr>
            <w:tcW w:w="100" w:type="dxa"/>
            <w:vAlign w:val="bottom"/>
            <w:shd w:val="clear" w:color="auto" w:fill="DDDDDD"/>
          </w:tcPr>
          <w:p>
            <w:pPr>
              <w:spacing w:after="0"/>
              <w:rPr>
                <w:sz w:val="19"/>
                <w:szCs w:val="19"/>
                <w:color w:val="auto"/>
              </w:rPr>
            </w:pPr>
          </w:p>
        </w:tc>
        <w:tc>
          <w:tcPr>
            <w:tcW w:w="16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DDDDDD"/>
          </w:tcPr>
          <w:p>
            <w:pPr>
              <w:ind w:left="700"/>
              <w:spacing w:after="0"/>
              <w:rPr>
                <w:sz w:val="20"/>
                <w:szCs w:val="20"/>
                <w:color w:val="auto"/>
              </w:rPr>
            </w:pPr>
            <w:r>
              <w:rPr>
                <w:rFonts w:ascii="Arial" w:cs="Arial" w:eastAsia="Arial" w:hAnsi="Arial"/>
                <w:sz w:val="18"/>
                <w:szCs w:val="18"/>
                <w:color w:val="auto"/>
              </w:rPr>
              <w:t>6,104</w:t>
            </w:r>
          </w:p>
        </w:tc>
        <w:tc>
          <w:tcPr>
            <w:tcW w:w="1620" w:type="dxa"/>
            <w:vAlign w:val="bottom"/>
            <w:gridSpan w:val="3"/>
            <w:shd w:val="clear" w:color="auto" w:fill="DDDDDD"/>
          </w:tcPr>
          <w:p>
            <w:pPr>
              <w:jc w:val="right"/>
              <w:spacing w:after="0"/>
              <w:rPr>
                <w:sz w:val="20"/>
                <w:szCs w:val="20"/>
                <w:color w:val="auto"/>
              </w:rPr>
            </w:pPr>
            <w:r>
              <w:rPr>
                <w:rFonts w:ascii="Arial" w:cs="Arial" w:eastAsia="Arial" w:hAnsi="Arial"/>
                <w:sz w:val="18"/>
                <w:szCs w:val="18"/>
                <w:color w:val="auto"/>
              </w:rPr>
              <w:t>6 %</w:t>
            </w:r>
          </w:p>
        </w:tc>
        <w:tc>
          <w:tcPr>
            <w:tcW w:w="2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22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6,337</w:t>
            </w:r>
          </w:p>
        </w:tc>
        <w:tc>
          <w:tcPr>
            <w:tcW w:w="20" w:type="dxa"/>
            <w:vAlign w:val="bottom"/>
            <w:shd w:val="clear" w:color="auto" w:fill="DDDDDD"/>
          </w:tcPr>
          <w:p>
            <w:pPr>
              <w:spacing w:after="0"/>
              <w:rPr>
                <w:sz w:val="19"/>
                <w:szCs w:val="19"/>
                <w:color w:val="auto"/>
              </w:rPr>
            </w:pPr>
          </w:p>
        </w:tc>
        <w:tc>
          <w:tcPr>
            <w:tcW w:w="1640" w:type="dxa"/>
            <w:vAlign w:val="bottom"/>
            <w:gridSpan w:val="2"/>
            <w:shd w:val="clear" w:color="auto" w:fill="DDDDDD"/>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20" w:type="dxa"/>
            <w:vAlign w:val="bottom"/>
          </w:tcPr>
          <w:p>
            <w:pPr>
              <w:ind w:left="20"/>
              <w:spacing w:after="0"/>
              <w:rPr>
                <w:sz w:val="20"/>
                <w:szCs w:val="20"/>
                <w:color w:val="auto"/>
              </w:rPr>
            </w:pPr>
            <w:r>
              <w:rPr>
                <w:rFonts w:ascii="Arial" w:cs="Arial" w:eastAsia="Arial" w:hAnsi="Arial"/>
                <w:sz w:val="18"/>
                <w:szCs w:val="18"/>
                <w:color w:val="auto"/>
              </w:rPr>
              <w:t>Cost of products and services sold</w:t>
            </w:r>
          </w:p>
        </w:tc>
        <w:tc>
          <w:tcPr>
            <w:tcW w:w="860" w:type="dxa"/>
            <w:vAlign w:val="bottom"/>
          </w:tcPr>
          <w:p>
            <w:pPr>
              <w:spacing w:after="0"/>
              <w:rPr>
                <w:sz w:val="19"/>
                <w:szCs w:val="19"/>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4,532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ind w:left="700"/>
              <w:spacing w:after="0"/>
              <w:rPr>
                <w:sz w:val="20"/>
                <w:szCs w:val="20"/>
                <w:color w:val="auto"/>
              </w:rPr>
            </w:pPr>
            <w:r>
              <w:rPr>
                <w:rFonts w:ascii="Arial" w:cs="Arial" w:eastAsia="Arial" w:hAnsi="Arial"/>
                <w:sz w:val="18"/>
                <w:szCs w:val="18"/>
                <w:color w:val="auto"/>
              </w:rPr>
              <w:t>4,158</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4,205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520" w:type="dxa"/>
            <w:vAlign w:val="bottom"/>
            <w:shd w:val="clear" w:color="auto" w:fill="DDDDDD"/>
          </w:tcPr>
          <w:p>
            <w:pPr>
              <w:ind w:left="20"/>
              <w:spacing w:after="0" w:line="189" w:lineRule="exact"/>
              <w:rPr>
                <w:sz w:val="20"/>
                <w:szCs w:val="20"/>
                <w:color w:val="auto"/>
              </w:rPr>
            </w:pPr>
            <w:r>
              <w:rPr>
                <w:rFonts w:ascii="Arial" w:cs="Arial" w:eastAsia="Arial" w:hAnsi="Arial"/>
                <w:sz w:val="18"/>
                <w:szCs w:val="18"/>
                <w:color w:val="auto"/>
              </w:rPr>
              <w:t>Selling, general and administrative and</w:t>
            </w:r>
          </w:p>
        </w:tc>
        <w:tc>
          <w:tcPr>
            <w:tcW w:w="860" w:type="dxa"/>
            <w:vAlign w:val="bottom"/>
            <w:shd w:val="clear" w:color="auto" w:fill="DDDDDD"/>
          </w:tcPr>
          <w:p>
            <w:pPr>
              <w:spacing w:after="0"/>
              <w:rPr>
                <w:sz w:val="16"/>
                <w:szCs w:val="16"/>
                <w:color w:val="auto"/>
              </w:rPr>
            </w:pPr>
          </w:p>
        </w:tc>
        <w:tc>
          <w:tcPr>
            <w:tcW w:w="42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112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4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20" w:type="dxa"/>
            <w:vAlign w:val="bottom"/>
            <w:shd w:val="clear" w:color="auto" w:fill="DDDDDD"/>
          </w:tcPr>
          <w:p>
            <w:pPr>
              <w:spacing w:after="0"/>
              <w:rPr>
                <w:sz w:val="16"/>
                <w:szCs w:val="16"/>
                <w:color w:val="auto"/>
              </w:rPr>
            </w:pPr>
          </w:p>
        </w:tc>
        <w:tc>
          <w:tcPr>
            <w:tcW w:w="1160" w:type="dxa"/>
            <w:vAlign w:val="bottom"/>
            <w:shd w:val="clear" w:color="auto" w:fill="DDDDDD"/>
          </w:tcPr>
          <w:p>
            <w:pPr>
              <w:spacing w:after="0"/>
              <w:rPr>
                <w:sz w:val="16"/>
                <w:szCs w:val="16"/>
                <w:color w:val="auto"/>
              </w:rPr>
            </w:pPr>
          </w:p>
        </w:tc>
        <w:tc>
          <w:tcPr>
            <w:tcW w:w="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54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520" w:type="dxa"/>
            <w:vAlign w:val="bottom"/>
            <w:shd w:val="clear" w:color="auto" w:fill="DDDDDD"/>
          </w:tcPr>
          <w:p>
            <w:pPr>
              <w:ind w:left="20"/>
              <w:spacing w:after="0"/>
              <w:rPr>
                <w:sz w:val="20"/>
                <w:szCs w:val="20"/>
                <w:color w:val="auto"/>
              </w:rPr>
            </w:pPr>
            <w:r>
              <w:rPr>
                <w:rFonts w:ascii="Arial" w:cs="Arial" w:eastAsia="Arial" w:hAnsi="Arial"/>
                <w:sz w:val="18"/>
                <w:szCs w:val="18"/>
                <w:color w:val="auto"/>
              </w:rPr>
              <w:t>other expenses</w:t>
            </w:r>
          </w:p>
        </w:tc>
        <w:tc>
          <w:tcPr>
            <w:tcW w:w="860" w:type="dxa"/>
            <w:vAlign w:val="bottom"/>
            <w:tcBorders>
              <w:bottom w:val="single" w:sz="8" w:color="auto"/>
            </w:tcBorders>
            <w:shd w:val="clear" w:color="auto" w:fill="DDDDDD"/>
          </w:tcPr>
          <w:p>
            <w:pPr>
              <w:spacing w:after="0"/>
              <w:rPr>
                <w:sz w:val="18"/>
                <w:szCs w:val="18"/>
                <w:color w:val="auto"/>
              </w:rPr>
            </w:pPr>
          </w:p>
        </w:tc>
        <w:tc>
          <w:tcPr>
            <w:tcW w:w="540" w:type="dxa"/>
            <w:vAlign w:val="bottom"/>
            <w:tcBorders>
              <w:bottom w:val="single" w:sz="8" w:color="auto"/>
            </w:tcBorders>
            <w:gridSpan w:val="2"/>
            <w:shd w:val="clear" w:color="auto" w:fill="DDDDDD"/>
          </w:tcPr>
          <w:p>
            <w:pPr>
              <w:jc w:val="right"/>
              <w:ind w:right="80"/>
              <w:spacing w:after="0"/>
              <w:rPr>
                <w:sz w:val="20"/>
                <w:szCs w:val="20"/>
                <w:color w:val="auto"/>
              </w:rPr>
            </w:pPr>
            <w:r>
              <w:rPr>
                <w:rFonts w:ascii="Arial" w:cs="Arial" w:eastAsia="Arial" w:hAnsi="Arial"/>
                <w:sz w:val="18"/>
                <w:szCs w:val="18"/>
                <w:color w:val="auto"/>
                <w:w w:val="97"/>
              </w:rPr>
              <w:t>1,042</w:t>
            </w:r>
          </w:p>
        </w:tc>
        <w:tc>
          <w:tcPr>
            <w:tcW w:w="100" w:type="dxa"/>
            <w:vAlign w:val="bottom"/>
            <w:shd w:val="clear" w:color="auto" w:fill="DDDDDD"/>
          </w:tcPr>
          <w:p>
            <w:pPr>
              <w:spacing w:after="0"/>
              <w:rPr>
                <w:sz w:val="18"/>
                <w:szCs w:val="18"/>
                <w:color w:val="auto"/>
              </w:rPr>
            </w:pPr>
          </w:p>
        </w:tc>
        <w:tc>
          <w:tcPr>
            <w:tcW w:w="160" w:type="dxa"/>
            <w:vAlign w:val="bottom"/>
            <w:tcBorders>
              <w:bottom w:val="single" w:sz="8" w:color="auto"/>
            </w:tcBorders>
            <w:shd w:val="clear" w:color="auto" w:fill="DDDDDD"/>
          </w:tcPr>
          <w:p>
            <w:pPr>
              <w:spacing w:after="0"/>
              <w:rPr>
                <w:sz w:val="18"/>
                <w:szCs w:val="18"/>
                <w:color w:val="auto"/>
              </w:rPr>
            </w:pPr>
          </w:p>
        </w:tc>
        <w:tc>
          <w:tcPr>
            <w:tcW w:w="1240" w:type="dxa"/>
            <w:vAlign w:val="bottom"/>
            <w:tcBorders>
              <w:bottom w:val="single" w:sz="8" w:color="auto"/>
            </w:tcBorders>
            <w:gridSpan w:val="2"/>
            <w:shd w:val="clear" w:color="auto" w:fill="DDDDDD"/>
          </w:tcPr>
          <w:p>
            <w:pPr>
              <w:ind w:left="700"/>
              <w:spacing w:after="0"/>
              <w:rPr>
                <w:sz w:val="20"/>
                <w:szCs w:val="20"/>
                <w:color w:val="auto"/>
              </w:rPr>
            </w:pPr>
            <w:r>
              <w:rPr>
                <w:rFonts w:ascii="Arial" w:cs="Arial" w:eastAsia="Arial" w:hAnsi="Arial"/>
                <w:sz w:val="18"/>
                <w:szCs w:val="18"/>
                <w:color w:val="auto"/>
              </w:rPr>
              <w:t>1,156</w:t>
            </w:r>
          </w:p>
        </w:tc>
        <w:tc>
          <w:tcPr>
            <w:tcW w:w="100" w:type="dxa"/>
            <w:vAlign w:val="bottom"/>
            <w:shd w:val="clear" w:color="auto" w:fill="DDDDDD"/>
          </w:tcPr>
          <w:p>
            <w:pPr>
              <w:spacing w:after="0"/>
              <w:rPr>
                <w:sz w:val="18"/>
                <w:szCs w:val="18"/>
                <w:color w:val="auto"/>
              </w:rPr>
            </w:pPr>
          </w:p>
        </w:tc>
        <w:tc>
          <w:tcPr>
            <w:tcW w:w="14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220" w:type="dxa"/>
            <w:vAlign w:val="bottom"/>
            <w:tcBorders>
              <w:bottom w:val="single" w:sz="8" w:color="auto"/>
            </w:tcBorders>
            <w:shd w:val="clear" w:color="auto" w:fill="DDDDDD"/>
          </w:tcPr>
          <w:p>
            <w:pPr>
              <w:spacing w:after="0"/>
              <w:rPr>
                <w:sz w:val="18"/>
                <w:szCs w:val="18"/>
                <w:color w:val="auto"/>
              </w:rPr>
            </w:pPr>
          </w:p>
        </w:tc>
        <w:tc>
          <w:tcPr>
            <w:tcW w:w="1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1,100</w:t>
            </w:r>
          </w:p>
        </w:tc>
        <w:tc>
          <w:tcPr>
            <w:tcW w:w="20" w:type="dxa"/>
            <w:vAlign w:val="bottom"/>
            <w:tcBorders>
              <w:bottom w:val="single" w:sz="8" w:color="auto"/>
            </w:tcBorders>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540" w:type="dxa"/>
            <w:vAlign w:val="bottom"/>
            <w:shd w:val="clear" w:color="auto" w:fill="DDDDDD"/>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20" w:type="dxa"/>
            <w:vAlign w:val="bottom"/>
          </w:tcPr>
          <w:p>
            <w:pPr>
              <w:ind w:left="20"/>
              <w:spacing w:after="0"/>
              <w:rPr>
                <w:sz w:val="20"/>
                <w:szCs w:val="20"/>
                <w:color w:val="auto"/>
              </w:rPr>
            </w:pPr>
            <w:r>
              <w:rPr>
                <w:rFonts w:ascii="Arial" w:cs="Arial" w:eastAsia="Arial" w:hAnsi="Arial"/>
                <w:sz w:val="18"/>
                <w:szCs w:val="18"/>
                <w:color w:val="auto"/>
              </w:rPr>
              <w:t>Segment profit</w:t>
            </w:r>
          </w:p>
        </w:tc>
        <w:tc>
          <w:tcPr>
            <w:tcW w:w="860" w:type="dxa"/>
            <w:vAlign w:val="bottom"/>
            <w:tcBorders>
              <w:bottom w:val="single" w:sz="8" w:color="auto"/>
            </w:tcBorders>
          </w:tcPr>
          <w:p>
            <w:pPr>
              <w:jc w:val="right"/>
              <w:ind w:right="65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907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gridSpan w:val="2"/>
          </w:tcPr>
          <w:p>
            <w:pPr>
              <w:ind w:left="860"/>
              <w:spacing w:after="0"/>
              <w:rPr>
                <w:sz w:val="20"/>
                <w:szCs w:val="20"/>
                <w:color w:val="auto"/>
              </w:rPr>
            </w:pPr>
            <w:r>
              <w:rPr>
                <w:rFonts w:ascii="Arial" w:cs="Arial" w:eastAsia="Arial" w:hAnsi="Arial"/>
                <w:sz w:val="18"/>
                <w:szCs w:val="18"/>
                <w:color w:val="auto"/>
              </w:rPr>
              <w:t>790</w:t>
            </w: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15 %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1,032</w:t>
            </w:r>
          </w:p>
        </w:tc>
        <w:tc>
          <w:tcPr>
            <w:tcW w:w="20" w:type="dxa"/>
            <w:vAlign w:val="bottom"/>
            <w:tcBorders>
              <w:bottom w:val="single" w:sz="8" w:color="auto"/>
            </w:tcBorders>
          </w:tcPr>
          <w:p>
            <w:pPr>
              <w:spacing w:after="0"/>
              <w:rPr>
                <w:sz w:val="19"/>
                <w:szCs w:val="19"/>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03"/>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Borders>
              <w:bottom w:val="single" w:sz="8" w:color="DC202E"/>
            </w:tcBorders>
          </w:tcPr>
          <w:p>
            <w:pPr>
              <w:spacing w:after="0"/>
              <w:rPr>
                <w:sz w:val="24"/>
                <w:szCs w:val="24"/>
                <w:color w:val="auto"/>
              </w:rPr>
            </w:pPr>
          </w:p>
        </w:tc>
        <w:tc>
          <w:tcPr>
            <w:tcW w:w="100" w:type="dxa"/>
            <w:vAlign w:val="bottom"/>
            <w:tcBorders>
              <w:bottom w:val="single" w:sz="8" w:color="DC202E"/>
            </w:tcBorders>
          </w:tcPr>
          <w:p>
            <w:pPr>
              <w:spacing w:after="0"/>
              <w:rPr>
                <w:sz w:val="24"/>
                <w:szCs w:val="24"/>
                <w:color w:val="auto"/>
              </w:rPr>
            </w:pPr>
          </w:p>
        </w:tc>
        <w:tc>
          <w:tcPr>
            <w:tcW w:w="160" w:type="dxa"/>
            <w:vAlign w:val="bottom"/>
            <w:tcBorders>
              <w:bottom w:val="single" w:sz="8" w:color="DC202E"/>
            </w:tcBorders>
          </w:tcPr>
          <w:p>
            <w:pPr>
              <w:spacing w:after="0"/>
              <w:rPr>
                <w:sz w:val="24"/>
                <w:szCs w:val="24"/>
                <w:color w:val="auto"/>
              </w:rPr>
            </w:pPr>
          </w:p>
        </w:tc>
        <w:tc>
          <w:tcPr>
            <w:tcW w:w="2760" w:type="dxa"/>
            <w:vAlign w:val="bottom"/>
            <w:tcBorders>
              <w:bottom w:val="single" w:sz="8" w:color="DC202E"/>
            </w:tcBorders>
            <w:gridSpan w:val="4"/>
          </w:tcPr>
          <w:p>
            <w:pPr>
              <w:ind w:left="740"/>
              <w:spacing w:after="0"/>
              <w:rPr>
                <w:sz w:val="20"/>
                <w:szCs w:val="20"/>
                <w:color w:val="auto"/>
              </w:rPr>
            </w:pPr>
            <w:r>
              <w:rPr>
                <w:rFonts w:ascii="Arial" w:cs="Arial" w:eastAsia="Arial" w:hAnsi="Arial"/>
                <w:sz w:val="14"/>
                <w:szCs w:val="14"/>
                <w:b w:val="1"/>
                <w:bCs w:val="1"/>
                <w:color w:val="auto"/>
              </w:rPr>
              <w:t>2020 vs. 2019</w:t>
            </w:r>
          </w:p>
        </w:tc>
        <w:tc>
          <w:tcPr>
            <w:tcW w:w="100" w:type="dxa"/>
            <w:vAlign w:val="bottom"/>
          </w:tcPr>
          <w:p>
            <w:pPr>
              <w:spacing w:after="0"/>
              <w:rPr>
                <w:sz w:val="24"/>
                <w:szCs w:val="24"/>
                <w:color w:val="auto"/>
              </w:rPr>
            </w:pPr>
          </w:p>
        </w:tc>
        <w:tc>
          <w:tcPr>
            <w:tcW w:w="120" w:type="dxa"/>
            <w:vAlign w:val="bottom"/>
            <w:tcBorders>
              <w:bottom w:val="single" w:sz="8" w:color="DC202E"/>
            </w:tcBorders>
            <w:gridSpan w:val="2"/>
          </w:tcPr>
          <w:p>
            <w:pPr>
              <w:spacing w:after="0"/>
              <w:rPr>
                <w:sz w:val="24"/>
                <w:szCs w:val="24"/>
                <w:color w:val="auto"/>
              </w:rPr>
            </w:pPr>
          </w:p>
        </w:tc>
        <w:tc>
          <w:tcPr>
            <w:tcW w:w="220" w:type="dxa"/>
            <w:vAlign w:val="bottom"/>
            <w:tcBorders>
              <w:bottom w:val="single" w:sz="8" w:color="DC202E"/>
            </w:tcBorders>
          </w:tcPr>
          <w:p>
            <w:pPr>
              <w:spacing w:after="0"/>
              <w:rPr>
                <w:sz w:val="24"/>
                <w:szCs w:val="24"/>
                <w:color w:val="auto"/>
              </w:rPr>
            </w:pPr>
          </w:p>
        </w:tc>
        <w:tc>
          <w:tcPr>
            <w:tcW w:w="2820" w:type="dxa"/>
            <w:vAlign w:val="bottom"/>
            <w:tcBorders>
              <w:bottom w:val="single" w:sz="8" w:color="DC202E"/>
            </w:tcBorders>
            <w:gridSpan w:val="4"/>
          </w:tcPr>
          <w:p>
            <w:pPr>
              <w:jc w:val="right"/>
              <w:ind w:right="1044"/>
              <w:spacing w:after="0"/>
              <w:rPr>
                <w:sz w:val="20"/>
                <w:szCs w:val="20"/>
                <w:color w:val="auto"/>
              </w:rPr>
            </w:pPr>
            <w:r>
              <w:rPr>
                <w:rFonts w:ascii="Arial" w:cs="Arial" w:eastAsia="Arial" w:hAnsi="Arial"/>
                <w:sz w:val="14"/>
                <w:szCs w:val="14"/>
                <w:b w:val="1"/>
                <w:bCs w:val="1"/>
                <w:color w:val="auto"/>
              </w:rPr>
              <w:t>2019 vs. 2018</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520" w:type="dxa"/>
            <w:vAlign w:val="bottom"/>
            <w:vMerge w:val="restart"/>
          </w:tcPr>
          <w:p>
            <w:pPr>
              <w:spacing w:after="0"/>
              <w:rPr>
                <w:sz w:val="20"/>
                <w:szCs w:val="20"/>
                <w:color w:val="auto"/>
              </w:rPr>
            </w:pPr>
            <w:r>
              <w:rPr>
                <w:rFonts w:ascii="Arial" w:cs="Arial" w:eastAsia="Arial" w:hAnsi="Arial"/>
                <w:sz w:val="14"/>
                <w:szCs w:val="14"/>
                <w:b w:val="1"/>
                <w:bCs w:val="1"/>
                <w:color w:val="auto"/>
              </w:rPr>
              <w:t>Factors Contributing to Year-Over-Year Change</w:t>
            </w: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vMerge w:val="restart"/>
          </w:tcPr>
          <w:p>
            <w:pPr>
              <w:jc w:val="right"/>
              <w:ind w:right="335"/>
              <w:spacing w:after="0"/>
              <w:rPr>
                <w:sz w:val="20"/>
                <w:szCs w:val="20"/>
                <w:color w:val="auto"/>
              </w:rPr>
            </w:pPr>
            <w:r>
              <w:rPr>
                <w:rFonts w:ascii="Arial" w:cs="Arial" w:eastAsia="Arial" w:hAnsi="Arial"/>
                <w:sz w:val="14"/>
                <w:szCs w:val="14"/>
                <w:b w:val="1"/>
                <w:bCs w:val="1"/>
                <w:color w:val="auto"/>
              </w:rPr>
              <w:t>Net Sales</w:t>
            </w:r>
          </w:p>
        </w:tc>
        <w:tc>
          <w:tcPr>
            <w:tcW w:w="120" w:type="dxa"/>
            <w:vAlign w:val="bottom"/>
            <w:vMerge w:val="restart"/>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gridSpan w:val="4"/>
          </w:tcPr>
          <w:p>
            <w:pPr>
              <w:ind w:left="360"/>
              <w:spacing w:after="0"/>
              <w:rPr>
                <w:sz w:val="20"/>
                <w:szCs w:val="20"/>
                <w:color w:val="auto"/>
              </w:rPr>
            </w:pPr>
            <w:r>
              <w:rPr>
                <w:rFonts w:ascii="Arial" w:cs="Arial" w:eastAsia="Arial" w:hAnsi="Arial"/>
                <w:sz w:val="14"/>
                <w:szCs w:val="14"/>
                <w:b w:val="1"/>
                <w:bCs w:val="1"/>
                <w:color w:val="auto"/>
              </w:rPr>
              <w:t>Segment</w:t>
            </w:r>
          </w:p>
        </w:tc>
        <w:tc>
          <w:tcPr>
            <w:tcW w:w="220" w:type="dxa"/>
            <w:vAlign w:val="bottom"/>
          </w:tcPr>
          <w:p>
            <w:pPr>
              <w:spacing w:after="0"/>
              <w:rPr>
                <w:sz w:val="15"/>
                <w:szCs w:val="15"/>
                <w:color w:val="auto"/>
              </w:rPr>
            </w:pPr>
          </w:p>
        </w:tc>
        <w:tc>
          <w:tcPr>
            <w:tcW w:w="1160" w:type="dxa"/>
            <w:vAlign w:val="bottom"/>
            <w:vMerge w:val="restart"/>
          </w:tcPr>
          <w:p>
            <w:pPr>
              <w:jc w:val="right"/>
              <w:ind w:right="335"/>
              <w:spacing w:after="0"/>
              <w:rPr>
                <w:sz w:val="20"/>
                <w:szCs w:val="20"/>
                <w:color w:val="auto"/>
              </w:rPr>
            </w:pPr>
            <w:r>
              <w:rPr>
                <w:rFonts w:ascii="Arial" w:cs="Arial" w:eastAsia="Arial" w:hAnsi="Arial"/>
                <w:sz w:val="14"/>
                <w:szCs w:val="14"/>
                <w:b w:val="1"/>
                <w:bCs w:val="1"/>
                <w:color w:val="auto"/>
              </w:rPr>
              <w:t>Net Sales</w:t>
            </w:r>
          </w:p>
        </w:tc>
        <w:tc>
          <w:tcPr>
            <w:tcW w:w="20" w:type="dxa"/>
            <w:vAlign w:val="bottom"/>
            <w:vMerge w:val="restart"/>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Segment</w:t>
            </w:r>
          </w:p>
        </w:tc>
        <w:tc>
          <w:tcPr>
            <w:tcW w:w="0" w:type="dxa"/>
            <w:vAlign w:val="bottom"/>
          </w:tcPr>
          <w:p>
            <w:pPr>
              <w:spacing w:after="0"/>
              <w:rPr>
                <w:sz w:val="1"/>
                <w:szCs w:val="1"/>
                <w:color w:val="auto"/>
              </w:rPr>
            </w:pPr>
          </w:p>
        </w:tc>
      </w:tr>
      <w:tr>
        <w:trPr>
          <w:trHeight w:val="183"/>
        </w:trPr>
        <w:tc>
          <w:tcPr>
            <w:tcW w:w="20" w:type="dxa"/>
            <w:vAlign w:val="bottom"/>
            <w:tcBorders>
              <w:bottom w:val="single" w:sz="8" w:color="DDDDDD"/>
            </w:tcBorders>
          </w:tcPr>
          <w:p>
            <w:pPr>
              <w:spacing w:after="0"/>
              <w:rPr>
                <w:sz w:val="15"/>
                <w:szCs w:val="15"/>
                <w:color w:val="auto"/>
              </w:rPr>
            </w:pPr>
          </w:p>
        </w:tc>
        <w:tc>
          <w:tcPr>
            <w:tcW w:w="3520" w:type="dxa"/>
            <w:vAlign w:val="bottom"/>
            <w:tcBorders>
              <w:bottom w:val="single" w:sz="8" w:color="DDDDDD"/>
            </w:tcBorders>
            <w:vMerge w:val="continue"/>
          </w:tcPr>
          <w:p>
            <w:pPr>
              <w:spacing w:after="0"/>
              <w:rPr>
                <w:sz w:val="15"/>
                <w:szCs w:val="15"/>
                <w:color w:val="auto"/>
              </w:rPr>
            </w:pPr>
          </w:p>
        </w:tc>
        <w:tc>
          <w:tcPr>
            <w:tcW w:w="860" w:type="dxa"/>
            <w:vAlign w:val="bottom"/>
            <w:tcBorders>
              <w:bottom w:val="single" w:sz="8" w:color="DDDDDD"/>
            </w:tcBorders>
          </w:tcPr>
          <w:p>
            <w:pPr>
              <w:spacing w:after="0"/>
              <w:rPr>
                <w:sz w:val="15"/>
                <w:szCs w:val="15"/>
                <w:color w:val="auto"/>
              </w:rPr>
            </w:pPr>
          </w:p>
        </w:tc>
        <w:tc>
          <w:tcPr>
            <w:tcW w:w="420" w:type="dxa"/>
            <w:vAlign w:val="bottom"/>
            <w:tcBorders>
              <w:bottom w:val="single" w:sz="8" w:color="DDDDDD"/>
            </w:tcBorders>
          </w:tcPr>
          <w:p>
            <w:pPr>
              <w:spacing w:after="0"/>
              <w:rPr>
                <w:sz w:val="15"/>
                <w:szCs w:val="15"/>
                <w:color w:val="auto"/>
              </w:rPr>
            </w:pPr>
          </w:p>
        </w:tc>
        <w:tc>
          <w:tcPr>
            <w:tcW w:w="120" w:type="dxa"/>
            <w:vAlign w:val="bottom"/>
            <w:tcBorders>
              <w:bottom w:val="single" w:sz="8" w:color="DC202E"/>
            </w:tcBorders>
          </w:tcPr>
          <w:p>
            <w:pPr>
              <w:spacing w:after="0"/>
              <w:rPr>
                <w:sz w:val="15"/>
                <w:szCs w:val="15"/>
                <w:color w:val="auto"/>
              </w:rPr>
            </w:pPr>
          </w:p>
        </w:tc>
        <w:tc>
          <w:tcPr>
            <w:tcW w:w="100" w:type="dxa"/>
            <w:vAlign w:val="bottom"/>
            <w:tcBorders>
              <w:bottom w:val="single" w:sz="8" w:color="DC202E"/>
            </w:tcBorders>
          </w:tcPr>
          <w:p>
            <w:pPr>
              <w:spacing w:after="0"/>
              <w:rPr>
                <w:sz w:val="15"/>
                <w:szCs w:val="15"/>
                <w:color w:val="auto"/>
              </w:rPr>
            </w:pPr>
          </w:p>
        </w:tc>
        <w:tc>
          <w:tcPr>
            <w:tcW w:w="160" w:type="dxa"/>
            <w:vAlign w:val="bottom"/>
            <w:tcBorders>
              <w:bottom w:val="single" w:sz="8" w:color="DC202E"/>
            </w:tcBorders>
          </w:tcPr>
          <w:p>
            <w:pPr>
              <w:spacing w:after="0"/>
              <w:rPr>
                <w:sz w:val="15"/>
                <w:szCs w:val="15"/>
                <w:color w:val="auto"/>
              </w:rPr>
            </w:pPr>
          </w:p>
        </w:tc>
        <w:tc>
          <w:tcPr>
            <w:tcW w:w="1120" w:type="dxa"/>
            <w:vAlign w:val="bottom"/>
            <w:tcBorders>
              <w:bottom w:val="single" w:sz="8" w:color="DC202E"/>
            </w:tcBorders>
            <w:vMerge w:val="continue"/>
          </w:tcPr>
          <w:p>
            <w:pPr>
              <w:spacing w:after="0"/>
              <w:rPr>
                <w:sz w:val="15"/>
                <w:szCs w:val="15"/>
                <w:color w:val="auto"/>
              </w:rPr>
            </w:pPr>
          </w:p>
        </w:tc>
        <w:tc>
          <w:tcPr>
            <w:tcW w:w="120" w:type="dxa"/>
            <w:vAlign w:val="bottom"/>
            <w:tcBorders>
              <w:bottom w:val="single" w:sz="8" w:color="DDDDDD"/>
            </w:tcBorders>
            <w:vMerge w:val="continue"/>
          </w:tcPr>
          <w:p>
            <w:pPr>
              <w:spacing w:after="0"/>
              <w:rPr>
                <w:sz w:val="15"/>
                <w:szCs w:val="15"/>
                <w:color w:val="auto"/>
              </w:rPr>
            </w:pPr>
          </w:p>
        </w:tc>
        <w:tc>
          <w:tcPr>
            <w:tcW w:w="100" w:type="dxa"/>
            <w:vAlign w:val="bottom"/>
            <w:tcBorders>
              <w:bottom w:val="single" w:sz="8" w:color="DC202E"/>
            </w:tcBorders>
          </w:tcPr>
          <w:p>
            <w:pPr>
              <w:spacing w:after="0"/>
              <w:rPr>
                <w:sz w:val="15"/>
                <w:szCs w:val="15"/>
                <w:color w:val="auto"/>
              </w:rPr>
            </w:pPr>
          </w:p>
        </w:tc>
        <w:tc>
          <w:tcPr>
            <w:tcW w:w="1420" w:type="dxa"/>
            <w:vAlign w:val="bottom"/>
            <w:tcBorders>
              <w:bottom w:val="single" w:sz="8" w:color="DC202E"/>
            </w:tcBorders>
          </w:tcPr>
          <w:p>
            <w:pPr>
              <w:jc w:val="right"/>
              <w:ind w:right="504"/>
              <w:spacing w:after="0"/>
              <w:rPr>
                <w:sz w:val="20"/>
                <w:szCs w:val="20"/>
                <w:color w:val="auto"/>
              </w:rPr>
            </w:pPr>
            <w:r>
              <w:rPr>
                <w:rFonts w:ascii="Arial" w:cs="Arial" w:eastAsia="Arial" w:hAnsi="Arial"/>
                <w:sz w:val="14"/>
                <w:szCs w:val="14"/>
                <w:b w:val="1"/>
                <w:bCs w:val="1"/>
                <w:color w:val="auto"/>
              </w:rPr>
              <w:t>Profit</w:t>
            </w:r>
          </w:p>
        </w:tc>
        <w:tc>
          <w:tcPr>
            <w:tcW w:w="100" w:type="dxa"/>
            <w:vAlign w:val="bottom"/>
            <w:tcBorders>
              <w:bottom w:val="single" w:sz="8" w:color="DDDDDD"/>
            </w:tcBorders>
          </w:tcPr>
          <w:p>
            <w:pPr>
              <w:spacing w:after="0"/>
              <w:rPr>
                <w:sz w:val="15"/>
                <w:szCs w:val="15"/>
                <w:color w:val="auto"/>
              </w:rPr>
            </w:pPr>
          </w:p>
        </w:tc>
        <w:tc>
          <w:tcPr>
            <w:tcW w:w="120" w:type="dxa"/>
            <w:vAlign w:val="bottom"/>
            <w:tcBorders>
              <w:bottom w:val="single" w:sz="8" w:color="DC202E"/>
            </w:tcBorders>
            <w:gridSpan w:val="2"/>
          </w:tcPr>
          <w:p>
            <w:pPr>
              <w:spacing w:after="0"/>
              <w:rPr>
                <w:sz w:val="15"/>
                <w:szCs w:val="15"/>
                <w:color w:val="auto"/>
              </w:rPr>
            </w:pPr>
          </w:p>
        </w:tc>
        <w:tc>
          <w:tcPr>
            <w:tcW w:w="220" w:type="dxa"/>
            <w:vAlign w:val="bottom"/>
            <w:tcBorders>
              <w:bottom w:val="single" w:sz="8" w:color="DC202E"/>
            </w:tcBorders>
          </w:tcPr>
          <w:p>
            <w:pPr>
              <w:spacing w:after="0"/>
              <w:rPr>
                <w:sz w:val="15"/>
                <w:szCs w:val="15"/>
                <w:color w:val="auto"/>
              </w:rPr>
            </w:pPr>
          </w:p>
        </w:tc>
        <w:tc>
          <w:tcPr>
            <w:tcW w:w="1160" w:type="dxa"/>
            <w:vAlign w:val="bottom"/>
            <w:tcBorders>
              <w:bottom w:val="single" w:sz="8" w:color="DC202E"/>
            </w:tcBorders>
            <w:vMerge w:val="continue"/>
          </w:tcPr>
          <w:p>
            <w:pPr>
              <w:spacing w:after="0"/>
              <w:rPr>
                <w:sz w:val="15"/>
                <w:szCs w:val="15"/>
                <w:color w:val="auto"/>
              </w:rPr>
            </w:pPr>
          </w:p>
        </w:tc>
        <w:tc>
          <w:tcPr>
            <w:tcW w:w="20" w:type="dxa"/>
            <w:vAlign w:val="bottom"/>
            <w:tcBorders>
              <w:bottom w:val="single" w:sz="8" w:color="DDDDDD"/>
            </w:tcBorders>
            <w:vMerge w:val="continue"/>
          </w:tcPr>
          <w:p>
            <w:pPr>
              <w:spacing w:after="0"/>
              <w:rPr>
                <w:sz w:val="15"/>
                <w:szCs w:val="15"/>
                <w:color w:val="auto"/>
              </w:rPr>
            </w:pPr>
          </w:p>
        </w:tc>
        <w:tc>
          <w:tcPr>
            <w:tcW w:w="100" w:type="dxa"/>
            <w:vAlign w:val="bottom"/>
            <w:tcBorders>
              <w:bottom w:val="single" w:sz="8" w:color="DDDDDD"/>
            </w:tcBorders>
          </w:tcPr>
          <w:p>
            <w:pPr>
              <w:spacing w:after="0"/>
              <w:rPr>
                <w:sz w:val="15"/>
                <w:szCs w:val="15"/>
                <w:color w:val="auto"/>
              </w:rPr>
            </w:pPr>
          </w:p>
        </w:tc>
        <w:tc>
          <w:tcPr>
            <w:tcW w:w="1540" w:type="dxa"/>
            <w:vAlign w:val="bottom"/>
            <w:tcBorders>
              <w:bottom w:val="single" w:sz="8" w:color="DC202E"/>
            </w:tcBorders>
          </w:tcPr>
          <w:p>
            <w:pPr>
              <w:jc w:val="center"/>
              <w:spacing w:after="0"/>
              <w:rPr>
                <w:sz w:val="20"/>
                <w:szCs w:val="20"/>
                <w:color w:val="auto"/>
              </w:rPr>
            </w:pPr>
            <w:r>
              <w:rPr>
                <w:rFonts w:ascii="Arial" w:cs="Arial" w:eastAsia="Arial" w:hAnsi="Arial"/>
                <w:sz w:val="14"/>
                <w:szCs w:val="14"/>
                <w:b w:val="1"/>
                <w:bCs w:val="1"/>
                <w:color w:val="auto"/>
              </w:rPr>
              <w:t>Profit</w:t>
            </w:r>
          </w:p>
        </w:tc>
        <w:tc>
          <w:tcPr>
            <w:tcW w:w="0" w:type="dxa"/>
            <w:vAlign w:val="bottom"/>
          </w:tcPr>
          <w:p>
            <w:pPr>
              <w:spacing w:after="0"/>
              <w:rPr>
                <w:sz w:val="1"/>
                <w:szCs w:val="1"/>
                <w:color w:val="auto"/>
              </w:rPr>
            </w:pPr>
          </w:p>
        </w:tc>
      </w:tr>
      <w:tr>
        <w:trPr>
          <w:trHeight w:val="230"/>
        </w:trPr>
        <w:tc>
          <w:tcPr>
            <w:tcW w:w="20" w:type="dxa"/>
            <w:vAlign w:val="bottom"/>
            <w:shd w:val="clear" w:color="auto" w:fill="DDDDDD"/>
          </w:tcPr>
          <w:p>
            <w:pPr>
              <w:spacing w:after="0"/>
              <w:rPr>
                <w:sz w:val="19"/>
                <w:szCs w:val="19"/>
                <w:color w:val="auto"/>
              </w:rPr>
            </w:pPr>
          </w:p>
        </w:tc>
        <w:tc>
          <w:tcPr>
            <w:tcW w:w="3520" w:type="dxa"/>
            <w:vAlign w:val="bottom"/>
            <w:shd w:val="clear" w:color="auto" w:fill="DDDDDD"/>
          </w:tcPr>
          <w:p>
            <w:pPr>
              <w:spacing w:after="0"/>
              <w:rPr>
                <w:sz w:val="20"/>
                <w:szCs w:val="20"/>
                <w:color w:val="auto"/>
              </w:rPr>
            </w:pPr>
            <w:r>
              <w:rPr>
                <w:rFonts w:ascii="Arial" w:cs="Arial" w:eastAsia="Arial" w:hAnsi="Arial"/>
                <w:sz w:val="18"/>
                <w:szCs w:val="18"/>
                <w:color w:val="auto"/>
              </w:rPr>
              <w:t>Organic</w:t>
            </w:r>
          </w:p>
        </w:tc>
        <w:tc>
          <w:tcPr>
            <w:tcW w:w="860" w:type="dxa"/>
            <w:vAlign w:val="bottom"/>
            <w:shd w:val="clear" w:color="auto" w:fill="DDDDDD"/>
          </w:tcPr>
          <w:p>
            <w:pPr>
              <w:spacing w:after="0"/>
              <w:rPr>
                <w:sz w:val="19"/>
                <w:szCs w:val="19"/>
                <w:color w:val="auto"/>
              </w:rPr>
            </w:pPr>
          </w:p>
        </w:tc>
        <w:tc>
          <w:tcPr>
            <w:tcW w:w="42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160" w:type="dxa"/>
            <w:vAlign w:val="bottom"/>
            <w:shd w:val="clear" w:color="auto" w:fill="DDDDDD"/>
          </w:tcPr>
          <w:p>
            <w:pPr>
              <w:spacing w:after="0"/>
              <w:rPr>
                <w:sz w:val="19"/>
                <w:szCs w:val="19"/>
                <w:color w:val="auto"/>
              </w:rPr>
            </w:pPr>
          </w:p>
        </w:tc>
        <w:tc>
          <w:tcPr>
            <w:tcW w:w="1120" w:type="dxa"/>
            <w:vAlign w:val="bottom"/>
            <w:shd w:val="clear" w:color="auto" w:fill="DDDDDD"/>
          </w:tcPr>
          <w:p>
            <w:pPr>
              <w:ind w:left="780"/>
              <w:spacing w:after="0"/>
              <w:rPr>
                <w:sz w:val="20"/>
                <w:szCs w:val="20"/>
                <w:color w:val="auto"/>
              </w:rPr>
            </w:pPr>
            <w:r>
              <w:rPr>
                <w:rFonts w:ascii="Arial" w:cs="Arial" w:eastAsia="Arial" w:hAnsi="Arial"/>
                <w:sz w:val="18"/>
                <w:szCs w:val="18"/>
                <w:color w:val="auto"/>
              </w:rPr>
              <w:t>6 %</w:t>
            </w:r>
          </w:p>
        </w:tc>
        <w:tc>
          <w:tcPr>
            <w:tcW w:w="120" w:type="dxa"/>
            <w:vAlign w:val="bottom"/>
            <w:shd w:val="clear" w:color="auto" w:fill="DDDDDD"/>
          </w:tcPr>
          <w:p>
            <w:pPr>
              <w:spacing w:after="0"/>
              <w:rPr>
                <w:sz w:val="19"/>
                <w:szCs w:val="19"/>
                <w:color w:val="auto"/>
              </w:rPr>
            </w:pPr>
          </w:p>
        </w:tc>
        <w:tc>
          <w:tcPr>
            <w:tcW w:w="1520" w:type="dxa"/>
            <w:vAlign w:val="bottom"/>
            <w:gridSpan w:val="2"/>
            <w:shd w:val="clear" w:color="auto" w:fill="DDDDDD"/>
          </w:tcPr>
          <w:p>
            <w:pPr>
              <w:jc w:val="right"/>
              <w:spacing w:after="0"/>
              <w:rPr>
                <w:sz w:val="20"/>
                <w:szCs w:val="20"/>
                <w:color w:val="auto"/>
              </w:rPr>
            </w:pPr>
            <w:r>
              <w:rPr>
                <w:rFonts w:ascii="Arial" w:cs="Arial" w:eastAsia="Arial" w:hAnsi="Arial"/>
                <w:sz w:val="18"/>
                <w:szCs w:val="18"/>
                <w:color w:val="auto"/>
              </w:rPr>
              <w:t>16 %</w:t>
            </w:r>
          </w:p>
        </w:tc>
        <w:tc>
          <w:tcPr>
            <w:tcW w:w="10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220" w:type="dxa"/>
            <w:vAlign w:val="bottom"/>
            <w:shd w:val="clear" w:color="auto" w:fill="DDDDDD"/>
          </w:tcPr>
          <w:p>
            <w:pPr>
              <w:spacing w:after="0"/>
              <w:rPr>
                <w:sz w:val="19"/>
                <w:szCs w:val="19"/>
                <w:color w:val="auto"/>
              </w:rPr>
            </w:pPr>
          </w:p>
        </w:tc>
        <w:tc>
          <w:tcPr>
            <w:tcW w:w="11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(4)%</w:t>
            </w:r>
          </w:p>
        </w:tc>
        <w:tc>
          <w:tcPr>
            <w:tcW w:w="20" w:type="dxa"/>
            <w:vAlign w:val="bottom"/>
            <w:shd w:val="clear" w:color="auto" w:fill="DDDDDD"/>
          </w:tcPr>
          <w:p>
            <w:pPr>
              <w:spacing w:after="0"/>
              <w:rPr>
                <w:sz w:val="19"/>
                <w:szCs w:val="19"/>
                <w:color w:val="auto"/>
              </w:rPr>
            </w:pPr>
          </w:p>
        </w:tc>
        <w:tc>
          <w:tcPr>
            <w:tcW w:w="1640" w:type="dxa"/>
            <w:vAlign w:val="bottom"/>
            <w:gridSpan w:val="2"/>
            <w:shd w:val="clear" w:color="auto" w:fill="DDDDDD"/>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8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ind w:left="700"/>
              <w:spacing w:after="0"/>
              <w:rPr>
                <w:sz w:val="20"/>
                <w:szCs w:val="20"/>
                <w:color w:val="auto"/>
              </w:rPr>
            </w:pPr>
            <w:r>
              <w:rPr>
                <w:rFonts w:ascii="Arial" w:cs="Arial" w:eastAsia="Arial" w:hAnsi="Arial"/>
                <w:sz w:val="18"/>
                <w:szCs w:val="18"/>
                <w:color w:val="auto"/>
              </w:rPr>
              <w:t>— %</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20" w:type="dxa"/>
            <w:vAlign w:val="bottom"/>
            <w:shd w:val="clear" w:color="auto" w:fill="DDDDDD"/>
          </w:tcPr>
          <w:p>
            <w:pPr>
              <w:spacing w:after="0"/>
              <w:rPr>
                <w:sz w:val="19"/>
                <w:szCs w:val="19"/>
                <w:color w:val="auto"/>
              </w:rPr>
            </w:pPr>
          </w:p>
        </w:tc>
        <w:tc>
          <w:tcPr>
            <w:tcW w:w="3520" w:type="dxa"/>
            <w:vAlign w:val="bottom"/>
            <w:shd w:val="clear" w:color="auto" w:fill="DDDDDD"/>
          </w:tcPr>
          <w:p>
            <w:pPr>
              <w:spacing w:after="0"/>
              <w:rPr>
                <w:sz w:val="20"/>
                <w:szCs w:val="20"/>
                <w:color w:val="auto"/>
              </w:rPr>
            </w:pPr>
            <w:r>
              <w:rPr>
                <w:rFonts w:ascii="Arial" w:cs="Arial" w:eastAsia="Arial" w:hAnsi="Arial"/>
                <w:sz w:val="18"/>
                <w:szCs w:val="18"/>
                <w:color w:val="auto"/>
              </w:rPr>
              <w:t>Acquisitions, divestitures and other, net</w:t>
            </w:r>
          </w:p>
        </w:tc>
        <w:tc>
          <w:tcPr>
            <w:tcW w:w="860" w:type="dxa"/>
            <w:vAlign w:val="bottom"/>
            <w:shd w:val="clear" w:color="auto" w:fill="DDDDDD"/>
          </w:tcPr>
          <w:p>
            <w:pPr>
              <w:spacing w:after="0"/>
              <w:rPr>
                <w:sz w:val="19"/>
                <w:szCs w:val="19"/>
                <w:color w:val="auto"/>
              </w:rPr>
            </w:pPr>
          </w:p>
        </w:tc>
        <w:tc>
          <w:tcPr>
            <w:tcW w:w="420" w:type="dxa"/>
            <w:vAlign w:val="bottom"/>
            <w:shd w:val="clear" w:color="auto" w:fill="DDDDDD"/>
          </w:tcPr>
          <w:p>
            <w:pPr>
              <w:spacing w:after="0"/>
              <w:rPr>
                <w:sz w:val="19"/>
                <w:szCs w:val="19"/>
                <w:color w:val="auto"/>
              </w:rPr>
            </w:pPr>
          </w:p>
        </w:tc>
        <w:tc>
          <w:tcPr>
            <w:tcW w:w="120" w:type="dxa"/>
            <w:vAlign w:val="bottom"/>
            <w:tcBorders>
              <w:bottom w:val="single" w:sz="8" w:color="auto"/>
            </w:tcBorders>
            <w:shd w:val="clear" w:color="auto" w:fill="DDDDDD"/>
          </w:tcPr>
          <w:p>
            <w:pPr>
              <w:spacing w:after="0"/>
              <w:rPr>
                <w:sz w:val="19"/>
                <w:szCs w:val="19"/>
                <w:color w:val="auto"/>
              </w:rPr>
            </w:pPr>
          </w:p>
        </w:tc>
        <w:tc>
          <w:tcPr>
            <w:tcW w:w="100" w:type="dxa"/>
            <w:vAlign w:val="bottom"/>
            <w:tcBorders>
              <w:bottom w:val="single" w:sz="8" w:color="auto"/>
            </w:tcBorders>
            <w:shd w:val="clear" w:color="auto" w:fill="DDDDDD"/>
          </w:tcPr>
          <w:p>
            <w:pPr>
              <w:spacing w:after="0"/>
              <w:rPr>
                <w:sz w:val="19"/>
                <w:szCs w:val="19"/>
                <w:color w:val="auto"/>
              </w:rPr>
            </w:pPr>
          </w:p>
        </w:tc>
        <w:tc>
          <w:tcPr>
            <w:tcW w:w="160" w:type="dxa"/>
            <w:vAlign w:val="bottom"/>
            <w:tcBorders>
              <w:bottom w:val="single" w:sz="8" w:color="auto"/>
            </w:tcBorders>
            <w:shd w:val="clear" w:color="auto" w:fill="DDDDDD"/>
          </w:tcPr>
          <w:p>
            <w:pPr>
              <w:spacing w:after="0"/>
              <w:rPr>
                <w:sz w:val="19"/>
                <w:szCs w:val="19"/>
                <w:color w:val="auto"/>
              </w:rPr>
            </w:pPr>
          </w:p>
        </w:tc>
        <w:tc>
          <w:tcPr>
            <w:tcW w:w="1120" w:type="dxa"/>
            <w:vAlign w:val="bottom"/>
            <w:tcBorders>
              <w:bottom w:val="single" w:sz="8" w:color="auto"/>
            </w:tcBorders>
            <w:shd w:val="clear" w:color="auto" w:fill="DDDDDD"/>
          </w:tcPr>
          <w:p>
            <w:pPr>
              <w:ind w:left="700"/>
              <w:spacing w:after="0"/>
              <w:rPr>
                <w:sz w:val="20"/>
                <w:szCs w:val="20"/>
                <w:color w:val="auto"/>
              </w:rPr>
            </w:pPr>
            <w:r>
              <w:rPr>
                <w:rFonts w:ascii="Arial" w:cs="Arial" w:eastAsia="Arial" w:hAnsi="Arial"/>
                <w:sz w:val="18"/>
                <w:szCs w:val="18"/>
                <w:color w:val="auto"/>
              </w:rPr>
              <w:t>— %</w:t>
            </w:r>
          </w:p>
        </w:tc>
        <w:tc>
          <w:tcPr>
            <w:tcW w:w="120" w:type="dxa"/>
            <w:vAlign w:val="bottom"/>
            <w:shd w:val="clear" w:color="auto" w:fill="DDDDDD"/>
          </w:tcPr>
          <w:p>
            <w:pPr>
              <w:spacing w:after="0"/>
              <w:rPr>
                <w:sz w:val="19"/>
                <w:szCs w:val="19"/>
                <w:color w:val="auto"/>
              </w:rPr>
            </w:pPr>
          </w:p>
        </w:tc>
        <w:tc>
          <w:tcPr>
            <w:tcW w:w="100" w:type="dxa"/>
            <w:vAlign w:val="bottom"/>
            <w:tcBorders>
              <w:bottom w:val="single" w:sz="8" w:color="auto"/>
            </w:tcBorders>
            <w:shd w:val="clear" w:color="auto" w:fill="DDDDDD"/>
          </w:tcPr>
          <w:p>
            <w:pPr>
              <w:spacing w:after="0"/>
              <w:rPr>
                <w:sz w:val="19"/>
                <w:szCs w:val="19"/>
                <w:color w:val="auto"/>
              </w:rPr>
            </w:pPr>
          </w:p>
        </w:tc>
        <w:tc>
          <w:tcPr>
            <w:tcW w:w="14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 %</w:t>
            </w:r>
          </w:p>
        </w:tc>
        <w:tc>
          <w:tcPr>
            <w:tcW w:w="100" w:type="dxa"/>
            <w:vAlign w:val="bottom"/>
            <w:shd w:val="clear" w:color="auto" w:fill="DDDDDD"/>
          </w:tcPr>
          <w:p>
            <w:pPr>
              <w:spacing w:after="0"/>
              <w:rPr>
                <w:sz w:val="19"/>
                <w:szCs w:val="19"/>
                <w:color w:val="auto"/>
              </w:rPr>
            </w:pPr>
          </w:p>
        </w:tc>
        <w:tc>
          <w:tcPr>
            <w:tcW w:w="120" w:type="dxa"/>
            <w:vAlign w:val="bottom"/>
            <w:tcBorders>
              <w:bottom w:val="single" w:sz="8" w:color="auto"/>
            </w:tcBorders>
            <w:gridSpan w:val="2"/>
            <w:shd w:val="clear" w:color="auto" w:fill="DDDDDD"/>
          </w:tcPr>
          <w:p>
            <w:pPr>
              <w:spacing w:after="0"/>
              <w:rPr>
                <w:sz w:val="19"/>
                <w:szCs w:val="19"/>
                <w:color w:val="auto"/>
              </w:rPr>
            </w:pPr>
          </w:p>
        </w:tc>
        <w:tc>
          <w:tcPr>
            <w:tcW w:w="220" w:type="dxa"/>
            <w:vAlign w:val="bottom"/>
            <w:tcBorders>
              <w:bottom w:val="single" w:sz="8" w:color="auto"/>
            </w:tcBorders>
            <w:shd w:val="clear" w:color="auto" w:fill="DDDDDD"/>
          </w:tcPr>
          <w:p>
            <w:pPr>
              <w:spacing w:after="0"/>
              <w:rPr>
                <w:sz w:val="19"/>
                <w:szCs w:val="19"/>
                <w:color w:val="auto"/>
              </w:rPr>
            </w:pPr>
          </w:p>
        </w:tc>
        <w:tc>
          <w:tcPr>
            <w:tcW w:w="1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2 %</w:t>
            </w:r>
          </w:p>
        </w:tc>
        <w:tc>
          <w:tcPr>
            <w:tcW w:w="2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15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Total % Change</w:t>
            </w:r>
          </w:p>
        </w:tc>
        <w:tc>
          <w:tcPr>
            <w:tcW w:w="8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ind w:left="780"/>
              <w:spacing w:after="0"/>
              <w:rPr>
                <w:sz w:val="20"/>
                <w:szCs w:val="20"/>
                <w:color w:val="auto"/>
              </w:rPr>
            </w:pPr>
            <w:r>
              <w:rPr>
                <w:rFonts w:ascii="Arial" w:cs="Arial" w:eastAsia="Arial" w:hAnsi="Arial"/>
                <w:sz w:val="18"/>
                <w:szCs w:val="18"/>
                <w:color w:val="auto"/>
              </w:rPr>
              <w:t>6 %</w:t>
            </w:r>
          </w:p>
        </w:tc>
        <w:tc>
          <w:tcPr>
            <w:tcW w:w="120" w:type="dxa"/>
            <w:vAlign w:val="bottom"/>
          </w:tcPr>
          <w:p>
            <w:pPr>
              <w:spacing w:after="0"/>
              <w:rPr>
                <w:sz w:val="19"/>
                <w:szCs w:val="19"/>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23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9" w:right="359" w:bottom="1440" w:gutter="0" w:footer="0" w:header="0"/>
        </w:sectPr>
      </w:pPr>
    </w:p>
    <w:bookmarkStart w:id="26" w:name="page27"/>
    <w:bookmarkEnd w:id="26"/>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compared with 2019</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Safety and Productivity Solutions Net sales increased primarily due to higher organic sales. The global pandemic has created significant increased demand for our respiratory PPE and additional demand for online shopping services, bolstering demand for our warehouse automation services.</w:t>
      </w:r>
    </w:p>
    <w:p>
      <w:pPr>
        <w:spacing w:after="0" w:line="94" w:lineRule="exact"/>
        <w:rPr>
          <w:sz w:val="20"/>
          <w:szCs w:val="20"/>
          <w:color w:val="auto"/>
        </w:rPr>
      </w:pPr>
    </w:p>
    <w:p>
      <w:pPr>
        <w:ind w:left="660" w:hanging="328"/>
        <w:spacing w:after="0" w:line="250" w:lineRule="auto"/>
        <w:tabs>
          <w:tab w:leader="none" w:pos="628" w:val="left"/>
        </w:tabs>
        <w:numPr>
          <w:ilvl w:val="0"/>
          <w:numId w:val="18"/>
        </w:numPr>
        <w:rPr>
          <w:rFonts w:ascii="Arial" w:cs="Arial" w:eastAsia="Arial" w:hAnsi="Arial"/>
          <w:sz w:val="18"/>
          <w:szCs w:val="18"/>
          <w:color w:val="auto"/>
        </w:rPr>
      </w:pPr>
      <w:r>
        <w:rPr>
          <w:rFonts w:ascii="Arial" w:cs="Arial" w:eastAsia="Arial" w:hAnsi="Arial"/>
          <w:sz w:val="18"/>
          <w:szCs w:val="18"/>
          <w:color w:val="auto"/>
        </w:rPr>
        <w:t>Sales in Safety and Retail increased 9% (increased 9% organic) primarily due to a significant increase in order volume for respiratory PPE due to the global pandemic, partially offset by lower demand for gas sensing and detection equipment.</w:t>
      </w:r>
    </w:p>
    <w:p>
      <w:pPr>
        <w:ind w:left="660" w:right="20" w:hanging="328"/>
        <w:spacing w:after="0" w:line="250" w:lineRule="auto"/>
        <w:tabs>
          <w:tab w:leader="none" w:pos="628" w:val="left"/>
        </w:tabs>
        <w:numPr>
          <w:ilvl w:val="0"/>
          <w:numId w:val="18"/>
        </w:numPr>
        <w:rPr>
          <w:rFonts w:ascii="Arial" w:cs="Arial" w:eastAsia="Arial" w:hAnsi="Arial"/>
          <w:sz w:val="18"/>
          <w:szCs w:val="18"/>
          <w:color w:val="auto"/>
        </w:rPr>
      </w:pPr>
      <w:r>
        <w:rPr>
          <w:rFonts w:ascii="Arial" w:cs="Arial" w:eastAsia="Arial" w:hAnsi="Arial"/>
          <w:sz w:val="18"/>
          <w:szCs w:val="18"/>
          <w:color w:val="auto"/>
        </w:rPr>
        <w:t>Sales in Productivity Solutions and Services decreased 1% (flat organic) due to the unfavorable impact of foreign currency translation.</w:t>
      </w:r>
    </w:p>
    <w:p>
      <w:pPr>
        <w:ind w:left="660" w:hanging="328"/>
        <w:spacing w:after="0" w:line="250"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Sales in Warehouse and Workflow Solutions increased 14% (increased 14% organic) primarily due to strong demand for our warehouse automation services.</w:t>
      </w: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Sales in Sensing &amp; IoT decreased 6% (decreased 6% organic) due to lower organic sales volumes.</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Safety and Productivity Solutions segment profit increased as a result of higher productivity, higher sales volumes, and favorable pricing, partially offset by higher sales of lower margin products and the unfavorable impact of foreign currency translation. Cost of products and services sold increased primarily due to higher organic sales volumes, partially offset by higher productivity.</w:t>
      </w:r>
    </w:p>
    <w:p>
      <w:pPr>
        <w:spacing w:after="0" w:line="28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REPOSITIONING CHARGES</w:t>
      </w:r>
    </w:p>
    <w:p>
      <w:pPr>
        <w:spacing w:after="0" w:line="1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See Note 4 Repositioning and Other Charges of Notes to Consolidated Financial Statements for a discussion of our repositioning actions and related charges incurred in 2020, 2019 and 2018. Cash spending related to our repositioning actions was $564 million, $249 million and $285 million in 2020, 2019 and 2018, and was funded through operating cash flows.</w:t>
      </w:r>
    </w:p>
    <w:p>
      <w:pPr>
        <w:spacing w:after="0" w:line="270" w:lineRule="exact"/>
        <w:rPr>
          <w:sz w:val="20"/>
          <w:szCs w:val="20"/>
          <w:color w:val="auto"/>
        </w:rPr>
      </w:pPr>
    </w:p>
    <w:p>
      <w:pPr>
        <w:spacing w:after="0"/>
        <w:rPr>
          <w:sz w:val="20"/>
          <w:szCs w:val="20"/>
          <w:color w:val="auto"/>
        </w:rPr>
      </w:pPr>
      <w:r>
        <w:rPr>
          <w:rFonts w:ascii="Arial" w:cs="Arial" w:eastAsia="Arial" w:hAnsi="Arial"/>
          <w:sz w:val="29"/>
          <w:szCs w:val="29"/>
          <w:b w:val="1"/>
          <w:bCs w:val="1"/>
          <w:color w:val="DC202E"/>
        </w:rPr>
        <w:t>RISK FACTORS</w:t>
      </w:r>
    </w:p>
    <w:p>
      <w:pPr>
        <w:spacing w:after="0" w:line="151"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Our business, operating results, cash flows and financial condition are subject to the material risks and uncertainties set forth below, any one of which could cause our actual results to vary materially from recent results or from our anticipated future results.</w:t>
      </w:r>
    </w:p>
    <w:p>
      <w:pPr>
        <w:spacing w:after="0" w:line="27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MACROECONOMIC AND INDUSTRY RISKS</w:t>
      </w: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DC202E"/>
        </w:rPr>
        <w:t>Each of our businesses is subject to unique industry and economic conditions that may adversely affect the markets and operating conditions of our customers, which in turn can affect demand for our products and services and our results of operations.</w:t>
      </w:r>
    </w:p>
    <w:p>
      <w:pPr>
        <w:spacing w:after="0" w:line="63" w:lineRule="exact"/>
        <w:rPr>
          <w:sz w:val="20"/>
          <w:szCs w:val="20"/>
          <w:color w:val="auto"/>
        </w:rPr>
      </w:pPr>
    </w:p>
    <w:p>
      <w:pPr>
        <w:jc w:val="both"/>
        <w:ind w:left="660" w:hanging="328"/>
        <w:spacing w:after="0" w:line="254"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Aerospace</w:t>
      </w:r>
      <w:r>
        <w:rPr>
          <w:rFonts w:ascii="Arial" w:cs="Arial" w:eastAsia="Arial" w:hAnsi="Arial"/>
          <w:sz w:val="18"/>
          <w:szCs w:val="18"/>
          <w:color w:val="auto"/>
        </w:rPr>
        <w:t>—Our Aerospace business is impacted by customer buying patterns of aftermarket parts, supplier stability, factory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transitions and global supply chain capacity constraints that may lead to shortages of crucial components. Operating results may be adversely affected by downturns in the global demand for air travel, which may impact new aircraft production or result in the delay or cancellation of new aircraft orders, delays in launch schedules for new aircraft, the retirement of aircraft and reductions in global flying hours, which impacts air transport and regional, business and general aviation aircraft utilization rates. Operating results may also be adversely affected by any decrease in air travel demand due to regional restrictions or suspension of service for public health, safety, or environmental events, such as the effects of the COVID-19 pandemic, which negatively impacted our operating results during 2020. Operating results could also be impacted by changes in overall trends related to end market demand for the product portfolio, as well as new entrants and non-traditional players entering the market. Operating results in our Defense and Space business unit may be affected by the mix of U.S. and foreign government appropriations for defense and space programs and by compliance risks. Results may also be impacted by the potential introduction of counterfeit parts into our global supply chain.</w:t>
      </w:r>
    </w:p>
    <w:p>
      <w:pPr>
        <w:spacing w:after="0" w:line="20"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Honeywell Building Technologies</w:t>
      </w:r>
      <w:r>
        <w:rPr>
          <w:rFonts w:ascii="Arial" w:cs="Arial" w:eastAsia="Arial" w:hAnsi="Arial"/>
          <w:sz w:val="18"/>
          <w:szCs w:val="18"/>
          <w:color w:val="auto"/>
        </w:rPr>
        <w:t>—Operating results may be adversely impacted by downturns in the level of global commercial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construction activity (including retrofits and upgrades), lower capital spending and operating expenditures on building projects, decreased industrial plant expansion, changes in the competitive landscape including new market entrants and new technologies, and fluctuations in inventory levels in distribution channels.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24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41" w:lineRule="exact"/>
        <w:rPr>
          <w:sz w:val="20"/>
          <w:szCs w:val="20"/>
          <w:color w:val="auto"/>
        </w:rPr>
      </w:pPr>
    </w:p>
    <w:p>
      <w:pPr>
        <w:jc w:val="both"/>
        <w:ind w:left="660" w:hanging="328"/>
        <w:spacing w:after="0" w:line="259"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b w:val="1"/>
          <w:bCs w:val="1"/>
          <w:i w:val="1"/>
          <w:iCs w:val="1"/>
          <w:color w:val="auto"/>
        </w:rPr>
        <w:t>Performance Materials and Technologies</w:t>
      </w:r>
      <w:r>
        <w:rPr>
          <w:rFonts w:ascii="Arial" w:cs="Arial" w:eastAsia="Arial" w:hAnsi="Arial"/>
          <w:sz w:val="18"/>
          <w:szCs w:val="18"/>
          <w:color w:val="auto"/>
        </w:rPr>
        <w:t>—Operating results may be adversely impacted by downturns in capacity utilization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chemical, industrial, refining, petrochemical and semiconductor plants, our customers’ availability of capital for refinery construction and expansion, raw material demand and supply, product commoditization, continued illegal imports of hydrofluorocarbons into Europe and our ability to maximize our facilities’ production capacity and minimize downtime. Periods of increased volatility in oil and natural gas prices may result in less investment by our customers and therefore, lower demand for our products and services.</w:t>
      </w:r>
    </w:p>
    <w:p>
      <w:pPr>
        <w:spacing w:after="0" w:line="17"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b w:val="1"/>
          <w:bCs w:val="1"/>
          <w:i w:val="1"/>
          <w:iCs w:val="1"/>
          <w:color w:val="auto"/>
        </w:rPr>
        <w:t>Safety and Productivity Solutions</w:t>
      </w:r>
      <w:r>
        <w:rPr>
          <w:rFonts w:ascii="Arial" w:cs="Arial" w:eastAsia="Arial" w:hAnsi="Arial"/>
          <w:sz w:val="18"/>
          <w:szCs w:val="18"/>
          <w:color w:val="auto"/>
        </w:rPr>
        <w:t>—Operating results may be adversely impacted by reduced investments in process automation,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safety monitoring, and plant capacity utilization initiatives, fluctuations in retail markets, a slowdown in demand for safety products, changes in the competitive landscape, including new market entrants and technology that may lead to product commoditization, and adverse industry economic conditions, all of which could result in lower market share, reduced selling prices and lower margins.</w:t>
      </w:r>
    </w:p>
    <w:p>
      <w:pPr>
        <w:spacing w:after="0" w:line="28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DC202E"/>
        </w:rPr>
        <w:t>The global COVID-19 coronavirus pandemic and related impacts adversely affect and may continue to adversely affect our business, financial condition, results of operations, liquidity, and cash flow.</w:t>
      </w:r>
    </w:p>
    <w:p>
      <w:pPr>
        <w:spacing w:after="0" w:line="6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global spread of coronavirus (COVID-19) creates significant volatility, uncertainty and economic disruption that impacts our business, operations and financial results and may continue to do so. The extent to which the COVID-19 pandemic will continue to impact our business, operations and financial results will depend on numerous evolving factors that we may not be able to accurately predict, including: the duration, scope and severity of the pandemic, including the extent of the continued increase in cases across the United States in particular, as well as the timing and availability of effective medical treatments and vaccines; governmental, business and individual decisions and actions; the pace of vaccine deployment; the impact of the pandemic on economic activity; and the extent to which we or our employees, customers, suppliers, service providers or other business partners may be prevented from conducting normal business activities, including due to shutdowns or other restrictive measures that may be requested or mandated by governmental authorities. These factors could, among other things, continue to disrupt (i) the purchasing, contracting and payment behaviors of our customers and their end-users; (ii) our operations, including our manufacturing activities, the shipment of our products, and the performance of our suppliers and service providers; and (iii) our liquidity and cash flow.</w:t>
      </w:r>
    </w:p>
    <w:p>
      <w:pPr>
        <w:spacing w:after="0" w:line="10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Risks arising from the COVID-19 pandemic impacting our business and that may continue to impact our business, financial condition, results of operations and prospects include, among other things:</w:t>
      </w:r>
    </w:p>
    <w:p>
      <w:pPr>
        <w:spacing w:after="0" w:line="68" w:lineRule="exact"/>
        <w:rPr>
          <w:sz w:val="20"/>
          <w:szCs w:val="20"/>
          <w:color w:val="auto"/>
        </w:rPr>
      </w:pPr>
    </w:p>
    <w:p>
      <w:pPr>
        <w:jc w:val="both"/>
        <w:ind w:left="660" w:hanging="328"/>
        <w:spacing w:after="0" w:line="254"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Customer Risk</w:t>
      </w:r>
      <w:r>
        <w:rPr>
          <w:rFonts w:ascii="Arial" w:cs="Arial" w:eastAsia="Arial" w:hAnsi="Arial"/>
          <w:sz w:val="18"/>
          <w:szCs w:val="18"/>
          <w:color w:val="auto"/>
        </w:rPr>
        <w:t>—Existing and potential customers and their end-users may continue to take actions to reduce or suspend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operations, reduce or delay spending, cancel contracts, or cut costs in a manner that reduces demand for our products and services. In particular, lower demand for air travel may continue to cause our customers to delay or suspend spending in connection with the manufacturing, repair, overhaul or servicing of aircraft, and there may be long-term deterioration in demand for air travel that could impact our business beyond the current COVID-19 health crisis. Customers may also continue to attempt to renegotiate contracts and obtain concessions, face financial constraints on their ability to make payments to us on a timely basis or at all, or enter into bankruptcy or discontinue their business operations, and we may continue to be required to discount the pricing of our products. In addition, unfavorable customer site conditions, such as closure of or access restrictions to customer facilities, and disruptions to our customers’ third-party logistics, warehousing, inventory management and distribution services may continue to limit our ability to sell products, meet billing milestones or provide services.</w:t>
      </w:r>
    </w:p>
    <w:p>
      <w:pPr>
        <w:spacing w:after="0" w:line="77" w:lineRule="exact"/>
        <w:rPr>
          <w:rFonts w:ascii="Arial" w:cs="Arial" w:eastAsia="Arial" w:hAnsi="Arial"/>
          <w:sz w:val="18"/>
          <w:szCs w:val="18"/>
          <w:color w:val="auto"/>
        </w:rPr>
      </w:pPr>
    </w:p>
    <w:p>
      <w:pPr>
        <w:jc w:val="both"/>
        <w:ind w:left="660" w:hanging="328"/>
        <w:spacing w:after="0" w:line="254"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Operations Risk</w:t>
      </w:r>
      <w:r>
        <w:rPr>
          <w:rFonts w:ascii="Arial" w:cs="Arial" w:eastAsia="Arial" w:hAnsi="Arial"/>
          <w:sz w:val="18"/>
          <w:szCs w:val="18"/>
          <w:color w:val="auto"/>
        </w:rPr>
        <w:t>—The closure of our facilities, restrictions inhibiting our employees’ ability to access those facilities, and disruptions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the ability of our suppliers or service providers to deliver goods or services to us (including as a result of supplier facility closures or access restrictions, disruptions to their supply chains, and supplier liquidity or bankruptcy risk) could further disrupt our ability to provide our services and solutions and result in, among other things, terminations of customer contracts and losses of revenue. Because the COVID-19 pandemic could adversely affect our near-term and long-term revenues, earnings, liquidity and cash flows, we have taken and may be required to redeploy significant cost actions, including but not limited to reducing discretionary expenses (such as non-essential travel, contractors, and consultants), reducing hiring, canceling annual merit increases, reducing executive and board of director pay, reducing work schedules across the enterprise, shortening or staggering work schedules to match production with demand, and reducing staffing levels, as well as increasing supplier-based productivity and enhancing spending-limit controls. However, the extent to which our mitigation efforts are successful, if at all, is not currently ascertainable; also, our costs may not decrease at the same pace as revenue declines</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25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117" w:lineRule="exact"/>
        <w:rPr>
          <w:sz w:val="20"/>
          <w:szCs w:val="20"/>
          <w:color w:val="auto"/>
        </w:rPr>
      </w:pPr>
    </w:p>
    <w:p>
      <w:pPr>
        <w:jc w:val="both"/>
        <w:ind w:left="660"/>
        <w:spacing w:after="0" w:line="251" w:lineRule="auto"/>
        <w:rPr>
          <w:sz w:val="20"/>
          <w:szCs w:val="20"/>
          <w:color w:val="auto"/>
        </w:rPr>
      </w:pPr>
      <w:r>
        <w:rPr>
          <w:rFonts w:ascii="Arial" w:cs="Arial" w:eastAsia="Arial" w:hAnsi="Arial"/>
          <w:sz w:val="18"/>
          <w:szCs w:val="18"/>
          <w:color w:val="auto"/>
        </w:rPr>
        <w:t>as many of our costs are less variable in nature, and we may not be able to or may not choose to significantly reduce them in an effort to remain focused on long-term outlook and growth opportunities. Further, our management of the impact of COVID-19 will continue to require significant investment of time from our management and employees, as well as resources across our global enterprise. The focus on managing and mitigating the impacts of COVID-19 on our business may cause us to divert or delay the application of our resources toward new initiatives or investments, which may adversely impact our future results of operations. Issues relating to the COVID-19 pandemic may also result in legal claims or litigation against us. In addition, remote work has increased the frequency of cybersecurity attacks, including phishing and malware attempts that utilize COVID-19-related strategies, increasing the risk of a material cybersecurity incident that could result in the loss of proprietary or personal data, render us more vulnerable to future cybersecurity attacks, disrupt our operations, or otherwise cause us reputational or financial harm.</w:t>
      </w:r>
    </w:p>
    <w:p>
      <w:pPr>
        <w:spacing w:after="0" w:line="82" w:lineRule="exact"/>
        <w:rPr>
          <w:sz w:val="20"/>
          <w:szCs w:val="20"/>
          <w:color w:val="auto"/>
        </w:rPr>
      </w:pPr>
    </w:p>
    <w:p>
      <w:pPr>
        <w:jc w:val="both"/>
        <w:ind w:left="660" w:hanging="328"/>
        <w:spacing w:after="0" w:line="25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Liquidity and Cash Flow Risk</w:t>
      </w:r>
      <w:r>
        <w:rPr>
          <w:rFonts w:ascii="Arial" w:cs="Arial" w:eastAsia="Arial" w:hAnsi="Arial"/>
          <w:sz w:val="18"/>
          <w:szCs w:val="18"/>
          <w:color w:val="auto"/>
        </w:rPr>
        <w:t>—Because of the customer and operations risks described above, our business may not continue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generate sufficient cash flow from operations in the future to service our debt and make necessary capital expenditures. If we are unable to generate such cash flow, we may need to use existing cash balances to service our debt, and if such balances are insufficient, then we may be required to engage in one or more alternatives, such as selling assets, restructuring of existing debt, issuing new debt or obtaining additional equity capital on terms that may be onerous or highly dilutive. Our ability to refinance our indebtedness will depend on the capital markets and our financial condition at such time.</w:t>
      </w:r>
    </w:p>
    <w:p>
      <w:pPr>
        <w:spacing w:after="0" w:line="9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Due to the daily evolution of the COVID-19 pandemic and the responses to curb its spread, we cannot predict the ultimate impact the COVID-19 pandemic will have on our business, financial condition, results of operations, liquidity, and cash flow. Any recovery from the COVID-19 pandemic and related economic impact may be slowed or reversed by a variety of factors, such as, in the United States, the current widespread increase in COVID-19 infections. In addition, even after the COVID-19 pandemic has subsided, we may continue to experience adverse impacts to our business as a result of its global economic impact, including the current recession and any recession that may occur in the future. Further, many of the factors disclosed under Risk Factors in this Form 10-K are, and we anticipate will continue to be further, heightened or exacerbated by the impact of the COVID-19 pandemic.</w:t>
      </w:r>
    </w:p>
    <w:p>
      <w:pPr>
        <w:spacing w:after="0" w:line="29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DC202E"/>
        </w:rPr>
        <w:t>A significant percentage of our sales and operations is in non-U.S. jurisdictions and is subject to the economic, political, regulatory, foreign exchange and other risks of international operations.</w:t>
      </w:r>
    </w:p>
    <w:p>
      <w:pPr>
        <w:spacing w:after="0" w:line="6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international operations, including U.S. exports, represent more than half of the Company’s sales. Risks related to international operations include exchange control regulations, wage and price controls, antitrust regulations, employment regulations, foreign investment laws, import, export and other trade restrictions (such as sanctions and embargoes), differing levels of protection of intellectual property, acts of industrial espionage, violations by our employees of anti-corruption laws (despite our efforts to mitigate such risk), changes in regulations regarding transactions with state-owned enterprises, nationalization of private enterprises, acts of terrorism, and our ability to hire and maintain qualified staff and maintain the safety of our employees in these regions. Instability and uncertainties arising from the global geopolitical environment and the evolving international and domestic political, regulatory and economic landscape, including the potential for changes in global trade policies, including sanctions and trade barriers, and trends such as populism, economic nationalism and negative sentiment toward multinational companies, as well as the cost of compliance with increasingly complex and often conflicting regulations worldwide, can impair our flexibility in modifying product, marketing, pricing or other strategies for growing our businesses, as well as our ability to improve productivity and maintain acceptable operating margins.</w:t>
      </w:r>
    </w:p>
    <w:p>
      <w:pPr>
        <w:spacing w:after="0" w:line="10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December 2020, the United Kingdom and the European Union announced they had entered into a post-Brexit deal on certain aspects of trade and other strategic and political issues. Depending on the application of the terms of the trade and cooperation agreement between the United Kingdom and the European Union, we could face increased regulatory costs and challenges. The Company has developed plans to mitigate the potential impact of these costs and challenges, but the implications of these uncertainties could affect the Company's business, financial position and results of operations.</w:t>
      </w:r>
    </w:p>
    <w:p>
      <w:pPr>
        <w:spacing w:after="0" w:line="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Existing free trade laws and regulations provide certain beneficial duties and tariffs for qualifying imports and exports. Changes in laws or policies governing the terms of foreign trade, and in particular increased trade restrictions, tariffs or taxes on imports from countries where we manufacture products or from where we import products or raw materials, either directly or through our suppliers, could have an impact on our competitive position and financial results.</w:t>
      </w:r>
    </w:p>
    <w:p>
      <w:pPr>
        <w:spacing w:after="0" w:line="9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United States has commenced certain trade actions, including imposing tariffs on certain goods imported from China and other countries, which has resulted in retaliatory tariffs by China and other countries. Additional</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26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tariffs imposed by the United States on a broader range of imports, or further retaliatory trade measures taken by China or other countries in response, could increase the cost of our products. Given the change in the U.S. presidential administration, we face uncertainty with regard to U.S. government trade policy.</w:t>
      </w:r>
    </w:p>
    <w:p>
      <w:pPr>
        <w:spacing w:after="0" w:line="9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Operating outside of the United States also exposes us to foreign exchange risk, which we monitor and seek to reduce through hedging activities. However, foreign exchange hedging activities bear a financial cost and may not always be available to us or be successful in eliminating such volatility. Finally, we generate significant amounts of cash outside of the United States that is invested with financial and non-financial counterparties. While we employ comprehensive controls regarding global cash management to guard against cash or investment loss and to ensure our ability to fund our operations and commitments, a material disruption to the counterparties with whom we transact business could expose Honeywell to financial loss.</w:t>
      </w:r>
    </w:p>
    <w:p>
      <w:pPr>
        <w:spacing w:after="0" w:line="10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Operating outside the United States also exposes us to additional intellectual property risk. The laws and enforcement practices of certain jurisdictions in which we operate may not protect our intellectual property rights to the same extent as in the U.S. and may impose joint venture, technology transfer, local service or other foreign investment requirements and restrictions that potentially compromise control over our technology and proprietary information. Failure of foreign jurisdictions to protect our intellectual property rights, an inability to effectively enforce such rights in foreign jurisdictions, or the imposition of foreign jurisdiction investment or sourcing restrictions or requirements could result in loss of valuable proprietary information and could impact our competitive position and financial results.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DC202E"/>
        </w:rPr>
        <w:t>Risks related to our defined benefit pension plans may adversely impact our results of operations and cash flow.</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Significant changes in actual investment return on pension assets, discount rates, and other factors could adversely affect our results of operations and require cash pension contributions in future periods. Changes in discount rates and actual asset returns different than our anticipated asset returns can result in significant non-cash actuarial gains or losses, which we record in the fourth quarter of each fiscal year, and, if applicable, in any quarter in which an interim re-measurement is triggered. With regard to cash pension contributions, funding requirements for our pension plans are largely dependent upon interest rates, actual investment returns on pension assets and the impact of legislative or regulatory changes related to pension funding obligations.</w:t>
      </w:r>
    </w:p>
    <w:p>
      <w:pPr>
        <w:spacing w:after="0" w:line="28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OPERATIONAL RISKS</w:t>
      </w:r>
    </w:p>
    <w:p>
      <w:pPr>
        <w:spacing w:after="0" w:line="19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DC202E"/>
        </w:rPr>
        <w:t>Raw material price fluctuations, the ability of key suppliers to meet quality and delivery requirements, or catastrophic events can increase the cost of our products and services, impact our ability to meet commitments to customers and cause us to incur significant liabilities.</w:t>
      </w:r>
    </w:p>
    <w:p>
      <w:pPr>
        <w:spacing w:after="0" w:line="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cost of raw materials is a key element in the cost of our products, particularly in Performance Materials and Technologies (copper, fluorspar, tungsten salts, ethylene, aluminum, and molybdenum) and in Aerospace (nickel, steel, titanium and other metals). Our inability to offset material price inflation through increased prices to customers, formula-driven or long-term fixed price contracts with suppliers, productivity actions or commodity hedges could adversely affect our results of operations.</w:t>
      </w:r>
    </w:p>
    <w:p>
      <w:pPr>
        <w:spacing w:after="0" w:line="9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Many major components, product equipment items and raw materials, particularly in Aerospace, are procured or subcontracted on a single or sole-source basis. Although we maintain a qualification and performance surveillance process and we believe that sources of supply for raw materials and components are generally adequate, it is difficult to predict what effects shortages or price increases may have in the future. Our ability to manage inventory and meet delivery requirements may be constrained by our suppliers’ inability to scale production and adjust delivery of long-lead time products during times of volatile demand. In addition, current or future global economic uncertainty, including the ongoing COVID-19 pandemic, may affect the financial stability of our key suppliers or their access to financing, which may in turn affect their ability to perform their obligations to us. If one or more of our suppliers experiences financial difficulties, delivery delays or other performance problems, our resulting inability to fill our supply needs would jeopardize our ability to fulfill obligations under commercial and government contracts, which could, in turn, result in reduced sales and profits, contract penalties or terminations, and damage to customer relationships.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27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DC202E"/>
        </w:rPr>
        <w:t>We may be unable to successfully execute or effectively integrate acquisitions, and divestitures may not occur as planned.</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regularly review our portfolio of businesses and pursue growth through acquisitions and seek to divest non-core businesses. We may not be able to complete transactions on favorable terms, on a timely basis, or at all. In addition, our results of operations and cash flows may be adversely impacted by (i) the failure of acquired businesses to meet or exceed expected returns, including risk of impairment; (ii) the failure to integrate multiple acquired businesses into Honeywell simultaneously and on schedule and/or to achieve expected synergies; (iii) the inability to dispose of non-core assets and businesses on satisfactory terms and conditions; and (iv) the discovery of unanticipated liabilities, labor relations difficulties, cybersecurity concerns, compliance issues or other problems in acquired businesses for which we lack contractual protections, insurance or indemnities, or, with regard to divested businesses, claims by purchasers to whom we have provided contractual indemnification.</w:t>
      </w:r>
    </w:p>
    <w:p>
      <w:pPr>
        <w:spacing w:after="0" w:line="29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DC202E"/>
        </w:rPr>
        <w:t>Our future growth is largely dependent upon our ability to develop new technologies and introduce new products that achieve market acceptance in increasingly competitive markets with acceptable margins.</w:t>
      </w:r>
    </w:p>
    <w:p>
      <w:pPr>
        <w:spacing w:after="0" w:line="6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Our future growth rate depends upon a number of factors, including our ability to (i) identify and evolve with emerging technological and broader industry trends in our target end-markets; (ii) develop and maintain competitive products; (iii) defend our market share against an ever-expanding number of competitors, including many new and non-traditional competitors; (iv) enhance our products by adding innovative features that differentiate our products from those of our competitors and prevent commoditization of our products; (v) develop, manufacture and bring compelling new products to market quickly and cost-effectively; (vi) monitor disruptive technologies and business models;</w:t>
      </w:r>
    </w:p>
    <w:p>
      <w:pPr>
        <w:spacing w:after="0" w:line="2" w:lineRule="exact"/>
        <w:rPr>
          <w:sz w:val="20"/>
          <w:szCs w:val="20"/>
          <w:color w:val="auto"/>
        </w:rPr>
      </w:pPr>
    </w:p>
    <w:p>
      <w:pPr>
        <w:jc w:val="both"/>
        <w:ind w:firstLine="8"/>
        <w:spacing w:after="0" w:line="252" w:lineRule="auto"/>
        <w:tabs>
          <w:tab w:leader="none" w:pos="374"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achieve sufficient return on investment for new products introduced based on capital expenditures and research and development spending; (viii) respond to changes in overall trends related to end-market demand; and (ix) attract, develop and retain individuals with the requisite technical expertise and understanding of customers’ needs to develop new technologies and introduce new products. Competitors may also develop after-market services and parts for our products which attract customers and adversely affect our return on investment for new products. The failure of our technologies or products to gain market acceptance due to more attractive offerings by our competitors or the failure to address any of the above factors could significantly reduce our revenues and adversely affect our competitive standing and prospects.</w:t>
      </w:r>
    </w:p>
    <w:p>
      <w:pPr>
        <w:spacing w:after="0" w:line="29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DC202E"/>
        </w:rPr>
        <w:t>Failure to increase productivity through sustainable operational improvements, as well as an inability to successfully execute repositioning projects or to effectively manage our workforce, may reduce our profitability or adversely impact our businesses.</w:t>
      </w:r>
    </w:p>
    <w:p>
      <w:pPr>
        <w:spacing w:after="0" w:line="6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profitability and margin growth are dependent upon our ability to drive sustainable improvements. We seek productivity and cost savings benefits through repositioning actions and projects, such as consolidation of manufacturing facilities, transitions to cost-competitive regions and product line rationalizations. Risks associated with these actions include delays in execution, additional unexpected costs, realization of fewer than estimated productivity improvements and adverse effects on employee morale. We may not realize the full operational or financial benefits we expect, the recognition of these benefits may be delayed, and these actions may potentially disrupt our operations. In addition, organizational changes, increased attrition, failure to create and implement a succession plan for key Company positions, not retaining key talent, inability to attract new employees with unique skills, labor relations difficulties, or workforce stoppage could have a material adverse effect on our business, reputation, financial position and results of operations.</w:t>
      </w:r>
    </w:p>
    <w:p>
      <w:pPr>
        <w:spacing w:after="0" w:line="29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DC202E"/>
        </w:rPr>
        <w:t>As a supplier to the U.S. Government, we are subject to unique risks, such as the right of the U.S. Government to terminate contracts for convenience and to conduct audits and investigations of our operations and performance.</w:t>
      </w:r>
    </w:p>
    <w:p>
      <w:pPr>
        <w:spacing w:after="0" w:line="6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U.S. Government contracts are subject to termination by the government, either for the convenience of the government or for our failure to perform consistent with the terms of the applicable contract. Our contracts with the U.S. Government are also subject to government audits that may recommend downward price adjustments and other changes. When appropriate and prudent, we made adjustments and paid voluntary refunds in the past and may do so in the future.</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28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also subject to government investigations of business practices and compliance with government procurement and security regulations. If, as a result of any such investigation or other government investigations (including investigation of violations of certain environmental, employment or export laws), Honeywell or one of its businesses were found to have violated applicable law, then it could be suspended from bidding on or receiving awards of new government contracts, suspended from contract performance pending the completion of legal proceedings and/or have its export privileges suspended.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DC202E"/>
        </w:rPr>
        <w:t>Our operations and the prior operations of predecessor companies expose us to the risk of material environmental liabilities.</w:t>
      </w:r>
    </w:p>
    <w:p>
      <w:pPr>
        <w:spacing w:after="0" w:line="13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Mainly because of past operations and operations of predecessor companies, we are subject to potentially material liabilities related to the remediation of environmental hazards and to claims of personal injuries or property damages that may be caused by hazardous substance releases and exposures. We continue to incur remedial response and voluntary clean-up costs for site contamination and are a party to lawsuits and claims associated with environmental and safety matters, including past production of products containing hazardous substances. Additional lawsuits, claims and costs involving environmental matters are likely to continue to arise in the future. Various federal, state, local and foreign governments regulate the use of certain materials, the discharge of materials into the environment, and/or communications respecting certain materials in our products, and can impose substantial fines and criminal sanctions for violations, and require injunctive relief measures, including installation of costly equipment, implementation of operational changes to limit emissions and/or decrease the likelihood of accidental hazardous substance releases, or limiting access of our products to markets, among others. In addition, changes in laws, regulations and enforcement of policies, the discovery of previously unknown contamination or new technology or information related to individual sites, the establishment of stricter toxicity standards with respect to certain contaminants, or the imposition of new clean-up requirements or remedial techniques could require us to incur additional costs in the future that would have a negative effect on our financial condition or results of operations.</w:t>
      </w:r>
    </w:p>
    <w:p>
      <w:pPr>
        <w:spacing w:after="0" w:line="29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DC202E"/>
        </w:rPr>
        <w:t>Cybersecurity incidents could disrupt business operations, result in the loss of critical and confidential information, and adversely impact our reputation and results of operations.</w:t>
      </w:r>
    </w:p>
    <w:p>
      <w:pPr>
        <w:spacing w:after="0" w:line="6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Global cybersecurity threats and incidents can range from uncoordinated individual attempts to gain unauthorized access to information technology (IT) systems to sophisticated and targeted measures known as advanced persistent threats, directed at the Company, its products, its customers and/or its third party service providers, including cloud providers. Our customers, including the U.S. Government, are increasingly requiring cybersecurity protections and mandating cybersecurity standards in our products, and we may incur additional costs to comply with such demands. While we have experienced, and expect to continue to experience, these types of threats and incidents, none of them to date have been material to the Company. We seek to deploy comprehensive measures to deter, prevent, detect, respond to and mitigate these threats, including identity and access controls, data protection, vulnerability assessments, continuous monitoring of our IT networks and systems and maintenance of backup and protective systems. Despite these efforts, cybersecurity incidents, depending on their nature and scope, could potentially result in the misappropriation, destruction, corruption or unavailability of critical data and confidential or proprietary information (our own or that of third parties) and the disruption of business operations. The potential consequences of a material cybersecurity incident include financial loss, reputational damage, litigation with third parties, theft of intellectual property, fines levied by the Federal Trade Commission, diminution in the value of our investment in research, development and engineering, and increased cybersecurity protection and remediation costs due to the increasing sophistication and proliferation of threats, which in turn could adversely affect our competitiveness and results of operations.</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29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DC202E"/>
        </w:rPr>
        <w:t>The development of technology products and services presents security and safety risks.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An increasing number of our products, services and technologies are delivered with Internet of Things (IoT) capabilities and the accompanying interconnected device networks, which include sensors, data and advanced computing capabilities. We have developed product software designs that we believe are less susceptible to cyber-attacks, but despite these efforts, if our products and services that include IoT solutions do not work as intended or are compromised, the possible consequences include financial loss, reputational damage, exposure to legal claims or enforcement actions, theft of intellectual property, and diminution in the value of our investment in research, development and engineering, which in turn could adversely affect our competitiveness and results of operations.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DC202E"/>
        </w:rPr>
        <w:t>Data privacy, data protection, and information security may require significant resources and present certain risks.</w:t>
      </w:r>
    </w:p>
    <w:p>
      <w:pPr>
        <w:spacing w:after="0" w:line="13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collect, store, have access to and otherwise process certain confidential or sensitive data, including proprietary business information, personal data or other information that is subject to privacy and security laws, regulations and/or customer-imposed controls. Despite our efforts to protect such data, we may be vulnerable to material security breaches, theft, misplaced or lost data, programming errors, or employee errors that could potentially lead to the compromising of such data, improper use of our systems, software solutions or networks, unauthorized access, use, disclosure, modification or destruction of information, defective products, production downtimes and operational disruptions. In addition, we operate in an environment in which there are different and potentially conflicting data privacy laws in effect in the various U.S. states and foreign jurisdictions in which we operate and we must understand and comply with each law and standard in each of these jurisdictions while ensuring the data is secure. For example, the State of California recently passed legislation granting residents certain new data privacy rights and regulating the security of IoT devices, effective in January 2020, and California voters recently approved additional privacy legislation, which provides for the establishment of a California privacy regulator, modifies the current data privacy regulations and imposes additional data protection obligations and is effective in January 2023; European laws require us to have an approved legal mechanism to transfer personal data out of Europe; the European Union General Data Protection Regulation, which became enforceable in May 2018, superseded prior European Union data protection legislation and imposes more stringent requirements in how we collect and process personal data and provides for significantly greater penalties for noncompliance; and several other states and countries have passed or are considering laws that require personal data relating to their residents or citizens to be maintained on local servers and impose additional data transfer restrictions. Government enforcement actions can be costly and interrupt the regular operation of our business, and violations of data privacy laws can result in fines, reputational damage and civil lawsuits, any of which may adversely affect our business, reputation and financial statements.</w:t>
      </w:r>
    </w:p>
    <w:p>
      <w:pPr>
        <w:spacing w:after="0" w:line="29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DC202E"/>
        </w:rPr>
        <w:t>A material disruption of our operations, particularly at our manufacturing facilities or within our information technology infrastructure, could adversely affect our business.</w:t>
      </w:r>
    </w:p>
    <w:p>
      <w:pPr>
        <w:spacing w:after="0" w:line="6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facilities, supply chains, distribution systems and information technology systems are subject to catastrophic loss due to natural disasters, including hurricanes and floods, power outages, fires, explosions, terrorism, equipment failures, sabotage, cyber incidents, any potential effects of climate change and adverse weather conditions, labor disputes, critical supply failure, inaccurate downtime forecast, political disruption, and other reasons, which can result in undesirable consequences, including financial losses and damaged relationships with customers. Another public health crises, like a regional or global pandemic, including the COVID-19 pandemic, could again disrupt our supply chain, distribution channels, production facilities, operations and customer demand, which could negatively impact our operations and adversely affect our business. We employ information technology systems and networks to support the business and rely on them to process, transmit and store electronic information, and to manage or support a variety of business processes and activities. Disruptions to our information technology infrastructure from system failures, shutdowns, power outages, telecommunication or utility failures, cybersecurity incidents, and other events, including disruptions at our cloud computing, server, systems and other third party IT service providers, could interfere with our operations, interrupt production and shipments, damage customer and business partner relationships, and negatively impact our reputation.</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30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DC202E"/>
        </w:rPr>
        <w:t>Concentrations of credit, counterparty and market risk may adversely affect our results of operations and financial condition.</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maintain long-term contractual relationships with many of our customers, suppliers, and other counterparties. While we monitor the financial health of these counterparties, we are exposed to credit and market risks of such counterparties, including those concentrated in the same or similar industries and geographic regions. Changes in economic conditions, including the impact of the COVID-19 pandemic and resulting recession, could also lead to concerns about the creditworthiness of counterparties in the same or similar industry or geography, impacting our ability to renew our long-term contractual arrangements or collect amounts due under these arrangements. Among other factors, changes in economic conditions could also result in the credit deterioration or insolvency of a significant counterparty.</w:t>
      </w:r>
    </w:p>
    <w:p>
      <w:pPr>
        <w:spacing w:after="0" w:line="29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DC202E"/>
        </w:rPr>
        <w:t>Garrett is currently subject to bankruptcy proceedings in the United States Bankruptcy Court for the Southern District of New York. We have recorded an adjustment against the receivable amounts owed to us under agreements with Garrett, and depending on developments, we may be required to record an additional adjustment in whole or in part (together with a related statement of operations charge) in a future period or periods.</w:t>
      </w:r>
    </w:p>
    <w:p>
      <w:pPr>
        <w:spacing w:after="0" w:line="9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regularly review the aggregate carrying value of the reimbursement receivable amounts due from Garrett in connection with our indemnification and reimbursement agreement and our tax matters agreement with Garrett. On September 20, 2020, Garrett and certain of its affiliates filed voluntary petitions for relief under Chapter 11 of the United States Bankruptcy Code in the United States Bankruptcy Court for the Southern District of New York (the Bankruptcy Court). On January 11, 2021, Garrett accepted, in the bankruptcy proceedings, a revised agreement, originally proposed by Oaktree Capital Management, L.P. (Oaktree) and Centerbridge Partners, L.P. (Centerbridge), in coordination with Honeywell, and subsequently signed by additional equity holders that, collectively with the Company, Oaketree, and Centerbridge, represent approximately 58% of Garrett's outstanding common stock and noteholders representing approximately 88% of the principal amount outstanding on Garrett's senior notes (the Final COH Plan). Based on the Final COH Plan, we believe the present value of payments to us under the Final COH Plan are an appropriate estimate of receivable amounts due in connection with the indemnification and reimbursement agreement and the tax matters agreement. There can be no assurance that the Final COH Plan will be confirmed by the Bankruptcy Court or that Garrett will be able to substantially consummate the restructuring transactions contemplated in the Final COH Plan. The ultimate outcome of the bankruptcy process is uncertain. Should any of these assumptions change and depending on the transaction and/or plan of reorganization ultimately approved by the Bankruptcy Court, the amount collected could differ from the receivable amounts currently recorded in our financial statements. There can be no assurance that recording an additional adjustment (positive or negative) against the remaining receivable amounts in whole or in part (together with a related statement of operations charge) will not be necessary in a future period or periods. See Note 20 Commitments and Contingencies of Notes to Consolidated Financial Statements for further details.</w:t>
      </w:r>
    </w:p>
    <w:p>
      <w:pPr>
        <w:spacing w:after="0" w:line="28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LEGAL AND REGULATORY RISKS</w:t>
      </w:r>
    </w:p>
    <w:p>
      <w:pPr>
        <w:spacing w:after="0" w:line="19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DC202E"/>
        </w:rPr>
        <w:t>Our U.S. and non-U.S. tax liabilities are dependent, in part, upon the distribution of income among various jurisdictions in which we operate.</w:t>
      </w:r>
    </w:p>
    <w:p>
      <w:pPr>
        <w:spacing w:after="0" w:line="6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future results of operations could be adversely affected by changes in the effective tax rate as a result of a change in the mix of earnings in countries with differing statutory tax rates, changes in tax laws, regulations and judicial rulings (or changes in the interpretation thereof), potential taxation of digital services, changes in generally accepted accounting principles, changes in the valuation of deferred tax assets and liabilities, changes in the amount of earnings permanently reinvested offshore, the results of audits and examinations of previously filed tax returns and continuing assessments of our tax exposures and various other governmental enforcement initiatives. Our tax expense includes estimates of tax reserves and reflects other estimates and assumptions, including assessments of future earnings of the Company, which could impact the valuation of our deferred tax assets.</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31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DC202E"/>
        </w:rPr>
        <w:t>Changes in legislation or government regulations or policies can have a significant impact on our results of operations.</w:t>
      </w:r>
    </w:p>
    <w:p>
      <w:pPr>
        <w:spacing w:after="0" w:line="13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sales and margins of each of our segments are directly impacted by government regulations, including environmental, safety, performance and product certification regulations. Within Aerospace, the operating results of Commercial Original Equipment and Commercial Aftermarket may be impacted by, among other things, mandates of the Federal Aviation Administration and other similar international regulatory bodies requiring the installation of equipment on aircraft. Our Defense and Space business unit may be affected by changes in government procurement regulations. Within Honeywell Building Technologies and Safety and Productivity Solutions, the demand for and cost of providing products, services and solutions can be impacted by fire, security, safety, health care, environmental and energy efficiency standards and regulations. Performance Materials and Technologies’ results of operations can be impacted by environmental standards, regulations, and judicial determinations</w:t>
      </w:r>
      <w:r>
        <w:rPr>
          <w:rFonts w:ascii="Arial" w:cs="Arial" w:eastAsia="Arial" w:hAnsi="Arial"/>
          <w:sz w:val="18"/>
          <w:szCs w:val="18"/>
          <w:i w:val="1"/>
          <w:iCs w:val="1"/>
          <w:color w:val="auto"/>
        </w:rPr>
        <w:t>.</w:t>
      </w:r>
      <w:r>
        <w:rPr>
          <w:rFonts w:ascii="Arial" w:cs="Arial" w:eastAsia="Arial" w:hAnsi="Arial"/>
          <w:sz w:val="18"/>
          <w:szCs w:val="18"/>
          <w:color w:val="auto"/>
        </w:rPr>
        <w:t xml:space="preserve"> Growth in all our businesses within emerging markets may be adversely impacted by the inability to acquire and retain qualified employees where local employment law mandates may be restrictive. Changes in such regulations and government policies could negatively impact us; for instance, noncompliance with legislation and regulations can result in fines and penalties, and compliance with any new regulations or policies may be burdensome and/or require significant expenditures.</w:t>
      </w:r>
    </w:p>
    <w:p>
      <w:pPr>
        <w:spacing w:after="0" w:line="10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Increased public awareness and concern regarding global climate change may result in more international, regional and/or federal or other stakeholder requirements or expectations that could mandate more restrictive or expansive standards, such as stricter limits on greenhouse gas emissions or more prescriptive reporting of environmental, social, and governance metrics, than the voluntary commitments that the Company has adopted or require such changes on a more accelerated time frame. There continues to be a lack of consistent climate legislation, which creates economic and regulatory uncertainty; however, under the new U.S. presidential administration, there likely will be renewed interest in such legislation. If environmental laws or regulations are either changed or adopted and impose significant operational restrictions and compliance requirements upon the Company or its products, they could negatively impact the Company’s business, capital expenditures, results of operations, financial condition and competitive position.</w:t>
      </w:r>
    </w:p>
    <w:p>
      <w:pPr>
        <w:spacing w:after="0" w:line="29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DC202E"/>
        </w:rPr>
        <w:t>We cannot predict with certainty the outcome of litigation matters, government proceedings and other contingencies and uncertainties.</w:t>
      </w:r>
    </w:p>
    <w:p>
      <w:pPr>
        <w:spacing w:after="0" w:line="6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are subject to a number of lawsuits, investigations and disputes (some of which involve substantial amounts claimed) arising out of the conduct of our business, including matters relating to commercial transactions, government contracts, product liability (including asbestos), prior acquisitions and divestitures, employment, employee benefits plans, intellectual property, antitrust, anti-corruption, accounting, import and export, and environmental, health and safety matters. Our potential liabilities are subject to change over time due to new developments, changes in settlement strategy or the impact of evidentiary requirements, and we may become subject to or be required to pay damage awards or settlements that could have a material adverse effect on our results of operations, cash flows and financial condition. While we maintain insurance for certain risks, the amount of our insurance coverage may not be adequate to cover the total amount of all insured claims and liabilities. The incurrence of significant liabilities for which there is no or insufficient insurance coverage could adversely affect our results of operations, cash flows, liquidity and financial condition.</w:t>
      </w:r>
    </w:p>
    <w:p>
      <w:pPr>
        <w:spacing w:after="0" w:line="281" w:lineRule="exact"/>
        <w:rPr>
          <w:sz w:val="20"/>
          <w:szCs w:val="20"/>
          <w:color w:val="auto"/>
        </w:rPr>
      </w:pPr>
    </w:p>
    <w:p>
      <w:pPr>
        <w:spacing w:after="0"/>
        <w:rPr>
          <w:sz w:val="20"/>
          <w:szCs w:val="20"/>
          <w:color w:val="auto"/>
        </w:rPr>
      </w:pPr>
      <w:r>
        <w:rPr>
          <w:rFonts w:ascii="Arial" w:cs="Arial" w:eastAsia="Arial" w:hAnsi="Arial"/>
          <w:sz w:val="29"/>
          <w:szCs w:val="29"/>
          <w:b w:val="1"/>
          <w:bCs w:val="1"/>
          <w:color w:val="DC202E"/>
        </w:rPr>
        <w:t>QUANTITATIVE AND QUALITATIVE DISCLOSURES ABOUT MARKET RISKS</w:t>
      </w:r>
    </w:p>
    <w:p>
      <w:pPr>
        <w:spacing w:after="0" w:line="15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Information relating to market risks is included within Liquidity and Capital Resources of our Form 10-K under the caption “Financial Instruments”.</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32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293" w:lineRule="exact"/>
        <w:rPr>
          <w:sz w:val="20"/>
          <w:szCs w:val="20"/>
          <w:color w:val="auto"/>
        </w:rPr>
      </w:pPr>
    </w:p>
    <w:p>
      <w:pPr>
        <w:spacing w:after="0"/>
        <w:rPr>
          <w:sz w:val="20"/>
          <w:szCs w:val="20"/>
          <w:color w:val="auto"/>
        </w:rPr>
      </w:pPr>
      <w:r>
        <w:rPr>
          <w:rFonts w:ascii="Arial" w:cs="Arial" w:eastAsia="Arial" w:hAnsi="Arial"/>
          <w:sz w:val="29"/>
          <w:szCs w:val="29"/>
          <w:b w:val="1"/>
          <w:bCs w:val="1"/>
          <w:color w:val="DC202E"/>
        </w:rPr>
        <w:t>LIQUIDITY AND CAPITAL RESOURCES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tables in millions)</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continue to manage our businesses to maximize operating cash flows as the primary source of liquidity. Each of our businesses is focused on increasing operating cash flows through revenue growth, margin expansion and improved working capital turnover. Additional sources of liquidity include committed credit lines, short-term debt from the commercial paper market, long-term borrowings, access to the public debt and equity markets, U.S. cash balances and the ability to access non-U.S. cash as a result of the U.S. Tax Cuts and Jobs Act.</w:t>
      </w:r>
    </w:p>
    <w:p>
      <w:pPr>
        <w:spacing w:after="0" w:line="28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CASH</w:t>
      </w:r>
    </w:p>
    <w:p>
      <w:pPr>
        <w:spacing w:after="0" w:line="1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monitor the third-party depository institutions that hold our cash and cash equivalents on a daily basis. Our emphasis is primarily safety of principal and secondarily maximizing yield of those funds. We diversify our cash and cash equivalents among counterparties to minimize exposure to any one of these entities. As of December 31, 2020 and 2019, we held $15.2 billion and $10.4 billion, respectively, of cash and cash equivalents, including our short-term investments.</w:t>
      </w:r>
    </w:p>
    <w:p>
      <w:pPr>
        <w:spacing w:after="0" w:line="28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BORROWINGS</w:t>
      </w:r>
    </w:p>
    <w:p>
      <w:pPr>
        <w:spacing w:after="0" w:line="1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Consolidated total borrowings were $ 22.4 billion and $16.0 billion as of December 31, 2020 and 2019. In response to COVID-19, the Company took several actions during 2020 to secure liquidity in light of the uncertainty in economic conditions and the credit markets, including a $6.0 billion Delayed Draw Term Loan and a total of $7.1 billion raised through Senior Note offerings. See Note 10 Long-term Debt and Credit Agreements of Notes to Consolidated Financial Statements for a summary of the actions taken by the Company to improve our short-term and long-term liquidity position in response to COVID-19.</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240" w:type="dxa"/>
            <w:vAlign w:val="bottom"/>
          </w:tcPr>
          <w:p>
            <w:pPr>
              <w:spacing w:after="0"/>
              <w:rPr>
                <w:sz w:val="17"/>
                <w:szCs w:val="17"/>
                <w:color w:val="auto"/>
              </w:rPr>
            </w:pPr>
          </w:p>
        </w:tc>
        <w:tc>
          <w:tcPr>
            <w:tcW w:w="340" w:type="dxa"/>
            <w:vAlign w:val="bottom"/>
            <w:tcBorders>
              <w:bottom w:val="single" w:sz="8" w:color="DC202E"/>
            </w:tcBorders>
          </w:tcPr>
          <w:p>
            <w:pPr>
              <w:spacing w:after="0"/>
              <w:rPr>
                <w:sz w:val="17"/>
                <w:szCs w:val="17"/>
                <w:color w:val="auto"/>
              </w:rPr>
            </w:pPr>
          </w:p>
        </w:tc>
        <w:tc>
          <w:tcPr>
            <w:tcW w:w="1700" w:type="dxa"/>
            <w:vAlign w:val="bottom"/>
            <w:tcBorders>
              <w:bottom w:val="single" w:sz="8" w:color="DC202E"/>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DC202E"/>
            </w:tcBorders>
          </w:tcPr>
          <w:p>
            <w:pPr>
              <w:spacing w:after="0"/>
              <w:rPr>
                <w:sz w:val="17"/>
                <w:szCs w:val="17"/>
                <w:color w:val="auto"/>
              </w:rPr>
            </w:pPr>
          </w:p>
        </w:tc>
      </w:tr>
      <w:tr>
        <w:trPr>
          <w:trHeight w:val="196"/>
        </w:trPr>
        <w:tc>
          <w:tcPr>
            <w:tcW w:w="8240" w:type="dxa"/>
            <w:vAlign w:val="bottom"/>
            <w:tcBorders>
              <w:bottom w:val="single" w:sz="8" w:color="DBDBDB"/>
            </w:tcBorders>
          </w:tcPr>
          <w:p>
            <w:pPr>
              <w:spacing w:after="0"/>
              <w:rPr>
                <w:sz w:val="17"/>
                <w:szCs w:val="17"/>
                <w:color w:val="auto"/>
              </w:rPr>
            </w:pPr>
          </w:p>
        </w:tc>
        <w:tc>
          <w:tcPr>
            <w:tcW w:w="340" w:type="dxa"/>
            <w:vAlign w:val="bottom"/>
            <w:tcBorders>
              <w:bottom w:val="single" w:sz="8" w:color="DC202E"/>
            </w:tcBorders>
          </w:tcPr>
          <w:p>
            <w:pPr>
              <w:spacing w:after="0"/>
              <w:rPr>
                <w:sz w:val="17"/>
                <w:szCs w:val="17"/>
                <w:color w:val="auto"/>
              </w:rPr>
            </w:pPr>
          </w:p>
        </w:tc>
        <w:tc>
          <w:tcPr>
            <w:tcW w:w="1100" w:type="dxa"/>
            <w:vAlign w:val="bottom"/>
            <w:tcBorders>
              <w:bottom w:val="single" w:sz="8" w:color="DC202E"/>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DBDBDB"/>
            </w:tcBorders>
          </w:tcPr>
          <w:p>
            <w:pPr>
              <w:spacing w:after="0"/>
              <w:rPr>
                <w:sz w:val="17"/>
                <w:szCs w:val="17"/>
                <w:color w:val="auto"/>
              </w:rPr>
            </w:pPr>
          </w:p>
        </w:tc>
        <w:tc>
          <w:tcPr>
            <w:tcW w:w="480" w:type="dxa"/>
            <w:vAlign w:val="bottom"/>
            <w:tcBorders>
              <w:bottom w:val="single" w:sz="8" w:color="DC202E"/>
            </w:tcBorders>
          </w:tcPr>
          <w:p>
            <w:pPr>
              <w:spacing w:after="0"/>
              <w:rPr>
                <w:sz w:val="17"/>
                <w:szCs w:val="17"/>
                <w:color w:val="auto"/>
              </w:rPr>
            </w:pPr>
          </w:p>
        </w:tc>
        <w:tc>
          <w:tcPr>
            <w:tcW w:w="960" w:type="dxa"/>
            <w:vAlign w:val="bottom"/>
            <w:tcBorders>
              <w:bottom w:val="single" w:sz="8" w:color="DC202E"/>
            </w:tcBorders>
          </w:tcPr>
          <w:p>
            <w:pPr>
              <w:jc w:val="right"/>
              <w:ind w:right="473"/>
              <w:spacing w:after="0"/>
              <w:rPr>
                <w:sz w:val="20"/>
                <w:szCs w:val="20"/>
                <w:color w:val="auto"/>
              </w:rPr>
            </w:pPr>
            <w:r>
              <w:rPr>
                <w:rFonts w:ascii="Arial" w:cs="Arial" w:eastAsia="Arial" w:hAnsi="Arial"/>
                <w:sz w:val="14"/>
                <w:szCs w:val="14"/>
                <w:b w:val="1"/>
                <w:bCs w:val="1"/>
                <w:color w:val="auto"/>
              </w:rPr>
              <w:t>2019</w:t>
            </w:r>
          </w:p>
        </w:tc>
      </w:tr>
      <w:tr>
        <w:trPr>
          <w:trHeight w:val="229"/>
        </w:trPr>
        <w:tc>
          <w:tcPr>
            <w:tcW w:w="8240" w:type="dxa"/>
            <w:vAlign w:val="bottom"/>
            <w:shd w:val="clear" w:color="auto" w:fill="DBDBDB"/>
          </w:tcPr>
          <w:p>
            <w:pPr>
              <w:ind w:left="20"/>
              <w:spacing w:after="0"/>
              <w:rPr>
                <w:sz w:val="20"/>
                <w:szCs w:val="20"/>
                <w:color w:val="auto"/>
              </w:rPr>
            </w:pPr>
            <w:r>
              <w:rPr>
                <w:rFonts w:ascii="Arial" w:cs="Arial" w:eastAsia="Arial" w:hAnsi="Arial"/>
                <w:sz w:val="18"/>
                <w:szCs w:val="18"/>
                <w:color w:val="auto"/>
              </w:rPr>
              <w:t>Commercial paper and other short-term borrowings</w:t>
            </w:r>
          </w:p>
        </w:tc>
        <w:tc>
          <w:tcPr>
            <w:tcW w:w="34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3,597</w:t>
            </w:r>
          </w:p>
        </w:tc>
        <w:tc>
          <w:tcPr>
            <w:tcW w:w="120" w:type="dxa"/>
            <w:vAlign w:val="bottom"/>
            <w:shd w:val="clear" w:color="auto" w:fill="DBDBDB"/>
          </w:tcPr>
          <w:p>
            <w:pPr>
              <w:spacing w:after="0"/>
              <w:rPr>
                <w:sz w:val="19"/>
                <w:szCs w:val="19"/>
                <w:color w:val="auto"/>
              </w:rPr>
            </w:pPr>
          </w:p>
        </w:tc>
        <w:tc>
          <w:tcPr>
            <w:tcW w:w="480" w:type="dxa"/>
            <w:vAlign w:val="bottom"/>
            <w:shd w:val="clear" w:color="auto" w:fill="DBDBDB"/>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3,516</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Variable rate notes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1,122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622</w:t>
            </w:r>
          </w:p>
        </w:tc>
      </w:tr>
      <w:tr>
        <w:trPr>
          <w:trHeight w:val="230"/>
        </w:trPr>
        <w:tc>
          <w:tcPr>
            <w:tcW w:w="8240" w:type="dxa"/>
            <w:vAlign w:val="bottom"/>
            <w:shd w:val="clear" w:color="auto" w:fill="DBDBDB"/>
          </w:tcPr>
          <w:p>
            <w:pPr>
              <w:ind w:left="20"/>
              <w:spacing w:after="0"/>
              <w:rPr>
                <w:sz w:val="20"/>
                <w:szCs w:val="20"/>
                <w:color w:val="auto"/>
              </w:rPr>
            </w:pPr>
            <w:r>
              <w:rPr>
                <w:rFonts w:ascii="Arial" w:cs="Arial" w:eastAsia="Arial" w:hAnsi="Arial"/>
                <w:sz w:val="18"/>
                <w:szCs w:val="18"/>
                <w:color w:val="auto"/>
              </w:rPr>
              <w:t>Fixed rate notes</w:t>
            </w:r>
          </w:p>
        </w:tc>
        <w:tc>
          <w:tcPr>
            <w:tcW w:w="34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17,399</w:t>
            </w:r>
          </w:p>
        </w:tc>
        <w:tc>
          <w:tcPr>
            <w:tcW w:w="12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11,586</w:t>
            </w:r>
          </w:p>
        </w:tc>
      </w:tr>
      <w:tr>
        <w:trPr>
          <w:trHeight w:val="230"/>
        </w:trPr>
        <w:tc>
          <w:tcPr>
            <w:tcW w:w="824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120" w:type="dxa"/>
            <w:vAlign w:val="bottom"/>
            <w:tcBorders>
              <w:bottom w:val="single" w:sz="8" w:color="DBDBDB"/>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w:t>
            </w:r>
          </w:p>
        </w:tc>
      </w:tr>
      <w:tr>
        <w:trPr>
          <w:trHeight w:val="248"/>
        </w:trPr>
        <w:tc>
          <w:tcPr>
            <w:tcW w:w="82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 borrowings</w:t>
            </w:r>
          </w:p>
        </w:tc>
        <w:tc>
          <w:tcPr>
            <w:tcW w:w="340" w:type="dxa"/>
            <w:vAlign w:val="bottom"/>
            <w:tcBorders>
              <w:bottom w:val="single" w:sz="8" w:color="auto"/>
            </w:tcBorders>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22,384</w:t>
            </w:r>
          </w:p>
        </w:tc>
        <w:tc>
          <w:tcPr>
            <w:tcW w:w="120" w:type="dxa"/>
            <w:vAlign w:val="bottom"/>
            <w:tcBorders>
              <w:bottom w:val="single" w:sz="8" w:color="DBDBDB"/>
            </w:tcBorders>
            <w:shd w:val="clear" w:color="auto" w:fill="DBDBDB"/>
          </w:tcPr>
          <w:p>
            <w:pPr>
              <w:spacing w:after="0"/>
              <w:rPr>
                <w:sz w:val="21"/>
                <w:szCs w:val="21"/>
                <w:color w:val="auto"/>
              </w:rPr>
            </w:pPr>
          </w:p>
        </w:tc>
        <w:tc>
          <w:tcPr>
            <w:tcW w:w="480" w:type="dxa"/>
            <w:vAlign w:val="bottom"/>
            <w:tcBorders>
              <w:bottom w:val="single" w:sz="8" w:color="auto"/>
            </w:tcBorders>
            <w:shd w:val="clear" w:color="auto" w:fill="DBDBDB"/>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16,002</w:t>
            </w:r>
          </w:p>
        </w:tc>
      </w:tr>
      <w:tr>
        <w:trPr>
          <w:trHeight w:val="20"/>
        </w:trPr>
        <w:tc>
          <w:tcPr>
            <w:tcW w:w="824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480" w:type="dxa"/>
            <w:vAlign w:val="bottom"/>
            <w:tcBorders>
              <w:top w:val="single" w:sz="8" w:color="DBDBDB"/>
              <w:bottom w:val="single" w:sz="8" w:color="auto"/>
            </w:tcBorders>
          </w:tcPr>
          <w:p>
            <w:pPr>
              <w:spacing w:after="0" w:line="20" w:lineRule="exact"/>
              <w:rPr>
                <w:sz w:val="1"/>
                <w:szCs w:val="1"/>
                <w:color w:val="auto"/>
              </w:rPr>
            </w:pPr>
          </w:p>
        </w:tc>
        <w:tc>
          <w:tcPr>
            <w:tcW w:w="960" w:type="dxa"/>
            <w:vAlign w:val="bottom"/>
            <w:tcBorders>
              <w:top w:val="single" w:sz="8" w:color="DBDBDB"/>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source of liquidity is our ability to access the commercial paper market. Commercial paper notes are sold at a discount or premium and have a maturity of not more than 365 days from date of issuance. Borrowings under the commercial paper program are available for general corporate purposes as well as for financing acquisitions. The weighted average interest rate on commercial paper and other short-term borrowings outstanding was 0.27% and (0.37%) as of December 31, 2020 and 2019.</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We also have the following revolving credit agreements:</w:t>
      </w:r>
    </w:p>
    <w:p>
      <w:pPr>
        <w:spacing w:after="0" w:line="117" w:lineRule="exact"/>
        <w:rPr>
          <w:sz w:val="20"/>
          <w:szCs w:val="20"/>
          <w:color w:val="auto"/>
        </w:rPr>
      </w:pPr>
    </w:p>
    <w:p>
      <w:pPr>
        <w:jc w:val="both"/>
        <w:ind w:left="660" w:hanging="328"/>
        <w:spacing w:after="0" w:line="254"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$1.5 billion 364-Day Credit Agreement (the 364-Day Credit Agreement) with a syndicate of banks, dated April 10, 2020. This 364-Day Credit Agreement is maintained for general corporate purposes. The 364-Day Credit Agreement replaced the 364-day credit agreement dated as of April 26, 2019, which was terminated on April 10, 2020. As of December 31, 2020, there were no outstanding borrowings under our 364-Day Credit Agreement.</w:t>
      </w:r>
    </w:p>
    <w:p>
      <w:pPr>
        <w:spacing w:after="0" w:line="95" w:lineRule="exact"/>
        <w:rPr>
          <w:rFonts w:ascii="Arial" w:cs="Arial" w:eastAsia="Arial" w:hAnsi="Arial"/>
          <w:sz w:val="18"/>
          <w:szCs w:val="18"/>
          <w:color w:val="auto"/>
        </w:rPr>
      </w:pPr>
    </w:p>
    <w:p>
      <w:pPr>
        <w:jc w:val="both"/>
        <w:ind w:left="660" w:hanging="328"/>
        <w:spacing w:after="0" w:line="254"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$4.0 billion Five Year Credit Agreement (the 5-Year Credit Agreement) with a syndicate of banks, dated April 26, 2019. This 5-Year Credit Agreement is maintained for general corporate purposes. Commitments under the 5-Year Credit Agreement can be increased pursuant to the terms of the 5-Year Credit Agreement to an aggregate amount not to exceed $4.5 billion. As of December 31, 2020, there were no outstanding borrowings under our 5-Year Credit Agreement.</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33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also have a current shelf registration statement filed with the SEC under which we may issue additional debt securities, common stock and preferred stock that may be offered in one or more offerings on terms to be determined at the time of the offering. We anticipate that net proceeds of any offering would be used for general corporate purposes, including repayment of existing indebtedness, share repurchases, capital expenditures and acquisitions.</w:t>
      </w:r>
    </w:p>
    <w:p>
      <w:pPr>
        <w:spacing w:after="0" w:line="28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CREDIT RATINGS</w:t>
      </w:r>
    </w:p>
    <w:p>
      <w:pPr>
        <w:spacing w:after="0" w:line="147"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Our ability to access the global debt capital markets and the related cost of these borrowings, is affected by the strength of our credit rating and market conditions. Our credit ratings are periodically reviewed by the major independent debt-rating agencies. As of December 31, 2020, S&amp;P, Fitch, and Moody’s have ratings on our debt set forth in the table below:</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Borders>
              <w:bottom w:val="single" w:sz="8" w:color="DBDBDB"/>
            </w:tcBorders>
          </w:tcPr>
          <w:p>
            <w:pPr>
              <w:spacing w:after="0"/>
              <w:rPr>
                <w:sz w:val="17"/>
                <w:szCs w:val="17"/>
                <w:color w:val="auto"/>
              </w:rPr>
            </w:pPr>
          </w:p>
        </w:tc>
        <w:tc>
          <w:tcPr>
            <w:tcW w:w="1420" w:type="dxa"/>
            <w:vAlign w:val="bottom"/>
            <w:tcBorders>
              <w:bottom w:val="single" w:sz="8" w:color="DC202E"/>
            </w:tcBorders>
          </w:tcPr>
          <w:p>
            <w:pPr>
              <w:jc w:val="center"/>
              <w:spacing w:after="0"/>
              <w:rPr>
                <w:sz w:val="20"/>
                <w:szCs w:val="20"/>
                <w:color w:val="auto"/>
              </w:rPr>
            </w:pPr>
            <w:r>
              <w:rPr>
                <w:rFonts w:ascii="Arial" w:cs="Arial" w:eastAsia="Arial" w:hAnsi="Arial"/>
                <w:sz w:val="14"/>
                <w:szCs w:val="14"/>
                <w:b w:val="1"/>
                <w:bCs w:val="1"/>
                <w:color w:val="auto"/>
              </w:rPr>
              <w:t>S&amp;P</w:t>
            </w:r>
          </w:p>
        </w:tc>
        <w:tc>
          <w:tcPr>
            <w:tcW w:w="100" w:type="dxa"/>
            <w:vAlign w:val="bottom"/>
            <w:tcBorders>
              <w:bottom w:val="single" w:sz="8" w:color="DBDBDB"/>
            </w:tcBorders>
          </w:tcPr>
          <w:p>
            <w:pPr>
              <w:spacing w:after="0"/>
              <w:rPr>
                <w:sz w:val="17"/>
                <w:szCs w:val="17"/>
                <w:color w:val="auto"/>
              </w:rPr>
            </w:pPr>
          </w:p>
        </w:tc>
        <w:tc>
          <w:tcPr>
            <w:tcW w:w="1440" w:type="dxa"/>
            <w:vAlign w:val="bottom"/>
            <w:tcBorders>
              <w:bottom w:val="single" w:sz="8" w:color="DC202E"/>
            </w:tcBorders>
          </w:tcPr>
          <w:p>
            <w:pPr>
              <w:jc w:val="center"/>
              <w:spacing w:after="0"/>
              <w:rPr>
                <w:sz w:val="20"/>
                <w:szCs w:val="20"/>
                <w:color w:val="auto"/>
              </w:rPr>
            </w:pPr>
            <w:r>
              <w:rPr>
                <w:rFonts w:ascii="Arial" w:cs="Arial" w:eastAsia="Arial" w:hAnsi="Arial"/>
                <w:sz w:val="14"/>
                <w:szCs w:val="14"/>
                <w:b w:val="1"/>
                <w:bCs w:val="1"/>
                <w:color w:val="auto"/>
              </w:rPr>
              <w:t>Fitch</w:t>
            </w:r>
          </w:p>
        </w:tc>
        <w:tc>
          <w:tcPr>
            <w:tcW w:w="100" w:type="dxa"/>
            <w:vAlign w:val="bottom"/>
            <w:tcBorders>
              <w:bottom w:val="single" w:sz="8" w:color="DBDBDB"/>
            </w:tcBorders>
          </w:tcPr>
          <w:p>
            <w:pPr>
              <w:spacing w:after="0"/>
              <w:rPr>
                <w:sz w:val="17"/>
                <w:szCs w:val="17"/>
                <w:color w:val="auto"/>
              </w:rPr>
            </w:pPr>
          </w:p>
        </w:tc>
        <w:tc>
          <w:tcPr>
            <w:tcW w:w="1440" w:type="dxa"/>
            <w:vAlign w:val="bottom"/>
            <w:tcBorders>
              <w:bottom w:val="single" w:sz="8" w:color="DC202E"/>
            </w:tcBorders>
          </w:tcPr>
          <w:p>
            <w:pPr>
              <w:jc w:val="center"/>
              <w:spacing w:after="0"/>
              <w:rPr>
                <w:sz w:val="20"/>
                <w:szCs w:val="20"/>
                <w:color w:val="auto"/>
              </w:rPr>
            </w:pPr>
            <w:r>
              <w:rPr>
                <w:rFonts w:ascii="Arial" w:cs="Arial" w:eastAsia="Arial" w:hAnsi="Arial"/>
                <w:sz w:val="14"/>
                <w:szCs w:val="14"/>
                <w:b w:val="1"/>
                <w:bCs w:val="1"/>
                <w:color w:val="auto"/>
              </w:rPr>
              <w:t>Moody's</w:t>
            </w:r>
          </w:p>
        </w:tc>
      </w:tr>
      <w:tr>
        <w:trPr>
          <w:trHeight w:val="229"/>
        </w:trPr>
        <w:tc>
          <w:tcPr>
            <w:tcW w:w="6740" w:type="dxa"/>
            <w:vAlign w:val="bottom"/>
            <w:shd w:val="clear" w:color="auto" w:fill="DBDBDB"/>
          </w:tcPr>
          <w:p>
            <w:pPr>
              <w:ind w:left="20"/>
              <w:spacing w:after="0"/>
              <w:rPr>
                <w:sz w:val="20"/>
                <w:szCs w:val="20"/>
                <w:color w:val="auto"/>
              </w:rPr>
            </w:pPr>
            <w:r>
              <w:rPr>
                <w:rFonts w:ascii="Arial" w:cs="Arial" w:eastAsia="Arial" w:hAnsi="Arial"/>
                <w:sz w:val="18"/>
                <w:szCs w:val="18"/>
                <w:color w:val="auto"/>
              </w:rPr>
              <w:t>Outlook</w:t>
            </w:r>
          </w:p>
        </w:tc>
        <w:tc>
          <w:tcPr>
            <w:tcW w:w="1520" w:type="dxa"/>
            <w:vAlign w:val="bottom"/>
            <w:gridSpan w:val="2"/>
            <w:shd w:val="clear" w:color="auto" w:fill="DBDBDB"/>
          </w:tcPr>
          <w:p>
            <w:pPr>
              <w:jc w:val="center"/>
              <w:ind w:right="100"/>
              <w:spacing w:after="0"/>
              <w:rPr>
                <w:sz w:val="20"/>
                <w:szCs w:val="20"/>
                <w:color w:val="auto"/>
              </w:rPr>
            </w:pPr>
            <w:r>
              <w:rPr>
                <w:rFonts w:ascii="Arial" w:cs="Arial" w:eastAsia="Arial" w:hAnsi="Arial"/>
                <w:sz w:val="18"/>
                <w:szCs w:val="18"/>
                <w:color w:val="auto"/>
                <w:w w:val="97"/>
              </w:rPr>
              <w:t>Stable</w:t>
            </w:r>
          </w:p>
        </w:tc>
        <w:tc>
          <w:tcPr>
            <w:tcW w:w="1540" w:type="dxa"/>
            <w:vAlign w:val="bottom"/>
            <w:gridSpan w:val="2"/>
            <w:shd w:val="clear" w:color="auto" w:fill="DBDBDB"/>
          </w:tcPr>
          <w:p>
            <w:pPr>
              <w:jc w:val="center"/>
              <w:ind w:right="80"/>
              <w:spacing w:after="0"/>
              <w:rPr>
                <w:sz w:val="20"/>
                <w:szCs w:val="20"/>
                <w:color w:val="auto"/>
              </w:rPr>
            </w:pPr>
            <w:r>
              <w:rPr>
                <w:rFonts w:ascii="Arial" w:cs="Arial" w:eastAsia="Arial" w:hAnsi="Arial"/>
                <w:sz w:val="18"/>
                <w:szCs w:val="18"/>
                <w:color w:val="auto"/>
                <w:w w:val="97"/>
              </w:rPr>
              <w:t>Stable</w:t>
            </w:r>
          </w:p>
        </w:tc>
        <w:tc>
          <w:tcPr>
            <w:tcW w:w="1440" w:type="dxa"/>
            <w:vAlign w:val="bottom"/>
            <w:shd w:val="clear" w:color="auto" w:fill="DBDBDB"/>
          </w:tcPr>
          <w:p>
            <w:pPr>
              <w:jc w:val="center"/>
              <w:spacing w:after="0"/>
              <w:rPr>
                <w:sz w:val="20"/>
                <w:szCs w:val="20"/>
                <w:color w:val="auto"/>
              </w:rPr>
            </w:pPr>
            <w:r>
              <w:rPr>
                <w:rFonts w:ascii="Arial" w:cs="Arial" w:eastAsia="Arial" w:hAnsi="Arial"/>
                <w:sz w:val="18"/>
                <w:szCs w:val="18"/>
                <w:color w:val="auto"/>
              </w:rPr>
              <w:t>Stable</w:t>
            </w: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Short-term</w:t>
            </w:r>
          </w:p>
        </w:tc>
        <w:tc>
          <w:tcPr>
            <w:tcW w:w="15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A-1</w:t>
            </w:r>
          </w:p>
        </w:tc>
        <w:tc>
          <w:tcPr>
            <w:tcW w:w="1540" w:type="dxa"/>
            <w:vAlign w:val="bottom"/>
            <w:gridSpan w:val="2"/>
          </w:tcPr>
          <w:p>
            <w:pPr>
              <w:jc w:val="center"/>
              <w:ind w:right="80"/>
              <w:spacing w:after="0"/>
              <w:rPr>
                <w:sz w:val="20"/>
                <w:szCs w:val="20"/>
                <w:color w:val="auto"/>
              </w:rPr>
            </w:pPr>
            <w:r>
              <w:rPr>
                <w:rFonts w:ascii="Arial" w:cs="Arial" w:eastAsia="Arial" w:hAnsi="Arial"/>
                <w:sz w:val="18"/>
                <w:szCs w:val="18"/>
                <w:color w:val="auto"/>
              </w:rPr>
              <w:t>F1</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P1</w:t>
            </w:r>
          </w:p>
        </w:tc>
      </w:tr>
      <w:tr>
        <w:trPr>
          <w:trHeight w:val="230"/>
        </w:trPr>
        <w:tc>
          <w:tcPr>
            <w:tcW w:w="6740" w:type="dxa"/>
            <w:vAlign w:val="bottom"/>
            <w:shd w:val="clear" w:color="auto" w:fill="DBDBDB"/>
          </w:tcPr>
          <w:p>
            <w:pPr>
              <w:ind w:left="20"/>
              <w:spacing w:after="0"/>
              <w:rPr>
                <w:sz w:val="20"/>
                <w:szCs w:val="20"/>
                <w:color w:val="auto"/>
              </w:rPr>
            </w:pPr>
            <w:r>
              <w:rPr>
                <w:rFonts w:ascii="Arial" w:cs="Arial" w:eastAsia="Arial" w:hAnsi="Arial"/>
                <w:sz w:val="18"/>
                <w:szCs w:val="18"/>
                <w:color w:val="auto"/>
              </w:rPr>
              <w:t>Long-term</w:t>
            </w:r>
          </w:p>
        </w:tc>
        <w:tc>
          <w:tcPr>
            <w:tcW w:w="1520" w:type="dxa"/>
            <w:vAlign w:val="bottom"/>
            <w:gridSpan w:val="2"/>
            <w:shd w:val="clear" w:color="auto" w:fill="DBDBDB"/>
          </w:tcPr>
          <w:p>
            <w:pPr>
              <w:jc w:val="center"/>
              <w:ind w:right="120"/>
              <w:spacing w:after="0"/>
              <w:rPr>
                <w:sz w:val="20"/>
                <w:szCs w:val="20"/>
                <w:color w:val="auto"/>
              </w:rPr>
            </w:pPr>
            <w:r>
              <w:rPr>
                <w:rFonts w:ascii="Arial" w:cs="Arial" w:eastAsia="Arial" w:hAnsi="Arial"/>
                <w:sz w:val="18"/>
                <w:szCs w:val="18"/>
                <w:color w:val="auto"/>
                <w:w w:val="99"/>
              </w:rPr>
              <w:t>A</w:t>
            </w:r>
          </w:p>
        </w:tc>
        <w:tc>
          <w:tcPr>
            <w:tcW w:w="1540" w:type="dxa"/>
            <w:vAlign w:val="bottom"/>
            <w:gridSpan w:val="2"/>
            <w:shd w:val="clear" w:color="auto" w:fill="DBDBDB"/>
          </w:tcPr>
          <w:p>
            <w:pPr>
              <w:jc w:val="center"/>
              <w:ind w:right="100"/>
              <w:spacing w:after="0"/>
              <w:rPr>
                <w:sz w:val="20"/>
                <w:szCs w:val="20"/>
                <w:color w:val="auto"/>
              </w:rPr>
            </w:pPr>
            <w:r>
              <w:rPr>
                <w:rFonts w:ascii="Arial" w:cs="Arial" w:eastAsia="Arial" w:hAnsi="Arial"/>
                <w:sz w:val="18"/>
                <w:szCs w:val="18"/>
                <w:color w:val="auto"/>
                <w:w w:val="99"/>
              </w:rPr>
              <w:t>A</w:t>
            </w:r>
          </w:p>
        </w:tc>
        <w:tc>
          <w:tcPr>
            <w:tcW w:w="144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A2</w:t>
            </w:r>
          </w:p>
        </w:tc>
      </w:tr>
    </w:tbl>
    <w:p>
      <w:pPr>
        <w:spacing w:after="0" w:line="37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CASH FLOW SUMMARY</w:t>
      </w:r>
    </w:p>
    <w:p>
      <w:pPr>
        <w:spacing w:after="0" w:line="14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cash flows from operating, investing and financing activities, as reflected in the Consolidated Statement of Cash Flows, are summarized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660" w:type="dxa"/>
            <w:vAlign w:val="bottom"/>
          </w:tcPr>
          <w:p>
            <w:pPr>
              <w:spacing w:after="0"/>
              <w:rPr>
                <w:sz w:val="17"/>
                <w:szCs w:val="17"/>
                <w:color w:val="auto"/>
              </w:rPr>
            </w:pPr>
          </w:p>
        </w:tc>
        <w:tc>
          <w:tcPr>
            <w:tcW w:w="900" w:type="dxa"/>
            <w:vAlign w:val="bottom"/>
            <w:tcBorders>
              <w:bottom w:val="single" w:sz="8" w:color="DC202E"/>
            </w:tcBorders>
          </w:tcPr>
          <w:p>
            <w:pPr>
              <w:spacing w:after="0"/>
              <w:rPr>
                <w:sz w:val="17"/>
                <w:szCs w:val="17"/>
                <w:color w:val="auto"/>
              </w:rPr>
            </w:pPr>
          </w:p>
        </w:tc>
        <w:tc>
          <w:tcPr>
            <w:tcW w:w="2540" w:type="dxa"/>
            <w:vAlign w:val="bottom"/>
            <w:tcBorders>
              <w:bottom w:val="single" w:sz="8" w:color="DC202E"/>
            </w:tcBorders>
            <w:gridSpan w:val="6"/>
          </w:tcPr>
          <w:p>
            <w:pPr>
              <w:jc w:val="right"/>
              <w:ind w:right="150"/>
              <w:spacing w:after="0"/>
              <w:rPr>
                <w:sz w:val="20"/>
                <w:szCs w:val="20"/>
                <w:color w:val="auto"/>
              </w:rPr>
            </w:pPr>
            <w:r>
              <w:rPr>
                <w:rFonts w:ascii="Arial" w:cs="Arial" w:eastAsia="Arial" w:hAnsi="Arial"/>
                <w:sz w:val="14"/>
                <w:szCs w:val="14"/>
                <w:b w:val="1"/>
                <w:bCs w:val="1"/>
                <w:color w:val="auto"/>
              </w:rPr>
              <w:t>Years Ended December 31,</w:t>
            </w:r>
          </w:p>
        </w:tc>
        <w:tc>
          <w:tcPr>
            <w:tcW w:w="1120" w:type="dxa"/>
            <w:vAlign w:val="bottom"/>
            <w:tcBorders>
              <w:bottom w:val="single" w:sz="8" w:color="DC202E"/>
            </w:tcBorders>
          </w:tcPr>
          <w:p>
            <w:pPr>
              <w:spacing w:after="0"/>
              <w:rPr>
                <w:sz w:val="17"/>
                <w:szCs w:val="17"/>
                <w:color w:val="auto"/>
              </w:rPr>
            </w:pPr>
          </w:p>
        </w:tc>
      </w:tr>
      <w:tr>
        <w:trPr>
          <w:trHeight w:val="237"/>
        </w:trPr>
        <w:tc>
          <w:tcPr>
            <w:tcW w:w="6660" w:type="dxa"/>
            <w:vAlign w:val="bottom"/>
            <w:tcBorders>
              <w:bottom w:val="single" w:sz="8" w:color="DDDDDD"/>
            </w:tcBorders>
          </w:tcPr>
          <w:p>
            <w:pPr>
              <w:spacing w:after="0"/>
              <w:rPr>
                <w:sz w:val="20"/>
                <w:szCs w:val="20"/>
                <w:color w:val="auto"/>
              </w:rPr>
            </w:pPr>
          </w:p>
        </w:tc>
        <w:tc>
          <w:tcPr>
            <w:tcW w:w="90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DC202E"/>
            </w:tcBorders>
          </w:tcPr>
          <w:p>
            <w:pPr>
              <w:spacing w:after="0"/>
              <w:rPr>
                <w:sz w:val="20"/>
                <w:szCs w:val="20"/>
                <w:color w:val="auto"/>
              </w:rPr>
            </w:pPr>
          </w:p>
        </w:tc>
        <w:tc>
          <w:tcPr>
            <w:tcW w:w="120" w:type="dxa"/>
            <w:vAlign w:val="bottom"/>
            <w:tcBorders>
              <w:bottom w:val="single" w:sz="8" w:color="DDDDDD"/>
            </w:tcBorders>
          </w:tcPr>
          <w:p>
            <w:pPr>
              <w:spacing w:after="0"/>
              <w:rPr>
                <w:sz w:val="20"/>
                <w:szCs w:val="20"/>
                <w:color w:val="auto"/>
              </w:rPr>
            </w:pPr>
          </w:p>
        </w:tc>
        <w:tc>
          <w:tcPr>
            <w:tcW w:w="340" w:type="dxa"/>
            <w:vAlign w:val="bottom"/>
            <w:tcBorders>
              <w:bottom w:val="single" w:sz="8" w:color="DC202E"/>
            </w:tcBorders>
          </w:tcPr>
          <w:p>
            <w:pPr>
              <w:spacing w:after="0"/>
              <w:rPr>
                <w:sz w:val="20"/>
                <w:szCs w:val="20"/>
                <w:color w:val="auto"/>
              </w:rPr>
            </w:pPr>
          </w:p>
        </w:tc>
        <w:tc>
          <w:tcPr>
            <w:tcW w:w="1100" w:type="dxa"/>
            <w:vAlign w:val="bottom"/>
            <w:tcBorders>
              <w:bottom w:val="single" w:sz="8" w:color="DC202E"/>
            </w:tcBorders>
          </w:tcPr>
          <w:p>
            <w:pPr>
              <w:jc w:val="right"/>
              <w:ind w:right="47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DDDDDD"/>
            </w:tcBorders>
          </w:tcPr>
          <w:p>
            <w:pPr>
              <w:spacing w:after="0"/>
              <w:rPr>
                <w:sz w:val="20"/>
                <w:szCs w:val="20"/>
                <w:color w:val="auto"/>
              </w:rPr>
            </w:pPr>
          </w:p>
        </w:tc>
        <w:tc>
          <w:tcPr>
            <w:tcW w:w="340" w:type="dxa"/>
            <w:vAlign w:val="bottom"/>
            <w:tcBorders>
              <w:bottom w:val="single" w:sz="8" w:color="DC202E"/>
            </w:tcBorders>
          </w:tcPr>
          <w:p>
            <w:pPr>
              <w:spacing w:after="0"/>
              <w:rPr>
                <w:sz w:val="20"/>
                <w:szCs w:val="20"/>
                <w:color w:val="auto"/>
              </w:rPr>
            </w:pPr>
          </w:p>
        </w:tc>
        <w:tc>
          <w:tcPr>
            <w:tcW w:w="1120" w:type="dxa"/>
            <w:vAlign w:val="bottom"/>
            <w:tcBorders>
              <w:bottom w:val="single" w:sz="8" w:color="DC202E"/>
            </w:tcBorders>
          </w:tcPr>
          <w:p>
            <w:pPr>
              <w:jc w:val="right"/>
              <w:ind w:right="473"/>
              <w:spacing w:after="0"/>
              <w:rPr>
                <w:sz w:val="20"/>
                <w:szCs w:val="20"/>
                <w:color w:val="auto"/>
              </w:rPr>
            </w:pPr>
            <w:r>
              <w:rPr>
                <w:rFonts w:ascii="Arial" w:cs="Arial" w:eastAsia="Arial" w:hAnsi="Arial"/>
                <w:sz w:val="14"/>
                <w:szCs w:val="14"/>
                <w:b w:val="1"/>
                <w:bCs w:val="1"/>
                <w:color w:val="auto"/>
              </w:rPr>
              <w:t>2018</w:t>
            </w:r>
          </w:p>
        </w:tc>
      </w:tr>
      <w:tr>
        <w:trPr>
          <w:trHeight w:val="230"/>
        </w:trPr>
        <w:tc>
          <w:tcPr>
            <w:tcW w:w="6660" w:type="dxa"/>
            <w:vAlign w:val="bottom"/>
            <w:shd w:val="clear" w:color="auto" w:fill="DDDDDD"/>
          </w:tcPr>
          <w:p>
            <w:pPr>
              <w:ind w:left="20"/>
              <w:spacing w:after="0"/>
              <w:rPr>
                <w:sz w:val="20"/>
                <w:szCs w:val="20"/>
                <w:color w:val="auto"/>
              </w:rPr>
            </w:pPr>
            <w:r>
              <w:rPr>
                <w:rFonts w:ascii="Arial" w:cs="Arial" w:eastAsia="Arial" w:hAnsi="Arial"/>
                <w:sz w:val="18"/>
                <w:szCs w:val="18"/>
                <w:color w:val="auto"/>
              </w:rPr>
              <w:t>Cash provided by (used for):</w:t>
            </w:r>
          </w:p>
        </w:tc>
        <w:tc>
          <w:tcPr>
            <w:tcW w:w="900" w:type="dxa"/>
            <w:vAlign w:val="bottom"/>
            <w:shd w:val="clear" w:color="auto" w:fill="DDDDDD"/>
          </w:tcPr>
          <w:p>
            <w:pPr>
              <w:spacing w:after="0"/>
              <w:rPr>
                <w:sz w:val="19"/>
                <w:szCs w:val="19"/>
                <w:color w:val="auto"/>
              </w:rPr>
            </w:pPr>
          </w:p>
        </w:tc>
        <w:tc>
          <w:tcPr>
            <w:tcW w:w="54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1120" w:type="dxa"/>
            <w:vAlign w:val="bottom"/>
            <w:shd w:val="clear" w:color="auto" w:fill="DDDDDD"/>
          </w:tcPr>
          <w:p>
            <w:pPr>
              <w:spacing w:after="0"/>
              <w:rPr>
                <w:sz w:val="19"/>
                <w:szCs w:val="19"/>
                <w:color w:val="auto"/>
              </w:rPr>
            </w:pPr>
          </w:p>
        </w:tc>
      </w:tr>
      <w:tr>
        <w:trPr>
          <w:trHeight w:val="230"/>
        </w:trPr>
        <w:tc>
          <w:tcPr>
            <w:tcW w:w="6660" w:type="dxa"/>
            <w:vAlign w:val="bottom"/>
          </w:tcPr>
          <w:p>
            <w:pPr>
              <w:ind w:left="220"/>
              <w:spacing w:after="0"/>
              <w:rPr>
                <w:sz w:val="20"/>
                <w:szCs w:val="20"/>
                <w:color w:val="auto"/>
              </w:rPr>
            </w:pPr>
            <w:r>
              <w:rPr>
                <w:rFonts w:ascii="Arial" w:cs="Arial" w:eastAsia="Arial" w:hAnsi="Arial"/>
                <w:sz w:val="18"/>
                <w:szCs w:val="18"/>
                <w:color w:val="auto"/>
              </w:rPr>
              <w:t>Operating activities</w:t>
            </w:r>
          </w:p>
        </w:tc>
        <w:tc>
          <w:tcPr>
            <w:tcW w:w="900" w:type="dxa"/>
            <w:vAlign w:val="bottom"/>
          </w:tcPr>
          <w:p>
            <w:pPr>
              <w:jc w:val="right"/>
              <w:ind w:right="696"/>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6,208</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6,897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6,434</w:t>
            </w:r>
          </w:p>
        </w:tc>
      </w:tr>
      <w:tr>
        <w:trPr>
          <w:trHeight w:val="230"/>
        </w:trPr>
        <w:tc>
          <w:tcPr>
            <w:tcW w:w="6660" w:type="dxa"/>
            <w:vAlign w:val="bottom"/>
            <w:shd w:val="clear" w:color="auto" w:fill="DDDDDD"/>
          </w:tcPr>
          <w:p>
            <w:pPr>
              <w:ind w:left="220"/>
              <w:spacing w:after="0"/>
              <w:rPr>
                <w:sz w:val="20"/>
                <w:szCs w:val="20"/>
                <w:color w:val="auto"/>
              </w:rPr>
            </w:pPr>
            <w:r>
              <w:rPr>
                <w:rFonts w:ascii="Arial" w:cs="Arial" w:eastAsia="Arial" w:hAnsi="Arial"/>
                <w:sz w:val="18"/>
                <w:szCs w:val="18"/>
                <w:color w:val="auto"/>
              </w:rPr>
              <w:t>Investing activities</w:t>
            </w:r>
          </w:p>
        </w:tc>
        <w:tc>
          <w:tcPr>
            <w:tcW w:w="900" w:type="dxa"/>
            <w:vAlign w:val="bottom"/>
            <w:shd w:val="clear" w:color="auto" w:fill="DDDDDD"/>
          </w:tcPr>
          <w:p>
            <w:pPr>
              <w:spacing w:after="0"/>
              <w:rPr>
                <w:sz w:val="19"/>
                <w:szCs w:val="19"/>
                <w:color w:val="auto"/>
              </w:rPr>
            </w:pPr>
          </w:p>
        </w:tc>
        <w:tc>
          <w:tcPr>
            <w:tcW w:w="5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(987)</w:t>
            </w:r>
          </w:p>
        </w:tc>
        <w:tc>
          <w:tcPr>
            <w:tcW w:w="12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(533)</w:t>
            </w:r>
          </w:p>
        </w:tc>
        <w:tc>
          <w:tcPr>
            <w:tcW w:w="10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11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1,027</w:t>
            </w:r>
          </w:p>
        </w:tc>
      </w:tr>
      <w:tr>
        <w:trPr>
          <w:trHeight w:val="230"/>
        </w:trPr>
        <w:tc>
          <w:tcPr>
            <w:tcW w:w="6660" w:type="dxa"/>
            <w:vAlign w:val="bottom"/>
          </w:tcPr>
          <w:p>
            <w:pPr>
              <w:ind w:left="220"/>
              <w:spacing w:after="0"/>
              <w:rPr>
                <w:sz w:val="20"/>
                <w:szCs w:val="20"/>
                <w:color w:val="auto"/>
              </w:rPr>
            </w:pPr>
            <w:r>
              <w:rPr>
                <w:rFonts w:ascii="Arial" w:cs="Arial" w:eastAsia="Arial" w:hAnsi="Arial"/>
                <w:sz w:val="18"/>
                <w:szCs w:val="18"/>
                <w:color w:val="auto"/>
              </w:rPr>
              <w:t>Financing activities</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(5,032)</w:t>
            </w:r>
          </w:p>
        </w:tc>
      </w:tr>
      <w:tr>
        <w:trPr>
          <w:trHeight w:val="229"/>
        </w:trPr>
        <w:tc>
          <w:tcPr>
            <w:tcW w:w="6660" w:type="dxa"/>
            <w:vAlign w:val="bottom"/>
            <w:shd w:val="clear" w:color="auto" w:fill="DDDDDD"/>
          </w:tcPr>
          <w:p>
            <w:pPr>
              <w:ind w:left="220"/>
              <w:spacing w:after="0"/>
              <w:rPr>
                <w:sz w:val="20"/>
                <w:szCs w:val="20"/>
                <w:color w:val="auto"/>
              </w:rPr>
            </w:pPr>
            <w:r>
              <w:rPr>
                <w:rFonts w:ascii="Arial" w:cs="Arial" w:eastAsia="Arial" w:hAnsi="Arial"/>
                <w:sz w:val="18"/>
                <w:szCs w:val="18"/>
                <w:color w:val="auto"/>
              </w:rPr>
              <w:t>Effect of exchange rate changes on cash</w:t>
            </w:r>
          </w:p>
        </w:tc>
        <w:tc>
          <w:tcPr>
            <w:tcW w:w="900" w:type="dxa"/>
            <w:vAlign w:val="bottom"/>
            <w:tcBorders>
              <w:bottom w:val="single" w:sz="8" w:color="auto"/>
            </w:tcBorders>
            <w:shd w:val="clear" w:color="auto" w:fill="DDDDDD"/>
          </w:tcPr>
          <w:p>
            <w:pPr>
              <w:spacing w:after="0"/>
              <w:rPr>
                <w:sz w:val="19"/>
                <w:szCs w:val="19"/>
                <w:color w:val="auto"/>
              </w:rPr>
            </w:pPr>
          </w:p>
        </w:tc>
        <w:tc>
          <w:tcPr>
            <w:tcW w:w="5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68</w:t>
            </w:r>
          </w:p>
        </w:tc>
        <w:tc>
          <w:tcPr>
            <w:tcW w:w="120" w:type="dxa"/>
            <w:vAlign w:val="bottom"/>
            <w:shd w:val="clear" w:color="auto" w:fill="DDDDDD"/>
          </w:tcPr>
          <w:p>
            <w:pPr>
              <w:spacing w:after="0"/>
              <w:rPr>
                <w:sz w:val="19"/>
                <w:szCs w:val="19"/>
                <w:color w:val="auto"/>
              </w:rPr>
            </w:pPr>
          </w:p>
        </w:tc>
        <w:tc>
          <w:tcPr>
            <w:tcW w:w="340" w:type="dxa"/>
            <w:vAlign w:val="bottom"/>
            <w:tcBorders>
              <w:bottom w:val="single" w:sz="8" w:color="auto"/>
            </w:tcBorders>
            <w:shd w:val="clear" w:color="auto" w:fill="DDDDDD"/>
          </w:tcPr>
          <w:p>
            <w:pPr>
              <w:spacing w:after="0"/>
              <w:rPr>
                <w:sz w:val="19"/>
                <w:szCs w:val="19"/>
                <w:color w:val="auto"/>
              </w:rPr>
            </w:pPr>
          </w:p>
        </w:tc>
        <w:tc>
          <w:tcPr>
            <w:tcW w:w="11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DDDDDD"/>
          </w:tcPr>
          <w:p>
            <w:pPr>
              <w:spacing w:after="0"/>
              <w:rPr>
                <w:sz w:val="19"/>
                <w:szCs w:val="19"/>
                <w:color w:val="auto"/>
              </w:rPr>
            </w:pPr>
          </w:p>
        </w:tc>
        <w:tc>
          <w:tcPr>
            <w:tcW w:w="340" w:type="dxa"/>
            <w:vAlign w:val="bottom"/>
            <w:tcBorders>
              <w:bottom w:val="single" w:sz="8" w:color="auto"/>
            </w:tcBorders>
            <w:shd w:val="clear" w:color="auto" w:fill="DDDDDD"/>
          </w:tcPr>
          <w:p>
            <w:pPr>
              <w:spacing w:after="0"/>
              <w:rPr>
                <w:sz w:val="19"/>
                <w:szCs w:val="19"/>
                <w:color w:val="auto"/>
              </w:rPr>
            </w:pPr>
          </w:p>
        </w:tc>
        <w:tc>
          <w:tcPr>
            <w:tcW w:w="11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(201)</w:t>
            </w:r>
          </w:p>
        </w:tc>
      </w:tr>
      <w:tr>
        <w:trPr>
          <w:trHeight w:val="223"/>
        </w:trPr>
        <w:tc>
          <w:tcPr>
            <w:tcW w:w="6660" w:type="dxa"/>
            <w:vAlign w:val="bottom"/>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900" w:type="dxa"/>
            <w:vAlign w:val="bottom"/>
            <w:tcBorders>
              <w:bottom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5,208</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2,228</w:t>
            </w:r>
          </w:p>
        </w:tc>
      </w:tr>
      <w:tr>
        <w:trPr>
          <w:trHeight w:val="21"/>
        </w:trPr>
        <w:tc>
          <w:tcPr>
            <w:tcW w:w="66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compared with 2019</w:t>
      </w:r>
    </w:p>
    <w:p>
      <w:pPr>
        <w:spacing w:after="0" w:line="13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Cash provided by operating activities decreased by $689 million primarily due to lower net income of $1,364 million, partially offset by a favorable impact from working capital of $588 million (favorable accounts receivable and inventory, partially offset by accounts payable).</w:t>
      </w:r>
    </w:p>
    <w:p>
      <w:pPr>
        <w:spacing w:after="0" w:line="9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Cash used for investing activities increased by $454 million primarily due to a $251 million increase in payments related to settlements of derivative contracts, $211 million increase in cash paid for acquisitions, net of cash acquired, and $67 million increase in capital expenditures, partially offset by a net decrease in investments of $61 million.</w:t>
      </w:r>
    </w:p>
    <w:p>
      <w:pPr>
        <w:spacing w:after="0" w:line="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Cash used for financing activities decreased by $6,519 million primarily due to a $7,399 million increase in proceeds from the issuance of long-term debt and a $686 million decrease in repurchases of common stock, partially offset by an increase in payments of long-term debt of $1,405 million.</w:t>
      </w:r>
    </w:p>
    <w:p>
      <w:pPr>
        <w:spacing w:after="0" w:line="28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CASH REQUIREMENTS AND ASSESSMENT OF CURRENT LIQUIDITY</w:t>
      </w:r>
    </w:p>
    <w:p>
      <w:pPr>
        <w:spacing w:after="0" w:line="1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to our normal operating cash requirements, our principal future cash requirements will be to fund capital expenditures, share repurchases, dividends, strategic acquisitions and debt repayments. Specifically, we expect our primary cash requirements in 2021 to be as follows:</w:t>
      </w:r>
    </w:p>
    <w:p>
      <w:pPr>
        <w:spacing w:after="0" w:line="94" w:lineRule="exact"/>
        <w:rPr>
          <w:sz w:val="20"/>
          <w:szCs w:val="20"/>
          <w:color w:val="auto"/>
        </w:rPr>
      </w:pPr>
    </w:p>
    <w:p>
      <w:pPr>
        <w:ind w:left="660" w:hanging="328"/>
        <w:spacing w:after="0" w:line="261"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Capital expenditures—we expect to spend approximately $1 billion for capital expenditures in 2021 primarily for growth, production and capacity expansion, implementation of cost reduction measures, maintenance, and replacement.</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34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117" w:lineRule="exact"/>
        <w:rPr>
          <w:sz w:val="20"/>
          <w:szCs w:val="20"/>
          <w:color w:val="auto"/>
        </w:rPr>
      </w:pPr>
    </w:p>
    <w:p>
      <w:pPr>
        <w:jc w:val="both"/>
        <w:ind w:left="660" w:hanging="328"/>
        <w:spacing w:after="0" w:line="252"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Share repurchases—under our share repurchase program, $3.3 billion was available as of December 31, 2020 for additional share repurchases. We expect to repurchase outstanding shares from time to time to offset the dilutive impact of employee stock-based compensation plans, including option exercises, restricted unit vesting and matching contributions under our savings plans. Additionally, we will seek to reduce share count via share repurchases as and when attractive opportunities arise. The amount and timing of future repurchases may vary depending on market conditions and our level of operating, financing and other investing activities.</w:t>
      </w:r>
    </w:p>
    <w:p>
      <w:pPr>
        <w:spacing w:after="0" w:line="100"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Dividends—we increased our quarterly dividend rate by 3% to $0.93 per share of common stock effective with the fourth quarter 2020 dividend. We intend to continue to pay quarterly dividends in 2021.</w:t>
      </w:r>
    </w:p>
    <w:p>
      <w:pPr>
        <w:spacing w:after="0" w:line="9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continue to identify opportunities to improve our liquidity and working capital efficiency, which includes the extension of payment terms with our suppliers. In addition, multiple third-party financial institutions offer a voluntary supply chain financing (SCF) program which enables our suppliers, at their sole discretion, to sell their receivables from the Company to these financial institutions on terms that are negotiated between the supplier and the respective financial institution. We agree on commercial terms for the goods and services we procure from our suppliers, including prices, quantities and payment terms, regardless of whether the supplier elects to participate in the SCF program. Our suppliers’ voluntary participation in the SCF program has no bearing on our payment terms and we have no economic interest in a supplier’s decision to participate in the SCF program.</w:t>
      </w:r>
    </w:p>
    <w:p>
      <w:pPr>
        <w:spacing w:after="0" w:line="9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Amounts due to our suppliers that elected to participate in the SCF programs are included in Accounts payable on the Consolidated Balance Sheet. At December 31, 2020, Accounts payable included $0.6 billion payable to suppliers who have elected to participate in the SCF program. Amounts settled with third-party financial institutions through the SCF program increased $0.5 billion for the year ended December 31, 2020. The increase for the year ended December 31, 2020 reflects a combination of an extension of payment terms with suppliers and increased utilization of our SCF program. All activity related to amounts due to suppliers that elected to participate in the SCF program is reflected in cash flows from operating activities in our Consolidated Statement of Cash Flows. While access to SCF could decrease if our credit ratings are downgraded, we do not believe that changes in the availability of SCF will have a significant impact on our liquidity. The impact of this program is not material to our overall liquidity.</w:t>
      </w:r>
    </w:p>
    <w:p>
      <w:pPr>
        <w:spacing w:after="0" w:line="9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sell trade receivables to unaffiliated financial institutions without recourse. Transfers of the receivables are accounted for as sales and, accordingly, receivables sold are excluded from Accounts receivable—net on the Consolidated Balance Sheet and are reflected in cash flows from operating activities on the Consolidated Statement of Cash Flows. The difference between the carrying amount of the trade receivables sold and the cash received is recorded in Cost of products and services sold on the Consolidated Statement of Operations. Amounts settled with third-party financial institutions related to accounts receivable factoring were not material for the year ended December 31, 2020, and the impact of this program is not material to our overall liquidity.</w:t>
      </w:r>
    </w:p>
    <w:p>
      <w:pPr>
        <w:spacing w:after="0" w:line="10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Finally, we continue to assess the relative strength of each business in our portfolio as to strategic fit, market position, profit and cash flow contribution in order to identify target investment and acquisition opportunities in order to upgrade our combined portfolio. We identify acquisition candidates that will further our strategic plan and strengthen our existing core businesses. We also identify businesses that do not fit into our long-term strategic plan based on their market position, relative profitability or growth potential. These businesses are considered for potential divestiture, restructuring or other repositioning actions, subject to regulatory constraints.</w:t>
      </w:r>
    </w:p>
    <w:p>
      <w:pPr>
        <w:spacing w:after="0" w:line="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Based on past performance and current expectations, we believe that our operating cash flows will be sufficient to meet our future operating cash needs. Our available cash, committed credit lines and access to the public debt and equity markets provide additional sources of short-term and long-term liquidity to fund current operations, debt maturities, and future investment opportunities.</w:t>
      </w:r>
    </w:p>
    <w:p>
      <w:pPr>
        <w:spacing w:after="0" w:line="9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See Note 10 Long-term Debt and Credit Agreements of Notes to Consolidated Financial Statements for additional discussion of items impacting our liquidity.</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35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30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CONTRACTUAL OBLIGATIONS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summary of our significant contractual obligations and probable liability payments at December 31, 2020:</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DC202E"/>
            </w:tcBorders>
          </w:tcPr>
          <w:p>
            <w:pPr>
              <w:spacing w:after="0"/>
              <w:rPr>
                <w:sz w:val="17"/>
                <w:szCs w:val="17"/>
                <w:color w:val="auto"/>
              </w:rPr>
            </w:pPr>
          </w:p>
        </w:tc>
        <w:tc>
          <w:tcPr>
            <w:tcW w:w="1080" w:type="dxa"/>
            <w:vAlign w:val="bottom"/>
            <w:tcBorders>
              <w:bottom w:val="single" w:sz="8" w:color="DC202E"/>
            </w:tcBorders>
          </w:tcPr>
          <w:p>
            <w:pPr>
              <w:spacing w:after="0"/>
              <w:rPr>
                <w:sz w:val="17"/>
                <w:szCs w:val="17"/>
                <w:color w:val="auto"/>
              </w:rPr>
            </w:pPr>
          </w:p>
        </w:tc>
        <w:tc>
          <w:tcPr>
            <w:tcW w:w="100" w:type="dxa"/>
            <w:vAlign w:val="bottom"/>
            <w:tcBorders>
              <w:bottom w:val="single" w:sz="8" w:color="DC202E"/>
            </w:tcBorders>
          </w:tcPr>
          <w:p>
            <w:pPr>
              <w:spacing w:after="0"/>
              <w:rPr>
                <w:sz w:val="17"/>
                <w:szCs w:val="17"/>
                <w:color w:val="auto"/>
              </w:rPr>
            </w:pPr>
          </w:p>
        </w:tc>
        <w:tc>
          <w:tcPr>
            <w:tcW w:w="1540" w:type="dxa"/>
            <w:vAlign w:val="bottom"/>
            <w:tcBorders>
              <w:bottom w:val="single" w:sz="8" w:color="DC202E"/>
            </w:tcBorders>
            <w:gridSpan w:val="3"/>
          </w:tcPr>
          <w:p>
            <w:pPr>
              <w:ind w:left="40"/>
              <w:spacing w:after="0"/>
              <w:rPr>
                <w:sz w:val="20"/>
                <w:szCs w:val="20"/>
                <w:color w:val="auto"/>
              </w:rPr>
            </w:pPr>
            <w:r>
              <w:rPr>
                <w:rFonts w:ascii="Arial" w:cs="Arial" w:eastAsia="Arial" w:hAnsi="Arial"/>
                <w:sz w:val="14"/>
                <w:szCs w:val="14"/>
                <w:b w:val="1"/>
                <w:bCs w:val="1"/>
                <w:color w:val="auto"/>
              </w:rPr>
              <w:t>Payments by Period</w:t>
            </w:r>
          </w:p>
        </w:tc>
        <w:tc>
          <w:tcPr>
            <w:tcW w:w="320" w:type="dxa"/>
            <w:vAlign w:val="bottom"/>
            <w:tcBorders>
              <w:bottom w:val="single" w:sz="8" w:color="DC202E"/>
            </w:tcBorders>
          </w:tcPr>
          <w:p>
            <w:pPr>
              <w:spacing w:after="0"/>
              <w:rPr>
                <w:sz w:val="17"/>
                <w:szCs w:val="17"/>
                <w:color w:val="auto"/>
              </w:rPr>
            </w:pPr>
          </w:p>
        </w:tc>
        <w:tc>
          <w:tcPr>
            <w:tcW w:w="1120" w:type="dxa"/>
            <w:vAlign w:val="bottom"/>
            <w:tcBorders>
              <w:bottom w:val="single" w:sz="8" w:color="DC202E"/>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28"/>
                <w:szCs w:val="28"/>
                <w:b w:val="1"/>
                <w:bCs w:val="1"/>
                <w:color w:val="auto"/>
                <w:vertAlign w:val="subscript"/>
              </w:rPr>
              <w:t>Total</w:t>
            </w:r>
            <w:r>
              <w:rPr>
                <w:rFonts w:ascii="Arial" w:cs="Arial" w:eastAsia="Arial" w:hAnsi="Arial"/>
                <w:sz w:val="9"/>
                <w:szCs w:val="9"/>
                <w:b w:val="1"/>
                <w:bCs w:val="1"/>
                <w:color w:val="auto"/>
              </w:rPr>
              <w:t>(6)(7)</w:t>
            </w:r>
          </w:p>
        </w:tc>
        <w:tc>
          <w:tcPr>
            <w:tcW w:w="340" w:type="dxa"/>
            <w:vAlign w:val="bottom"/>
          </w:tcPr>
          <w:p>
            <w:pPr>
              <w:spacing w:after="0"/>
              <w:rPr>
                <w:sz w:val="15"/>
                <w:szCs w:val="15"/>
                <w:color w:val="auto"/>
              </w:rPr>
            </w:pPr>
          </w:p>
        </w:tc>
        <w:tc>
          <w:tcPr>
            <w:tcW w:w="108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ind w:right="434"/>
              <w:spacing w:after="0"/>
              <w:rPr>
                <w:sz w:val="20"/>
                <w:szCs w:val="20"/>
                <w:color w:val="auto"/>
              </w:rPr>
            </w:pPr>
            <w:r>
              <w:rPr>
                <w:rFonts w:ascii="Arial" w:cs="Arial" w:eastAsia="Arial" w:hAnsi="Arial"/>
                <w:sz w:val="14"/>
                <w:szCs w:val="14"/>
                <w:b w:val="1"/>
                <w:bCs w:val="1"/>
                <w:color w:val="auto"/>
              </w:rPr>
              <w:t>2022 -</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ind w:right="434"/>
              <w:spacing w:after="0"/>
              <w:rPr>
                <w:sz w:val="20"/>
                <w:szCs w:val="20"/>
                <w:color w:val="auto"/>
              </w:rPr>
            </w:pPr>
            <w:r>
              <w:rPr>
                <w:rFonts w:ascii="Arial" w:cs="Arial" w:eastAsia="Arial" w:hAnsi="Arial"/>
                <w:sz w:val="14"/>
                <w:szCs w:val="14"/>
                <w:b w:val="1"/>
                <w:bCs w:val="1"/>
                <w:color w:val="auto"/>
              </w:rPr>
              <w:t>2024 -</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183"/>
        </w:trPr>
        <w:tc>
          <w:tcPr>
            <w:tcW w:w="3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ind w:right="47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ind w:right="474"/>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640" w:type="dxa"/>
            <w:vAlign w:val="bottom"/>
            <w:tcBorders>
              <w:top w:val="single" w:sz="8" w:color="DDDDDD"/>
            </w:tcBorders>
            <w:shd w:val="clear" w:color="auto" w:fill="DDDDDD"/>
          </w:tcPr>
          <w:p>
            <w:pPr>
              <w:ind w:left="20"/>
              <w:spacing w:after="0" w:line="230" w:lineRule="exact"/>
              <w:rPr>
                <w:sz w:val="20"/>
                <w:szCs w:val="20"/>
                <w:color w:val="auto"/>
              </w:rPr>
            </w:pPr>
            <w:r>
              <w:rPr>
                <w:rFonts w:ascii="Arial" w:cs="Arial" w:eastAsia="Arial" w:hAnsi="Arial"/>
                <w:sz w:val="18"/>
                <w:szCs w:val="18"/>
                <w:color w:val="auto"/>
              </w:rPr>
              <w:t>Long-term debt, including finance leases</w:t>
            </w:r>
            <w:r>
              <w:rPr>
                <w:rFonts w:ascii="Arial" w:cs="Arial" w:eastAsia="Arial" w:hAnsi="Arial"/>
                <w:sz w:val="23"/>
                <w:szCs w:val="23"/>
                <w:color w:val="auto"/>
                <w:vertAlign w:val="superscript"/>
              </w:rPr>
              <w:t>(1)</w:t>
            </w:r>
          </w:p>
        </w:tc>
        <w:tc>
          <w:tcPr>
            <w:tcW w:w="280" w:type="dxa"/>
            <w:vAlign w:val="bottom"/>
            <w:tcBorders>
              <w:top w:val="single" w:sz="8" w:color="DC202E"/>
            </w:tcBorders>
            <w:shd w:val="clear" w:color="auto" w:fill="DDDDDD"/>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DC202E"/>
            </w:tcBorders>
            <w:shd w:val="clear" w:color="auto" w:fill="DDDDDD"/>
          </w:tcPr>
          <w:p>
            <w:pPr>
              <w:jc w:val="right"/>
              <w:spacing w:after="0"/>
              <w:rPr>
                <w:sz w:val="20"/>
                <w:szCs w:val="20"/>
                <w:color w:val="auto"/>
              </w:rPr>
            </w:pPr>
            <w:r>
              <w:rPr>
                <w:rFonts w:ascii="Arial" w:cs="Arial" w:eastAsia="Arial" w:hAnsi="Arial"/>
                <w:sz w:val="18"/>
                <w:szCs w:val="18"/>
                <w:color w:val="auto"/>
              </w:rPr>
              <w:t>18,787</w:t>
            </w:r>
          </w:p>
        </w:tc>
        <w:tc>
          <w:tcPr>
            <w:tcW w:w="100" w:type="dxa"/>
            <w:vAlign w:val="bottom"/>
            <w:tcBorders>
              <w:top w:val="single" w:sz="8" w:color="DDDDDD"/>
            </w:tcBorders>
            <w:shd w:val="clear" w:color="auto" w:fill="DDDDDD"/>
          </w:tcPr>
          <w:p>
            <w:pPr>
              <w:spacing w:after="0"/>
              <w:rPr>
                <w:sz w:val="19"/>
                <w:szCs w:val="19"/>
                <w:color w:val="auto"/>
              </w:rPr>
            </w:pPr>
          </w:p>
        </w:tc>
        <w:tc>
          <w:tcPr>
            <w:tcW w:w="340" w:type="dxa"/>
            <w:vAlign w:val="bottom"/>
            <w:tcBorders>
              <w:top w:val="single" w:sz="8" w:color="DC202E"/>
            </w:tcBorders>
            <w:shd w:val="clear" w:color="auto" w:fill="DDDDDD"/>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DC202E"/>
            </w:tcBorders>
            <w:shd w:val="clear" w:color="auto" w:fill="DDDDDD"/>
          </w:tcPr>
          <w:p>
            <w:pPr>
              <w:jc w:val="right"/>
              <w:spacing w:after="0"/>
              <w:rPr>
                <w:sz w:val="20"/>
                <w:szCs w:val="20"/>
                <w:color w:val="auto"/>
              </w:rPr>
            </w:pPr>
            <w:r>
              <w:rPr>
                <w:rFonts w:ascii="Arial" w:cs="Arial" w:eastAsia="Arial" w:hAnsi="Arial"/>
                <w:sz w:val="18"/>
                <w:szCs w:val="18"/>
                <w:color w:val="auto"/>
              </w:rPr>
              <w:t>2,445</w:t>
            </w:r>
          </w:p>
        </w:tc>
        <w:tc>
          <w:tcPr>
            <w:tcW w:w="100" w:type="dxa"/>
            <w:vAlign w:val="bottom"/>
            <w:tcBorders>
              <w:top w:val="single" w:sz="8" w:color="DDDDDD"/>
            </w:tcBorders>
            <w:shd w:val="clear" w:color="auto" w:fill="DDDDDD"/>
          </w:tcPr>
          <w:p>
            <w:pPr>
              <w:spacing w:after="0"/>
              <w:rPr>
                <w:sz w:val="19"/>
                <w:szCs w:val="19"/>
                <w:color w:val="auto"/>
              </w:rPr>
            </w:pPr>
          </w:p>
        </w:tc>
        <w:tc>
          <w:tcPr>
            <w:tcW w:w="320" w:type="dxa"/>
            <w:vAlign w:val="bottom"/>
            <w:tcBorders>
              <w:top w:val="single" w:sz="8" w:color="DC202E"/>
            </w:tcBorders>
            <w:shd w:val="clear" w:color="auto" w:fill="DDDDDD"/>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DC202E"/>
            </w:tcBorders>
            <w:shd w:val="clear" w:color="auto" w:fill="DDDDDD"/>
          </w:tcPr>
          <w:p>
            <w:pPr>
              <w:jc w:val="right"/>
              <w:spacing w:after="0"/>
              <w:rPr>
                <w:sz w:val="20"/>
                <w:szCs w:val="20"/>
                <w:color w:val="auto"/>
              </w:rPr>
            </w:pPr>
            <w:r>
              <w:rPr>
                <w:rFonts w:ascii="Arial" w:cs="Arial" w:eastAsia="Arial" w:hAnsi="Arial"/>
                <w:sz w:val="18"/>
                <w:szCs w:val="18"/>
                <w:color w:val="auto"/>
              </w:rPr>
              <w:t>6,102</w:t>
            </w:r>
          </w:p>
        </w:tc>
        <w:tc>
          <w:tcPr>
            <w:tcW w:w="100" w:type="dxa"/>
            <w:vAlign w:val="bottom"/>
            <w:tcBorders>
              <w:top w:val="single" w:sz="8" w:color="DDDDDD"/>
            </w:tcBorders>
            <w:shd w:val="clear" w:color="auto" w:fill="DDDDDD"/>
          </w:tcPr>
          <w:p>
            <w:pPr>
              <w:spacing w:after="0"/>
              <w:rPr>
                <w:sz w:val="19"/>
                <w:szCs w:val="19"/>
                <w:color w:val="auto"/>
              </w:rPr>
            </w:pPr>
          </w:p>
        </w:tc>
        <w:tc>
          <w:tcPr>
            <w:tcW w:w="320" w:type="dxa"/>
            <w:vAlign w:val="bottom"/>
            <w:tcBorders>
              <w:top w:val="single" w:sz="8" w:color="DC202E"/>
            </w:tcBorders>
            <w:shd w:val="clear" w:color="auto" w:fill="DDDDDD"/>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DC202E"/>
            </w:tcBorders>
            <w:shd w:val="clear" w:color="auto" w:fill="DDDDDD"/>
          </w:tcPr>
          <w:p>
            <w:pPr>
              <w:jc w:val="right"/>
              <w:spacing w:after="0"/>
              <w:rPr>
                <w:sz w:val="20"/>
                <w:szCs w:val="20"/>
                <w:color w:val="auto"/>
              </w:rPr>
            </w:pPr>
            <w:r>
              <w:rPr>
                <w:rFonts w:ascii="Arial" w:cs="Arial" w:eastAsia="Arial" w:hAnsi="Arial"/>
                <w:sz w:val="18"/>
                <w:szCs w:val="18"/>
                <w:color w:val="auto"/>
              </w:rPr>
              <w:t>2,647</w:t>
            </w:r>
          </w:p>
        </w:tc>
        <w:tc>
          <w:tcPr>
            <w:tcW w:w="100" w:type="dxa"/>
            <w:vAlign w:val="bottom"/>
            <w:tcBorders>
              <w:top w:val="single" w:sz="8" w:color="DDDDDD"/>
            </w:tcBorders>
            <w:shd w:val="clear" w:color="auto" w:fill="DDDDDD"/>
          </w:tcPr>
          <w:p>
            <w:pPr>
              <w:spacing w:after="0"/>
              <w:rPr>
                <w:sz w:val="19"/>
                <w:szCs w:val="19"/>
                <w:color w:val="auto"/>
              </w:rPr>
            </w:pPr>
          </w:p>
        </w:tc>
        <w:tc>
          <w:tcPr>
            <w:tcW w:w="240" w:type="dxa"/>
            <w:vAlign w:val="bottom"/>
            <w:tcBorders>
              <w:top w:val="single" w:sz="8" w:color="DC202E"/>
            </w:tcBorders>
            <w:shd w:val="clear" w:color="auto" w:fill="DDDDDD"/>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DC202E"/>
            </w:tcBorders>
            <w:shd w:val="clear" w:color="auto" w:fill="DDDDDD"/>
          </w:tcPr>
          <w:p>
            <w:pPr>
              <w:jc w:val="right"/>
              <w:spacing w:after="0"/>
              <w:rPr>
                <w:sz w:val="20"/>
                <w:szCs w:val="20"/>
                <w:color w:val="auto"/>
              </w:rPr>
            </w:pPr>
            <w:r>
              <w:rPr>
                <w:rFonts w:ascii="Arial" w:cs="Arial" w:eastAsia="Arial" w:hAnsi="Arial"/>
                <w:sz w:val="18"/>
                <w:szCs w:val="18"/>
                <w:color w:val="auto"/>
              </w:rPr>
              <w:t>7,593</w:t>
            </w:r>
          </w:p>
        </w:tc>
        <w:tc>
          <w:tcPr>
            <w:tcW w:w="0" w:type="dxa"/>
            <w:vAlign w:val="bottom"/>
          </w:tcPr>
          <w:p>
            <w:pPr>
              <w:spacing w:after="0"/>
              <w:rPr>
                <w:sz w:val="1"/>
                <w:szCs w:val="1"/>
                <w:color w:val="auto"/>
              </w:rPr>
            </w:pPr>
          </w:p>
        </w:tc>
      </w:tr>
      <w:tr>
        <w:trPr>
          <w:trHeight w:val="188"/>
        </w:trPr>
        <w:tc>
          <w:tcPr>
            <w:tcW w:w="3640" w:type="dxa"/>
            <w:vAlign w:val="bottom"/>
          </w:tcPr>
          <w:p>
            <w:pPr>
              <w:ind w:left="20"/>
              <w:spacing w:after="0" w:line="189" w:lineRule="exact"/>
              <w:rPr>
                <w:sz w:val="20"/>
                <w:szCs w:val="20"/>
                <w:color w:val="auto"/>
              </w:rPr>
            </w:pPr>
            <w:r>
              <w:rPr>
                <w:rFonts w:ascii="Arial" w:cs="Arial" w:eastAsia="Arial" w:hAnsi="Arial"/>
                <w:sz w:val="18"/>
                <w:szCs w:val="18"/>
                <w:color w:val="auto"/>
              </w:rPr>
              <w:t>Interest payments on long-term debt,</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640" w:type="dxa"/>
            <w:vAlign w:val="bottom"/>
          </w:tcPr>
          <w:p>
            <w:pPr>
              <w:ind w:left="20"/>
              <w:spacing w:after="0"/>
              <w:rPr>
                <w:sz w:val="20"/>
                <w:szCs w:val="20"/>
                <w:color w:val="auto"/>
              </w:rPr>
            </w:pPr>
            <w:r>
              <w:rPr>
                <w:rFonts w:ascii="Arial" w:cs="Arial" w:eastAsia="Arial" w:hAnsi="Arial"/>
                <w:sz w:val="18"/>
                <w:szCs w:val="18"/>
                <w:color w:val="auto"/>
              </w:rPr>
              <w:t>including finance leases</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3,674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2,171</w:t>
            </w:r>
          </w:p>
        </w:tc>
        <w:tc>
          <w:tcPr>
            <w:tcW w:w="0" w:type="dxa"/>
            <w:vAlign w:val="bottom"/>
          </w:tcPr>
          <w:p>
            <w:pPr>
              <w:spacing w:after="0"/>
              <w:rPr>
                <w:sz w:val="1"/>
                <w:szCs w:val="1"/>
                <w:color w:val="auto"/>
              </w:rPr>
            </w:pPr>
          </w:p>
        </w:tc>
      </w:tr>
      <w:tr>
        <w:trPr>
          <w:trHeight w:val="229"/>
        </w:trPr>
        <w:tc>
          <w:tcPr>
            <w:tcW w:w="3640" w:type="dxa"/>
            <w:vAlign w:val="bottom"/>
            <w:shd w:val="clear" w:color="auto" w:fill="DDDDDD"/>
          </w:tcPr>
          <w:p>
            <w:pPr>
              <w:ind w:left="20"/>
              <w:spacing w:after="0"/>
              <w:rPr>
                <w:sz w:val="20"/>
                <w:szCs w:val="20"/>
                <w:color w:val="auto"/>
              </w:rPr>
            </w:pPr>
            <w:r>
              <w:rPr>
                <w:rFonts w:ascii="Arial" w:cs="Arial" w:eastAsia="Arial" w:hAnsi="Arial"/>
                <w:sz w:val="18"/>
                <w:szCs w:val="18"/>
                <w:color w:val="auto"/>
              </w:rPr>
              <w:t>Operating lease liabilities</w:t>
            </w:r>
          </w:p>
        </w:tc>
        <w:tc>
          <w:tcPr>
            <w:tcW w:w="280" w:type="dxa"/>
            <w:vAlign w:val="bottom"/>
            <w:shd w:val="clear" w:color="auto" w:fill="DDDDDD"/>
          </w:tcPr>
          <w:p>
            <w:pPr>
              <w:spacing w:after="0"/>
              <w:rPr>
                <w:sz w:val="19"/>
                <w:szCs w:val="19"/>
                <w:color w:val="auto"/>
              </w:rPr>
            </w:pPr>
          </w:p>
        </w:tc>
        <w:tc>
          <w:tcPr>
            <w:tcW w:w="11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913</w:t>
            </w:r>
          </w:p>
        </w:tc>
        <w:tc>
          <w:tcPr>
            <w:tcW w:w="10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10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DDDDDD"/>
          </w:tcPr>
          <w:p>
            <w:pPr>
              <w:spacing w:after="0"/>
              <w:rPr>
                <w:sz w:val="19"/>
                <w:szCs w:val="19"/>
                <w:color w:val="auto"/>
              </w:rPr>
            </w:pPr>
          </w:p>
        </w:tc>
        <w:tc>
          <w:tcPr>
            <w:tcW w:w="320" w:type="dxa"/>
            <w:vAlign w:val="bottom"/>
            <w:shd w:val="clear" w:color="auto" w:fill="DDDDDD"/>
          </w:tcPr>
          <w:p>
            <w:pPr>
              <w:spacing w:after="0"/>
              <w:rPr>
                <w:sz w:val="19"/>
                <w:szCs w:val="19"/>
                <w:color w:val="auto"/>
              </w:rPr>
            </w:pPr>
          </w:p>
        </w:tc>
        <w:tc>
          <w:tcPr>
            <w:tcW w:w="11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306</w:t>
            </w:r>
          </w:p>
        </w:tc>
        <w:tc>
          <w:tcPr>
            <w:tcW w:w="100" w:type="dxa"/>
            <w:vAlign w:val="bottom"/>
            <w:shd w:val="clear" w:color="auto" w:fill="DDDDDD"/>
          </w:tcPr>
          <w:p>
            <w:pPr>
              <w:spacing w:after="0"/>
              <w:rPr>
                <w:sz w:val="19"/>
                <w:szCs w:val="19"/>
                <w:color w:val="auto"/>
              </w:rPr>
            </w:pPr>
          </w:p>
        </w:tc>
        <w:tc>
          <w:tcPr>
            <w:tcW w:w="320" w:type="dxa"/>
            <w:vAlign w:val="bottom"/>
            <w:shd w:val="clear" w:color="auto" w:fill="DDDDDD"/>
          </w:tcPr>
          <w:p>
            <w:pPr>
              <w:spacing w:after="0"/>
              <w:rPr>
                <w:sz w:val="19"/>
                <w:szCs w:val="19"/>
                <w:color w:val="auto"/>
              </w:rPr>
            </w:pPr>
          </w:p>
        </w:tc>
        <w:tc>
          <w:tcPr>
            <w:tcW w:w="11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DDDDDD"/>
          </w:tcPr>
          <w:p>
            <w:pPr>
              <w:spacing w:after="0"/>
              <w:rPr>
                <w:sz w:val="19"/>
                <w:szCs w:val="19"/>
                <w:color w:val="auto"/>
              </w:rPr>
            </w:pPr>
          </w:p>
        </w:tc>
        <w:tc>
          <w:tcPr>
            <w:tcW w:w="240" w:type="dxa"/>
            <w:vAlign w:val="bottom"/>
            <w:shd w:val="clear" w:color="auto" w:fill="DDDDDD"/>
          </w:tcPr>
          <w:p>
            <w:pPr>
              <w:spacing w:after="0"/>
              <w:rPr>
                <w:sz w:val="19"/>
                <w:szCs w:val="19"/>
                <w:color w:val="auto"/>
              </w:rPr>
            </w:pPr>
          </w:p>
        </w:tc>
        <w:tc>
          <w:tcPr>
            <w:tcW w:w="12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line="230" w:lineRule="exact"/>
              <w:rPr>
                <w:sz w:val="20"/>
                <w:szCs w:val="20"/>
                <w:color w:val="auto"/>
              </w:rPr>
            </w:pPr>
            <w:r>
              <w:rPr>
                <w:rFonts w:ascii="Arial" w:cs="Arial" w:eastAsia="Arial" w:hAnsi="Arial"/>
                <w:sz w:val="18"/>
                <w:szCs w:val="18"/>
                <w:color w:val="auto"/>
              </w:rPr>
              <w:t>Purchase obligations</w:t>
            </w:r>
            <w:r>
              <w:rPr>
                <w:rFonts w:ascii="Arial" w:cs="Arial" w:eastAsia="Arial" w:hAnsi="Arial"/>
                <w:sz w:val="23"/>
                <w:szCs w:val="23"/>
                <w:color w:val="auto"/>
                <w:vertAlign w:val="superscript"/>
              </w:rPr>
              <w:t>(2)</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1,374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29"/>
        </w:trPr>
        <w:tc>
          <w:tcPr>
            <w:tcW w:w="3640" w:type="dxa"/>
            <w:vAlign w:val="bottom"/>
            <w:shd w:val="clear" w:color="auto" w:fill="DDDDDD"/>
          </w:tcPr>
          <w:p>
            <w:pPr>
              <w:ind w:left="20"/>
              <w:spacing w:after="0" w:line="230" w:lineRule="exact"/>
              <w:rPr>
                <w:sz w:val="20"/>
                <w:szCs w:val="20"/>
                <w:color w:val="auto"/>
              </w:rPr>
            </w:pPr>
            <w:r>
              <w:rPr>
                <w:rFonts w:ascii="Arial" w:cs="Arial" w:eastAsia="Arial" w:hAnsi="Arial"/>
                <w:sz w:val="18"/>
                <w:szCs w:val="18"/>
                <w:color w:val="auto"/>
              </w:rPr>
              <w:t>Estimated environmental liability payments</w:t>
            </w:r>
            <w:r>
              <w:rPr>
                <w:rFonts w:ascii="Arial" w:cs="Arial" w:eastAsia="Arial" w:hAnsi="Arial"/>
                <w:sz w:val="23"/>
                <w:szCs w:val="23"/>
                <w:color w:val="auto"/>
                <w:vertAlign w:val="superscript"/>
              </w:rPr>
              <w:t>(3)</w:t>
            </w:r>
          </w:p>
        </w:tc>
        <w:tc>
          <w:tcPr>
            <w:tcW w:w="280" w:type="dxa"/>
            <w:vAlign w:val="bottom"/>
            <w:shd w:val="clear" w:color="auto" w:fill="DDDDDD"/>
          </w:tcPr>
          <w:p>
            <w:pPr>
              <w:spacing w:after="0"/>
              <w:rPr>
                <w:sz w:val="19"/>
                <w:szCs w:val="19"/>
                <w:color w:val="auto"/>
              </w:rPr>
            </w:pPr>
          </w:p>
        </w:tc>
        <w:tc>
          <w:tcPr>
            <w:tcW w:w="11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660</w:t>
            </w:r>
          </w:p>
        </w:tc>
        <w:tc>
          <w:tcPr>
            <w:tcW w:w="10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10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DDDDDD"/>
          </w:tcPr>
          <w:p>
            <w:pPr>
              <w:spacing w:after="0"/>
              <w:rPr>
                <w:sz w:val="19"/>
                <w:szCs w:val="19"/>
                <w:color w:val="auto"/>
              </w:rPr>
            </w:pPr>
          </w:p>
        </w:tc>
        <w:tc>
          <w:tcPr>
            <w:tcW w:w="320" w:type="dxa"/>
            <w:vAlign w:val="bottom"/>
            <w:shd w:val="clear" w:color="auto" w:fill="DDDDDD"/>
          </w:tcPr>
          <w:p>
            <w:pPr>
              <w:spacing w:after="0"/>
              <w:rPr>
                <w:sz w:val="19"/>
                <w:szCs w:val="19"/>
                <w:color w:val="auto"/>
              </w:rPr>
            </w:pPr>
          </w:p>
        </w:tc>
        <w:tc>
          <w:tcPr>
            <w:tcW w:w="11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DDDDDD"/>
          </w:tcPr>
          <w:p>
            <w:pPr>
              <w:spacing w:after="0"/>
              <w:rPr>
                <w:sz w:val="19"/>
                <w:szCs w:val="19"/>
                <w:color w:val="auto"/>
              </w:rPr>
            </w:pPr>
          </w:p>
        </w:tc>
        <w:tc>
          <w:tcPr>
            <w:tcW w:w="320" w:type="dxa"/>
            <w:vAlign w:val="bottom"/>
            <w:shd w:val="clear" w:color="auto" w:fill="DDDDDD"/>
          </w:tcPr>
          <w:p>
            <w:pPr>
              <w:spacing w:after="0"/>
              <w:rPr>
                <w:sz w:val="19"/>
                <w:szCs w:val="19"/>
                <w:color w:val="auto"/>
              </w:rPr>
            </w:pPr>
          </w:p>
        </w:tc>
        <w:tc>
          <w:tcPr>
            <w:tcW w:w="11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DDDDDD"/>
          </w:tcPr>
          <w:p>
            <w:pPr>
              <w:spacing w:after="0"/>
              <w:rPr>
                <w:sz w:val="19"/>
                <w:szCs w:val="19"/>
                <w:color w:val="auto"/>
              </w:rPr>
            </w:pPr>
          </w:p>
        </w:tc>
        <w:tc>
          <w:tcPr>
            <w:tcW w:w="240" w:type="dxa"/>
            <w:vAlign w:val="bottom"/>
            <w:shd w:val="clear" w:color="auto" w:fill="DDDDDD"/>
          </w:tcPr>
          <w:p>
            <w:pPr>
              <w:spacing w:after="0"/>
              <w:rPr>
                <w:sz w:val="19"/>
                <w:szCs w:val="19"/>
                <w:color w:val="auto"/>
              </w:rPr>
            </w:pPr>
          </w:p>
        </w:tc>
        <w:tc>
          <w:tcPr>
            <w:tcW w:w="12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line="230" w:lineRule="exact"/>
              <w:rPr>
                <w:sz w:val="20"/>
                <w:szCs w:val="20"/>
                <w:color w:val="auto"/>
              </w:rPr>
            </w:pPr>
            <w:r>
              <w:rPr>
                <w:rFonts w:ascii="Arial" w:cs="Arial" w:eastAsia="Arial" w:hAnsi="Arial"/>
                <w:sz w:val="18"/>
                <w:szCs w:val="18"/>
                <w:color w:val="auto"/>
              </w:rPr>
              <w:t>Asbestos related liability payments</w:t>
            </w:r>
            <w:r>
              <w:rPr>
                <w:rFonts w:ascii="Arial" w:cs="Arial" w:eastAsia="Arial" w:hAnsi="Arial"/>
                <w:sz w:val="23"/>
                <w:szCs w:val="23"/>
                <w:color w:val="auto"/>
                <w:vertAlign w:val="superscript"/>
              </w:rPr>
              <w:t>(4)</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30"/>
        </w:trPr>
        <w:tc>
          <w:tcPr>
            <w:tcW w:w="3640" w:type="dxa"/>
            <w:vAlign w:val="bottom"/>
            <w:shd w:val="clear" w:color="auto" w:fill="DDDDDD"/>
          </w:tcPr>
          <w:p>
            <w:pPr>
              <w:ind w:left="20"/>
              <w:spacing w:after="0" w:line="230" w:lineRule="exact"/>
              <w:rPr>
                <w:sz w:val="20"/>
                <w:szCs w:val="20"/>
                <w:color w:val="auto"/>
              </w:rPr>
            </w:pPr>
            <w:r>
              <w:rPr>
                <w:rFonts w:ascii="Arial" w:cs="Arial" w:eastAsia="Arial" w:hAnsi="Arial"/>
                <w:sz w:val="18"/>
                <w:szCs w:val="18"/>
                <w:color w:val="auto"/>
              </w:rPr>
              <w:t>Asbestos insurance recoveries</w:t>
            </w:r>
            <w:r>
              <w:rPr>
                <w:rFonts w:ascii="Arial" w:cs="Arial" w:eastAsia="Arial" w:hAnsi="Arial"/>
                <w:sz w:val="23"/>
                <w:szCs w:val="23"/>
                <w:color w:val="auto"/>
                <w:vertAlign w:val="superscript"/>
              </w:rPr>
              <w:t>(5)</w:t>
            </w:r>
          </w:p>
        </w:tc>
        <w:tc>
          <w:tcPr>
            <w:tcW w:w="280" w:type="dxa"/>
            <w:vAlign w:val="bottom"/>
            <w:tcBorders>
              <w:bottom w:val="single" w:sz="8" w:color="auto"/>
            </w:tcBorders>
            <w:shd w:val="clear" w:color="auto" w:fill="DDDDDD"/>
          </w:tcPr>
          <w:p>
            <w:pPr>
              <w:spacing w:after="0"/>
              <w:rPr>
                <w:sz w:val="19"/>
                <w:szCs w:val="19"/>
                <w:color w:val="auto"/>
              </w:rPr>
            </w:pPr>
          </w:p>
        </w:tc>
        <w:tc>
          <w:tcPr>
            <w:tcW w:w="1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(402)</w:t>
            </w:r>
          </w:p>
        </w:tc>
        <w:tc>
          <w:tcPr>
            <w:tcW w:w="100" w:type="dxa"/>
            <w:vAlign w:val="bottom"/>
            <w:shd w:val="clear" w:color="auto" w:fill="DDDDDD"/>
          </w:tcPr>
          <w:p>
            <w:pPr>
              <w:spacing w:after="0"/>
              <w:rPr>
                <w:sz w:val="19"/>
                <w:szCs w:val="19"/>
                <w:color w:val="auto"/>
              </w:rPr>
            </w:pPr>
          </w:p>
        </w:tc>
        <w:tc>
          <w:tcPr>
            <w:tcW w:w="340" w:type="dxa"/>
            <w:vAlign w:val="bottom"/>
            <w:tcBorders>
              <w:bottom w:val="single" w:sz="8" w:color="auto"/>
            </w:tcBorders>
            <w:shd w:val="clear" w:color="auto" w:fill="DDDDDD"/>
          </w:tcPr>
          <w:p>
            <w:pPr>
              <w:spacing w:after="0"/>
              <w:rPr>
                <w:sz w:val="19"/>
                <w:szCs w:val="19"/>
                <w:color w:val="auto"/>
              </w:rPr>
            </w:pPr>
          </w:p>
        </w:tc>
        <w:tc>
          <w:tcPr>
            <w:tcW w:w="10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DDDDDD"/>
          </w:tcPr>
          <w:p>
            <w:pPr>
              <w:spacing w:after="0"/>
              <w:rPr>
                <w:sz w:val="19"/>
                <w:szCs w:val="19"/>
                <w:color w:val="auto"/>
              </w:rPr>
            </w:pPr>
          </w:p>
        </w:tc>
        <w:tc>
          <w:tcPr>
            <w:tcW w:w="320" w:type="dxa"/>
            <w:vAlign w:val="bottom"/>
            <w:tcBorders>
              <w:bottom w:val="single" w:sz="8" w:color="auto"/>
            </w:tcBorders>
            <w:shd w:val="clear" w:color="auto" w:fill="DDDDDD"/>
          </w:tcPr>
          <w:p>
            <w:pPr>
              <w:spacing w:after="0"/>
              <w:rPr>
                <w:sz w:val="19"/>
                <w:szCs w:val="19"/>
                <w:color w:val="auto"/>
              </w:rPr>
            </w:pPr>
          </w:p>
        </w:tc>
        <w:tc>
          <w:tcPr>
            <w:tcW w:w="11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DDDDDD"/>
          </w:tcPr>
          <w:p>
            <w:pPr>
              <w:spacing w:after="0"/>
              <w:rPr>
                <w:sz w:val="19"/>
                <w:szCs w:val="19"/>
                <w:color w:val="auto"/>
              </w:rPr>
            </w:pPr>
          </w:p>
        </w:tc>
        <w:tc>
          <w:tcPr>
            <w:tcW w:w="320" w:type="dxa"/>
            <w:vAlign w:val="bottom"/>
            <w:tcBorders>
              <w:bottom w:val="single" w:sz="8" w:color="auto"/>
            </w:tcBorders>
            <w:shd w:val="clear" w:color="auto" w:fill="DDDDDD"/>
          </w:tcPr>
          <w:p>
            <w:pPr>
              <w:spacing w:after="0"/>
              <w:rPr>
                <w:sz w:val="19"/>
                <w:szCs w:val="19"/>
                <w:color w:val="auto"/>
              </w:rPr>
            </w:pPr>
          </w:p>
        </w:tc>
        <w:tc>
          <w:tcPr>
            <w:tcW w:w="11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DDDDDD"/>
          </w:tcPr>
          <w:p>
            <w:pPr>
              <w:spacing w:after="0"/>
              <w:rPr>
                <w:sz w:val="19"/>
                <w:szCs w:val="19"/>
                <w:color w:val="auto"/>
              </w:rPr>
            </w:pPr>
          </w:p>
        </w:tc>
        <w:tc>
          <w:tcPr>
            <w:tcW w:w="240" w:type="dxa"/>
            <w:vAlign w:val="bottom"/>
            <w:tcBorders>
              <w:bottom w:val="single" w:sz="8" w:color="auto"/>
            </w:tcBorders>
            <w:shd w:val="clear" w:color="auto" w:fill="DDDDDD"/>
          </w:tcPr>
          <w:p>
            <w:pPr>
              <w:spacing w:after="0"/>
              <w:rPr>
                <w:sz w:val="19"/>
                <w:szCs w:val="19"/>
                <w:color w:val="auto"/>
              </w:rPr>
            </w:pPr>
          </w:p>
        </w:tc>
        <w:tc>
          <w:tcPr>
            <w:tcW w:w="12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23"/>
        </w:trPr>
        <w:tc>
          <w:tcPr>
            <w:tcW w:w="364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29,447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4,884</w:t>
            </w:r>
          </w:p>
        </w:tc>
        <w:tc>
          <w:tcPr>
            <w:tcW w:w="100" w:type="dxa"/>
            <w:vAlign w:val="bottom"/>
          </w:tcPr>
          <w:p>
            <w:pPr>
              <w:spacing w:after="0"/>
              <w:rPr>
                <w:sz w:val="19"/>
                <w:szCs w:val="19"/>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11,315</w:t>
            </w:r>
          </w:p>
        </w:tc>
        <w:tc>
          <w:tcPr>
            <w:tcW w:w="0" w:type="dxa"/>
            <w:vAlign w:val="bottom"/>
          </w:tcPr>
          <w:p>
            <w:pPr>
              <w:spacing w:after="0"/>
              <w:rPr>
                <w:sz w:val="1"/>
                <w:szCs w:val="1"/>
                <w:color w:val="auto"/>
              </w:rPr>
            </w:pPr>
          </w:p>
        </w:tc>
      </w:tr>
      <w:tr>
        <w:trPr>
          <w:trHeight w:val="21"/>
        </w:trPr>
        <w:tc>
          <w:tcPr>
            <w:tcW w:w="3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320" w:hanging="312"/>
        <w:spacing w:after="0"/>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Assumes all long-term debt is outstanding until scheduled maturity.</w:t>
      </w:r>
    </w:p>
    <w:p>
      <w:pPr>
        <w:spacing w:after="0" w:line="9" w:lineRule="exact"/>
        <w:rPr>
          <w:rFonts w:ascii="Arial" w:cs="Arial" w:eastAsia="Arial" w:hAnsi="Arial"/>
          <w:sz w:val="18"/>
          <w:szCs w:val="18"/>
          <w:color w:val="auto"/>
        </w:rPr>
      </w:pPr>
    </w:p>
    <w:p>
      <w:pPr>
        <w:ind w:left="340" w:hanging="332"/>
        <w:spacing w:after="0" w:line="250" w:lineRule="auto"/>
        <w:tabs>
          <w:tab w:leader="none" w:pos="33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Purchase obligations are entered into with various vendors in the normal course of business and are consistent with our expected requirements. This includes leases that were entered into and had not yet commenced as of December 31, 2020.</w:t>
      </w:r>
    </w:p>
    <w:p>
      <w:pPr>
        <w:ind w:left="340" w:hanging="332"/>
        <w:spacing w:after="0" w:line="250" w:lineRule="auto"/>
        <w:tabs>
          <w:tab w:leader="none" w:pos="33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payment amounts in the table only reflect the environmental liabilities which are probable and reasonably estimable as of December 31, 2020.</w:t>
      </w:r>
    </w:p>
    <w:p>
      <w:pPr>
        <w:jc w:val="both"/>
        <w:ind w:left="340" w:hanging="332"/>
        <w:spacing w:after="0" w:line="250" w:lineRule="auto"/>
        <w:tabs>
          <w:tab w:leader="none" w:pos="33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These amounts are estimates of asbestos related cash payments for NARCO and Bendix based on our asbestos related liabilities which are probable and reasonably estimable as of December 31, 2020. See Asbestos Matters in Note 20 Commitments and Contingencies of Notes to Consolidated Financial Statements for additional information.</w:t>
      </w:r>
    </w:p>
    <w:p>
      <w:pPr>
        <w:spacing w:after="0" w:line="1" w:lineRule="exact"/>
        <w:rPr>
          <w:rFonts w:ascii="Arial" w:cs="Arial" w:eastAsia="Arial" w:hAnsi="Arial"/>
          <w:sz w:val="18"/>
          <w:szCs w:val="18"/>
          <w:color w:val="auto"/>
        </w:rPr>
      </w:pPr>
    </w:p>
    <w:p>
      <w:pPr>
        <w:jc w:val="both"/>
        <w:ind w:left="340" w:hanging="332"/>
        <w:spacing w:after="0" w:line="250" w:lineRule="auto"/>
        <w:tabs>
          <w:tab w:leader="none" w:pos="33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These amounts represent our insurance recoveries that are deemed probable for asbestos related liabilities as of December 31, 2020. See Asbestos Matters in Note 20 Commitments and Contingencies of Notes to Consolidated Financial Statements for additional information.</w:t>
      </w:r>
    </w:p>
    <w:p>
      <w:pPr>
        <w:spacing w:after="0" w:line="1" w:lineRule="exact"/>
        <w:rPr>
          <w:rFonts w:ascii="Arial" w:cs="Arial" w:eastAsia="Arial" w:hAnsi="Arial"/>
          <w:sz w:val="18"/>
          <w:szCs w:val="18"/>
          <w:color w:val="auto"/>
        </w:rPr>
      </w:pPr>
    </w:p>
    <w:p>
      <w:pPr>
        <w:ind w:left="340" w:right="20" w:hanging="332"/>
        <w:spacing w:after="0" w:line="250" w:lineRule="auto"/>
        <w:tabs>
          <w:tab w:leader="none" w:pos="33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table excludes tax liability payments, including those for unrecognized tax benefits. See Note 5 Income Taxes of Notes to Consolidated Financial Statements for additional information.</w:t>
      </w:r>
    </w:p>
    <w:p>
      <w:pPr>
        <w:ind w:left="340" w:right="20" w:hanging="332"/>
        <w:spacing w:after="0" w:line="261" w:lineRule="auto"/>
        <w:tabs>
          <w:tab w:leader="none" w:pos="33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table excludes expected proceeds from the indemnification and reimbursement agreements entered into with Garrett and Resideo. See Note 20 Commitments and Contingencies of Notes to Consolidated Financial Statements for additional information.</w:t>
      </w:r>
    </w:p>
    <w:p>
      <w:pPr>
        <w:spacing w:after="0" w:line="27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ASBESTOS MATTERS</w:t>
      </w:r>
    </w:p>
    <w:p>
      <w:pPr>
        <w:spacing w:after="0" w:line="1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Payments, net of insurance recoveries, related to known asbestos matters were $ 229 million, $163 million and $216 million for the years ended December 31, 2020, 2019 and 2018 and are estimated to be approximately $264 million in 2021. We expect to pay these asbestos matters from operating cash flows. The timing of these payments depends on several factors, including the timing of litigation and settlements of liability claims.</w:t>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Reimbursements from Garrett primarily for asbestos-related liability payments related to the Bendix business in the U.S., as defined in our indemnification and reimbursement agreement with Garrett, were $36 million in 2020. See Note 20 Commitments and Contingencies of Notes to Consolidated Financial Statements for further discussion of our asbestos matters and Garrett.</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36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30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ENVIRONMENTAL MATTERS</w:t>
      </w:r>
    </w:p>
    <w:p>
      <w:pPr>
        <w:spacing w:after="0" w:line="1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Accruals during the year for environmental matters deemed probable and reasonably estimable were $173 million, $213 million and $ 395 million for the years ended December 31, 2020, 2019 and 2018. In addition, for the years ended December 31, 2020, 2019 and 2018, we incurred operating costs for ongoing businesses of approximately $88 million, $99 million and $95 million relating to compliance with environmental regulations.</w:t>
      </w:r>
    </w:p>
    <w:p>
      <w:pPr>
        <w:spacing w:after="0" w:line="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Payments related to known environmental matters were $216 million, $ 256 million and $218 million for the years ended December 31, 2020, 2019 and 2018 and are estimated to be approximately $225 million in 2021. We expect to pay these environmental matters from operating cash flows. The timing of these payments depends on several factors, including the timing of litigation and settlements of remediation liability, personal injury and property damage claims, regulatory approval of cleanup projects, execution timeframe of projects, remedial techniques to be utilized and agreement with other parties.</w:t>
      </w:r>
    </w:p>
    <w:p>
      <w:pPr>
        <w:spacing w:after="0" w:line="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Reimbursements from Resideo for payments related to environmental matters at certain sites, as defined in the indemnification and reimbursement agreement, were $140 million in 2020 and are expected to be $140 million in 2021. We received $35 million in reimbursement payments from Resideo in January 2021.</w:t>
      </w:r>
    </w:p>
    <w:p>
      <w:pPr>
        <w:spacing w:after="0" w:line="9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See Note 20 Commitments and Contingencies of Notes to Consolidated Financial Statements for further discussion of our environmental matters and the indemnification and reimbursement agreement entered into with Resideo.</w:t>
      </w:r>
    </w:p>
    <w:p>
      <w:pPr>
        <w:spacing w:after="0" w:line="27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FINANCIAL INSTRUMENTS</w:t>
      </w:r>
    </w:p>
    <w:p>
      <w:pPr>
        <w:spacing w:after="0" w:line="1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uses derivative financial instruments to reduce our risks from interest and foreign currency exchange rate fluctuations. Derivative financial instruments are not used for trading or other speculative purposes and we do not use leveraged derivative financial instruments.</w:t>
      </w:r>
    </w:p>
    <w:p>
      <w:pPr>
        <w:spacing w:after="0" w:line="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following table illustrates the potential change in fair value for interest rate sensitive instruments based on a hypothetical immediate one percentage point increase in interest rates across all maturities and the potential change in fair value for foreign exchange rate sensitive instruments based on a 10% weakening of the U.S. Dollar versus local currency exchange rates across all maturities at December 31, 2020 and 2019.</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center"/>
              <w:ind w:right="157"/>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rPr>
              <w:t>Face or</w:t>
            </w:r>
          </w:p>
        </w:tc>
        <w:tc>
          <w:tcPr>
            <w:tcW w:w="2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tcPr>
          <w:p>
            <w:pPr>
              <w:jc w:val="center"/>
              <w:ind w:right="157"/>
              <w:spacing w:after="0" w:line="135"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Carrying</w:t>
            </w:r>
          </w:p>
        </w:tc>
        <w:tc>
          <w:tcPr>
            <w:tcW w:w="300" w:type="dxa"/>
            <w:vAlign w:val="bottom"/>
          </w:tcPr>
          <w:p>
            <w:pPr>
              <w:spacing w:after="0"/>
              <w:rPr>
                <w:sz w:val="11"/>
                <w:szCs w:val="11"/>
                <w:color w:val="auto"/>
              </w:rPr>
            </w:pPr>
          </w:p>
        </w:tc>
        <w:tc>
          <w:tcPr>
            <w:tcW w:w="12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rPr>
              <w:t>Fair</w:t>
            </w:r>
          </w:p>
        </w:tc>
        <w:tc>
          <w:tcPr>
            <w:tcW w:w="240" w:type="dxa"/>
            <w:vAlign w:val="bottom"/>
          </w:tcPr>
          <w:p>
            <w:pPr>
              <w:spacing w:after="0"/>
              <w:rPr>
                <w:sz w:val="11"/>
                <w:szCs w:val="11"/>
                <w:color w:val="auto"/>
              </w:rPr>
            </w:pPr>
          </w:p>
        </w:tc>
        <w:tc>
          <w:tcPr>
            <w:tcW w:w="1220" w:type="dxa"/>
            <w:vAlign w:val="bottom"/>
          </w:tcPr>
          <w:p>
            <w:pPr>
              <w:jc w:val="center"/>
              <w:ind w:right="157"/>
              <w:spacing w:after="0" w:line="135" w:lineRule="exact"/>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rPr>
              <w:t>Notional</w:t>
            </w:r>
          </w:p>
        </w:tc>
        <w:tc>
          <w:tcPr>
            <w:tcW w:w="26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tcPr>
          <w:p>
            <w:pPr>
              <w:jc w:val="center"/>
              <w:ind w:right="157"/>
              <w:spacing w:after="0" w:line="135" w:lineRule="exact"/>
              <w:rPr>
                <w:sz w:val="20"/>
                <w:szCs w:val="20"/>
                <w:color w:val="auto"/>
              </w:rPr>
            </w:pPr>
            <w:r>
              <w:rPr>
                <w:rFonts w:ascii="Arial" w:cs="Arial" w:eastAsia="Arial" w:hAnsi="Arial"/>
                <w:sz w:val="14"/>
                <w:szCs w:val="14"/>
                <w:b w:val="1"/>
                <w:bCs w:val="1"/>
                <w:color w:val="auto"/>
                <w:w w:val="99"/>
              </w:rPr>
              <w:t>in Fair</w:t>
            </w:r>
          </w:p>
        </w:tc>
        <w:tc>
          <w:tcPr>
            <w:tcW w:w="0" w:type="dxa"/>
            <w:vAlign w:val="bottom"/>
          </w:tcPr>
          <w:p>
            <w:pPr>
              <w:spacing w:after="0"/>
              <w:rPr>
                <w:sz w:val="1"/>
                <w:szCs w:val="1"/>
                <w:color w:val="auto"/>
              </w:rPr>
            </w:pPr>
          </w:p>
        </w:tc>
      </w:tr>
      <w:tr>
        <w:trPr>
          <w:trHeight w:val="182"/>
        </w:trPr>
        <w:tc>
          <w:tcPr>
            <w:tcW w:w="5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5"/>
                <w:szCs w:val="15"/>
                <w:color w:val="auto"/>
              </w:rPr>
            </w:pPr>
          </w:p>
        </w:tc>
        <w:tc>
          <w:tcPr>
            <w:tcW w:w="1260" w:type="dxa"/>
            <w:vAlign w:val="bottom"/>
            <w:gridSpan w:val="2"/>
          </w:tcPr>
          <w:p>
            <w:pPr>
              <w:jc w:val="center"/>
              <w:ind w:right="360"/>
              <w:spacing w:after="0" w:line="176" w:lineRule="exact"/>
              <w:rPr>
                <w:sz w:val="20"/>
                <w:szCs w:val="20"/>
                <w:color w:val="auto"/>
              </w:rPr>
            </w:pPr>
            <w:r>
              <w:rPr>
                <w:rFonts w:ascii="Arial" w:cs="Arial" w:eastAsia="Arial" w:hAnsi="Arial"/>
                <w:sz w:val="14"/>
                <w:szCs w:val="14"/>
                <w:b w:val="1"/>
                <w:bCs w:val="1"/>
                <w:color w:val="auto"/>
                <w:w w:val="96"/>
              </w:rPr>
              <w:t>Value</w:t>
            </w:r>
            <w:r>
              <w:rPr>
                <w:rFonts w:ascii="Arial" w:cs="Arial" w:eastAsia="Arial" w:hAnsi="Arial"/>
                <w:sz w:val="18"/>
                <w:szCs w:val="18"/>
                <w:b w:val="1"/>
                <w:bCs w:val="1"/>
                <w:color w:val="auto"/>
                <w:w w:val="96"/>
                <w:vertAlign w:val="superscript"/>
              </w:rPr>
              <w:t>(1)</w:t>
            </w:r>
          </w:p>
        </w:tc>
        <w:tc>
          <w:tcPr>
            <w:tcW w:w="300" w:type="dxa"/>
            <w:vAlign w:val="bottom"/>
          </w:tcPr>
          <w:p>
            <w:pPr>
              <w:spacing w:after="0"/>
              <w:rPr>
                <w:sz w:val="15"/>
                <w:szCs w:val="15"/>
                <w:color w:val="auto"/>
              </w:rPr>
            </w:pPr>
          </w:p>
        </w:tc>
        <w:tc>
          <w:tcPr>
            <w:tcW w:w="1240" w:type="dxa"/>
            <w:vAlign w:val="bottom"/>
            <w:gridSpan w:val="2"/>
          </w:tcPr>
          <w:p>
            <w:pPr>
              <w:jc w:val="center"/>
              <w:ind w:right="380"/>
              <w:spacing w:after="0" w:line="176" w:lineRule="exact"/>
              <w:rPr>
                <w:sz w:val="20"/>
                <w:szCs w:val="20"/>
                <w:color w:val="auto"/>
              </w:rPr>
            </w:pPr>
            <w:r>
              <w:rPr>
                <w:rFonts w:ascii="Arial" w:cs="Arial" w:eastAsia="Arial" w:hAnsi="Arial"/>
                <w:sz w:val="14"/>
                <w:szCs w:val="14"/>
                <w:b w:val="1"/>
                <w:bCs w:val="1"/>
                <w:color w:val="auto"/>
                <w:w w:val="96"/>
              </w:rPr>
              <w:t>Value</w:t>
            </w:r>
            <w:r>
              <w:rPr>
                <w:rFonts w:ascii="Arial" w:cs="Arial" w:eastAsia="Arial" w:hAnsi="Arial"/>
                <w:sz w:val="18"/>
                <w:szCs w:val="18"/>
                <w:b w:val="1"/>
                <w:bCs w:val="1"/>
                <w:color w:val="auto"/>
                <w:w w:val="96"/>
                <w:vertAlign w:val="superscript"/>
              </w:rPr>
              <w:t>(1)</w:t>
            </w:r>
          </w:p>
        </w:tc>
        <w:tc>
          <w:tcPr>
            <w:tcW w:w="240" w:type="dxa"/>
            <w:vAlign w:val="bottom"/>
          </w:tcPr>
          <w:p>
            <w:pPr>
              <w:spacing w:after="0"/>
              <w:rPr>
                <w:sz w:val="15"/>
                <w:szCs w:val="15"/>
                <w:color w:val="auto"/>
              </w:rPr>
            </w:pPr>
          </w:p>
        </w:tc>
        <w:tc>
          <w:tcPr>
            <w:tcW w:w="1220" w:type="dxa"/>
            <w:vAlign w:val="bottom"/>
          </w:tcPr>
          <w:p>
            <w:pPr>
              <w:jc w:val="center"/>
              <w:ind w:right="157"/>
              <w:spacing w:after="0" w:line="176" w:lineRule="exact"/>
              <w:rPr>
                <w:sz w:val="20"/>
                <w:szCs w:val="20"/>
                <w:color w:val="auto"/>
              </w:rPr>
            </w:pPr>
            <w:r>
              <w:rPr>
                <w:rFonts w:ascii="Arial" w:cs="Arial" w:eastAsia="Arial" w:hAnsi="Arial"/>
                <w:sz w:val="14"/>
                <w:szCs w:val="14"/>
                <w:b w:val="1"/>
                <w:bCs w:val="1"/>
                <w:color w:val="auto"/>
                <w:w w:val="96"/>
              </w:rPr>
              <w:t>Value</w:t>
            </w:r>
            <w:r>
              <w:rPr>
                <w:rFonts w:ascii="Arial" w:cs="Arial" w:eastAsia="Arial" w:hAnsi="Arial"/>
                <w:sz w:val="18"/>
                <w:szCs w:val="18"/>
                <w:b w:val="1"/>
                <w:bCs w:val="1"/>
                <w:color w:val="auto"/>
                <w:w w:val="96"/>
                <w:vertAlign w:val="superscript"/>
              </w:rPr>
              <w:t>(2)</w:t>
            </w:r>
          </w:p>
        </w:tc>
        <w:tc>
          <w:tcPr>
            <w:tcW w:w="0" w:type="dxa"/>
            <w:vAlign w:val="bottom"/>
          </w:tcPr>
          <w:p>
            <w:pPr>
              <w:spacing w:after="0"/>
              <w:rPr>
                <w:sz w:val="1"/>
                <w:szCs w:val="1"/>
                <w:color w:val="auto"/>
              </w:rPr>
            </w:pPr>
          </w:p>
        </w:tc>
      </w:tr>
      <w:tr>
        <w:trPr>
          <w:trHeight w:val="230"/>
        </w:trPr>
        <w:tc>
          <w:tcPr>
            <w:tcW w:w="5160" w:type="dxa"/>
            <w:vAlign w:val="bottom"/>
            <w:tcBorders>
              <w:top w:val="single" w:sz="8" w:color="DDDDDD"/>
            </w:tcBorders>
            <w:shd w:val="clear" w:color="auto" w:fill="DDDDDD"/>
          </w:tcPr>
          <w:p>
            <w:pPr>
              <w:ind w:left="20"/>
              <w:spacing w:after="0"/>
              <w:rPr>
                <w:sz w:val="20"/>
                <w:szCs w:val="20"/>
                <w:color w:val="auto"/>
              </w:rPr>
            </w:pPr>
            <w:r>
              <w:rPr>
                <w:rFonts w:ascii="Arial" w:cs="Arial" w:eastAsia="Arial" w:hAnsi="Arial"/>
                <w:sz w:val="18"/>
                <w:szCs w:val="18"/>
                <w:b w:val="1"/>
                <w:bCs w:val="1"/>
                <w:color w:val="auto"/>
              </w:rPr>
              <w:t>December 31, 2020</w:t>
            </w:r>
          </w:p>
        </w:tc>
        <w:tc>
          <w:tcPr>
            <w:tcW w:w="260" w:type="dxa"/>
            <w:vAlign w:val="bottom"/>
            <w:tcBorders>
              <w:top w:val="single" w:sz="8" w:color="DC202E"/>
            </w:tcBorders>
            <w:shd w:val="clear" w:color="auto" w:fill="DDDDDD"/>
          </w:tcPr>
          <w:p>
            <w:pPr>
              <w:spacing w:after="0"/>
              <w:rPr>
                <w:sz w:val="19"/>
                <w:szCs w:val="19"/>
                <w:color w:val="auto"/>
              </w:rPr>
            </w:pPr>
          </w:p>
        </w:tc>
        <w:tc>
          <w:tcPr>
            <w:tcW w:w="1160" w:type="dxa"/>
            <w:vAlign w:val="bottom"/>
            <w:tcBorders>
              <w:top w:val="single" w:sz="8" w:color="DC202E"/>
            </w:tcBorders>
            <w:shd w:val="clear" w:color="auto" w:fill="DDDDDD"/>
          </w:tcPr>
          <w:p>
            <w:pPr>
              <w:spacing w:after="0"/>
              <w:rPr>
                <w:sz w:val="19"/>
                <w:szCs w:val="19"/>
                <w:color w:val="auto"/>
              </w:rPr>
            </w:pPr>
          </w:p>
        </w:tc>
        <w:tc>
          <w:tcPr>
            <w:tcW w:w="120" w:type="dxa"/>
            <w:vAlign w:val="bottom"/>
            <w:tcBorders>
              <w:top w:val="single" w:sz="8" w:color="DDDDDD"/>
            </w:tcBorders>
            <w:shd w:val="clear" w:color="auto" w:fill="DDDDDD"/>
          </w:tcPr>
          <w:p>
            <w:pPr>
              <w:spacing w:after="0"/>
              <w:rPr>
                <w:sz w:val="19"/>
                <w:szCs w:val="19"/>
                <w:color w:val="auto"/>
              </w:rPr>
            </w:pPr>
          </w:p>
        </w:tc>
        <w:tc>
          <w:tcPr>
            <w:tcW w:w="260" w:type="dxa"/>
            <w:vAlign w:val="bottom"/>
            <w:tcBorders>
              <w:top w:val="single" w:sz="8" w:color="DC202E"/>
            </w:tcBorders>
            <w:shd w:val="clear" w:color="auto" w:fill="DDDDDD"/>
          </w:tcPr>
          <w:p>
            <w:pPr>
              <w:spacing w:after="0"/>
              <w:rPr>
                <w:sz w:val="19"/>
                <w:szCs w:val="19"/>
                <w:color w:val="auto"/>
              </w:rPr>
            </w:pPr>
          </w:p>
        </w:tc>
        <w:tc>
          <w:tcPr>
            <w:tcW w:w="1160" w:type="dxa"/>
            <w:vAlign w:val="bottom"/>
            <w:tcBorders>
              <w:top w:val="single" w:sz="8" w:color="DC202E"/>
            </w:tcBorders>
            <w:shd w:val="clear" w:color="auto" w:fill="DDDDDD"/>
          </w:tcPr>
          <w:p>
            <w:pPr>
              <w:spacing w:after="0"/>
              <w:rPr>
                <w:sz w:val="19"/>
                <w:szCs w:val="19"/>
                <w:color w:val="auto"/>
              </w:rPr>
            </w:pPr>
          </w:p>
        </w:tc>
        <w:tc>
          <w:tcPr>
            <w:tcW w:w="100" w:type="dxa"/>
            <w:vAlign w:val="bottom"/>
            <w:tcBorders>
              <w:top w:val="single" w:sz="8" w:color="DDDDDD"/>
            </w:tcBorders>
            <w:shd w:val="clear" w:color="auto" w:fill="DDDDDD"/>
          </w:tcPr>
          <w:p>
            <w:pPr>
              <w:spacing w:after="0"/>
              <w:rPr>
                <w:sz w:val="19"/>
                <w:szCs w:val="19"/>
                <w:color w:val="auto"/>
              </w:rPr>
            </w:pPr>
          </w:p>
        </w:tc>
        <w:tc>
          <w:tcPr>
            <w:tcW w:w="300" w:type="dxa"/>
            <w:vAlign w:val="bottom"/>
            <w:tcBorders>
              <w:top w:val="single" w:sz="8" w:color="DC202E"/>
            </w:tcBorders>
            <w:shd w:val="clear" w:color="auto" w:fill="DDDDDD"/>
          </w:tcPr>
          <w:p>
            <w:pPr>
              <w:spacing w:after="0"/>
              <w:rPr>
                <w:sz w:val="19"/>
                <w:szCs w:val="19"/>
                <w:color w:val="auto"/>
              </w:rPr>
            </w:pPr>
          </w:p>
        </w:tc>
        <w:tc>
          <w:tcPr>
            <w:tcW w:w="1140" w:type="dxa"/>
            <w:vAlign w:val="bottom"/>
            <w:tcBorders>
              <w:top w:val="single" w:sz="8" w:color="DC202E"/>
            </w:tcBorders>
            <w:shd w:val="clear" w:color="auto" w:fill="DDDDDD"/>
          </w:tcPr>
          <w:p>
            <w:pPr>
              <w:spacing w:after="0"/>
              <w:rPr>
                <w:sz w:val="19"/>
                <w:szCs w:val="19"/>
                <w:color w:val="auto"/>
              </w:rPr>
            </w:pPr>
          </w:p>
        </w:tc>
        <w:tc>
          <w:tcPr>
            <w:tcW w:w="100" w:type="dxa"/>
            <w:vAlign w:val="bottom"/>
            <w:tcBorders>
              <w:top w:val="single" w:sz="8" w:color="DDDDDD"/>
            </w:tcBorders>
            <w:shd w:val="clear" w:color="auto" w:fill="DDDDDD"/>
          </w:tcPr>
          <w:p>
            <w:pPr>
              <w:spacing w:after="0"/>
              <w:rPr>
                <w:sz w:val="19"/>
                <w:szCs w:val="19"/>
                <w:color w:val="auto"/>
              </w:rPr>
            </w:pPr>
          </w:p>
        </w:tc>
        <w:tc>
          <w:tcPr>
            <w:tcW w:w="240" w:type="dxa"/>
            <w:vAlign w:val="bottom"/>
            <w:tcBorders>
              <w:top w:val="single" w:sz="8" w:color="DC202E"/>
            </w:tcBorders>
            <w:shd w:val="clear" w:color="auto" w:fill="DDDDDD"/>
          </w:tcPr>
          <w:p>
            <w:pPr>
              <w:spacing w:after="0"/>
              <w:rPr>
                <w:sz w:val="19"/>
                <w:szCs w:val="19"/>
                <w:color w:val="auto"/>
              </w:rPr>
            </w:pPr>
          </w:p>
        </w:tc>
        <w:tc>
          <w:tcPr>
            <w:tcW w:w="1220" w:type="dxa"/>
            <w:vAlign w:val="bottom"/>
            <w:tcBorders>
              <w:top w:val="single" w:sz="8" w:color="DC202E"/>
            </w:tcBorders>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b w:val="1"/>
                <w:bCs w:val="1"/>
                <w:color w:val="auto"/>
              </w:rPr>
              <w:t>Interest Rate Sensitive Instruments</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DDDDDD"/>
          </w:tcPr>
          <w:p>
            <w:pPr>
              <w:ind w:left="200"/>
              <w:spacing w:after="0"/>
              <w:rPr>
                <w:sz w:val="20"/>
                <w:szCs w:val="20"/>
                <w:color w:val="auto"/>
              </w:rPr>
            </w:pPr>
            <w:r>
              <w:rPr>
                <w:rFonts w:ascii="Arial" w:cs="Arial" w:eastAsia="Arial" w:hAnsi="Arial"/>
                <w:sz w:val="18"/>
                <w:szCs w:val="18"/>
                <w:color w:val="auto"/>
              </w:rPr>
              <w:t>Long-term debt (including current maturities)</w:t>
            </w:r>
          </w:p>
        </w:tc>
        <w:tc>
          <w:tcPr>
            <w:tcW w:w="260" w:type="dxa"/>
            <w:vAlign w:val="bottom"/>
            <w:shd w:val="clear" w:color="auto" w:fill="DDDDDD"/>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18,787</w:t>
            </w:r>
          </w:p>
        </w:tc>
        <w:tc>
          <w:tcPr>
            <w:tcW w:w="120" w:type="dxa"/>
            <w:vAlign w:val="bottom"/>
            <w:shd w:val="clear" w:color="auto" w:fill="DDDDDD"/>
          </w:tcPr>
          <w:p>
            <w:pPr>
              <w:spacing w:after="0"/>
              <w:rPr>
                <w:sz w:val="19"/>
                <w:szCs w:val="19"/>
                <w:color w:val="auto"/>
              </w:rPr>
            </w:pPr>
          </w:p>
        </w:tc>
        <w:tc>
          <w:tcPr>
            <w:tcW w:w="260" w:type="dxa"/>
            <w:vAlign w:val="bottom"/>
            <w:shd w:val="clear" w:color="auto" w:fill="DDDDDD"/>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(18,787)</w:t>
            </w:r>
          </w:p>
        </w:tc>
        <w:tc>
          <w:tcPr>
            <w:tcW w:w="100" w:type="dxa"/>
            <w:vAlign w:val="bottom"/>
            <w:shd w:val="clear" w:color="auto" w:fill="DDDDDD"/>
          </w:tcPr>
          <w:p>
            <w:pPr>
              <w:spacing w:after="0"/>
              <w:rPr>
                <w:sz w:val="19"/>
                <w:szCs w:val="19"/>
                <w:color w:val="auto"/>
              </w:rPr>
            </w:pPr>
          </w:p>
        </w:tc>
        <w:tc>
          <w:tcPr>
            <w:tcW w:w="300" w:type="dxa"/>
            <w:vAlign w:val="bottom"/>
            <w:shd w:val="clear" w:color="auto" w:fill="DDDDDD"/>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(20,176)</w:t>
            </w:r>
          </w:p>
        </w:tc>
        <w:tc>
          <w:tcPr>
            <w:tcW w:w="100" w:type="dxa"/>
            <w:vAlign w:val="bottom"/>
            <w:shd w:val="clear" w:color="auto" w:fill="DDDDDD"/>
          </w:tcPr>
          <w:p>
            <w:pPr>
              <w:spacing w:after="0"/>
              <w:rPr>
                <w:sz w:val="19"/>
                <w:szCs w:val="19"/>
                <w:color w:val="auto"/>
              </w:rPr>
            </w:pPr>
          </w:p>
        </w:tc>
        <w:tc>
          <w:tcPr>
            <w:tcW w:w="24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(1,063)</w:t>
            </w:r>
          </w:p>
        </w:tc>
        <w:tc>
          <w:tcPr>
            <w:tcW w:w="0" w:type="dxa"/>
            <w:vAlign w:val="bottom"/>
          </w:tcPr>
          <w:p>
            <w:pPr>
              <w:spacing w:after="0"/>
              <w:rPr>
                <w:sz w:val="1"/>
                <w:szCs w:val="1"/>
                <w:color w:val="auto"/>
              </w:rPr>
            </w:pPr>
          </w:p>
        </w:tc>
      </w:tr>
      <w:tr>
        <w:trPr>
          <w:trHeight w:val="230"/>
        </w:trPr>
        <w:tc>
          <w:tcPr>
            <w:tcW w:w="5160" w:type="dxa"/>
            <w:vAlign w:val="bottom"/>
          </w:tcPr>
          <w:p>
            <w:pPr>
              <w:ind w:left="200"/>
              <w:spacing w:after="0"/>
              <w:rPr>
                <w:sz w:val="20"/>
                <w:szCs w:val="20"/>
                <w:color w:val="auto"/>
              </w:rPr>
            </w:pPr>
            <w:r>
              <w:rPr>
                <w:rFonts w:ascii="Arial" w:cs="Arial" w:eastAsia="Arial" w:hAnsi="Arial"/>
                <w:sz w:val="18"/>
                <w:szCs w:val="18"/>
                <w:color w:val="auto"/>
              </w:rPr>
              <w:t>Interest rate swap agreements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3,950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29"/>
        </w:trPr>
        <w:tc>
          <w:tcPr>
            <w:tcW w:w="5160" w:type="dxa"/>
            <w:vAlign w:val="bottom"/>
            <w:shd w:val="clear" w:color="auto" w:fill="DDDDDD"/>
          </w:tcPr>
          <w:p>
            <w:pPr>
              <w:ind w:left="20"/>
              <w:spacing w:after="0"/>
              <w:rPr>
                <w:sz w:val="20"/>
                <w:szCs w:val="20"/>
                <w:color w:val="auto"/>
              </w:rPr>
            </w:pPr>
            <w:r>
              <w:rPr>
                <w:rFonts w:ascii="Arial" w:cs="Arial" w:eastAsia="Arial" w:hAnsi="Arial"/>
                <w:sz w:val="18"/>
                <w:szCs w:val="18"/>
                <w:b w:val="1"/>
                <w:bCs w:val="1"/>
                <w:color w:val="auto"/>
              </w:rPr>
              <w:t>Foreign Exchange Rate Sensitive Instruments</w:t>
            </w:r>
          </w:p>
        </w:tc>
        <w:tc>
          <w:tcPr>
            <w:tcW w:w="260" w:type="dxa"/>
            <w:vAlign w:val="bottom"/>
            <w:shd w:val="clear" w:color="auto" w:fill="DDDDDD"/>
          </w:tcPr>
          <w:p>
            <w:pPr>
              <w:spacing w:after="0"/>
              <w:rPr>
                <w:sz w:val="19"/>
                <w:szCs w:val="19"/>
                <w:color w:val="auto"/>
              </w:rPr>
            </w:pPr>
          </w:p>
        </w:tc>
        <w:tc>
          <w:tcPr>
            <w:tcW w:w="116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260" w:type="dxa"/>
            <w:vAlign w:val="bottom"/>
            <w:shd w:val="clear" w:color="auto" w:fill="DDDDDD"/>
          </w:tcPr>
          <w:p>
            <w:pPr>
              <w:spacing w:after="0"/>
              <w:rPr>
                <w:sz w:val="19"/>
                <w:szCs w:val="19"/>
                <w:color w:val="auto"/>
              </w:rPr>
            </w:pPr>
          </w:p>
        </w:tc>
        <w:tc>
          <w:tcPr>
            <w:tcW w:w="116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300" w:type="dxa"/>
            <w:vAlign w:val="bottom"/>
            <w:shd w:val="clear" w:color="auto" w:fill="DDDDDD"/>
          </w:tcPr>
          <w:p>
            <w:pPr>
              <w:spacing w:after="0"/>
              <w:rPr>
                <w:sz w:val="19"/>
                <w:szCs w:val="19"/>
                <w:color w:val="auto"/>
              </w:rPr>
            </w:pPr>
          </w:p>
        </w:tc>
        <w:tc>
          <w:tcPr>
            <w:tcW w:w="114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240" w:type="dxa"/>
            <w:vAlign w:val="bottom"/>
            <w:shd w:val="clear" w:color="auto" w:fill="DDDDDD"/>
          </w:tcPr>
          <w:p>
            <w:pPr>
              <w:spacing w:after="0"/>
              <w:rPr>
                <w:sz w:val="19"/>
                <w:szCs w:val="19"/>
                <w:color w:val="auto"/>
              </w:rPr>
            </w:pPr>
          </w:p>
        </w:tc>
        <w:tc>
          <w:tcPr>
            <w:tcW w:w="122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180"/>
              <w:spacing w:after="0" w:line="230" w:lineRule="exact"/>
              <w:rPr>
                <w:sz w:val="20"/>
                <w:szCs w:val="20"/>
                <w:color w:val="auto"/>
              </w:rPr>
            </w:pPr>
            <w:r>
              <w:rPr>
                <w:rFonts w:ascii="Arial" w:cs="Arial" w:eastAsia="Arial" w:hAnsi="Arial"/>
                <w:sz w:val="18"/>
                <w:szCs w:val="18"/>
                <w:color w:val="auto"/>
              </w:rPr>
              <w:t>Foreign currency exchange contracts</w:t>
            </w:r>
            <w:r>
              <w:rPr>
                <w:rFonts w:ascii="Arial" w:cs="Arial" w:eastAsia="Arial" w:hAnsi="Arial"/>
                <w:sz w:val="23"/>
                <w:szCs w:val="23"/>
                <w:color w:val="auto"/>
                <w:vertAlign w:val="superscript"/>
              </w:rPr>
              <w:t>(3)</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16,123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30"/>
        </w:trPr>
        <w:tc>
          <w:tcPr>
            <w:tcW w:w="5160" w:type="dxa"/>
            <w:vAlign w:val="bottom"/>
            <w:shd w:val="clear" w:color="auto" w:fill="DDDDDD"/>
          </w:tcPr>
          <w:p>
            <w:pPr>
              <w:ind w:left="200"/>
              <w:spacing w:after="0"/>
              <w:rPr>
                <w:sz w:val="20"/>
                <w:szCs w:val="20"/>
                <w:color w:val="auto"/>
              </w:rPr>
            </w:pPr>
            <w:r>
              <w:rPr>
                <w:rFonts w:ascii="Arial" w:cs="Arial" w:eastAsia="Arial" w:hAnsi="Arial"/>
                <w:sz w:val="18"/>
                <w:szCs w:val="18"/>
                <w:color w:val="auto"/>
              </w:rPr>
              <w:t>Cross currency swap agreements</w:t>
            </w:r>
          </w:p>
        </w:tc>
        <w:tc>
          <w:tcPr>
            <w:tcW w:w="260" w:type="dxa"/>
            <w:vAlign w:val="bottom"/>
            <w:shd w:val="clear" w:color="auto" w:fill="DDDDDD"/>
          </w:tcPr>
          <w:p>
            <w:pPr>
              <w:spacing w:after="0"/>
              <w:rPr>
                <w:sz w:val="19"/>
                <w:szCs w:val="19"/>
                <w:color w:val="auto"/>
              </w:rPr>
            </w:pPr>
          </w:p>
        </w:tc>
        <w:tc>
          <w:tcPr>
            <w:tcW w:w="11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1,200</w:t>
            </w:r>
          </w:p>
        </w:tc>
        <w:tc>
          <w:tcPr>
            <w:tcW w:w="120" w:type="dxa"/>
            <w:vAlign w:val="bottom"/>
            <w:shd w:val="clear" w:color="auto" w:fill="DDDDDD"/>
          </w:tcPr>
          <w:p>
            <w:pPr>
              <w:spacing w:after="0"/>
              <w:rPr>
                <w:sz w:val="19"/>
                <w:szCs w:val="19"/>
                <w:color w:val="auto"/>
              </w:rPr>
            </w:pPr>
          </w:p>
        </w:tc>
        <w:tc>
          <w:tcPr>
            <w:tcW w:w="260" w:type="dxa"/>
            <w:vAlign w:val="bottom"/>
            <w:shd w:val="clear" w:color="auto" w:fill="DDDDDD"/>
          </w:tcPr>
          <w:p>
            <w:pPr>
              <w:spacing w:after="0"/>
              <w:rPr>
                <w:sz w:val="19"/>
                <w:szCs w:val="19"/>
                <w:color w:val="auto"/>
              </w:rPr>
            </w:pPr>
          </w:p>
        </w:tc>
        <w:tc>
          <w:tcPr>
            <w:tcW w:w="11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DDDDDD"/>
          </w:tcPr>
          <w:p>
            <w:pPr>
              <w:spacing w:after="0"/>
              <w:rPr>
                <w:sz w:val="19"/>
                <w:szCs w:val="19"/>
                <w:color w:val="auto"/>
              </w:rPr>
            </w:pPr>
          </w:p>
        </w:tc>
        <w:tc>
          <w:tcPr>
            <w:tcW w:w="300" w:type="dxa"/>
            <w:vAlign w:val="bottom"/>
            <w:shd w:val="clear" w:color="auto" w:fill="DDDDDD"/>
          </w:tcPr>
          <w:p>
            <w:pPr>
              <w:spacing w:after="0"/>
              <w:rPr>
                <w:sz w:val="19"/>
                <w:szCs w:val="19"/>
                <w:color w:val="auto"/>
              </w:rPr>
            </w:pPr>
          </w:p>
        </w:tc>
        <w:tc>
          <w:tcPr>
            <w:tcW w:w="11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DDDDDD"/>
          </w:tcPr>
          <w:p>
            <w:pPr>
              <w:spacing w:after="0"/>
              <w:rPr>
                <w:sz w:val="19"/>
                <w:szCs w:val="19"/>
                <w:color w:val="auto"/>
              </w:rPr>
            </w:pPr>
          </w:p>
        </w:tc>
        <w:tc>
          <w:tcPr>
            <w:tcW w:w="240" w:type="dxa"/>
            <w:vAlign w:val="bottom"/>
            <w:shd w:val="clear" w:color="auto" w:fill="DDDDDD"/>
          </w:tcPr>
          <w:p>
            <w:pPr>
              <w:spacing w:after="0"/>
              <w:rPr>
                <w:sz w:val="19"/>
                <w:szCs w:val="19"/>
                <w:color w:val="auto"/>
              </w:rPr>
            </w:pPr>
          </w:p>
        </w:tc>
        <w:tc>
          <w:tcPr>
            <w:tcW w:w="12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b w:val="1"/>
                <w:bCs w:val="1"/>
                <w:color w:val="auto"/>
              </w:rPr>
              <w:t>December 31, 2019</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DDDDDD"/>
          </w:tcPr>
          <w:p>
            <w:pPr>
              <w:ind w:left="20"/>
              <w:spacing w:after="0"/>
              <w:rPr>
                <w:sz w:val="20"/>
                <w:szCs w:val="20"/>
                <w:color w:val="auto"/>
              </w:rPr>
            </w:pPr>
            <w:r>
              <w:rPr>
                <w:rFonts w:ascii="Arial" w:cs="Arial" w:eastAsia="Arial" w:hAnsi="Arial"/>
                <w:sz w:val="18"/>
                <w:szCs w:val="18"/>
                <w:b w:val="1"/>
                <w:bCs w:val="1"/>
                <w:color w:val="auto"/>
              </w:rPr>
              <w:t>Interest Rate Sensitive Instruments</w:t>
            </w:r>
          </w:p>
        </w:tc>
        <w:tc>
          <w:tcPr>
            <w:tcW w:w="260" w:type="dxa"/>
            <w:vAlign w:val="bottom"/>
            <w:shd w:val="clear" w:color="auto" w:fill="DDDDDD"/>
          </w:tcPr>
          <w:p>
            <w:pPr>
              <w:spacing w:after="0"/>
              <w:rPr>
                <w:sz w:val="19"/>
                <w:szCs w:val="19"/>
                <w:color w:val="auto"/>
              </w:rPr>
            </w:pPr>
          </w:p>
        </w:tc>
        <w:tc>
          <w:tcPr>
            <w:tcW w:w="116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260" w:type="dxa"/>
            <w:vAlign w:val="bottom"/>
            <w:shd w:val="clear" w:color="auto" w:fill="DDDDDD"/>
          </w:tcPr>
          <w:p>
            <w:pPr>
              <w:spacing w:after="0"/>
              <w:rPr>
                <w:sz w:val="19"/>
                <w:szCs w:val="19"/>
                <w:color w:val="auto"/>
              </w:rPr>
            </w:pPr>
          </w:p>
        </w:tc>
        <w:tc>
          <w:tcPr>
            <w:tcW w:w="116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300" w:type="dxa"/>
            <w:vAlign w:val="bottom"/>
            <w:shd w:val="clear" w:color="auto" w:fill="DDDDDD"/>
          </w:tcPr>
          <w:p>
            <w:pPr>
              <w:spacing w:after="0"/>
              <w:rPr>
                <w:sz w:val="19"/>
                <w:szCs w:val="19"/>
                <w:color w:val="auto"/>
              </w:rPr>
            </w:pPr>
          </w:p>
        </w:tc>
        <w:tc>
          <w:tcPr>
            <w:tcW w:w="114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240" w:type="dxa"/>
            <w:vAlign w:val="bottom"/>
            <w:shd w:val="clear" w:color="auto" w:fill="DDDDDD"/>
          </w:tcPr>
          <w:p>
            <w:pPr>
              <w:spacing w:after="0"/>
              <w:rPr>
                <w:sz w:val="19"/>
                <w:szCs w:val="19"/>
                <w:color w:val="auto"/>
              </w:rPr>
            </w:pPr>
          </w:p>
        </w:tc>
        <w:tc>
          <w:tcPr>
            <w:tcW w:w="122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00"/>
              <w:spacing w:after="0"/>
              <w:rPr>
                <w:sz w:val="20"/>
                <w:szCs w:val="20"/>
                <w:color w:val="auto"/>
              </w:rPr>
            </w:pPr>
            <w:r>
              <w:rPr>
                <w:rFonts w:ascii="Arial" w:cs="Arial" w:eastAsia="Arial" w:hAnsi="Arial"/>
                <w:sz w:val="18"/>
                <w:szCs w:val="18"/>
                <w:color w:val="auto"/>
              </w:rPr>
              <w:t>Long-term debt (including current maturities)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12,486</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(12,486)</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(13,578)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30"/>
        </w:trPr>
        <w:tc>
          <w:tcPr>
            <w:tcW w:w="5160" w:type="dxa"/>
            <w:vAlign w:val="bottom"/>
            <w:shd w:val="clear" w:color="auto" w:fill="DDDDDD"/>
          </w:tcPr>
          <w:p>
            <w:pPr>
              <w:ind w:left="200"/>
              <w:spacing w:after="0"/>
              <w:rPr>
                <w:sz w:val="20"/>
                <w:szCs w:val="20"/>
                <w:color w:val="auto"/>
              </w:rPr>
            </w:pPr>
            <w:r>
              <w:rPr>
                <w:rFonts w:ascii="Arial" w:cs="Arial" w:eastAsia="Arial" w:hAnsi="Arial"/>
                <w:sz w:val="18"/>
                <w:szCs w:val="18"/>
                <w:color w:val="auto"/>
              </w:rPr>
              <w:t>Interest rate swap agreements</w:t>
            </w:r>
          </w:p>
        </w:tc>
        <w:tc>
          <w:tcPr>
            <w:tcW w:w="260" w:type="dxa"/>
            <w:vAlign w:val="bottom"/>
            <w:shd w:val="clear" w:color="auto" w:fill="DDDDDD"/>
          </w:tcPr>
          <w:p>
            <w:pPr>
              <w:spacing w:after="0"/>
              <w:rPr>
                <w:sz w:val="19"/>
                <w:szCs w:val="19"/>
                <w:color w:val="auto"/>
              </w:rPr>
            </w:pPr>
          </w:p>
        </w:tc>
        <w:tc>
          <w:tcPr>
            <w:tcW w:w="11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3,950</w:t>
            </w:r>
          </w:p>
        </w:tc>
        <w:tc>
          <w:tcPr>
            <w:tcW w:w="120" w:type="dxa"/>
            <w:vAlign w:val="bottom"/>
            <w:shd w:val="clear" w:color="auto" w:fill="DDDDDD"/>
          </w:tcPr>
          <w:p>
            <w:pPr>
              <w:spacing w:after="0"/>
              <w:rPr>
                <w:sz w:val="19"/>
                <w:szCs w:val="19"/>
                <w:color w:val="auto"/>
              </w:rPr>
            </w:pPr>
          </w:p>
        </w:tc>
        <w:tc>
          <w:tcPr>
            <w:tcW w:w="260" w:type="dxa"/>
            <w:vAlign w:val="bottom"/>
            <w:shd w:val="clear" w:color="auto" w:fill="DDDDDD"/>
          </w:tcPr>
          <w:p>
            <w:pPr>
              <w:spacing w:after="0"/>
              <w:rPr>
                <w:sz w:val="19"/>
                <w:szCs w:val="19"/>
                <w:color w:val="auto"/>
              </w:rPr>
            </w:pPr>
          </w:p>
        </w:tc>
        <w:tc>
          <w:tcPr>
            <w:tcW w:w="11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DDDDDD"/>
          </w:tcPr>
          <w:p>
            <w:pPr>
              <w:spacing w:after="0"/>
              <w:rPr>
                <w:sz w:val="19"/>
                <w:szCs w:val="19"/>
                <w:color w:val="auto"/>
              </w:rPr>
            </w:pPr>
          </w:p>
        </w:tc>
        <w:tc>
          <w:tcPr>
            <w:tcW w:w="300" w:type="dxa"/>
            <w:vAlign w:val="bottom"/>
            <w:shd w:val="clear" w:color="auto" w:fill="DDDDDD"/>
          </w:tcPr>
          <w:p>
            <w:pPr>
              <w:spacing w:after="0"/>
              <w:rPr>
                <w:sz w:val="19"/>
                <w:szCs w:val="19"/>
                <w:color w:val="auto"/>
              </w:rPr>
            </w:pPr>
          </w:p>
        </w:tc>
        <w:tc>
          <w:tcPr>
            <w:tcW w:w="11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DDDDDD"/>
          </w:tcPr>
          <w:p>
            <w:pPr>
              <w:spacing w:after="0"/>
              <w:rPr>
                <w:sz w:val="19"/>
                <w:szCs w:val="19"/>
                <w:color w:val="auto"/>
              </w:rPr>
            </w:pPr>
          </w:p>
        </w:tc>
        <w:tc>
          <w:tcPr>
            <w:tcW w:w="240" w:type="dxa"/>
            <w:vAlign w:val="bottom"/>
            <w:shd w:val="clear" w:color="auto" w:fill="DDDDDD"/>
          </w:tcPr>
          <w:p>
            <w:pPr>
              <w:spacing w:after="0"/>
              <w:rPr>
                <w:sz w:val="19"/>
                <w:szCs w:val="19"/>
                <w:color w:val="auto"/>
              </w:rPr>
            </w:pPr>
          </w:p>
        </w:tc>
        <w:tc>
          <w:tcPr>
            <w:tcW w:w="12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b w:val="1"/>
                <w:bCs w:val="1"/>
                <w:color w:val="auto"/>
              </w:rPr>
              <w:t>Foreign Exchange Rate Sensitive Instruments</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DDDDDD"/>
          </w:tcPr>
          <w:p>
            <w:pPr>
              <w:ind w:left="180"/>
              <w:spacing w:after="0" w:line="230" w:lineRule="exact"/>
              <w:rPr>
                <w:sz w:val="20"/>
                <w:szCs w:val="20"/>
                <w:color w:val="auto"/>
              </w:rPr>
            </w:pPr>
            <w:r>
              <w:rPr>
                <w:rFonts w:ascii="Arial" w:cs="Arial" w:eastAsia="Arial" w:hAnsi="Arial"/>
                <w:sz w:val="18"/>
                <w:szCs w:val="18"/>
                <w:color w:val="auto"/>
              </w:rPr>
              <w:t>Foreign currency exchange contracts</w:t>
            </w:r>
            <w:r>
              <w:rPr>
                <w:rFonts w:ascii="Arial" w:cs="Arial" w:eastAsia="Arial" w:hAnsi="Arial"/>
                <w:sz w:val="23"/>
                <w:szCs w:val="23"/>
                <w:color w:val="auto"/>
                <w:vertAlign w:val="superscript"/>
              </w:rPr>
              <w:t>(3)</w:t>
            </w:r>
          </w:p>
        </w:tc>
        <w:tc>
          <w:tcPr>
            <w:tcW w:w="260" w:type="dxa"/>
            <w:vAlign w:val="bottom"/>
            <w:shd w:val="clear" w:color="auto" w:fill="DDDDDD"/>
          </w:tcPr>
          <w:p>
            <w:pPr>
              <w:spacing w:after="0"/>
              <w:rPr>
                <w:sz w:val="19"/>
                <w:szCs w:val="19"/>
                <w:color w:val="auto"/>
              </w:rPr>
            </w:pPr>
          </w:p>
        </w:tc>
        <w:tc>
          <w:tcPr>
            <w:tcW w:w="11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12,746</w:t>
            </w:r>
          </w:p>
        </w:tc>
        <w:tc>
          <w:tcPr>
            <w:tcW w:w="120" w:type="dxa"/>
            <w:vAlign w:val="bottom"/>
            <w:shd w:val="clear" w:color="auto" w:fill="DDDDDD"/>
          </w:tcPr>
          <w:p>
            <w:pPr>
              <w:spacing w:after="0"/>
              <w:rPr>
                <w:sz w:val="19"/>
                <w:szCs w:val="19"/>
                <w:color w:val="auto"/>
              </w:rPr>
            </w:pPr>
          </w:p>
        </w:tc>
        <w:tc>
          <w:tcPr>
            <w:tcW w:w="260" w:type="dxa"/>
            <w:vAlign w:val="bottom"/>
            <w:shd w:val="clear" w:color="auto" w:fill="DDDDDD"/>
          </w:tcPr>
          <w:p>
            <w:pPr>
              <w:spacing w:after="0"/>
              <w:rPr>
                <w:sz w:val="19"/>
                <w:szCs w:val="19"/>
                <w:color w:val="auto"/>
              </w:rPr>
            </w:pPr>
          </w:p>
        </w:tc>
        <w:tc>
          <w:tcPr>
            <w:tcW w:w="11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DDDDDD"/>
          </w:tcPr>
          <w:p>
            <w:pPr>
              <w:spacing w:after="0"/>
              <w:rPr>
                <w:sz w:val="19"/>
                <w:szCs w:val="19"/>
                <w:color w:val="auto"/>
              </w:rPr>
            </w:pPr>
          </w:p>
        </w:tc>
        <w:tc>
          <w:tcPr>
            <w:tcW w:w="300" w:type="dxa"/>
            <w:vAlign w:val="bottom"/>
            <w:shd w:val="clear" w:color="auto" w:fill="DDDDDD"/>
          </w:tcPr>
          <w:p>
            <w:pPr>
              <w:spacing w:after="0"/>
              <w:rPr>
                <w:sz w:val="19"/>
                <w:szCs w:val="19"/>
                <w:color w:val="auto"/>
              </w:rPr>
            </w:pPr>
          </w:p>
        </w:tc>
        <w:tc>
          <w:tcPr>
            <w:tcW w:w="11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DDDDDD"/>
          </w:tcPr>
          <w:p>
            <w:pPr>
              <w:spacing w:after="0"/>
              <w:rPr>
                <w:sz w:val="19"/>
                <w:szCs w:val="19"/>
                <w:color w:val="auto"/>
              </w:rPr>
            </w:pPr>
          </w:p>
        </w:tc>
        <w:tc>
          <w:tcPr>
            <w:tcW w:w="240" w:type="dxa"/>
            <w:vAlign w:val="bottom"/>
            <w:shd w:val="clear" w:color="auto" w:fill="DDDDDD"/>
          </w:tcPr>
          <w:p>
            <w:pPr>
              <w:spacing w:after="0"/>
              <w:rPr>
                <w:sz w:val="19"/>
                <w:szCs w:val="19"/>
                <w:color w:val="auto"/>
              </w:rPr>
            </w:pPr>
          </w:p>
        </w:tc>
        <w:tc>
          <w:tcPr>
            <w:tcW w:w="12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30"/>
        </w:trPr>
        <w:tc>
          <w:tcPr>
            <w:tcW w:w="5160" w:type="dxa"/>
            <w:vAlign w:val="bottom"/>
          </w:tcPr>
          <w:p>
            <w:pPr>
              <w:ind w:left="200"/>
              <w:spacing w:after="0"/>
              <w:rPr>
                <w:sz w:val="20"/>
                <w:szCs w:val="20"/>
                <w:color w:val="auto"/>
              </w:rPr>
            </w:pPr>
            <w:r>
              <w:rPr>
                <w:rFonts w:ascii="Arial" w:cs="Arial" w:eastAsia="Arial" w:hAnsi="Arial"/>
                <w:sz w:val="18"/>
                <w:szCs w:val="18"/>
                <w:color w:val="auto"/>
              </w:rPr>
              <w:t>Cross currency swap agreements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320" w:hanging="312"/>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Asset or (liability).</w:t>
      </w:r>
    </w:p>
    <w:p>
      <w:pPr>
        <w:spacing w:after="0" w:line="9" w:lineRule="exact"/>
        <w:rPr>
          <w:rFonts w:ascii="Arial" w:cs="Arial" w:eastAsia="Arial" w:hAnsi="Arial"/>
          <w:sz w:val="18"/>
          <w:szCs w:val="18"/>
          <w:color w:val="auto"/>
        </w:rPr>
      </w:pPr>
    </w:p>
    <w:p>
      <w:pPr>
        <w:jc w:val="both"/>
        <w:ind w:left="340" w:hanging="332"/>
        <w:spacing w:after="0" w:line="250" w:lineRule="auto"/>
        <w:tabs>
          <w:tab w:leader="none" w:pos="33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hypothetical immediate one percentage point decrease in interest rates across all maturities and a potential change in fair value of foreign exchange rate sensitive instruments based on a 10% strengthening of the U.S. dollar versus local currency exchange rates across all maturities will result in a change in fair value approximately equal to the inverse of the amount disclosed in the table.</w:t>
      </w:r>
    </w:p>
    <w:p>
      <w:pPr>
        <w:spacing w:after="0" w:line="1" w:lineRule="exact"/>
        <w:rPr>
          <w:rFonts w:ascii="Arial" w:cs="Arial" w:eastAsia="Arial" w:hAnsi="Arial"/>
          <w:sz w:val="18"/>
          <w:szCs w:val="18"/>
          <w:color w:val="auto"/>
        </w:rPr>
      </w:pPr>
    </w:p>
    <w:p>
      <w:pPr>
        <w:ind w:left="340" w:hanging="332"/>
        <w:spacing w:after="0" w:line="261" w:lineRule="auto"/>
        <w:tabs>
          <w:tab w:leader="none" w:pos="33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the fair value of foreign currency exchange contracts are offset by changes in the fair value, cash flows, or net investments of underlying hedged foreign currency transactions or foreign operations.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37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40" w:name="page41"/>
    <w:bookmarkEnd w:id="40"/>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See Note 12 Derivative Instruments and Hedging Transactions to Consolidated Financial Statements for further discussion.</w:t>
      </w:r>
    </w:p>
    <w:p>
      <w:pPr>
        <w:spacing w:after="0" w:line="294" w:lineRule="exact"/>
        <w:rPr>
          <w:sz w:val="20"/>
          <w:szCs w:val="20"/>
          <w:color w:val="auto"/>
        </w:rPr>
      </w:pPr>
    </w:p>
    <w:p>
      <w:pPr>
        <w:spacing w:after="0"/>
        <w:rPr>
          <w:sz w:val="20"/>
          <w:szCs w:val="20"/>
          <w:color w:val="auto"/>
        </w:rPr>
      </w:pPr>
      <w:r>
        <w:rPr>
          <w:rFonts w:ascii="Arial" w:cs="Arial" w:eastAsia="Arial" w:hAnsi="Arial"/>
          <w:sz w:val="29"/>
          <w:szCs w:val="29"/>
          <w:b w:val="1"/>
          <w:bCs w:val="1"/>
          <w:color w:val="DC202E"/>
        </w:rPr>
        <w:t>CRITICAL ACCOUNTING ESTIMATES</w:t>
      </w:r>
    </w:p>
    <w:p>
      <w:pPr>
        <w:spacing w:after="0" w:line="15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preparation of our consolidated financial statements in accordance with generally accepted accounting principles is based on the selection and application of accounting policies that require us to make significant estimates and assumptions about the effects of matters that are inherently uncertain. Many estimates and assumptions involved in the application of accounting principles have a material impact on reported financial condition and operating performance and on the comparability of such reported information over different reporting periods. Critical accounting estimates or assumptions are those where the nature of the estimates or assumptions is material due to the levels of subjectivity and judgment necessary to account for highly uncertain matters or the susceptibility of such matters to change, and the impact of the estimates and assumptions on financial condition or operating performance is material. We consider the estimates and assumptions discussed below to be critical to the understanding of our financial statements. Actual results could differ from our estimates and assumptions, and any such differences could be material to our consolidated financial statements.</w:t>
      </w:r>
    </w:p>
    <w:p>
      <w:pPr>
        <w:spacing w:after="0" w:line="8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i w:val="1"/>
          <w:iCs w:val="1"/>
          <w:color w:val="auto"/>
        </w:rPr>
        <w:t>Sales Recognition on Long-Term Contracts</w:t>
      </w:r>
      <w:r>
        <w:rPr>
          <w:rFonts w:ascii="Arial" w:cs="Arial" w:eastAsia="Arial" w:hAnsi="Arial"/>
          <w:sz w:val="18"/>
          <w:szCs w:val="18"/>
          <w:color w:val="auto"/>
        </w:rPr>
        <w:t>—We recognize sales for long-term contracts with performance obligations satisfied over time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using either an input or output method. We recognize revenue over time as we perform on these contracts based on the continuous transfer of control to the customer. With control transferring over time, revenue is recognized based on the extent of progress towards completion of the performance obligation. We generally use the cost-to-cost input method of progress for our contracts because it best depicts the transfer of control to the customer that occurs as we incur costs. Under the cost-to-cost method, the extent of progress towards completion is measured based on the proportion of costs incurred to date to the total estimated costs at completion of the performance obligation. Due to the nature of the work required to be performed on many of our performance obligations, the estimation of total revenue and cost at completion requires judgment. Contract revenues are largely determined by negotiated contract prices and quantities, modified by our assumptions regarding contract options, change orders, incentive and award provisions associated with technical performance and price adjustment clauses (such as inflation or index-based clauses). Cost estimates are largely based on negotiated or estimated purchase contract terms, historical performance trends and other economic projections. Significant factors that influence these estimates include inflationary trends, technical and schedule risk, internal and subcontractor performance trends, business volume assumptions, asset utilization, and anticipated labor agreements. Revenue and cost estimates are regularly monitored and revised based on changes in circumstances. Impacts from changes in estimates of net sales and cost of sales are recognized on a cumulative catch-up basis, which recognizes in the current period the cumulative effect of the changes on current and prior periods based on a performance obligation’s percentage of completion. Anticipated losses on long-term contracts are recognized when such losses become evident. We maintain financial controls over the customer qualification, contract pricing and estimation processes to reduce the risk of contract losses.</w:t>
      </w:r>
    </w:p>
    <w:p>
      <w:pPr>
        <w:spacing w:after="0" w:line="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color w:val="auto"/>
        </w:rPr>
        <w:t>—On a recurring basis, we assess the need for a valuation allowance against our deferred tax assets by considering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available positive and negative evidence, such as past operating results, projections of future taxable income, enacted tax law changes and the feasibility and impact of tax planning initiatives. Our projections of future taxable income include a number of estimates and assumptions regarding our volume, pricing and costs, as well as the timing and amount of reversals of taxable temporary differences.</w:t>
      </w:r>
    </w:p>
    <w:p>
      <w:pPr>
        <w:spacing w:after="0" w:line="9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recognize tax benefits from uncertain tax positions only if it is more likely than not that the tax position will be sustained on examination by the taxing authorities, including resolution of any related appeals and litigation. We assess our income tax positions based upon our evaluation of the facts, circumstances and information available at the reporting date. The tax benefits recognized in the financial statements from such positions are then measured based on the largest benefit that has a greater than 50% likelihood of being realized upon ultimate settlement with a taxing authority that has full knowledge of all relevant information. For those income tax positions where it is not more likely than not that a tax benefit will be sustained, no tax benefit has been recognized in the financial statements.</w:t>
      </w:r>
    </w:p>
    <w:p>
      <w:pPr>
        <w:spacing w:after="0" w:line="10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further discussion of additional income tax policies, see Note 1 Summary of Significant Accounting Policies of Notes to Consolidated Financial Statements.</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38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9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Reimbursement Receivables</w:t>
      </w:r>
      <w:r>
        <w:rPr>
          <w:rFonts w:ascii="Arial" w:cs="Arial" w:eastAsia="Arial" w:hAnsi="Arial"/>
          <w:sz w:val="18"/>
          <w:szCs w:val="18"/>
          <w:color w:val="auto"/>
        </w:rPr>
        <w:t>—In conjunction with the Garrett and Resideo spin-offs, the Company entered into reimbursement agreements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which Honeywell receives cash payments as reimbursement primarily for asbestos related liability payments related to the Bendix business in the U.S. (Garrett) and for net spending for environmental matters at certain sites as defined in the agreement (Resideo). Accordingly, the Company recorded receivables based on estimates of the underlying reimbursable Honeywell asbestos and environmental spend, and we monitor the recoverability of such receivables, which are subject to the terms of applicable credit agreements and general ability to pay. For Garrett, the Company established an allowance based on the developments associated with Garrett's Chapter 11 bankruptcy filing. See Note 20 Commitments and Contingencies of Notes to Consolidated Financial Statements for a discussion of the recognition and measurement of our reimbursement receivables, including the allowance established for Garrett.</w:t>
      </w:r>
    </w:p>
    <w:p>
      <w:pPr>
        <w:spacing w:after="0" w:line="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Goodwill and Indefinite-Lived Intangible Assets Impairment Testing</w:t>
      </w:r>
      <w:r>
        <w:rPr>
          <w:rFonts w:ascii="Arial" w:cs="Arial" w:eastAsia="Arial" w:hAnsi="Arial"/>
          <w:sz w:val="18"/>
          <w:szCs w:val="18"/>
          <w:color w:val="auto"/>
        </w:rPr>
        <w:t>—Goodwill and intangible assets deemed to have indefinite lives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 amortized, but are subject to annual, or more frequent if necessary, impairment testing. In testing goodwill and indefinite-lived intangible assets, the fair value is estimated utilizing a discounted cash flow approach utilizing cash flow forecasts, including strategic and annual operating plans, adjusted for terminal value assumptions. These impairment tests involve the use of accounting estimates and assumptions, changes in which could materially impact our financial condition or operating performance if actual results differ from such estimates and assumptions. To address this uncertainty, we perform sensitivity analyses on key estimates and assumptions. Once the fair value is determined, if the carrying amount exceeds the fair value, it is impaired. Any impairment is measured as the difference between the carrying amount and its fair value.</w:t>
      </w:r>
    </w:p>
    <w:p>
      <w:pPr>
        <w:spacing w:after="0" w:line="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Finite-Lived Intangible Assets</w:t>
      </w:r>
      <w:r>
        <w:rPr>
          <w:rFonts w:ascii="Arial" w:cs="Arial" w:eastAsia="Arial" w:hAnsi="Arial"/>
          <w:sz w:val="18"/>
          <w:szCs w:val="18"/>
          <w:color w:val="auto"/>
        </w:rPr>
        <w:t>—The determination of useful lives (for depreciation/amortization purposes) and whether or not intangible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assets are impaired involves the use of accounting estimates and assumptions, changes in which could materially impact our financial condition or operating performance if actual results differ from such estimates and assumptions. We evaluate the recoverability of the carrying amount of our finite-lived intangible assets whenever events or changes in circumstances indicate that the carrying amount of a finite-lived intangible asset group may not be fully recoverable. The principal factors in considering when to perform an impairment review are as follows:</w:t>
      </w:r>
    </w:p>
    <w:p>
      <w:pPr>
        <w:spacing w:after="0" w:line="96"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Significant under-performance (i.e., declines in sales, earnings or cash flows) of a business or product line in relation to expectations;</w:t>
      </w:r>
    </w:p>
    <w:p>
      <w:pPr>
        <w:spacing w:after="0" w:line="6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Annual operating plans or strategic plan outlook that indicate an unfavorable trend in operating performance of a business or product line;</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Significant negative industry or economic trends; or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Significant changes or planned changes in our use of the assets.</w:t>
      </w:r>
    </w:p>
    <w:p>
      <w:pPr>
        <w:spacing w:after="0" w:line="11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Once it is determined that an impairment review is necessary, recoverability of assets is measured by comparing the carrying amount of the asset grouping to the estimated future undiscounted cash flows. If the carrying amount exceeds the estimated future undiscounted cash flows, the asset grouping is considered to be impaired. The impairment is then measured as the difference between the carrying amount of the asset grouping and its fair value. We endeavor to utilize the best information available to measure fair value, which is usually either market prices (if available), level 1 or level 2 of the fair value hierarchy, or an estimate of the future discounted cash flow, level 3 of the fair value hierarchy. The key estimates in our discounted cash flow analysis include assumptions as to expected industry and business growth rates, sales volume, selling prices and costs, cash flows, and the discount rate selected. These estimates are subject to changes in the economic environment, including market interest rates and expected volatility. Management believes the estimates of future cash flows and fair values are reasonable; however, changes in estimates due to variance from assumptions could materially affect the valuations.</w:t>
      </w:r>
    </w:p>
    <w:p>
      <w:pPr>
        <w:spacing w:after="0" w:line="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Defined Benefit Pension Plans</w:t>
      </w:r>
      <w:r>
        <w:rPr>
          <w:rFonts w:ascii="Arial" w:cs="Arial" w:eastAsia="Arial" w:hAnsi="Arial"/>
          <w:sz w:val="18"/>
          <w:szCs w:val="18"/>
          <w:color w:val="auto"/>
        </w:rPr>
        <w:t>—We sponsor both funded and unfunded U.S. and non-U.S. defined benefit pension plans. For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reporting purposes, net periodic pension (income) expense is calculated annually based upon various actuarial assumptions, including a discount rate for plan obligations and an expected long-term rate of return on plan assets. Changes in the discount rate and expected long-term rate of return on plan assets could materially affect the annual pension (income) expense amount. Annual pension (income) expense is comprised of service and interest cost, assumed return on plan assets, prior service amortization (Pension Ongoing (Income) Expense) and a potential mark-to-market adjustment (MTM Adjustment).</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39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key assumptions used in developing our net periodic pension (income) expense for our U.S. plans included the following:</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80" w:type="dxa"/>
            <w:vAlign w:val="bottom"/>
            <w:tcBorders>
              <w:bottom w:val="single" w:sz="8" w:color="DDDDDD"/>
            </w:tcBorders>
          </w:tcPr>
          <w:p>
            <w:pPr>
              <w:spacing w:after="0"/>
              <w:rPr>
                <w:sz w:val="17"/>
                <w:szCs w:val="17"/>
                <w:color w:val="auto"/>
              </w:rPr>
            </w:pPr>
          </w:p>
        </w:tc>
        <w:tc>
          <w:tcPr>
            <w:tcW w:w="94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DC202E"/>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1540" w:type="dxa"/>
            <w:vAlign w:val="bottom"/>
            <w:tcBorders>
              <w:bottom w:val="single" w:sz="8" w:color="DC202E"/>
            </w:tcBorders>
          </w:tcPr>
          <w:p>
            <w:pPr>
              <w:jc w:val="right"/>
              <w:ind w:right="51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DDDDDD"/>
            </w:tcBorders>
          </w:tcPr>
          <w:p>
            <w:pPr>
              <w:spacing w:after="0"/>
              <w:rPr>
                <w:sz w:val="17"/>
                <w:szCs w:val="17"/>
                <w:color w:val="auto"/>
              </w:rPr>
            </w:pPr>
          </w:p>
        </w:tc>
        <w:tc>
          <w:tcPr>
            <w:tcW w:w="1540" w:type="dxa"/>
            <w:vAlign w:val="bottom"/>
            <w:tcBorders>
              <w:bottom w:val="single" w:sz="8" w:color="DC202E"/>
            </w:tcBorders>
          </w:tcPr>
          <w:p>
            <w:pPr>
              <w:jc w:val="right"/>
              <w:ind w:right="533"/>
              <w:spacing w:after="0"/>
              <w:rPr>
                <w:sz w:val="20"/>
                <w:szCs w:val="20"/>
                <w:color w:val="auto"/>
              </w:rPr>
            </w:pPr>
            <w:r>
              <w:rPr>
                <w:rFonts w:ascii="Arial" w:cs="Arial" w:eastAsia="Arial" w:hAnsi="Arial"/>
                <w:sz w:val="14"/>
                <w:szCs w:val="14"/>
                <w:b w:val="1"/>
                <w:bCs w:val="1"/>
                <w:color w:val="auto"/>
              </w:rPr>
              <w:t>2018</w:t>
            </w:r>
          </w:p>
        </w:tc>
      </w:tr>
      <w:tr>
        <w:trPr>
          <w:trHeight w:val="229"/>
        </w:trPr>
        <w:tc>
          <w:tcPr>
            <w:tcW w:w="7320" w:type="dxa"/>
            <w:vAlign w:val="bottom"/>
            <w:gridSpan w:val="2"/>
            <w:shd w:val="clear" w:color="auto" w:fill="DDDDDD"/>
          </w:tcPr>
          <w:p>
            <w:pPr>
              <w:ind w:left="20"/>
              <w:spacing w:after="0"/>
              <w:rPr>
                <w:sz w:val="20"/>
                <w:szCs w:val="20"/>
                <w:color w:val="auto"/>
              </w:rPr>
            </w:pPr>
            <w:r>
              <w:rPr>
                <w:rFonts w:ascii="Arial" w:cs="Arial" w:eastAsia="Arial" w:hAnsi="Arial"/>
                <w:sz w:val="18"/>
                <w:szCs w:val="18"/>
                <w:color w:val="auto"/>
              </w:rPr>
              <w:t>Discount Rate:</w:t>
            </w:r>
          </w:p>
        </w:tc>
        <w:tc>
          <w:tcPr>
            <w:tcW w:w="60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154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1540" w:type="dxa"/>
            <w:vAlign w:val="bottom"/>
            <w:shd w:val="clear" w:color="auto" w:fill="DDDDDD"/>
          </w:tcPr>
          <w:p>
            <w:pPr>
              <w:spacing w:after="0"/>
              <w:rPr>
                <w:sz w:val="19"/>
                <w:szCs w:val="19"/>
                <w:color w:val="auto"/>
              </w:rPr>
            </w:pPr>
          </w:p>
        </w:tc>
      </w:tr>
      <w:tr>
        <w:trPr>
          <w:trHeight w:val="229"/>
        </w:trPr>
        <w:tc>
          <w:tcPr>
            <w:tcW w:w="7320" w:type="dxa"/>
            <w:vAlign w:val="bottom"/>
            <w:gridSpan w:val="2"/>
          </w:tcPr>
          <w:p>
            <w:pPr>
              <w:ind w:left="360"/>
              <w:spacing w:after="0"/>
              <w:rPr>
                <w:sz w:val="20"/>
                <w:szCs w:val="20"/>
                <w:color w:val="auto"/>
              </w:rPr>
            </w:pPr>
            <w:r>
              <w:rPr>
                <w:rFonts w:ascii="Arial" w:cs="Arial" w:eastAsia="Arial" w:hAnsi="Arial"/>
                <w:sz w:val="18"/>
                <w:szCs w:val="18"/>
                <w:color w:val="auto"/>
              </w:rPr>
              <w:t>Projected benefit obligation</w:t>
            </w:r>
          </w:p>
        </w:tc>
        <w:tc>
          <w:tcPr>
            <w:tcW w:w="600" w:type="dxa"/>
            <w:vAlign w:val="bottom"/>
          </w:tcPr>
          <w:p>
            <w:pPr>
              <w:jc w:val="right"/>
              <w:spacing w:after="0"/>
              <w:rPr>
                <w:sz w:val="20"/>
                <w:szCs w:val="20"/>
                <w:color w:val="auto"/>
              </w:rPr>
            </w:pPr>
            <w:r>
              <w:rPr>
                <w:rFonts w:ascii="Arial" w:cs="Arial" w:eastAsia="Arial" w:hAnsi="Arial"/>
                <w:sz w:val="18"/>
                <w:szCs w:val="18"/>
                <w:color w:val="auto"/>
                <w:w w:val="99"/>
              </w:rPr>
              <w:t>3.22 %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4.35 %</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3.68 %</w:t>
            </w:r>
          </w:p>
        </w:tc>
      </w:tr>
      <w:tr>
        <w:trPr>
          <w:trHeight w:val="230"/>
        </w:trPr>
        <w:tc>
          <w:tcPr>
            <w:tcW w:w="7320" w:type="dxa"/>
            <w:vAlign w:val="bottom"/>
            <w:gridSpan w:val="2"/>
            <w:shd w:val="clear" w:color="auto" w:fill="DDDDDD"/>
          </w:tcPr>
          <w:p>
            <w:pPr>
              <w:ind w:left="360"/>
              <w:spacing w:after="0"/>
              <w:rPr>
                <w:sz w:val="20"/>
                <w:szCs w:val="20"/>
                <w:color w:val="auto"/>
              </w:rPr>
            </w:pPr>
            <w:r>
              <w:rPr>
                <w:rFonts w:ascii="Arial" w:cs="Arial" w:eastAsia="Arial" w:hAnsi="Arial"/>
                <w:sz w:val="18"/>
                <w:szCs w:val="18"/>
                <w:color w:val="auto"/>
              </w:rPr>
              <w:t>Service cost</w:t>
            </w:r>
          </w:p>
        </w:tc>
        <w:tc>
          <w:tcPr>
            <w:tcW w:w="60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9"/>
              </w:rPr>
              <w:t>3.33 %</w:t>
            </w:r>
          </w:p>
        </w:tc>
        <w:tc>
          <w:tcPr>
            <w:tcW w:w="100" w:type="dxa"/>
            <w:vAlign w:val="bottom"/>
            <w:shd w:val="clear" w:color="auto" w:fill="DDDDDD"/>
          </w:tcPr>
          <w:p>
            <w:pPr>
              <w:spacing w:after="0"/>
              <w:rPr>
                <w:sz w:val="19"/>
                <w:szCs w:val="19"/>
                <w:color w:val="auto"/>
              </w:rPr>
            </w:pPr>
          </w:p>
        </w:tc>
        <w:tc>
          <w:tcPr>
            <w:tcW w:w="15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4.47 %</w:t>
            </w:r>
          </w:p>
        </w:tc>
        <w:tc>
          <w:tcPr>
            <w:tcW w:w="120" w:type="dxa"/>
            <w:vAlign w:val="bottom"/>
            <w:shd w:val="clear" w:color="auto" w:fill="DDDDDD"/>
          </w:tcPr>
          <w:p>
            <w:pPr>
              <w:spacing w:after="0"/>
              <w:rPr>
                <w:sz w:val="19"/>
                <w:szCs w:val="19"/>
                <w:color w:val="auto"/>
              </w:rPr>
            </w:pPr>
          </w:p>
        </w:tc>
        <w:tc>
          <w:tcPr>
            <w:tcW w:w="15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3.77 %</w:t>
            </w:r>
          </w:p>
        </w:tc>
      </w:tr>
      <w:tr>
        <w:trPr>
          <w:trHeight w:val="229"/>
        </w:trPr>
        <w:tc>
          <w:tcPr>
            <w:tcW w:w="7320" w:type="dxa"/>
            <w:vAlign w:val="bottom"/>
            <w:gridSpan w:val="2"/>
          </w:tcPr>
          <w:p>
            <w:pPr>
              <w:ind w:left="360"/>
              <w:spacing w:after="0"/>
              <w:rPr>
                <w:sz w:val="20"/>
                <w:szCs w:val="20"/>
                <w:color w:val="auto"/>
              </w:rPr>
            </w:pPr>
            <w:r>
              <w:rPr>
                <w:rFonts w:ascii="Arial" w:cs="Arial" w:eastAsia="Arial" w:hAnsi="Arial"/>
                <w:sz w:val="18"/>
                <w:szCs w:val="18"/>
                <w:color w:val="auto"/>
              </w:rPr>
              <w:t>Interest cost</w:t>
            </w:r>
          </w:p>
        </w:tc>
        <w:tc>
          <w:tcPr>
            <w:tcW w:w="600" w:type="dxa"/>
            <w:vAlign w:val="bottom"/>
          </w:tcPr>
          <w:p>
            <w:pPr>
              <w:jc w:val="right"/>
              <w:spacing w:after="0"/>
              <w:rPr>
                <w:sz w:val="20"/>
                <w:szCs w:val="20"/>
                <w:color w:val="auto"/>
              </w:rPr>
            </w:pPr>
            <w:r>
              <w:rPr>
                <w:rFonts w:ascii="Arial" w:cs="Arial" w:eastAsia="Arial" w:hAnsi="Arial"/>
                <w:sz w:val="18"/>
                <w:szCs w:val="18"/>
                <w:color w:val="auto"/>
                <w:w w:val="99"/>
              </w:rPr>
              <w:t>2.76 %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3.94 %</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3.27 %</w:t>
            </w:r>
          </w:p>
        </w:tc>
      </w:tr>
      <w:tr>
        <w:trPr>
          <w:trHeight w:val="230"/>
        </w:trPr>
        <w:tc>
          <w:tcPr>
            <w:tcW w:w="7320" w:type="dxa"/>
            <w:vAlign w:val="bottom"/>
            <w:gridSpan w:val="2"/>
            <w:shd w:val="clear" w:color="auto" w:fill="DDDDDD"/>
          </w:tcPr>
          <w:p>
            <w:pPr>
              <w:ind w:left="20"/>
              <w:spacing w:after="0"/>
              <w:rPr>
                <w:sz w:val="20"/>
                <w:szCs w:val="20"/>
                <w:color w:val="auto"/>
              </w:rPr>
            </w:pPr>
            <w:r>
              <w:rPr>
                <w:rFonts w:ascii="Arial" w:cs="Arial" w:eastAsia="Arial" w:hAnsi="Arial"/>
                <w:sz w:val="18"/>
                <w:szCs w:val="18"/>
                <w:color w:val="auto"/>
              </w:rPr>
              <w:t>Assets:</w:t>
            </w:r>
          </w:p>
        </w:tc>
        <w:tc>
          <w:tcPr>
            <w:tcW w:w="60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154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1540" w:type="dxa"/>
            <w:vAlign w:val="bottom"/>
            <w:shd w:val="clear" w:color="auto" w:fill="DDDDDD"/>
          </w:tcPr>
          <w:p>
            <w:pPr>
              <w:spacing w:after="0"/>
              <w:rPr>
                <w:sz w:val="19"/>
                <w:szCs w:val="19"/>
                <w:color w:val="auto"/>
              </w:rPr>
            </w:pPr>
          </w:p>
        </w:tc>
      </w:tr>
      <w:tr>
        <w:trPr>
          <w:trHeight w:val="229"/>
        </w:trPr>
        <w:tc>
          <w:tcPr>
            <w:tcW w:w="7320" w:type="dxa"/>
            <w:vAlign w:val="bottom"/>
            <w:gridSpan w:val="2"/>
          </w:tcPr>
          <w:p>
            <w:pPr>
              <w:ind w:left="360"/>
              <w:spacing w:after="0"/>
              <w:rPr>
                <w:sz w:val="20"/>
                <w:szCs w:val="20"/>
                <w:color w:val="auto"/>
              </w:rPr>
            </w:pPr>
            <w:r>
              <w:rPr>
                <w:rFonts w:ascii="Arial" w:cs="Arial" w:eastAsia="Arial" w:hAnsi="Arial"/>
                <w:sz w:val="18"/>
                <w:szCs w:val="18"/>
                <w:color w:val="auto"/>
              </w:rPr>
              <w:t>Expected rate of return</w:t>
            </w:r>
          </w:p>
        </w:tc>
        <w:tc>
          <w:tcPr>
            <w:tcW w:w="600" w:type="dxa"/>
            <w:vAlign w:val="bottom"/>
          </w:tcPr>
          <w:p>
            <w:pPr>
              <w:jc w:val="right"/>
              <w:spacing w:after="0"/>
              <w:rPr>
                <w:sz w:val="20"/>
                <w:szCs w:val="20"/>
                <w:color w:val="auto"/>
              </w:rPr>
            </w:pPr>
            <w:r>
              <w:rPr>
                <w:rFonts w:ascii="Arial" w:cs="Arial" w:eastAsia="Arial" w:hAnsi="Arial"/>
                <w:sz w:val="18"/>
                <w:szCs w:val="18"/>
                <w:color w:val="auto"/>
                <w:w w:val="99"/>
              </w:rPr>
              <w:t>6.15 %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6.75 %</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7.75 %</w:t>
            </w:r>
          </w:p>
        </w:tc>
      </w:tr>
      <w:tr>
        <w:trPr>
          <w:trHeight w:val="229"/>
        </w:trPr>
        <w:tc>
          <w:tcPr>
            <w:tcW w:w="7320" w:type="dxa"/>
            <w:vAlign w:val="bottom"/>
            <w:gridSpan w:val="2"/>
            <w:shd w:val="clear" w:color="auto" w:fill="DDDDDD"/>
          </w:tcPr>
          <w:p>
            <w:pPr>
              <w:ind w:left="360"/>
              <w:spacing w:after="0"/>
              <w:rPr>
                <w:sz w:val="20"/>
                <w:szCs w:val="20"/>
                <w:color w:val="auto"/>
              </w:rPr>
            </w:pPr>
            <w:r>
              <w:rPr>
                <w:rFonts w:ascii="Arial" w:cs="Arial" w:eastAsia="Arial" w:hAnsi="Arial"/>
                <w:sz w:val="18"/>
                <w:szCs w:val="18"/>
                <w:color w:val="auto"/>
              </w:rPr>
              <w:t>Actual rate of return</w:t>
            </w:r>
          </w:p>
        </w:tc>
        <w:tc>
          <w:tcPr>
            <w:tcW w:w="60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9"/>
              </w:rPr>
              <w:t>13.8 %</w:t>
            </w:r>
          </w:p>
        </w:tc>
        <w:tc>
          <w:tcPr>
            <w:tcW w:w="100" w:type="dxa"/>
            <w:vAlign w:val="bottom"/>
            <w:shd w:val="clear" w:color="auto" w:fill="DDDDDD"/>
          </w:tcPr>
          <w:p>
            <w:pPr>
              <w:spacing w:after="0"/>
              <w:rPr>
                <w:sz w:val="19"/>
                <w:szCs w:val="19"/>
                <w:color w:val="auto"/>
              </w:rPr>
            </w:pPr>
          </w:p>
        </w:tc>
        <w:tc>
          <w:tcPr>
            <w:tcW w:w="15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21.2 %</w:t>
            </w:r>
          </w:p>
        </w:tc>
        <w:tc>
          <w:tcPr>
            <w:tcW w:w="120" w:type="dxa"/>
            <w:vAlign w:val="bottom"/>
            <w:shd w:val="clear" w:color="auto" w:fill="DDDDDD"/>
          </w:tcPr>
          <w:p>
            <w:pPr>
              <w:spacing w:after="0"/>
              <w:rPr>
                <w:sz w:val="19"/>
                <w:szCs w:val="19"/>
                <w:color w:val="auto"/>
              </w:rPr>
            </w:pPr>
          </w:p>
        </w:tc>
        <w:tc>
          <w:tcPr>
            <w:tcW w:w="15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7320" w:type="dxa"/>
            <w:vAlign w:val="bottom"/>
            <w:gridSpan w:val="2"/>
          </w:tcPr>
          <w:p>
            <w:pPr>
              <w:ind w:left="360"/>
              <w:spacing w:after="0"/>
              <w:rPr>
                <w:sz w:val="20"/>
                <w:szCs w:val="20"/>
                <w:color w:val="auto"/>
              </w:rPr>
            </w:pPr>
            <w:r>
              <w:rPr>
                <w:rFonts w:ascii="Arial" w:cs="Arial" w:eastAsia="Arial" w:hAnsi="Arial"/>
                <w:sz w:val="18"/>
                <w:szCs w:val="18"/>
                <w:color w:val="auto"/>
              </w:rPr>
              <w:t>Actual 10 year average annual compounded rate of return</w:t>
            </w:r>
          </w:p>
        </w:tc>
        <w:tc>
          <w:tcPr>
            <w:tcW w:w="600" w:type="dxa"/>
            <w:vAlign w:val="bottom"/>
          </w:tcPr>
          <w:p>
            <w:pPr>
              <w:jc w:val="right"/>
              <w:spacing w:after="0"/>
              <w:rPr>
                <w:sz w:val="20"/>
                <w:szCs w:val="20"/>
                <w:color w:val="auto"/>
              </w:rPr>
            </w:pPr>
            <w:r>
              <w:rPr>
                <w:rFonts w:ascii="Arial" w:cs="Arial" w:eastAsia="Arial" w:hAnsi="Arial"/>
                <w:sz w:val="18"/>
                <w:szCs w:val="18"/>
                <w:color w:val="auto"/>
                <w:w w:val="99"/>
              </w:rPr>
              <w:t>10.6 %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11.1 %</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11.0 %</w:t>
            </w:r>
          </w:p>
        </w:tc>
      </w:tr>
    </w:tbl>
    <w:p>
      <w:pPr>
        <w:spacing w:after="0" w:line="1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MTM Adjustment represents the recognition of net actuarial gains or losses in excess of 10% of the greater of the fair value of plan assets or the plans’ projected benefit obligation (the corridor). Net actuarial gains and losses occur when the actual experience differs from any of the various assumptions used to value our pension plans or when assumptions change. The primary factors contributing to actuarial gains and losses are changes in the discount rate used to value pension obligations as of the measurement date each year and the difference between expected and actual returns on plan assets. The mark-to-market accounting method results in the potential for volatile and difficult to forecast MTM Adjustments. MTM Adjustments were $44 million, $123 million and $37 million for the years ended December 31, 2020, 2019 and 2018.</w:t>
      </w:r>
    </w:p>
    <w:p>
      <w:pPr>
        <w:spacing w:after="0" w:line="9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determine the expected long-term rate of return on plan assets utilizing historical plan asset returns over varying long-term periods combined with our expectations of future market conditions and asset mix considerations (see Note 21 Pension and Other Postretirement Benefits of Notes to Consolidated Financial Statements for details on the actual various asset classes and targeted asset allocation percentages for our pension plans). We plan to use an expected rate of return on plan assets of 6.15% for 2021, matching the assumption used for 2020.</w:t>
      </w:r>
    </w:p>
    <w:p>
      <w:pPr>
        <w:spacing w:after="0" w:line="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discount rate reflects the market rate on December 31 (measurement date) for high-quality fixed-income investments with maturities corresponding to our benefit obligations and is subject to change each year. The discount rate can be volatile from year to year as it is determined based upon prevailing interest rates as of the measurement date. We used a 2.50% discount rate to determine benefit obligations as of December 31, 2020, reflecting a decrease in the market interest rate environment since the prior year-end.</w:t>
      </w:r>
    </w:p>
    <w:p>
      <w:pPr>
        <w:spacing w:after="0" w:line="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to the potential for MTM Adjustments, changes in our expected rate of return on plan assets and discount rate resulting from economic events also affects future pension ongoing (income) expense. The following table highlights the sensitivity of our U.S. pension obligations and ongoing (income) expense to changes in these assumptions, assuming all other assumptions remain constant. These estimates exclude any potential MTM Adjustment:</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2820" w:type="dxa"/>
            <w:vAlign w:val="bottom"/>
            <w:gridSpan w:val="2"/>
          </w:tcPr>
          <w:p>
            <w:pPr>
              <w:jc w:val="center"/>
              <w:ind w:left="178"/>
              <w:spacing w:after="0"/>
              <w:rPr>
                <w:sz w:val="20"/>
                <w:szCs w:val="20"/>
                <w:color w:val="auto"/>
              </w:rPr>
            </w:pPr>
            <w:r>
              <w:rPr>
                <w:rFonts w:ascii="Arial" w:cs="Arial" w:eastAsia="Arial" w:hAnsi="Arial"/>
                <w:sz w:val="14"/>
                <w:szCs w:val="14"/>
                <w:b w:val="1"/>
                <w:bCs w:val="1"/>
                <w:color w:val="auto"/>
              </w:rPr>
              <w:t>Impact on 2021</w:t>
            </w: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6120" w:type="dxa"/>
            <w:vAlign w:val="bottom"/>
            <w:vMerge w:val="restart"/>
          </w:tcPr>
          <w:p>
            <w:pPr>
              <w:ind w:left="2480"/>
              <w:spacing w:after="0"/>
              <w:rPr>
                <w:sz w:val="20"/>
                <w:szCs w:val="20"/>
                <w:color w:val="auto"/>
              </w:rPr>
            </w:pPr>
            <w:r>
              <w:rPr>
                <w:rFonts w:ascii="Arial" w:cs="Arial" w:eastAsia="Arial" w:hAnsi="Arial"/>
                <w:sz w:val="14"/>
                <w:szCs w:val="14"/>
                <w:b w:val="1"/>
                <w:bCs w:val="1"/>
                <w:color w:val="auto"/>
              </w:rPr>
              <w:t>Change in Assumption</w:t>
            </w:r>
          </w:p>
        </w:tc>
        <w:tc>
          <w:tcPr>
            <w:tcW w:w="2820" w:type="dxa"/>
            <w:vAlign w:val="bottom"/>
            <w:gridSpan w:val="2"/>
          </w:tcPr>
          <w:p>
            <w:pPr>
              <w:jc w:val="center"/>
              <w:ind w:left="198"/>
              <w:spacing w:after="0" w:line="135" w:lineRule="exact"/>
              <w:rPr>
                <w:sz w:val="20"/>
                <w:szCs w:val="20"/>
                <w:color w:val="auto"/>
              </w:rPr>
            </w:pPr>
            <w:r>
              <w:rPr>
                <w:rFonts w:ascii="Arial" w:cs="Arial" w:eastAsia="Arial" w:hAnsi="Arial"/>
                <w:sz w:val="14"/>
                <w:szCs w:val="14"/>
                <w:b w:val="1"/>
                <w:bCs w:val="1"/>
                <w:color w:val="auto"/>
              </w:rPr>
              <w:t>Pension Ongoing</w:t>
            </w:r>
          </w:p>
        </w:tc>
        <w:tc>
          <w:tcPr>
            <w:tcW w:w="23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Impact on PBO</w:t>
            </w:r>
          </w:p>
        </w:tc>
        <w:tc>
          <w:tcPr>
            <w:tcW w:w="0" w:type="dxa"/>
            <w:vAlign w:val="bottom"/>
          </w:tcPr>
          <w:p>
            <w:pPr>
              <w:spacing w:after="0"/>
              <w:rPr>
                <w:sz w:val="1"/>
                <w:szCs w:val="1"/>
                <w:color w:val="auto"/>
              </w:rPr>
            </w:pPr>
          </w:p>
        </w:tc>
      </w:tr>
      <w:tr>
        <w:trPr>
          <w:trHeight w:val="183"/>
        </w:trPr>
        <w:tc>
          <w:tcPr>
            <w:tcW w:w="6120" w:type="dxa"/>
            <w:vAlign w:val="bottom"/>
            <w:tcBorders>
              <w:bottom w:val="single" w:sz="8" w:color="DC202E"/>
            </w:tcBorders>
            <w:vMerge w:val="continue"/>
          </w:tcPr>
          <w:p>
            <w:pPr>
              <w:spacing w:after="0"/>
              <w:rPr>
                <w:sz w:val="15"/>
                <w:szCs w:val="15"/>
                <w:color w:val="auto"/>
              </w:rPr>
            </w:pPr>
          </w:p>
        </w:tc>
        <w:tc>
          <w:tcPr>
            <w:tcW w:w="2700" w:type="dxa"/>
            <w:vAlign w:val="bottom"/>
            <w:tcBorders>
              <w:bottom w:val="single" w:sz="8" w:color="DC202E"/>
            </w:tcBorders>
          </w:tcPr>
          <w:p>
            <w:pPr>
              <w:jc w:val="center"/>
              <w:ind w:left="318"/>
              <w:spacing w:after="0"/>
              <w:rPr>
                <w:sz w:val="20"/>
                <w:szCs w:val="20"/>
                <w:color w:val="auto"/>
              </w:rPr>
            </w:pPr>
            <w:r>
              <w:rPr>
                <w:rFonts w:ascii="Arial" w:cs="Arial" w:eastAsia="Arial" w:hAnsi="Arial"/>
                <w:sz w:val="14"/>
                <w:szCs w:val="14"/>
                <w:b w:val="1"/>
                <w:bCs w:val="1"/>
                <w:color w:val="auto"/>
              </w:rPr>
              <w:t>Expense</w:t>
            </w:r>
          </w:p>
        </w:tc>
        <w:tc>
          <w:tcPr>
            <w:tcW w:w="120" w:type="dxa"/>
            <w:vAlign w:val="bottom"/>
            <w:tcBorders>
              <w:bottom w:val="single" w:sz="8" w:color="DDDDDD"/>
            </w:tcBorders>
          </w:tcPr>
          <w:p>
            <w:pPr>
              <w:spacing w:after="0"/>
              <w:rPr>
                <w:sz w:val="15"/>
                <w:szCs w:val="15"/>
                <w:color w:val="auto"/>
              </w:rPr>
            </w:pPr>
          </w:p>
        </w:tc>
        <w:tc>
          <w:tcPr>
            <w:tcW w:w="2300" w:type="dxa"/>
            <w:vAlign w:val="bottom"/>
            <w:tcBorders>
              <w:bottom w:val="single" w:sz="8" w:color="DC202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120" w:type="dxa"/>
            <w:vAlign w:val="bottom"/>
            <w:shd w:val="clear" w:color="auto" w:fill="DDDDDD"/>
          </w:tcPr>
          <w:p>
            <w:pPr>
              <w:ind w:left="20"/>
              <w:spacing w:after="0"/>
              <w:rPr>
                <w:sz w:val="20"/>
                <w:szCs w:val="20"/>
                <w:color w:val="auto"/>
              </w:rPr>
            </w:pPr>
            <w:r>
              <w:rPr>
                <w:rFonts w:ascii="Arial" w:cs="Arial" w:eastAsia="Arial" w:hAnsi="Arial"/>
                <w:sz w:val="18"/>
                <w:szCs w:val="18"/>
                <w:color w:val="auto"/>
              </w:rPr>
              <w:t>0.25 percentage point decrease in discount rate</w:t>
            </w:r>
          </w:p>
        </w:tc>
        <w:tc>
          <w:tcPr>
            <w:tcW w:w="2820" w:type="dxa"/>
            <w:vAlign w:val="bottom"/>
            <w:gridSpan w:val="2"/>
            <w:shd w:val="clear" w:color="auto" w:fill="DDDDDD"/>
          </w:tcPr>
          <w:p>
            <w:pPr>
              <w:jc w:val="center"/>
              <w:ind w:left="178"/>
              <w:spacing w:after="0"/>
              <w:rPr>
                <w:sz w:val="20"/>
                <w:szCs w:val="20"/>
                <w:color w:val="auto"/>
              </w:rPr>
            </w:pPr>
            <w:r>
              <w:rPr>
                <w:rFonts w:ascii="Arial" w:cs="Arial" w:eastAsia="Arial" w:hAnsi="Arial"/>
                <w:sz w:val="18"/>
                <w:szCs w:val="18"/>
                <w:color w:val="auto"/>
                <w:w w:val="99"/>
              </w:rPr>
              <w:t>Decrease $32 million</w:t>
            </w:r>
          </w:p>
        </w:tc>
        <w:tc>
          <w:tcPr>
            <w:tcW w:w="2300" w:type="dxa"/>
            <w:vAlign w:val="bottom"/>
            <w:shd w:val="clear" w:color="auto" w:fill="DDDDDD"/>
          </w:tcPr>
          <w:p>
            <w:pPr>
              <w:jc w:val="center"/>
              <w:spacing w:after="0"/>
              <w:rPr>
                <w:sz w:val="20"/>
                <w:szCs w:val="20"/>
                <w:color w:val="auto"/>
              </w:rPr>
            </w:pPr>
            <w:r>
              <w:rPr>
                <w:rFonts w:ascii="Arial" w:cs="Arial" w:eastAsia="Arial" w:hAnsi="Arial"/>
                <w:sz w:val="18"/>
                <w:szCs w:val="18"/>
                <w:color w:val="auto"/>
                <w:w w:val="99"/>
              </w:rPr>
              <w:t>Increase $520 million</w:t>
            </w:r>
          </w:p>
        </w:tc>
        <w:tc>
          <w:tcPr>
            <w:tcW w:w="0" w:type="dxa"/>
            <w:vAlign w:val="bottom"/>
          </w:tcPr>
          <w:p>
            <w:pPr>
              <w:spacing w:after="0"/>
              <w:rPr>
                <w:sz w:val="1"/>
                <w:szCs w:val="1"/>
                <w:color w:val="auto"/>
              </w:rPr>
            </w:pPr>
          </w:p>
        </w:tc>
      </w:tr>
      <w:tr>
        <w:trPr>
          <w:trHeight w:val="230"/>
        </w:trPr>
        <w:tc>
          <w:tcPr>
            <w:tcW w:w="6120" w:type="dxa"/>
            <w:vAlign w:val="bottom"/>
          </w:tcPr>
          <w:p>
            <w:pPr>
              <w:ind w:left="20"/>
              <w:spacing w:after="0"/>
              <w:rPr>
                <w:sz w:val="20"/>
                <w:szCs w:val="20"/>
                <w:color w:val="auto"/>
              </w:rPr>
            </w:pPr>
            <w:r>
              <w:rPr>
                <w:rFonts w:ascii="Arial" w:cs="Arial" w:eastAsia="Arial" w:hAnsi="Arial"/>
                <w:sz w:val="18"/>
                <w:szCs w:val="18"/>
                <w:color w:val="auto"/>
              </w:rPr>
              <w:t>0.25 percentage point increase in discount rate</w:t>
            </w:r>
          </w:p>
        </w:tc>
        <w:tc>
          <w:tcPr>
            <w:tcW w:w="2820" w:type="dxa"/>
            <w:vAlign w:val="bottom"/>
            <w:gridSpan w:val="2"/>
          </w:tcPr>
          <w:p>
            <w:pPr>
              <w:jc w:val="center"/>
              <w:ind w:left="178"/>
              <w:spacing w:after="0"/>
              <w:rPr>
                <w:sz w:val="20"/>
                <w:szCs w:val="20"/>
                <w:color w:val="auto"/>
              </w:rPr>
            </w:pPr>
            <w:r>
              <w:rPr>
                <w:rFonts w:ascii="Arial" w:cs="Arial" w:eastAsia="Arial" w:hAnsi="Arial"/>
                <w:sz w:val="18"/>
                <w:szCs w:val="18"/>
                <w:color w:val="auto"/>
                <w:w w:val="99"/>
              </w:rPr>
              <w:t>Increase $30 million</w:t>
            </w:r>
          </w:p>
        </w:tc>
        <w:tc>
          <w:tcPr>
            <w:tcW w:w="2300" w:type="dxa"/>
            <w:vAlign w:val="bottom"/>
          </w:tcPr>
          <w:p>
            <w:pPr>
              <w:jc w:val="center"/>
              <w:spacing w:after="0"/>
              <w:rPr>
                <w:sz w:val="20"/>
                <w:szCs w:val="20"/>
                <w:color w:val="auto"/>
              </w:rPr>
            </w:pPr>
            <w:r>
              <w:rPr>
                <w:rFonts w:ascii="Arial" w:cs="Arial" w:eastAsia="Arial" w:hAnsi="Arial"/>
                <w:sz w:val="18"/>
                <w:szCs w:val="18"/>
                <w:color w:val="auto"/>
                <w:w w:val="99"/>
              </w:rPr>
              <w:t>Decrease $500 million</w:t>
            </w:r>
          </w:p>
        </w:tc>
        <w:tc>
          <w:tcPr>
            <w:tcW w:w="0" w:type="dxa"/>
            <w:vAlign w:val="bottom"/>
          </w:tcPr>
          <w:p>
            <w:pPr>
              <w:spacing w:after="0"/>
              <w:rPr>
                <w:sz w:val="1"/>
                <w:szCs w:val="1"/>
                <w:color w:val="auto"/>
              </w:rPr>
            </w:pPr>
          </w:p>
        </w:tc>
      </w:tr>
      <w:tr>
        <w:trPr>
          <w:trHeight w:val="230"/>
        </w:trPr>
        <w:tc>
          <w:tcPr>
            <w:tcW w:w="6120" w:type="dxa"/>
            <w:vAlign w:val="bottom"/>
            <w:shd w:val="clear" w:color="auto" w:fill="DDDDDD"/>
          </w:tcPr>
          <w:p>
            <w:pPr>
              <w:ind w:left="20"/>
              <w:spacing w:after="0"/>
              <w:rPr>
                <w:sz w:val="20"/>
                <w:szCs w:val="20"/>
                <w:color w:val="auto"/>
              </w:rPr>
            </w:pPr>
            <w:r>
              <w:rPr>
                <w:rFonts w:ascii="Arial" w:cs="Arial" w:eastAsia="Arial" w:hAnsi="Arial"/>
                <w:sz w:val="18"/>
                <w:szCs w:val="18"/>
                <w:color w:val="auto"/>
              </w:rPr>
              <w:t>0.25 percentage point decrease in expected rate of return on assets</w:t>
            </w:r>
          </w:p>
        </w:tc>
        <w:tc>
          <w:tcPr>
            <w:tcW w:w="2820" w:type="dxa"/>
            <w:vAlign w:val="bottom"/>
            <w:gridSpan w:val="2"/>
            <w:shd w:val="clear" w:color="auto" w:fill="DDDDDD"/>
          </w:tcPr>
          <w:p>
            <w:pPr>
              <w:jc w:val="center"/>
              <w:ind w:left="178"/>
              <w:spacing w:after="0"/>
              <w:rPr>
                <w:sz w:val="20"/>
                <w:szCs w:val="20"/>
                <w:color w:val="auto"/>
              </w:rPr>
            </w:pPr>
            <w:r>
              <w:rPr>
                <w:rFonts w:ascii="Arial" w:cs="Arial" w:eastAsia="Arial" w:hAnsi="Arial"/>
                <w:sz w:val="18"/>
                <w:szCs w:val="18"/>
                <w:color w:val="auto"/>
                <w:w w:val="99"/>
              </w:rPr>
              <w:t>Increase $50 million</w:t>
            </w:r>
          </w:p>
        </w:tc>
        <w:tc>
          <w:tcPr>
            <w:tcW w:w="2300" w:type="dxa"/>
            <w:vAlign w:val="bottom"/>
            <w:shd w:val="clear" w:color="auto" w:fill="DDDDDD"/>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6120" w:type="dxa"/>
            <w:vAlign w:val="bottom"/>
          </w:tcPr>
          <w:p>
            <w:pPr>
              <w:ind w:left="20"/>
              <w:spacing w:after="0"/>
              <w:rPr>
                <w:sz w:val="20"/>
                <w:szCs w:val="20"/>
                <w:color w:val="auto"/>
              </w:rPr>
            </w:pPr>
            <w:r>
              <w:rPr>
                <w:rFonts w:ascii="Arial" w:cs="Arial" w:eastAsia="Arial" w:hAnsi="Arial"/>
                <w:sz w:val="18"/>
                <w:szCs w:val="18"/>
                <w:color w:val="auto"/>
              </w:rPr>
              <w:t>0.25 percentage point increase in expected rate of return on assets</w:t>
            </w:r>
          </w:p>
        </w:tc>
        <w:tc>
          <w:tcPr>
            <w:tcW w:w="2820" w:type="dxa"/>
            <w:vAlign w:val="bottom"/>
            <w:gridSpan w:val="2"/>
          </w:tcPr>
          <w:p>
            <w:pPr>
              <w:jc w:val="center"/>
              <w:ind w:left="178"/>
              <w:spacing w:after="0"/>
              <w:rPr>
                <w:sz w:val="20"/>
                <w:szCs w:val="20"/>
                <w:color w:val="auto"/>
              </w:rPr>
            </w:pPr>
            <w:r>
              <w:rPr>
                <w:rFonts w:ascii="Arial" w:cs="Arial" w:eastAsia="Arial" w:hAnsi="Arial"/>
                <w:sz w:val="18"/>
                <w:szCs w:val="18"/>
                <w:color w:val="auto"/>
                <w:w w:val="99"/>
              </w:rPr>
              <w:t>Decrease $50 million</w:t>
            </w:r>
          </w:p>
        </w:tc>
        <w:tc>
          <w:tcPr>
            <w:tcW w:w="23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1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Pension ongoing income for our world-wide pension plans is expected to be approximately $ 1,046 million in 2021 compared with pension ongoing income of $785 million in 2020. The expected increase in pension income is primarily due to higher expected return on plan assets due to strong asset returns in our U.S. and UK plans in 2020, and lower interest cost from a decrease in discount rates in our U.S. and UK plans. Also, if required, a MTM Adjustment will be recorded in the fourth quarter of 2021 in accordance with our pension accounting method as previously described. It is difficult to reliably forecast or predict whether there will be a MTM Adjustment in 2021, and if one is required, what the magnitude of such adjustment will be. MTM Adjustments are primarily driven by events and circumstances beyond the control of the Company such as changes in interest rates and the performance of the financial markets.</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40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9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Asbestos Related Liabilities and Insurance Recoveries</w:t>
      </w:r>
      <w:r>
        <w:rPr>
          <w:rFonts w:ascii="Arial" w:cs="Arial" w:eastAsia="Arial" w:hAnsi="Arial"/>
          <w:sz w:val="18"/>
          <w:szCs w:val="18"/>
          <w:color w:val="auto"/>
        </w:rPr>
        <w:t>—In connection with the recognition of liabilities for asbestos related matters,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record asbestos related insurance recoveries that are deemed probable. In assessing the probability of insurance recovery, we make judgments concerning insurance coverage that we believe are reasonable and consistent with our historical dealings and our knowledge of any pertinent solvency issues surrounding insurers. While the substantial majority of our insurance carriers are solvent, some of our individual carriers are insolvent, which has been considered in our analysis of probable recoveries. Projecting future events is subject to various uncertainties that could cause the insurance recovery on asbestos related liabilities to be higher or lower than that projected and recorded. Given the inherent uncertainty in making future projections, we reevaluate our projections concerning our probable insurance recoveries considering any changes to the projected liability, our recovery experience or other relevant factors that may impact future insurance recoveries.</w:t>
      </w:r>
    </w:p>
    <w:p>
      <w:pPr>
        <w:spacing w:after="0" w:line="9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involvement in asbestos related personal injury actions relates to two predecessor companies. Regarding North American Refractories Company (NARCO) asbestos related claims, we estimate our NARCO asbestos liability for the resolution of asserted Narco-related asbestos claims which qualify for payment under the NARCO Trust Distribution Procedures (Annual Contribution Claims) and for amounts owed pursuant to settlement agreements reached during the pendency of the NARCO bankruptcy proceedings that provide for the right to submit claims to the NARCO Trust subject to qualification under the terms of the settlement agreements and Trust Distribution Procedures (Pre-Established Unliquidated Claims) using average payment values for the relevant historical period. We estimate our NARCO asbestos liability for unasserted claims based on historic and anticipated claims filing experience and payment rates, disease classifications and type of claim, and average payment values by the NARCO Trust for the relevant historical period. Our estimate also includes all years of epidemiological disease projection through 2059. Regarding Bendix Friction Materials (Bendix) asbestos related claims, we accrued for the estimated value of pending claims using average resolution values for the previous five years. We also accrued for the estimated value of future claims related to Bendix over the full term of epidemiological disease projection through 2059 based on historic and anticipated claims filing experience and dismissal rates, disease classifications, and average resolution values in the tort system for the previous five years. We update our assumptions on average payment values and average resolution values in the fourth quarter of each year.</w:t>
      </w:r>
    </w:p>
    <w:p>
      <w:pPr>
        <w:spacing w:after="0" w:line="102"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See Note 20 Commitments and Contingencies of Notes to Consolidated Financial Statements for a discussion of management’s judgments applied in the recognition and measurement of our asbestos related liabilities and related insurance recoveries.</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Contingent Liabilities</w:t>
      </w:r>
      <w:r>
        <w:rPr>
          <w:rFonts w:ascii="Arial" w:cs="Arial" w:eastAsia="Arial" w:hAnsi="Arial"/>
          <w:sz w:val="18"/>
          <w:szCs w:val="18"/>
          <w:color w:val="auto"/>
        </w:rPr>
        <w:t>—We are subject to a number of lawsuits, investigations and claims (some of which involve substantial dollar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amounts) that arise out of the conduct of our global business operations or those of previously owned entities, including matters relating to commercial transactions, government contracts, product liability (including asbestos), prior acquisitions and divestitures, employee benefit plans, intellectual property, legal and environmental, health and safety matters. We continually assess the likelihood of any adverse judgments or outcomes to our contingencies, as well as potential amounts or ranges of probable losses, and recognize a liability, if any, for these contingencies based on a thorough analysis of each matter with the assistance of outside legal counsel and, if applicable, other experts. Such analysis includes making judgments concerning matters such as the costs associated with environmental matters, the outcome of negotiations, the number and cost of pending and future asbestos claims, and the impact of evidentiary requirements. Because most contingencies are resolved over long periods of time, liabilities may change in the future due to new developments (including new discovery of facts, changes in legislation and outcomes of similar cases through the judicial system), changes in assumptions or changes in our settlement strategy. See Note 20 Commitments and Contingencies of Notes to Consolidated Financial Statements for a discussion of management’s judgment applied in the recognition and measurement of our environmental and asbestos liabilities which represent our most significant contingencies.</w:t>
      </w:r>
    </w:p>
    <w:p>
      <w:pPr>
        <w:spacing w:after="0" w:line="278" w:lineRule="exact"/>
        <w:rPr>
          <w:sz w:val="20"/>
          <w:szCs w:val="20"/>
          <w:color w:val="auto"/>
        </w:rPr>
      </w:pPr>
    </w:p>
    <w:p>
      <w:pPr>
        <w:spacing w:after="0"/>
        <w:rPr>
          <w:sz w:val="20"/>
          <w:szCs w:val="20"/>
          <w:color w:val="auto"/>
        </w:rPr>
      </w:pPr>
      <w:r>
        <w:rPr>
          <w:rFonts w:ascii="Arial" w:cs="Arial" w:eastAsia="Arial" w:hAnsi="Arial"/>
          <w:sz w:val="29"/>
          <w:szCs w:val="29"/>
          <w:b w:val="1"/>
          <w:bCs w:val="1"/>
          <w:color w:val="DC202E"/>
        </w:rPr>
        <w:t>OTHER MATTERS</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LITIGATION</w:t>
      </w:r>
    </w:p>
    <w:p>
      <w:pPr>
        <w:spacing w:after="0" w:line="13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See Note 20 Commitments and Contingencies of Notes to Consolidated Financial Statements for a discussion of environmental, asbestos and other litigation matters.</w:t>
      </w: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ACCOUNTING PRONOUNCEMENTS</w:t>
      </w:r>
    </w:p>
    <w:p>
      <w:pPr>
        <w:spacing w:after="0" w:line="13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See Note 1 Summary of Significant Accounting Policies of Notes to Consolidated Financial Statements for a discussion of recent accounting pronouncements.</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41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185" w:lineRule="exact"/>
        <w:rPr>
          <w:sz w:val="20"/>
          <w:szCs w:val="20"/>
          <w:color w:val="auto"/>
        </w:rPr>
      </w:pPr>
    </w:p>
    <w:p>
      <w:pPr>
        <w:spacing w:after="0"/>
        <w:rPr>
          <w:sz w:val="20"/>
          <w:szCs w:val="20"/>
          <w:color w:val="auto"/>
        </w:rPr>
      </w:pPr>
      <w:r>
        <w:rPr>
          <w:rFonts w:ascii="Arial" w:cs="Arial" w:eastAsia="Arial" w:hAnsi="Arial"/>
          <w:sz w:val="29"/>
          <w:szCs w:val="29"/>
          <w:b w:val="1"/>
          <w:bCs w:val="1"/>
          <w:color w:val="DC202E"/>
        </w:rPr>
        <w:t>INFORMATION ABOUT OUR EXECUTIVE OFFICERS</w:t>
      </w:r>
    </w:p>
    <w:p>
      <w:pPr>
        <w:spacing w:after="0" w:line="151"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The executive officers of Honeywell, listed as follows, are elected annually by the Board of Directors. There are no family relationships among them.</w:t>
      </w:r>
    </w:p>
    <w:tbl>
      <w:tblPr>
        <w:tblLayout w:type="fixed"/>
        <w:tblInd w:w="0" w:type="dxa"/>
        <w:tblCellMar>
          <w:top w:w="0" w:type="dxa"/>
          <w:left w:w="0" w:type="dxa"/>
          <w:bottom w:w="0" w:type="dxa"/>
          <w:right w:w="0" w:type="dxa"/>
        </w:tblCellMar>
      </w:tblPr>
      <w:tr>
        <w:trPr>
          <w:trHeight w:val="158"/>
        </w:trPr>
        <w:tc>
          <w:tcPr>
            <w:tcW w:w="23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Name, Age,</w:t>
            </w:r>
          </w:p>
        </w:tc>
        <w:tc>
          <w:tcPr>
            <w:tcW w:w="8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3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Year First</w:t>
            </w:r>
          </w:p>
        </w:tc>
        <w:tc>
          <w:tcPr>
            <w:tcW w:w="8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Elected an</w:t>
            </w:r>
          </w:p>
        </w:tc>
        <w:tc>
          <w:tcPr>
            <w:tcW w:w="8920" w:type="dxa"/>
            <w:vAlign w:val="bottom"/>
            <w:vMerge w:val="restart"/>
          </w:tcPr>
          <w:p>
            <w:pPr>
              <w:ind w:left="3840"/>
              <w:spacing w:after="0"/>
              <w:rPr>
                <w:sz w:val="20"/>
                <w:szCs w:val="20"/>
                <w:color w:val="auto"/>
              </w:rPr>
            </w:pPr>
            <w:r>
              <w:rPr>
                <w:rFonts w:ascii="Arial" w:cs="Arial" w:eastAsia="Arial" w:hAnsi="Arial"/>
                <w:sz w:val="14"/>
                <w:szCs w:val="14"/>
                <w:b w:val="1"/>
                <w:bCs w:val="1"/>
                <w:color w:val="auto"/>
              </w:rPr>
              <w:t>Business Experience</w:t>
            </w:r>
          </w:p>
        </w:tc>
        <w:tc>
          <w:tcPr>
            <w:tcW w:w="0" w:type="dxa"/>
            <w:vAlign w:val="bottom"/>
          </w:tcPr>
          <w:p>
            <w:pPr>
              <w:spacing w:after="0"/>
              <w:rPr>
                <w:sz w:val="1"/>
                <w:szCs w:val="1"/>
                <w:color w:val="auto"/>
              </w:rPr>
            </w:pPr>
          </w:p>
        </w:tc>
      </w:tr>
      <w:tr>
        <w:trPr>
          <w:trHeight w:val="183"/>
        </w:trPr>
        <w:tc>
          <w:tcPr>
            <w:tcW w:w="2320" w:type="dxa"/>
            <w:vAlign w:val="bottom"/>
            <w:tcBorders>
              <w:bottom w:val="single" w:sz="8" w:color="DC202E"/>
            </w:tcBorders>
          </w:tcPr>
          <w:p>
            <w:pPr>
              <w:jc w:val="center"/>
              <w:spacing w:after="0"/>
              <w:rPr>
                <w:sz w:val="20"/>
                <w:szCs w:val="20"/>
                <w:color w:val="auto"/>
              </w:rPr>
            </w:pPr>
            <w:r>
              <w:rPr>
                <w:rFonts w:ascii="Arial" w:cs="Arial" w:eastAsia="Arial" w:hAnsi="Arial"/>
                <w:sz w:val="14"/>
                <w:szCs w:val="14"/>
                <w:b w:val="1"/>
                <w:bCs w:val="1"/>
                <w:color w:val="auto"/>
              </w:rPr>
              <w:t>Executive Officer</w:t>
            </w:r>
          </w:p>
        </w:tc>
        <w:tc>
          <w:tcPr>
            <w:tcW w:w="8920" w:type="dxa"/>
            <w:vAlign w:val="bottom"/>
            <w:tcBorders>
              <w:bottom w:val="single" w:sz="8" w:color="DC202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320" w:type="dxa"/>
            <w:vAlign w:val="bottom"/>
          </w:tcPr>
          <w:p>
            <w:pPr>
              <w:jc w:val="center"/>
              <w:spacing w:after="0" w:line="178" w:lineRule="exact"/>
              <w:rPr>
                <w:sz w:val="20"/>
                <w:szCs w:val="20"/>
                <w:color w:val="auto"/>
              </w:rPr>
            </w:pPr>
            <w:r>
              <w:rPr>
                <w:rFonts w:ascii="Arial" w:cs="Arial" w:eastAsia="Arial" w:hAnsi="Arial"/>
                <w:sz w:val="18"/>
                <w:szCs w:val="18"/>
                <w:color w:val="auto"/>
                <w:w w:val="99"/>
              </w:rPr>
              <w:t>Darius Adamczyk, 55</w:t>
            </w:r>
          </w:p>
        </w:tc>
        <w:tc>
          <w:tcPr>
            <w:tcW w:w="8920" w:type="dxa"/>
            <w:vAlign w:val="bottom"/>
          </w:tcPr>
          <w:p>
            <w:pPr>
              <w:ind w:left="240"/>
              <w:spacing w:after="0" w:line="178" w:lineRule="exact"/>
              <w:rPr>
                <w:sz w:val="20"/>
                <w:szCs w:val="20"/>
                <w:color w:val="auto"/>
              </w:rPr>
            </w:pPr>
            <w:r>
              <w:rPr>
                <w:rFonts w:ascii="Arial" w:cs="Arial" w:eastAsia="Arial" w:hAnsi="Arial"/>
                <w:sz w:val="18"/>
                <w:szCs w:val="18"/>
                <w:color w:val="auto"/>
              </w:rPr>
              <w:t>Chairman of the Board and Chief Executive Officer since April 2018. President and Chief Executive Officer</w:t>
            </w:r>
          </w:p>
        </w:tc>
        <w:tc>
          <w:tcPr>
            <w:tcW w:w="0" w:type="dxa"/>
            <w:vAlign w:val="bottom"/>
          </w:tcPr>
          <w:p>
            <w:pPr>
              <w:spacing w:after="0"/>
              <w:rPr>
                <w:sz w:val="1"/>
                <w:szCs w:val="1"/>
                <w:color w:val="auto"/>
              </w:rPr>
            </w:pPr>
          </w:p>
        </w:tc>
      </w:tr>
      <w:tr>
        <w:trPr>
          <w:trHeight w:val="186"/>
        </w:trPr>
        <w:tc>
          <w:tcPr>
            <w:tcW w:w="2320" w:type="dxa"/>
            <w:vAlign w:val="bottom"/>
          </w:tcPr>
          <w:p>
            <w:pPr>
              <w:jc w:val="center"/>
              <w:spacing w:after="0" w:line="186" w:lineRule="exact"/>
              <w:rPr>
                <w:sz w:val="20"/>
                <w:szCs w:val="20"/>
                <w:color w:val="auto"/>
              </w:rPr>
            </w:pPr>
            <w:r>
              <w:rPr>
                <w:rFonts w:ascii="Arial" w:cs="Arial" w:eastAsia="Arial" w:hAnsi="Arial"/>
                <w:sz w:val="17"/>
                <w:szCs w:val="17"/>
                <w:color w:val="auto"/>
                <w:w w:val="98"/>
              </w:rPr>
              <w:t>2017</w:t>
            </w:r>
            <w:r>
              <w:rPr>
                <w:rFonts w:ascii="Arial" w:cs="Arial" w:eastAsia="Arial" w:hAnsi="Arial"/>
                <w:sz w:val="21"/>
                <w:szCs w:val="21"/>
                <w:color w:val="auto"/>
                <w:w w:val="98"/>
                <w:vertAlign w:val="superscript"/>
              </w:rPr>
              <w:t>(a)</w:t>
            </w:r>
          </w:p>
        </w:tc>
        <w:tc>
          <w:tcPr>
            <w:tcW w:w="8920" w:type="dxa"/>
            <w:vAlign w:val="bottom"/>
          </w:tcPr>
          <w:p>
            <w:pPr>
              <w:ind w:left="240"/>
              <w:spacing w:after="0" w:line="186" w:lineRule="exact"/>
              <w:rPr>
                <w:sz w:val="20"/>
                <w:szCs w:val="20"/>
                <w:color w:val="auto"/>
              </w:rPr>
            </w:pPr>
            <w:r>
              <w:rPr>
                <w:rFonts w:ascii="Arial" w:cs="Arial" w:eastAsia="Arial" w:hAnsi="Arial"/>
                <w:sz w:val="18"/>
                <w:szCs w:val="18"/>
                <w:color w:val="auto"/>
              </w:rPr>
              <w:t>from April 2017 to April 2018. Chief Operating Officer from April 2016 to March 2017. President and Chief</w:t>
            </w:r>
          </w:p>
        </w:tc>
        <w:tc>
          <w:tcPr>
            <w:tcW w:w="0" w:type="dxa"/>
            <w:vAlign w:val="bottom"/>
          </w:tcPr>
          <w:p>
            <w:pPr>
              <w:spacing w:after="0"/>
              <w:rPr>
                <w:sz w:val="1"/>
                <w:szCs w:val="1"/>
                <w:color w:val="auto"/>
              </w:rPr>
            </w:pPr>
          </w:p>
        </w:tc>
      </w:tr>
      <w:tr>
        <w:trPr>
          <w:trHeight w:val="175"/>
        </w:trPr>
        <w:tc>
          <w:tcPr>
            <w:tcW w:w="2320" w:type="dxa"/>
            <w:vAlign w:val="bottom"/>
          </w:tcPr>
          <w:p>
            <w:pPr>
              <w:spacing w:after="0"/>
              <w:rPr>
                <w:sz w:val="15"/>
                <w:szCs w:val="15"/>
                <w:color w:val="auto"/>
              </w:rPr>
            </w:pPr>
          </w:p>
        </w:tc>
        <w:tc>
          <w:tcPr>
            <w:tcW w:w="8920" w:type="dxa"/>
            <w:vAlign w:val="bottom"/>
          </w:tcPr>
          <w:p>
            <w:pPr>
              <w:ind w:left="240"/>
              <w:spacing w:after="0" w:line="176" w:lineRule="exact"/>
              <w:rPr>
                <w:sz w:val="20"/>
                <w:szCs w:val="20"/>
                <w:color w:val="auto"/>
              </w:rPr>
            </w:pPr>
            <w:r>
              <w:rPr>
                <w:rFonts w:ascii="Arial" w:cs="Arial" w:eastAsia="Arial" w:hAnsi="Arial"/>
                <w:sz w:val="18"/>
                <w:szCs w:val="18"/>
                <w:color w:val="auto"/>
              </w:rPr>
              <w:t>Executive Officer Performance Materials and Technologies from April 2014 to April 2016. President of</w:t>
            </w:r>
          </w:p>
        </w:tc>
        <w:tc>
          <w:tcPr>
            <w:tcW w:w="0" w:type="dxa"/>
            <w:vAlign w:val="bottom"/>
          </w:tcPr>
          <w:p>
            <w:pPr>
              <w:spacing w:after="0"/>
              <w:rPr>
                <w:sz w:val="1"/>
                <w:szCs w:val="1"/>
                <w:color w:val="auto"/>
              </w:rPr>
            </w:pPr>
          </w:p>
        </w:tc>
      </w:tr>
      <w:tr>
        <w:trPr>
          <w:trHeight w:val="217"/>
        </w:trPr>
        <w:tc>
          <w:tcPr>
            <w:tcW w:w="2320" w:type="dxa"/>
            <w:vAlign w:val="bottom"/>
            <w:tcBorders>
              <w:bottom w:val="single" w:sz="8" w:color="auto"/>
            </w:tcBorders>
          </w:tcPr>
          <w:p>
            <w:pPr>
              <w:spacing w:after="0"/>
              <w:rPr>
                <w:sz w:val="18"/>
                <w:szCs w:val="18"/>
                <w:color w:val="auto"/>
              </w:rPr>
            </w:pPr>
          </w:p>
        </w:tc>
        <w:tc>
          <w:tcPr>
            <w:tcW w:w="89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Honeywell Process Solutions from April 2012 to April 2014.</w:t>
            </w:r>
          </w:p>
        </w:tc>
        <w:tc>
          <w:tcPr>
            <w:tcW w:w="0" w:type="dxa"/>
            <w:vAlign w:val="bottom"/>
          </w:tcPr>
          <w:p>
            <w:pPr>
              <w:spacing w:after="0"/>
              <w:rPr>
                <w:sz w:val="1"/>
                <w:szCs w:val="1"/>
                <w:color w:val="auto"/>
              </w:rPr>
            </w:pPr>
          </w:p>
        </w:tc>
      </w:tr>
      <w:tr>
        <w:trPr>
          <w:trHeight w:val="182"/>
        </w:trPr>
        <w:tc>
          <w:tcPr>
            <w:tcW w:w="2320" w:type="dxa"/>
            <w:vAlign w:val="bottom"/>
          </w:tcPr>
          <w:p>
            <w:pPr>
              <w:jc w:val="center"/>
              <w:spacing w:after="0" w:line="182" w:lineRule="exact"/>
              <w:rPr>
                <w:sz w:val="20"/>
                <w:szCs w:val="20"/>
                <w:color w:val="auto"/>
              </w:rPr>
            </w:pPr>
            <w:r>
              <w:rPr>
                <w:rFonts w:ascii="Arial" w:cs="Arial" w:eastAsia="Arial" w:hAnsi="Arial"/>
                <w:sz w:val="18"/>
                <w:szCs w:val="18"/>
                <w:color w:val="auto"/>
                <w:w w:val="99"/>
              </w:rPr>
              <w:t>Que Thanh Dallara, 47</w:t>
            </w:r>
          </w:p>
        </w:tc>
        <w:tc>
          <w:tcPr>
            <w:tcW w:w="8920" w:type="dxa"/>
            <w:vAlign w:val="bottom"/>
          </w:tcPr>
          <w:p>
            <w:pPr>
              <w:ind w:left="240"/>
              <w:spacing w:after="0" w:line="182" w:lineRule="exact"/>
              <w:rPr>
                <w:sz w:val="20"/>
                <w:szCs w:val="20"/>
                <w:color w:val="auto"/>
              </w:rPr>
            </w:pPr>
            <w:r>
              <w:rPr>
                <w:rFonts w:ascii="Arial" w:cs="Arial" w:eastAsia="Arial" w:hAnsi="Arial"/>
                <w:sz w:val="18"/>
                <w:szCs w:val="18"/>
                <w:color w:val="auto"/>
              </w:rPr>
              <w:t>President and Chief Executive Officer, Connected Enterprise since October 2018. Vice President and Chief</w:t>
            </w:r>
          </w:p>
        </w:tc>
        <w:tc>
          <w:tcPr>
            <w:tcW w:w="0" w:type="dxa"/>
            <w:vAlign w:val="bottom"/>
          </w:tcPr>
          <w:p>
            <w:pPr>
              <w:spacing w:after="0"/>
              <w:rPr>
                <w:sz w:val="1"/>
                <w:szCs w:val="1"/>
                <w:color w:val="auto"/>
              </w:rPr>
            </w:pPr>
          </w:p>
        </w:tc>
      </w:tr>
      <w:tr>
        <w:trPr>
          <w:trHeight w:val="175"/>
        </w:trPr>
        <w:tc>
          <w:tcPr>
            <w:tcW w:w="2320" w:type="dxa"/>
            <w:vAlign w:val="bottom"/>
          </w:tcPr>
          <w:p>
            <w:pPr>
              <w:jc w:val="center"/>
              <w:spacing w:after="0" w:line="176" w:lineRule="exact"/>
              <w:rPr>
                <w:sz w:val="20"/>
                <w:szCs w:val="20"/>
                <w:color w:val="auto"/>
              </w:rPr>
            </w:pPr>
            <w:r>
              <w:rPr>
                <w:rFonts w:ascii="Arial" w:cs="Arial" w:eastAsia="Arial" w:hAnsi="Arial"/>
                <w:sz w:val="18"/>
                <w:szCs w:val="18"/>
                <w:color w:val="auto"/>
                <w:w w:val="99"/>
              </w:rPr>
              <w:t>2018</w:t>
            </w:r>
          </w:p>
        </w:tc>
        <w:tc>
          <w:tcPr>
            <w:tcW w:w="8920" w:type="dxa"/>
            <w:vAlign w:val="bottom"/>
          </w:tcPr>
          <w:p>
            <w:pPr>
              <w:ind w:left="240"/>
              <w:spacing w:after="0" w:line="176" w:lineRule="exact"/>
              <w:rPr>
                <w:sz w:val="20"/>
                <w:szCs w:val="20"/>
                <w:color w:val="auto"/>
              </w:rPr>
            </w:pPr>
            <w:r>
              <w:rPr>
                <w:rFonts w:ascii="Arial" w:cs="Arial" w:eastAsia="Arial" w:hAnsi="Arial"/>
                <w:sz w:val="18"/>
                <w:szCs w:val="18"/>
                <w:color w:val="auto"/>
              </w:rPr>
              <w:t>Commercial Officer from January 2017 to October 2018. From 2007 to 2016, Ms. Dallara served in multiple</w:t>
            </w:r>
          </w:p>
        </w:tc>
        <w:tc>
          <w:tcPr>
            <w:tcW w:w="0" w:type="dxa"/>
            <w:vAlign w:val="bottom"/>
          </w:tcPr>
          <w:p>
            <w:pPr>
              <w:spacing w:after="0"/>
              <w:rPr>
                <w:sz w:val="1"/>
                <w:szCs w:val="1"/>
                <w:color w:val="auto"/>
              </w:rPr>
            </w:pPr>
          </w:p>
        </w:tc>
      </w:tr>
      <w:tr>
        <w:trPr>
          <w:trHeight w:val="176"/>
        </w:trPr>
        <w:tc>
          <w:tcPr>
            <w:tcW w:w="2320" w:type="dxa"/>
            <w:vAlign w:val="bottom"/>
          </w:tcPr>
          <w:p>
            <w:pPr>
              <w:spacing w:after="0"/>
              <w:rPr>
                <w:sz w:val="15"/>
                <w:szCs w:val="15"/>
                <w:color w:val="auto"/>
              </w:rPr>
            </w:pPr>
          </w:p>
        </w:tc>
        <w:tc>
          <w:tcPr>
            <w:tcW w:w="8920" w:type="dxa"/>
            <w:vAlign w:val="bottom"/>
          </w:tcPr>
          <w:p>
            <w:pPr>
              <w:ind w:left="240"/>
              <w:spacing w:after="0" w:line="176" w:lineRule="exact"/>
              <w:rPr>
                <w:sz w:val="20"/>
                <w:szCs w:val="20"/>
                <w:color w:val="auto"/>
              </w:rPr>
            </w:pPr>
            <w:r>
              <w:rPr>
                <w:rFonts w:ascii="Arial" w:cs="Arial" w:eastAsia="Arial" w:hAnsi="Arial"/>
                <w:sz w:val="18"/>
                <w:szCs w:val="18"/>
                <w:color w:val="auto"/>
              </w:rPr>
              <w:t>leadership positions at TE Connectivity Ltd., most recently as Senior Vice President, Corporate Strategy and</w:t>
            </w:r>
          </w:p>
        </w:tc>
        <w:tc>
          <w:tcPr>
            <w:tcW w:w="0" w:type="dxa"/>
            <w:vAlign w:val="bottom"/>
          </w:tcPr>
          <w:p>
            <w:pPr>
              <w:spacing w:after="0"/>
              <w:rPr>
                <w:sz w:val="1"/>
                <w:szCs w:val="1"/>
                <w:color w:val="auto"/>
              </w:rPr>
            </w:pPr>
          </w:p>
        </w:tc>
      </w:tr>
      <w:tr>
        <w:trPr>
          <w:trHeight w:val="217"/>
        </w:trPr>
        <w:tc>
          <w:tcPr>
            <w:tcW w:w="2320" w:type="dxa"/>
            <w:vAlign w:val="bottom"/>
            <w:tcBorders>
              <w:bottom w:val="single" w:sz="8" w:color="auto"/>
            </w:tcBorders>
          </w:tcPr>
          <w:p>
            <w:pPr>
              <w:spacing w:after="0"/>
              <w:rPr>
                <w:sz w:val="18"/>
                <w:szCs w:val="18"/>
                <w:color w:val="auto"/>
              </w:rPr>
            </w:pPr>
          </w:p>
        </w:tc>
        <w:tc>
          <w:tcPr>
            <w:tcW w:w="89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Analytics.</w:t>
            </w:r>
          </w:p>
        </w:tc>
        <w:tc>
          <w:tcPr>
            <w:tcW w:w="0" w:type="dxa"/>
            <w:vAlign w:val="bottom"/>
          </w:tcPr>
          <w:p>
            <w:pPr>
              <w:spacing w:after="0"/>
              <w:rPr>
                <w:sz w:val="1"/>
                <w:szCs w:val="1"/>
                <w:color w:val="auto"/>
              </w:rPr>
            </w:pPr>
          </w:p>
        </w:tc>
      </w:tr>
      <w:tr>
        <w:trPr>
          <w:trHeight w:val="182"/>
        </w:trPr>
        <w:tc>
          <w:tcPr>
            <w:tcW w:w="2320" w:type="dxa"/>
            <w:vAlign w:val="bottom"/>
          </w:tcPr>
          <w:p>
            <w:pPr>
              <w:jc w:val="center"/>
              <w:spacing w:after="0" w:line="182" w:lineRule="exact"/>
              <w:rPr>
                <w:sz w:val="20"/>
                <w:szCs w:val="20"/>
                <w:color w:val="auto"/>
              </w:rPr>
            </w:pPr>
            <w:r>
              <w:rPr>
                <w:rFonts w:ascii="Arial" w:cs="Arial" w:eastAsia="Arial" w:hAnsi="Arial"/>
                <w:sz w:val="18"/>
                <w:szCs w:val="18"/>
                <w:color w:val="auto"/>
              </w:rPr>
              <w:t>Rajeev Gautam, 68</w:t>
            </w:r>
          </w:p>
        </w:tc>
        <w:tc>
          <w:tcPr>
            <w:tcW w:w="8920" w:type="dxa"/>
            <w:vAlign w:val="bottom"/>
          </w:tcPr>
          <w:p>
            <w:pPr>
              <w:ind w:left="240"/>
              <w:spacing w:after="0" w:line="182" w:lineRule="exact"/>
              <w:rPr>
                <w:sz w:val="20"/>
                <w:szCs w:val="20"/>
                <w:color w:val="auto"/>
              </w:rPr>
            </w:pPr>
            <w:r>
              <w:rPr>
                <w:rFonts w:ascii="Arial" w:cs="Arial" w:eastAsia="Arial" w:hAnsi="Arial"/>
                <w:sz w:val="18"/>
                <w:szCs w:val="18"/>
                <w:color w:val="auto"/>
              </w:rPr>
              <w:t>President and Chief Executive Officer, Performance Materials and Technologies since April 2016. President</w:t>
            </w:r>
          </w:p>
        </w:tc>
        <w:tc>
          <w:tcPr>
            <w:tcW w:w="0" w:type="dxa"/>
            <w:vAlign w:val="bottom"/>
          </w:tcPr>
          <w:p>
            <w:pPr>
              <w:spacing w:after="0"/>
              <w:rPr>
                <w:sz w:val="1"/>
                <w:szCs w:val="1"/>
                <w:color w:val="auto"/>
              </w:rPr>
            </w:pPr>
          </w:p>
        </w:tc>
      </w:tr>
      <w:tr>
        <w:trPr>
          <w:trHeight w:val="217"/>
        </w:trPr>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2016</w:t>
            </w:r>
          </w:p>
        </w:tc>
        <w:tc>
          <w:tcPr>
            <w:tcW w:w="89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of Honeywell UOP from January 2009 to April 2016.</w:t>
            </w:r>
          </w:p>
        </w:tc>
        <w:tc>
          <w:tcPr>
            <w:tcW w:w="0" w:type="dxa"/>
            <w:vAlign w:val="bottom"/>
          </w:tcPr>
          <w:p>
            <w:pPr>
              <w:spacing w:after="0"/>
              <w:rPr>
                <w:sz w:val="1"/>
                <w:szCs w:val="1"/>
                <w:color w:val="auto"/>
              </w:rPr>
            </w:pPr>
          </w:p>
        </w:tc>
      </w:tr>
      <w:tr>
        <w:trPr>
          <w:trHeight w:val="182"/>
        </w:trPr>
        <w:tc>
          <w:tcPr>
            <w:tcW w:w="2320" w:type="dxa"/>
            <w:vAlign w:val="bottom"/>
          </w:tcPr>
          <w:p>
            <w:pPr>
              <w:jc w:val="center"/>
              <w:spacing w:after="0" w:line="182" w:lineRule="exact"/>
              <w:rPr>
                <w:sz w:val="20"/>
                <w:szCs w:val="20"/>
                <w:color w:val="auto"/>
              </w:rPr>
            </w:pPr>
            <w:r>
              <w:rPr>
                <w:rFonts w:ascii="Arial" w:cs="Arial" w:eastAsia="Arial" w:hAnsi="Arial"/>
                <w:sz w:val="18"/>
                <w:szCs w:val="18"/>
                <w:color w:val="auto"/>
                <w:w w:val="98"/>
              </w:rPr>
              <w:t>Vimal Kapur, 55</w:t>
            </w:r>
          </w:p>
        </w:tc>
        <w:tc>
          <w:tcPr>
            <w:tcW w:w="8920" w:type="dxa"/>
            <w:vAlign w:val="bottom"/>
          </w:tcPr>
          <w:p>
            <w:pPr>
              <w:ind w:left="240"/>
              <w:spacing w:after="0" w:line="182" w:lineRule="exact"/>
              <w:rPr>
                <w:sz w:val="20"/>
                <w:szCs w:val="20"/>
                <w:color w:val="auto"/>
              </w:rPr>
            </w:pPr>
            <w:r>
              <w:rPr>
                <w:rFonts w:ascii="Arial" w:cs="Arial" w:eastAsia="Arial" w:hAnsi="Arial"/>
                <w:sz w:val="18"/>
                <w:szCs w:val="18"/>
                <w:color w:val="auto"/>
              </w:rPr>
              <w:t>President and Chief Executive Officer, Honeywell Building Technologies since May 2018. President of</w:t>
            </w:r>
          </w:p>
        </w:tc>
        <w:tc>
          <w:tcPr>
            <w:tcW w:w="0" w:type="dxa"/>
            <w:vAlign w:val="bottom"/>
          </w:tcPr>
          <w:p>
            <w:pPr>
              <w:spacing w:after="0"/>
              <w:rPr>
                <w:sz w:val="1"/>
                <w:szCs w:val="1"/>
                <w:color w:val="auto"/>
              </w:rPr>
            </w:pPr>
          </w:p>
        </w:tc>
      </w:tr>
      <w:tr>
        <w:trPr>
          <w:trHeight w:val="217"/>
        </w:trPr>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2018</w:t>
            </w:r>
          </w:p>
        </w:tc>
        <w:tc>
          <w:tcPr>
            <w:tcW w:w="89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Honeywell Process Solutions from 2014 to May 2018.</w:t>
            </w:r>
          </w:p>
        </w:tc>
        <w:tc>
          <w:tcPr>
            <w:tcW w:w="0" w:type="dxa"/>
            <w:vAlign w:val="bottom"/>
          </w:tcPr>
          <w:p>
            <w:pPr>
              <w:spacing w:after="0"/>
              <w:rPr>
                <w:sz w:val="1"/>
                <w:szCs w:val="1"/>
                <w:color w:val="auto"/>
              </w:rPr>
            </w:pPr>
          </w:p>
        </w:tc>
      </w:tr>
      <w:tr>
        <w:trPr>
          <w:trHeight w:val="182"/>
        </w:trPr>
        <w:tc>
          <w:tcPr>
            <w:tcW w:w="2320" w:type="dxa"/>
            <w:vAlign w:val="bottom"/>
          </w:tcPr>
          <w:p>
            <w:pPr>
              <w:jc w:val="center"/>
              <w:spacing w:after="0" w:line="182" w:lineRule="exact"/>
              <w:rPr>
                <w:sz w:val="20"/>
                <w:szCs w:val="20"/>
                <w:color w:val="auto"/>
              </w:rPr>
            </w:pPr>
            <w:r>
              <w:rPr>
                <w:rFonts w:ascii="Arial" w:cs="Arial" w:eastAsia="Arial" w:hAnsi="Arial"/>
                <w:sz w:val="18"/>
                <w:szCs w:val="18"/>
                <w:color w:val="auto"/>
                <w:w w:val="98"/>
              </w:rPr>
              <w:t>Gregory P. Lewis, 53</w:t>
            </w:r>
          </w:p>
        </w:tc>
        <w:tc>
          <w:tcPr>
            <w:tcW w:w="8920" w:type="dxa"/>
            <w:vAlign w:val="bottom"/>
          </w:tcPr>
          <w:p>
            <w:pPr>
              <w:ind w:left="240"/>
              <w:spacing w:after="0" w:line="182" w:lineRule="exact"/>
              <w:rPr>
                <w:sz w:val="20"/>
                <w:szCs w:val="20"/>
                <w:color w:val="auto"/>
              </w:rPr>
            </w:pPr>
            <w:r>
              <w:rPr>
                <w:rFonts w:ascii="Arial" w:cs="Arial" w:eastAsia="Arial" w:hAnsi="Arial"/>
                <w:sz w:val="18"/>
                <w:szCs w:val="18"/>
                <w:color w:val="auto"/>
              </w:rPr>
              <w:t>Senior Vice President and Chief Financial Officer since August 2018. Vice President of Enterprise</w:t>
            </w:r>
          </w:p>
        </w:tc>
        <w:tc>
          <w:tcPr>
            <w:tcW w:w="0" w:type="dxa"/>
            <w:vAlign w:val="bottom"/>
          </w:tcPr>
          <w:p>
            <w:pPr>
              <w:spacing w:after="0"/>
              <w:rPr>
                <w:sz w:val="1"/>
                <w:szCs w:val="1"/>
                <w:color w:val="auto"/>
              </w:rPr>
            </w:pPr>
          </w:p>
        </w:tc>
      </w:tr>
      <w:tr>
        <w:trPr>
          <w:trHeight w:val="176"/>
        </w:trPr>
        <w:tc>
          <w:tcPr>
            <w:tcW w:w="2320" w:type="dxa"/>
            <w:vAlign w:val="bottom"/>
          </w:tcPr>
          <w:p>
            <w:pPr>
              <w:jc w:val="center"/>
              <w:spacing w:after="0" w:line="176" w:lineRule="exact"/>
              <w:rPr>
                <w:sz w:val="20"/>
                <w:szCs w:val="20"/>
                <w:color w:val="auto"/>
              </w:rPr>
            </w:pPr>
            <w:r>
              <w:rPr>
                <w:rFonts w:ascii="Arial" w:cs="Arial" w:eastAsia="Arial" w:hAnsi="Arial"/>
                <w:sz w:val="18"/>
                <w:szCs w:val="18"/>
                <w:color w:val="auto"/>
                <w:w w:val="99"/>
              </w:rPr>
              <w:t>2018</w:t>
            </w:r>
          </w:p>
        </w:tc>
        <w:tc>
          <w:tcPr>
            <w:tcW w:w="8920" w:type="dxa"/>
            <w:vAlign w:val="bottom"/>
          </w:tcPr>
          <w:p>
            <w:pPr>
              <w:ind w:left="240"/>
              <w:spacing w:after="0" w:line="176" w:lineRule="exact"/>
              <w:rPr>
                <w:sz w:val="20"/>
                <w:szCs w:val="20"/>
                <w:color w:val="auto"/>
              </w:rPr>
            </w:pPr>
            <w:r>
              <w:rPr>
                <w:rFonts w:ascii="Arial" w:cs="Arial" w:eastAsia="Arial" w:hAnsi="Arial"/>
                <w:sz w:val="18"/>
                <w:szCs w:val="18"/>
                <w:color w:val="auto"/>
              </w:rPr>
              <w:t>Information Management from October 2016 to April 2018, prior to being named Vice President, Corporate</w:t>
            </w:r>
          </w:p>
        </w:tc>
        <w:tc>
          <w:tcPr>
            <w:tcW w:w="0" w:type="dxa"/>
            <w:vAlign w:val="bottom"/>
          </w:tcPr>
          <w:p>
            <w:pPr>
              <w:spacing w:after="0"/>
              <w:rPr>
                <w:sz w:val="1"/>
                <w:szCs w:val="1"/>
                <w:color w:val="auto"/>
              </w:rPr>
            </w:pPr>
          </w:p>
        </w:tc>
      </w:tr>
      <w:tr>
        <w:trPr>
          <w:trHeight w:val="175"/>
        </w:trPr>
        <w:tc>
          <w:tcPr>
            <w:tcW w:w="2320" w:type="dxa"/>
            <w:vAlign w:val="bottom"/>
          </w:tcPr>
          <w:p>
            <w:pPr>
              <w:spacing w:after="0"/>
              <w:rPr>
                <w:sz w:val="15"/>
                <w:szCs w:val="15"/>
                <w:color w:val="auto"/>
              </w:rPr>
            </w:pPr>
          </w:p>
        </w:tc>
        <w:tc>
          <w:tcPr>
            <w:tcW w:w="8920" w:type="dxa"/>
            <w:vAlign w:val="bottom"/>
          </w:tcPr>
          <w:p>
            <w:pPr>
              <w:ind w:left="240"/>
              <w:spacing w:after="0" w:line="176" w:lineRule="exact"/>
              <w:rPr>
                <w:sz w:val="20"/>
                <w:szCs w:val="20"/>
                <w:color w:val="auto"/>
              </w:rPr>
            </w:pPr>
            <w:r>
              <w:rPr>
                <w:rFonts w:ascii="Arial" w:cs="Arial" w:eastAsia="Arial" w:hAnsi="Arial"/>
                <w:sz w:val="18"/>
                <w:szCs w:val="18"/>
                <w:color w:val="auto"/>
              </w:rPr>
              <w:t>Finance in May 2018. Chief Financial Officer of Automation and Control Solutions from April 2013 to</w:t>
            </w:r>
          </w:p>
        </w:tc>
        <w:tc>
          <w:tcPr>
            <w:tcW w:w="0" w:type="dxa"/>
            <w:vAlign w:val="bottom"/>
          </w:tcPr>
          <w:p>
            <w:pPr>
              <w:spacing w:after="0"/>
              <w:rPr>
                <w:sz w:val="1"/>
                <w:szCs w:val="1"/>
                <w:color w:val="auto"/>
              </w:rPr>
            </w:pPr>
          </w:p>
        </w:tc>
      </w:tr>
      <w:tr>
        <w:trPr>
          <w:trHeight w:val="217"/>
        </w:trPr>
        <w:tc>
          <w:tcPr>
            <w:tcW w:w="2320" w:type="dxa"/>
            <w:vAlign w:val="bottom"/>
            <w:tcBorders>
              <w:bottom w:val="single" w:sz="8" w:color="auto"/>
            </w:tcBorders>
          </w:tcPr>
          <w:p>
            <w:pPr>
              <w:spacing w:after="0"/>
              <w:rPr>
                <w:sz w:val="18"/>
                <w:szCs w:val="18"/>
                <w:color w:val="auto"/>
              </w:rPr>
            </w:pPr>
          </w:p>
        </w:tc>
        <w:tc>
          <w:tcPr>
            <w:tcW w:w="89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September 2016.</w:t>
            </w:r>
          </w:p>
        </w:tc>
        <w:tc>
          <w:tcPr>
            <w:tcW w:w="0" w:type="dxa"/>
            <w:vAlign w:val="bottom"/>
          </w:tcPr>
          <w:p>
            <w:pPr>
              <w:spacing w:after="0"/>
              <w:rPr>
                <w:sz w:val="1"/>
                <w:szCs w:val="1"/>
                <w:color w:val="auto"/>
              </w:rPr>
            </w:pPr>
          </w:p>
        </w:tc>
      </w:tr>
      <w:tr>
        <w:trPr>
          <w:trHeight w:val="182"/>
        </w:trPr>
        <w:tc>
          <w:tcPr>
            <w:tcW w:w="2320" w:type="dxa"/>
            <w:vAlign w:val="bottom"/>
          </w:tcPr>
          <w:p>
            <w:pPr>
              <w:jc w:val="center"/>
              <w:spacing w:after="0" w:line="182" w:lineRule="exact"/>
              <w:rPr>
                <w:sz w:val="20"/>
                <w:szCs w:val="20"/>
                <w:color w:val="auto"/>
              </w:rPr>
            </w:pPr>
            <w:r>
              <w:rPr>
                <w:rFonts w:ascii="Arial" w:cs="Arial" w:eastAsia="Arial" w:hAnsi="Arial"/>
                <w:sz w:val="18"/>
                <w:szCs w:val="18"/>
                <w:color w:val="auto"/>
                <w:w w:val="98"/>
              </w:rPr>
              <w:t>Anne T. Madden, 56</w:t>
            </w:r>
          </w:p>
        </w:tc>
        <w:tc>
          <w:tcPr>
            <w:tcW w:w="8920" w:type="dxa"/>
            <w:vAlign w:val="bottom"/>
          </w:tcPr>
          <w:p>
            <w:pPr>
              <w:ind w:left="240"/>
              <w:spacing w:after="0" w:line="182" w:lineRule="exact"/>
              <w:rPr>
                <w:sz w:val="20"/>
                <w:szCs w:val="20"/>
                <w:color w:val="auto"/>
              </w:rPr>
            </w:pPr>
            <w:r>
              <w:rPr>
                <w:rFonts w:ascii="Arial" w:cs="Arial" w:eastAsia="Arial" w:hAnsi="Arial"/>
                <w:sz w:val="18"/>
                <w:szCs w:val="18"/>
                <w:color w:val="auto"/>
              </w:rPr>
              <w:t>Senior Vice President and General Counsel since October 2017. Corporate Secretary from February 2018 to</w:t>
            </w:r>
          </w:p>
        </w:tc>
        <w:tc>
          <w:tcPr>
            <w:tcW w:w="0" w:type="dxa"/>
            <w:vAlign w:val="bottom"/>
          </w:tcPr>
          <w:p>
            <w:pPr>
              <w:spacing w:after="0"/>
              <w:rPr>
                <w:sz w:val="1"/>
                <w:szCs w:val="1"/>
                <w:color w:val="auto"/>
              </w:rPr>
            </w:pPr>
          </w:p>
        </w:tc>
      </w:tr>
      <w:tr>
        <w:trPr>
          <w:trHeight w:val="175"/>
        </w:trPr>
        <w:tc>
          <w:tcPr>
            <w:tcW w:w="2320" w:type="dxa"/>
            <w:vAlign w:val="bottom"/>
          </w:tcPr>
          <w:p>
            <w:pPr>
              <w:jc w:val="center"/>
              <w:spacing w:after="0" w:line="176" w:lineRule="exact"/>
              <w:rPr>
                <w:sz w:val="20"/>
                <w:szCs w:val="20"/>
                <w:color w:val="auto"/>
              </w:rPr>
            </w:pPr>
            <w:r>
              <w:rPr>
                <w:rFonts w:ascii="Arial" w:cs="Arial" w:eastAsia="Arial" w:hAnsi="Arial"/>
                <w:sz w:val="18"/>
                <w:szCs w:val="18"/>
                <w:color w:val="auto"/>
                <w:w w:val="99"/>
              </w:rPr>
              <w:t>2017</w:t>
            </w:r>
          </w:p>
        </w:tc>
        <w:tc>
          <w:tcPr>
            <w:tcW w:w="8920" w:type="dxa"/>
            <w:vAlign w:val="bottom"/>
          </w:tcPr>
          <w:p>
            <w:pPr>
              <w:ind w:left="240"/>
              <w:spacing w:after="0" w:line="176" w:lineRule="exact"/>
              <w:rPr>
                <w:sz w:val="20"/>
                <w:szCs w:val="20"/>
                <w:color w:val="auto"/>
              </w:rPr>
            </w:pPr>
            <w:r>
              <w:rPr>
                <w:rFonts w:ascii="Arial" w:cs="Arial" w:eastAsia="Arial" w:hAnsi="Arial"/>
                <w:sz w:val="18"/>
                <w:szCs w:val="18"/>
                <w:color w:val="auto"/>
              </w:rPr>
              <w:t>September 2019. Vice President of Corporate Development and Global Head of M&amp;A from January 2002 to</w:t>
            </w:r>
          </w:p>
        </w:tc>
        <w:tc>
          <w:tcPr>
            <w:tcW w:w="0" w:type="dxa"/>
            <w:vAlign w:val="bottom"/>
          </w:tcPr>
          <w:p>
            <w:pPr>
              <w:spacing w:after="0"/>
              <w:rPr>
                <w:sz w:val="1"/>
                <w:szCs w:val="1"/>
                <w:color w:val="auto"/>
              </w:rPr>
            </w:pPr>
          </w:p>
        </w:tc>
      </w:tr>
      <w:tr>
        <w:trPr>
          <w:trHeight w:val="217"/>
        </w:trPr>
        <w:tc>
          <w:tcPr>
            <w:tcW w:w="2320" w:type="dxa"/>
            <w:vAlign w:val="bottom"/>
            <w:tcBorders>
              <w:bottom w:val="single" w:sz="8" w:color="auto"/>
            </w:tcBorders>
          </w:tcPr>
          <w:p>
            <w:pPr>
              <w:spacing w:after="0"/>
              <w:rPr>
                <w:sz w:val="18"/>
                <w:szCs w:val="18"/>
                <w:color w:val="auto"/>
              </w:rPr>
            </w:pPr>
          </w:p>
        </w:tc>
        <w:tc>
          <w:tcPr>
            <w:tcW w:w="89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October 2017.</w:t>
            </w:r>
          </w:p>
        </w:tc>
        <w:tc>
          <w:tcPr>
            <w:tcW w:w="0" w:type="dxa"/>
            <w:vAlign w:val="bottom"/>
          </w:tcPr>
          <w:p>
            <w:pPr>
              <w:spacing w:after="0"/>
              <w:rPr>
                <w:sz w:val="1"/>
                <w:szCs w:val="1"/>
                <w:color w:val="auto"/>
              </w:rPr>
            </w:pPr>
          </w:p>
        </w:tc>
      </w:tr>
      <w:tr>
        <w:trPr>
          <w:trHeight w:val="182"/>
        </w:trPr>
        <w:tc>
          <w:tcPr>
            <w:tcW w:w="2320" w:type="dxa"/>
            <w:vAlign w:val="bottom"/>
          </w:tcPr>
          <w:p>
            <w:pPr>
              <w:jc w:val="center"/>
              <w:spacing w:after="0" w:line="182" w:lineRule="exact"/>
              <w:rPr>
                <w:sz w:val="20"/>
                <w:szCs w:val="20"/>
                <w:color w:val="auto"/>
              </w:rPr>
            </w:pPr>
            <w:r>
              <w:rPr>
                <w:rFonts w:ascii="Arial" w:cs="Arial" w:eastAsia="Arial" w:hAnsi="Arial"/>
                <w:sz w:val="18"/>
                <w:szCs w:val="18"/>
                <w:color w:val="auto"/>
                <w:w w:val="99"/>
              </w:rPr>
              <w:t>Michael R. Madsen, 57</w:t>
            </w:r>
          </w:p>
        </w:tc>
        <w:tc>
          <w:tcPr>
            <w:tcW w:w="8920" w:type="dxa"/>
            <w:vAlign w:val="bottom"/>
          </w:tcPr>
          <w:p>
            <w:pPr>
              <w:ind w:left="240"/>
              <w:spacing w:after="0" w:line="182" w:lineRule="exact"/>
              <w:rPr>
                <w:sz w:val="20"/>
                <w:szCs w:val="20"/>
                <w:color w:val="auto"/>
              </w:rPr>
            </w:pPr>
            <w:r>
              <w:rPr>
                <w:rFonts w:ascii="Arial" w:cs="Arial" w:eastAsia="Arial" w:hAnsi="Arial"/>
                <w:sz w:val="18"/>
                <w:szCs w:val="18"/>
                <w:color w:val="auto"/>
              </w:rPr>
              <w:t>President and Chief Executive Officer, Aerospace since October 2019. Vice President, Integrated Supply</w:t>
            </w:r>
          </w:p>
        </w:tc>
        <w:tc>
          <w:tcPr>
            <w:tcW w:w="0" w:type="dxa"/>
            <w:vAlign w:val="bottom"/>
          </w:tcPr>
          <w:p>
            <w:pPr>
              <w:spacing w:after="0"/>
              <w:rPr>
                <w:sz w:val="1"/>
                <w:szCs w:val="1"/>
                <w:color w:val="auto"/>
              </w:rPr>
            </w:pPr>
          </w:p>
        </w:tc>
      </w:tr>
      <w:tr>
        <w:trPr>
          <w:trHeight w:val="175"/>
        </w:trPr>
        <w:tc>
          <w:tcPr>
            <w:tcW w:w="2320" w:type="dxa"/>
            <w:vAlign w:val="bottom"/>
          </w:tcPr>
          <w:p>
            <w:pPr>
              <w:jc w:val="center"/>
              <w:spacing w:after="0" w:line="176" w:lineRule="exact"/>
              <w:rPr>
                <w:sz w:val="20"/>
                <w:szCs w:val="20"/>
                <w:color w:val="auto"/>
              </w:rPr>
            </w:pPr>
            <w:r>
              <w:rPr>
                <w:rFonts w:ascii="Arial" w:cs="Arial" w:eastAsia="Arial" w:hAnsi="Arial"/>
                <w:sz w:val="18"/>
                <w:szCs w:val="18"/>
                <w:color w:val="auto"/>
                <w:w w:val="99"/>
              </w:rPr>
              <w:t>2019</w:t>
            </w:r>
          </w:p>
        </w:tc>
        <w:tc>
          <w:tcPr>
            <w:tcW w:w="8920" w:type="dxa"/>
            <w:vAlign w:val="bottom"/>
          </w:tcPr>
          <w:p>
            <w:pPr>
              <w:ind w:left="240"/>
              <w:spacing w:after="0" w:line="176" w:lineRule="exact"/>
              <w:rPr>
                <w:sz w:val="20"/>
                <w:szCs w:val="20"/>
                <w:color w:val="auto"/>
              </w:rPr>
            </w:pPr>
            <w:r>
              <w:rPr>
                <w:rFonts w:ascii="Arial" w:cs="Arial" w:eastAsia="Arial" w:hAnsi="Arial"/>
                <w:sz w:val="18"/>
                <w:szCs w:val="18"/>
                <w:color w:val="auto"/>
              </w:rPr>
              <w:t>Chain of Aerospace from May 2015 to October 2019. President, Aerospace Defense and Space from</w:t>
            </w:r>
          </w:p>
        </w:tc>
        <w:tc>
          <w:tcPr>
            <w:tcW w:w="0" w:type="dxa"/>
            <w:vAlign w:val="bottom"/>
          </w:tcPr>
          <w:p>
            <w:pPr>
              <w:spacing w:after="0"/>
              <w:rPr>
                <w:sz w:val="1"/>
                <w:szCs w:val="1"/>
                <w:color w:val="auto"/>
              </w:rPr>
            </w:pPr>
          </w:p>
        </w:tc>
      </w:tr>
      <w:tr>
        <w:trPr>
          <w:trHeight w:val="217"/>
        </w:trPr>
        <w:tc>
          <w:tcPr>
            <w:tcW w:w="2320" w:type="dxa"/>
            <w:vAlign w:val="bottom"/>
            <w:tcBorders>
              <w:bottom w:val="single" w:sz="8" w:color="auto"/>
            </w:tcBorders>
          </w:tcPr>
          <w:p>
            <w:pPr>
              <w:spacing w:after="0"/>
              <w:rPr>
                <w:sz w:val="18"/>
                <w:szCs w:val="18"/>
                <w:color w:val="auto"/>
              </w:rPr>
            </w:pPr>
          </w:p>
        </w:tc>
        <w:tc>
          <w:tcPr>
            <w:tcW w:w="89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October 2010 to May 2015.</w:t>
            </w:r>
          </w:p>
        </w:tc>
        <w:tc>
          <w:tcPr>
            <w:tcW w:w="0" w:type="dxa"/>
            <w:vAlign w:val="bottom"/>
          </w:tcPr>
          <w:p>
            <w:pPr>
              <w:spacing w:after="0"/>
              <w:rPr>
                <w:sz w:val="1"/>
                <w:szCs w:val="1"/>
                <w:color w:val="auto"/>
              </w:rPr>
            </w:pPr>
          </w:p>
        </w:tc>
      </w:tr>
      <w:tr>
        <w:trPr>
          <w:trHeight w:val="196"/>
        </w:trPr>
        <w:tc>
          <w:tcPr>
            <w:tcW w:w="2320" w:type="dxa"/>
            <w:vAlign w:val="bottom"/>
          </w:tcPr>
          <w:p>
            <w:pPr>
              <w:jc w:val="center"/>
              <w:spacing w:after="0" w:line="196" w:lineRule="exact"/>
              <w:rPr>
                <w:sz w:val="20"/>
                <w:szCs w:val="20"/>
                <w:color w:val="auto"/>
              </w:rPr>
            </w:pPr>
            <w:r>
              <w:rPr>
                <w:rFonts w:ascii="Arial" w:cs="Arial" w:eastAsia="Arial" w:hAnsi="Arial"/>
                <w:sz w:val="18"/>
                <w:szCs w:val="18"/>
                <w:color w:val="auto"/>
              </w:rPr>
              <w:t>Karen Mattimore, 54</w:t>
            </w:r>
          </w:p>
        </w:tc>
        <w:tc>
          <w:tcPr>
            <w:tcW w:w="8920" w:type="dxa"/>
            <w:vAlign w:val="bottom"/>
          </w:tcPr>
          <w:p>
            <w:pPr>
              <w:ind w:left="240"/>
              <w:spacing w:after="0" w:line="196" w:lineRule="exact"/>
              <w:rPr>
                <w:sz w:val="20"/>
                <w:szCs w:val="20"/>
                <w:color w:val="auto"/>
              </w:rPr>
            </w:pPr>
            <w:r>
              <w:rPr>
                <w:rFonts w:ascii="Arial" w:cs="Arial" w:eastAsia="Arial" w:hAnsi="Arial"/>
                <w:sz w:val="18"/>
                <w:szCs w:val="18"/>
                <w:color w:val="auto"/>
              </w:rPr>
              <w:t>Senior Vice President and Chief Human Resources Officer since June 2020. Vice President, Human</w:t>
            </w:r>
          </w:p>
        </w:tc>
        <w:tc>
          <w:tcPr>
            <w:tcW w:w="0" w:type="dxa"/>
            <w:vAlign w:val="bottom"/>
          </w:tcPr>
          <w:p>
            <w:pPr>
              <w:spacing w:after="0"/>
              <w:rPr>
                <w:sz w:val="1"/>
                <w:szCs w:val="1"/>
                <w:color w:val="auto"/>
              </w:rPr>
            </w:pPr>
          </w:p>
        </w:tc>
      </w:tr>
      <w:tr>
        <w:trPr>
          <w:trHeight w:val="216"/>
        </w:trPr>
        <w:tc>
          <w:tcPr>
            <w:tcW w:w="2320" w:type="dxa"/>
            <w:vAlign w:val="bottom"/>
          </w:tcPr>
          <w:p>
            <w:pPr>
              <w:jc w:val="center"/>
              <w:spacing w:after="0"/>
              <w:rPr>
                <w:sz w:val="20"/>
                <w:szCs w:val="20"/>
                <w:color w:val="auto"/>
              </w:rPr>
            </w:pPr>
            <w:r>
              <w:rPr>
                <w:rFonts w:ascii="Arial" w:cs="Arial" w:eastAsia="Arial" w:hAnsi="Arial"/>
                <w:sz w:val="18"/>
                <w:szCs w:val="18"/>
                <w:color w:val="auto"/>
                <w:w w:val="99"/>
              </w:rPr>
              <w:t>2020</w:t>
            </w:r>
          </w:p>
        </w:tc>
        <w:tc>
          <w:tcPr>
            <w:tcW w:w="8920" w:type="dxa"/>
            <w:vAlign w:val="bottom"/>
            <w:vMerge w:val="restart"/>
          </w:tcPr>
          <w:p>
            <w:pPr>
              <w:ind w:left="240"/>
              <w:spacing w:after="0"/>
              <w:rPr>
                <w:sz w:val="20"/>
                <w:szCs w:val="20"/>
                <w:color w:val="auto"/>
              </w:rPr>
            </w:pPr>
            <w:r>
              <w:rPr>
                <w:rFonts w:ascii="Arial" w:cs="Arial" w:eastAsia="Arial" w:hAnsi="Arial"/>
                <w:sz w:val="18"/>
                <w:szCs w:val="18"/>
                <w:color w:val="auto"/>
              </w:rPr>
              <w:t>Resources and Communications, Aerospace from February 2018 to June 2020. Vice President, Human</w:t>
            </w:r>
          </w:p>
        </w:tc>
        <w:tc>
          <w:tcPr>
            <w:tcW w:w="0" w:type="dxa"/>
            <w:vAlign w:val="bottom"/>
          </w:tcPr>
          <w:p>
            <w:pPr>
              <w:spacing w:after="0"/>
              <w:rPr>
                <w:sz w:val="1"/>
                <w:szCs w:val="1"/>
                <w:color w:val="auto"/>
              </w:rPr>
            </w:pPr>
          </w:p>
        </w:tc>
      </w:tr>
      <w:tr>
        <w:trPr>
          <w:trHeight w:val="26"/>
        </w:trPr>
        <w:tc>
          <w:tcPr>
            <w:tcW w:w="2320" w:type="dxa"/>
            <w:vAlign w:val="bottom"/>
          </w:tcPr>
          <w:p>
            <w:pPr>
              <w:spacing w:after="0"/>
              <w:rPr>
                <w:sz w:val="2"/>
                <w:szCs w:val="2"/>
                <w:color w:val="auto"/>
              </w:rPr>
            </w:pPr>
          </w:p>
        </w:tc>
        <w:tc>
          <w:tcPr>
            <w:tcW w:w="89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7"/>
        </w:trPr>
        <w:tc>
          <w:tcPr>
            <w:tcW w:w="2320" w:type="dxa"/>
            <w:vAlign w:val="bottom"/>
            <w:tcBorders>
              <w:bottom w:val="single" w:sz="8" w:color="auto"/>
            </w:tcBorders>
          </w:tcPr>
          <w:p>
            <w:pPr>
              <w:spacing w:after="0"/>
              <w:rPr>
                <w:sz w:val="18"/>
                <w:szCs w:val="18"/>
                <w:color w:val="auto"/>
              </w:rPr>
            </w:pPr>
          </w:p>
        </w:tc>
        <w:tc>
          <w:tcPr>
            <w:tcW w:w="89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Resources Services from April 2015 to February 2018.</w:t>
            </w:r>
          </w:p>
        </w:tc>
        <w:tc>
          <w:tcPr>
            <w:tcW w:w="0" w:type="dxa"/>
            <w:vAlign w:val="bottom"/>
          </w:tcPr>
          <w:p>
            <w:pPr>
              <w:spacing w:after="0"/>
              <w:rPr>
                <w:sz w:val="1"/>
                <w:szCs w:val="1"/>
                <w:color w:val="auto"/>
              </w:rPr>
            </w:pPr>
          </w:p>
        </w:tc>
      </w:tr>
      <w:tr>
        <w:trPr>
          <w:trHeight w:val="182"/>
        </w:trPr>
        <w:tc>
          <w:tcPr>
            <w:tcW w:w="2320" w:type="dxa"/>
            <w:vAlign w:val="bottom"/>
          </w:tcPr>
          <w:p>
            <w:pPr>
              <w:jc w:val="center"/>
              <w:spacing w:after="0" w:line="182" w:lineRule="exact"/>
              <w:rPr>
                <w:sz w:val="20"/>
                <w:szCs w:val="20"/>
                <w:color w:val="auto"/>
              </w:rPr>
            </w:pPr>
            <w:r>
              <w:rPr>
                <w:rFonts w:ascii="Arial" w:cs="Arial" w:eastAsia="Arial" w:hAnsi="Arial"/>
                <w:sz w:val="18"/>
                <w:szCs w:val="18"/>
                <w:color w:val="auto"/>
                <w:w w:val="98"/>
              </w:rPr>
              <w:t>John F. Waldron, 45</w:t>
            </w:r>
          </w:p>
        </w:tc>
        <w:tc>
          <w:tcPr>
            <w:tcW w:w="8920" w:type="dxa"/>
            <w:vAlign w:val="bottom"/>
          </w:tcPr>
          <w:p>
            <w:pPr>
              <w:ind w:left="240"/>
              <w:spacing w:after="0" w:line="182" w:lineRule="exact"/>
              <w:rPr>
                <w:sz w:val="20"/>
                <w:szCs w:val="20"/>
                <w:color w:val="auto"/>
              </w:rPr>
            </w:pPr>
            <w:r>
              <w:rPr>
                <w:rFonts w:ascii="Arial" w:cs="Arial" w:eastAsia="Arial" w:hAnsi="Arial"/>
                <w:sz w:val="18"/>
                <w:szCs w:val="18"/>
                <w:color w:val="auto"/>
              </w:rPr>
              <w:t>President and Chief Executive Officer, Safety and Productivity Solutions since July 2016. President of</w:t>
            </w:r>
          </w:p>
        </w:tc>
        <w:tc>
          <w:tcPr>
            <w:tcW w:w="0" w:type="dxa"/>
            <w:vAlign w:val="bottom"/>
          </w:tcPr>
          <w:p>
            <w:pPr>
              <w:spacing w:after="0"/>
              <w:rPr>
                <w:sz w:val="1"/>
                <w:szCs w:val="1"/>
                <w:color w:val="auto"/>
              </w:rPr>
            </w:pPr>
          </w:p>
        </w:tc>
      </w:tr>
      <w:tr>
        <w:trPr>
          <w:trHeight w:val="175"/>
        </w:trPr>
        <w:tc>
          <w:tcPr>
            <w:tcW w:w="2320" w:type="dxa"/>
            <w:vAlign w:val="bottom"/>
          </w:tcPr>
          <w:p>
            <w:pPr>
              <w:jc w:val="center"/>
              <w:spacing w:after="0" w:line="176" w:lineRule="exact"/>
              <w:rPr>
                <w:sz w:val="20"/>
                <w:szCs w:val="20"/>
                <w:color w:val="auto"/>
              </w:rPr>
            </w:pPr>
            <w:r>
              <w:rPr>
                <w:rFonts w:ascii="Arial" w:cs="Arial" w:eastAsia="Arial" w:hAnsi="Arial"/>
                <w:sz w:val="18"/>
                <w:szCs w:val="18"/>
                <w:color w:val="auto"/>
                <w:w w:val="99"/>
              </w:rPr>
              <w:t>2016</w:t>
            </w:r>
          </w:p>
        </w:tc>
        <w:tc>
          <w:tcPr>
            <w:tcW w:w="8920" w:type="dxa"/>
            <w:vAlign w:val="bottom"/>
          </w:tcPr>
          <w:p>
            <w:pPr>
              <w:ind w:left="240"/>
              <w:spacing w:after="0" w:line="176" w:lineRule="exact"/>
              <w:rPr>
                <w:sz w:val="20"/>
                <w:szCs w:val="20"/>
                <w:color w:val="auto"/>
              </w:rPr>
            </w:pPr>
            <w:r>
              <w:rPr>
                <w:rFonts w:ascii="Arial" w:cs="Arial" w:eastAsia="Arial" w:hAnsi="Arial"/>
                <w:sz w:val="18"/>
                <w:szCs w:val="18"/>
                <w:color w:val="auto"/>
              </w:rPr>
              <w:t>Sensing and Productivity Solutions from July 2015 to July 2016. President of Scanning and Mobility from</w:t>
            </w:r>
          </w:p>
        </w:tc>
        <w:tc>
          <w:tcPr>
            <w:tcW w:w="0" w:type="dxa"/>
            <w:vAlign w:val="bottom"/>
          </w:tcPr>
          <w:p>
            <w:pPr>
              <w:spacing w:after="0"/>
              <w:rPr>
                <w:sz w:val="1"/>
                <w:szCs w:val="1"/>
                <w:color w:val="auto"/>
              </w:rPr>
            </w:pPr>
          </w:p>
        </w:tc>
      </w:tr>
      <w:tr>
        <w:trPr>
          <w:trHeight w:val="217"/>
        </w:trPr>
        <w:tc>
          <w:tcPr>
            <w:tcW w:w="2320" w:type="dxa"/>
            <w:vAlign w:val="bottom"/>
            <w:tcBorders>
              <w:bottom w:val="single" w:sz="8" w:color="auto"/>
            </w:tcBorders>
          </w:tcPr>
          <w:p>
            <w:pPr>
              <w:spacing w:after="0"/>
              <w:rPr>
                <w:sz w:val="18"/>
                <w:szCs w:val="18"/>
                <w:color w:val="auto"/>
              </w:rPr>
            </w:pPr>
          </w:p>
        </w:tc>
        <w:tc>
          <w:tcPr>
            <w:tcW w:w="89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April 2012 to July 2015.</w:t>
            </w:r>
          </w:p>
        </w:tc>
        <w:tc>
          <w:tcPr>
            <w:tcW w:w="0" w:type="dxa"/>
            <w:vAlign w:val="bottom"/>
          </w:tcPr>
          <w:p>
            <w:pPr>
              <w:spacing w:after="0"/>
              <w:rPr>
                <w:sz w:val="1"/>
                <w:szCs w:val="1"/>
                <w:color w:val="auto"/>
              </w:rPr>
            </w:pPr>
          </w:p>
        </w:tc>
      </w:tr>
      <w:tr>
        <w:trPr>
          <w:trHeight w:val="318"/>
        </w:trPr>
        <w:tc>
          <w:tcPr>
            <w:tcW w:w="2320" w:type="dxa"/>
            <w:vAlign w:val="bottom"/>
          </w:tcPr>
          <w:p>
            <w:pPr>
              <w:ind w:left="180"/>
              <w:spacing w:after="0"/>
              <w:rPr>
                <w:sz w:val="20"/>
                <w:szCs w:val="20"/>
                <w:color w:val="auto"/>
              </w:rPr>
            </w:pPr>
            <w:r>
              <w:rPr>
                <w:rFonts w:ascii="Arial" w:cs="Arial" w:eastAsia="Arial" w:hAnsi="Arial"/>
                <w:sz w:val="18"/>
                <w:szCs w:val="18"/>
                <w:color w:val="auto"/>
              </w:rPr>
              <w:t>(a)   Also a Director.</w:t>
            </w:r>
          </w:p>
        </w:tc>
        <w:tc>
          <w:tcPr>
            <w:tcW w:w="8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42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185" w:lineRule="exact"/>
        <w:rPr>
          <w:sz w:val="20"/>
          <w:szCs w:val="20"/>
          <w:color w:val="auto"/>
        </w:rPr>
      </w:pPr>
    </w:p>
    <w:p>
      <w:pPr>
        <w:spacing w:after="0"/>
        <w:rPr>
          <w:sz w:val="20"/>
          <w:szCs w:val="20"/>
          <w:color w:val="auto"/>
        </w:rPr>
      </w:pPr>
      <w:r>
        <w:rPr>
          <w:rFonts w:ascii="Arial" w:cs="Arial" w:eastAsia="Arial" w:hAnsi="Arial"/>
          <w:sz w:val="29"/>
          <w:szCs w:val="29"/>
          <w:b w:val="1"/>
          <w:bCs w:val="1"/>
          <w:color w:val="EE2724"/>
        </w:rPr>
        <w:t>UNRESOLVED STAFF COMMENTS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94" w:lineRule="exact"/>
        <w:rPr>
          <w:sz w:val="20"/>
          <w:szCs w:val="20"/>
          <w:color w:val="auto"/>
        </w:rPr>
      </w:pPr>
    </w:p>
    <w:p>
      <w:pPr>
        <w:spacing w:after="0"/>
        <w:rPr>
          <w:sz w:val="20"/>
          <w:szCs w:val="20"/>
          <w:color w:val="auto"/>
        </w:rPr>
      </w:pPr>
      <w:r>
        <w:rPr>
          <w:rFonts w:ascii="Arial" w:cs="Arial" w:eastAsia="Arial" w:hAnsi="Arial"/>
          <w:sz w:val="29"/>
          <w:szCs w:val="29"/>
          <w:b w:val="1"/>
          <w:bCs w:val="1"/>
          <w:color w:val="EE2724"/>
        </w:rPr>
        <w:t>PROPERTIES</w:t>
      </w:r>
    </w:p>
    <w:p>
      <w:pPr>
        <w:spacing w:after="0" w:line="1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approximately 834 locations, of which 226 are manufacturing sites. Our properties and equipment are in good operating condition and are adequate for our present needs. We do not anticipate difficulty in renewing existing leases as they expire or in finding alternative facilities.</w:t>
      </w:r>
    </w:p>
    <w:p>
      <w:pPr>
        <w:spacing w:after="0" w:line="270" w:lineRule="exact"/>
        <w:rPr>
          <w:sz w:val="20"/>
          <w:szCs w:val="20"/>
          <w:color w:val="auto"/>
        </w:rPr>
      </w:pPr>
    </w:p>
    <w:p>
      <w:pPr>
        <w:spacing w:after="0"/>
        <w:rPr>
          <w:sz w:val="20"/>
          <w:szCs w:val="20"/>
          <w:color w:val="auto"/>
        </w:rPr>
      </w:pPr>
      <w:r>
        <w:rPr>
          <w:rFonts w:ascii="Arial" w:cs="Arial" w:eastAsia="Arial" w:hAnsi="Arial"/>
          <w:sz w:val="29"/>
          <w:szCs w:val="29"/>
          <w:b w:val="1"/>
          <w:bCs w:val="1"/>
          <w:color w:val="EE2724"/>
        </w:rPr>
        <w:t>LEGAL PROCEEDINGS</w:t>
      </w:r>
    </w:p>
    <w:p>
      <w:pPr>
        <w:spacing w:after="0" w:line="151" w:lineRule="exact"/>
        <w:rPr>
          <w:sz w:val="20"/>
          <w:szCs w:val="20"/>
          <w:color w:val="auto"/>
        </w:rPr>
      </w:pPr>
    </w:p>
    <w:p>
      <w:pPr>
        <w:jc w:val="both"/>
        <w:spacing w:after="0" w:line="256" w:lineRule="auto"/>
        <w:rPr>
          <w:rFonts w:ascii="Arial" w:cs="Arial" w:eastAsia="Arial" w:hAnsi="Arial"/>
          <w:sz w:val="18"/>
          <w:szCs w:val="18"/>
          <w:color w:val="0000FF"/>
        </w:rPr>
      </w:pPr>
      <w:r>
        <w:rPr>
          <w:rFonts w:ascii="Arial" w:cs="Arial" w:eastAsia="Arial" w:hAnsi="Arial"/>
          <w:sz w:val="18"/>
          <w:szCs w:val="18"/>
          <w:color w:val="auto"/>
        </w:rPr>
        <w:t xml:space="preserve">We are subject to a number of lawsuits, investigations and claims (some of which involve substantial amounts) arising out of the conduct of </w:t>
      </w:r>
      <w:hyperlink w:anchor="page88">
        <w:r>
          <w:rPr>
            <w:rFonts w:ascii="Arial" w:cs="Arial" w:eastAsia="Arial" w:hAnsi="Arial"/>
            <w:sz w:val="18"/>
            <w:szCs w:val="18"/>
            <w:color w:val="auto"/>
          </w:rPr>
          <w:t xml:space="preserve">our business. See a discussion of environmental, asbestos and other litigation matters in </w:t>
        </w:r>
        <w:r>
          <w:rPr>
            <w:rFonts w:ascii="Arial" w:cs="Arial" w:eastAsia="Arial" w:hAnsi="Arial"/>
            <w:sz w:val="18"/>
            <w:szCs w:val="18"/>
            <w:u w:val="single" w:color="auto"/>
            <w:color w:val="0000FF"/>
          </w:rPr>
          <w:t>Note 20 Commitments and Contingencies of Notes</w:t>
        </w:r>
      </w:hyperlink>
      <w:r>
        <w:rPr>
          <w:rFonts w:ascii="Arial" w:cs="Arial" w:eastAsia="Arial" w:hAnsi="Arial"/>
          <w:sz w:val="18"/>
          <w:szCs w:val="18"/>
          <w:color w:val="auto"/>
        </w:rPr>
        <w:t xml:space="preserve"> </w:t>
      </w:r>
      <w:hyperlink w:anchor="page88">
        <w:r>
          <w:rPr>
            <w:rFonts w:ascii="Arial" w:cs="Arial" w:eastAsia="Arial" w:hAnsi="Arial"/>
            <w:sz w:val="18"/>
            <w:szCs w:val="18"/>
            <w:u w:val="single" w:color="auto"/>
            <w:color w:val="0000FF"/>
          </w:rPr>
          <w:t>to Consolidated Financial Statements</w:t>
        </w:r>
        <w:r>
          <w:rPr>
            <w:rFonts w:ascii="Arial" w:cs="Arial" w:eastAsia="Arial" w:hAnsi="Arial"/>
            <w:sz w:val="18"/>
            <w:szCs w:val="18"/>
            <w:color w:val="000000"/>
          </w:rPr>
          <w:t>.</w:t>
        </w:r>
      </w:hyperlink>
    </w:p>
    <w:p>
      <w:pPr>
        <w:spacing w:after="0" w:line="9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There were no matters requiring disclosure pursuant to the requirement to disclose certain environmental matters involving potential monetary sanctions in excess of $300,000.</w:t>
      </w:r>
    </w:p>
    <w:p>
      <w:pPr>
        <w:spacing w:after="0" w:line="267" w:lineRule="exact"/>
        <w:rPr>
          <w:sz w:val="20"/>
          <w:szCs w:val="20"/>
          <w:color w:val="auto"/>
        </w:rPr>
      </w:pPr>
    </w:p>
    <w:p>
      <w:pPr>
        <w:spacing w:after="0"/>
        <w:rPr>
          <w:sz w:val="20"/>
          <w:szCs w:val="20"/>
          <w:color w:val="auto"/>
        </w:rPr>
      </w:pPr>
      <w:r>
        <w:rPr>
          <w:rFonts w:ascii="Arial" w:cs="Arial" w:eastAsia="Arial" w:hAnsi="Arial"/>
          <w:sz w:val="29"/>
          <w:szCs w:val="29"/>
          <w:b w:val="1"/>
          <w:bCs w:val="1"/>
          <w:color w:val="EE2724"/>
        </w:rPr>
        <w:t>MINE SAFETY DISCLOSURES</w:t>
      </w:r>
    </w:p>
    <w:p>
      <w:pPr>
        <w:spacing w:after="0" w:line="1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One of our wholly-owned subsidiaries has a placer claim for and operates a chabazite ore surface mine in Arizona. Information concerning mine safety and other regulatory matters associated with this mine is required by Section 1503(a) of the Dodd-Frank Wall Street Reform and Consumer Protection Act and Item 104 of Regulation S-K and is included in Exhibit 95 to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43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145" w:lineRule="exact"/>
        <w:rPr>
          <w:sz w:val="20"/>
          <w:szCs w:val="20"/>
          <w:color w:val="auto"/>
        </w:rPr>
      </w:pPr>
    </w:p>
    <w:p>
      <w:pPr>
        <w:ind w:right="760"/>
        <w:spacing w:after="0" w:line="296" w:lineRule="auto"/>
        <w:rPr>
          <w:sz w:val="20"/>
          <w:szCs w:val="20"/>
          <w:color w:val="auto"/>
        </w:rPr>
      </w:pPr>
      <w:r>
        <w:rPr>
          <w:rFonts w:ascii="Arial" w:cs="Arial" w:eastAsia="Arial" w:hAnsi="Arial"/>
          <w:sz w:val="28"/>
          <w:szCs w:val="28"/>
          <w:b w:val="1"/>
          <w:bCs w:val="1"/>
          <w:color w:val="EE2724"/>
        </w:rPr>
        <w:t>MARKET FOR REGISTRANT'S COMMON EQUITY, RELATED STOCKHOLDER MATTERS AND ISSUER PURCHASES OF EQUITY SECURITIES</w:t>
      </w:r>
    </w:p>
    <w:p>
      <w:pPr>
        <w:spacing w:after="0" w:line="2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common stock is listed on the New York Stock Exchange under the ticker symbol “HON”. Dividend information for Honeywell’s common stock is included in Note 26 Unaudited Quarterly Financial Information of Notes to Consolidated Financial Statements. We increased our quarterly dividend rate by 3% to $0.93 per share of common stock effective with the fourth quarter 2020 dividend. We intend to continue to pay quarterly dividends in 2021.</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number of record holders of our common stock at December 31, 2020 was 42,205.</w:t>
      </w:r>
    </w:p>
    <w:p>
      <w:pPr>
        <w:spacing w:after="0" w:line="11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Information regarding securities authorized for issuance under equity compensation plans is included the section titled Security Ownership of Certain Beneficial Owners and Management and Related Stockholder Matters under the caption “Equity Compensation Plans.”</w:t>
      </w:r>
    </w:p>
    <w:p>
      <w:pPr>
        <w:spacing w:after="0" w:line="9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purchased 7,619,919 shares of our common stock, par value $1 per share, in the quarter ending December 31, 2020. On April 29, 2019, the Board of Directors authorized the repurchase of up to a total of $10 billion of Honeywell common stock, which included amounts remaining under, and replaced, the previously approved share repurchase program. As of December 31, 2020, $3.3 billion remained available for additional share repurchases. We expect to repurchase outstanding shares from time to time to generally offset the dilutive impact of employee stock-based compensation plans, including option exercises, restricted unit vesting and matching contributions under our savings plans. Additionally, we seek to reduce share count via share repurchases as and when attractive opportunities arise. The amount and timing of future repurchases may vary depending on market conditions and the level of our operating, financing and other investing activities.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purchases of Honeywell's common stock for the three months ended December 31, 2020:</w:t>
      </w:r>
    </w:p>
    <w:p>
      <w:pPr>
        <w:spacing w:after="0" w:line="37"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Issuer Purchases of Equity Securities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080" w:type="dxa"/>
            <w:vAlign w:val="bottom"/>
            <w:tcBorders>
              <w:top w:val="single" w:sz="8" w:color="DC202E"/>
            </w:tcBorders>
          </w:tcPr>
          <w:p>
            <w:pPr>
              <w:spacing w:after="0"/>
              <w:rPr>
                <w:sz w:val="13"/>
                <w:szCs w:val="13"/>
                <w:color w:val="auto"/>
              </w:rPr>
            </w:pPr>
          </w:p>
        </w:tc>
        <w:tc>
          <w:tcPr>
            <w:tcW w:w="100" w:type="dxa"/>
            <w:vAlign w:val="bottom"/>
            <w:tcBorders>
              <w:top w:val="single" w:sz="8" w:color="DC202E"/>
            </w:tcBorders>
          </w:tcPr>
          <w:p>
            <w:pPr>
              <w:spacing w:after="0"/>
              <w:rPr>
                <w:sz w:val="13"/>
                <w:szCs w:val="13"/>
                <w:color w:val="auto"/>
              </w:rPr>
            </w:pPr>
          </w:p>
        </w:tc>
        <w:tc>
          <w:tcPr>
            <w:tcW w:w="1900" w:type="dxa"/>
            <w:vAlign w:val="bottom"/>
            <w:tcBorders>
              <w:top w:val="single" w:sz="8" w:color="DC202E"/>
            </w:tcBorders>
          </w:tcPr>
          <w:p>
            <w:pPr>
              <w:spacing w:after="0"/>
              <w:rPr>
                <w:sz w:val="13"/>
                <w:szCs w:val="13"/>
                <w:color w:val="auto"/>
              </w:rPr>
            </w:pPr>
          </w:p>
        </w:tc>
        <w:tc>
          <w:tcPr>
            <w:tcW w:w="120" w:type="dxa"/>
            <w:vAlign w:val="bottom"/>
            <w:tcBorders>
              <w:top w:val="single" w:sz="8" w:color="DC202E"/>
            </w:tcBorders>
          </w:tcPr>
          <w:p>
            <w:pPr>
              <w:spacing w:after="0"/>
              <w:rPr>
                <w:sz w:val="13"/>
                <w:szCs w:val="13"/>
                <w:color w:val="auto"/>
              </w:rPr>
            </w:pPr>
          </w:p>
        </w:tc>
        <w:tc>
          <w:tcPr>
            <w:tcW w:w="360" w:type="dxa"/>
            <w:vAlign w:val="bottom"/>
            <w:tcBorders>
              <w:top w:val="single" w:sz="8" w:color="DC202E"/>
            </w:tcBorders>
          </w:tcPr>
          <w:p>
            <w:pPr>
              <w:spacing w:after="0"/>
              <w:rPr>
                <w:sz w:val="13"/>
                <w:szCs w:val="13"/>
                <w:color w:val="auto"/>
              </w:rPr>
            </w:pPr>
          </w:p>
        </w:tc>
        <w:tc>
          <w:tcPr>
            <w:tcW w:w="1540" w:type="dxa"/>
            <w:vAlign w:val="bottom"/>
            <w:tcBorders>
              <w:top w:val="single" w:sz="8" w:color="DC202E"/>
            </w:tcBorders>
          </w:tcPr>
          <w:p>
            <w:pPr>
              <w:spacing w:after="0"/>
              <w:rPr>
                <w:sz w:val="13"/>
                <w:szCs w:val="13"/>
                <w:color w:val="auto"/>
              </w:rPr>
            </w:pPr>
          </w:p>
        </w:tc>
        <w:tc>
          <w:tcPr>
            <w:tcW w:w="120" w:type="dxa"/>
            <w:vAlign w:val="bottom"/>
            <w:tcBorders>
              <w:top w:val="single" w:sz="8" w:color="DC202E"/>
            </w:tcBorders>
          </w:tcPr>
          <w:p>
            <w:pPr>
              <w:spacing w:after="0"/>
              <w:rPr>
                <w:sz w:val="13"/>
                <w:szCs w:val="13"/>
                <w:color w:val="auto"/>
              </w:rPr>
            </w:pPr>
          </w:p>
        </w:tc>
        <w:tc>
          <w:tcPr>
            <w:tcW w:w="2000" w:type="dxa"/>
            <w:vAlign w:val="bottom"/>
            <w:tcBorders>
              <w:top w:val="single" w:sz="8" w:color="DC202E"/>
            </w:tcBorders>
            <w:gridSpan w:val="2"/>
          </w:tcPr>
          <w:p>
            <w:pPr>
              <w:jc w:val="center"/>
              <w:ind w:right="100"/>
              <w:spacing w:after="0" w:line="155" w:lineRule="exact"/>
              <w:rPr>
                <w:sz w:val="20"/>
                <w:szCs w:val="20"/>
                <w:color w:val="auto"/>
              </w:rPr>
            </w:pPr>
            <w:r>
              <w:rPr>
                <w:rFonts w:ascii="Arial" w:cs="Arial" w:eastAsia="Arial" w:hAnsi="Arial"/>
                <w:sz w:val="14"/>
                <w:szCs w:val="14"/>
                <w:b w:val="1"/>
                <w:bCs w:val="1"/>
                <w:color w:val="auto"/>
                <w:w w:val="99"/>
              </w:rPr>
              <w:t>Total Number</w:t>
            </w:r>
          </w:p>
        </w:tc>
        <w:tc>
          <w:tcPr>
            <w:tcW w:w="180" w:type="dxa"/>
            <w:vAlign w:val="bottom"/>
            <w:tcBorders>
              <w:top w:val="single" w:sz="8" w:color="DC202E"/>
            </w:tcBorders>
          </w:tcPr>
          <w:p>
            <w:pPr>
              <w:spacing w:after="0"/>
              <w:rPr>
                <w:sz w:val="13"/>
                <w:szCs w:val="13"/>
                <w:color w:val="auto"/>
              </w:rPr>
            </w:pPr>
          </w:p>
        </w:tc>
        <w:tc>
          <w:tcPr>
            <w:tcW w:w="1780" w:type="dxa"/>
            <w:vAlign w:val="bottom"/>
            <w:tcBorders>
              <w:top w:val="single" w:sz="8" w:color="DC202E"/>
            </w:tcBorders>
            <w:vMerge w:val="restart"/>
          </w:tcPr>
          <w:p>
            <w:pPr>
              <w:jc w:val="center"/>
              <w:ind w:right="82"/>
              <w:spacing w:after="0"/>
              <w:rPr>
                <w:sz w:val="20"/>
                <w:szCs w:val="20"/>
                <w:color w:val="auto"/>
              </w:rPr>
            </w:pPr>
            <w:r>
              <w:rPr>
                <w:rFonts w:ascii="Arial" w:cs="Arial" w:eastAsia="Arial" w:hAnsi="Arial"/>
                <w:sz w:val="14"/>
                <w:szCs w:val="14"/>
                <w:b w:val="1"/>
                <w:bCs w:val="1"/>
                <w:color w:val="auto"/>
              </w:rPr>
              <w:t>Approximate Dollar</w:t>
            </w:r>
          </w:p>
        </w:tc>
        <w:tc>
          <w:tcPr>
            <w:tcW w:w="0" w:type="dxa"/>
            <w:vAlign w:val="bottom"/>
          </w:tcPr>
          <w:p>
            <w:pPr>
              <w:spacing w:after="0"/>
              <w:rPr>
                <w:sz w:val="1"/>
                <w:szCs w:val="1"/>
                <w:color w:val="auto"/>
              </w:rPr>
            </w:pPr>
          </w:p>
        </w:tc>
      </w:tr>
      <w:tr>
        <w:trPr>
          <w:trHeight w:val="135"/>
        </w:trPr>
        <w:tc>
          <w:tcPr>
            <w:tcW w:w="3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of Shares</w:t>
            </w:r>
          </w:p>
        </w:tc>
        <w:tc>
          <w:tcPr>
            <w:tcW w:w="180" w:type="dxa"/>
            <w:vAlign w:val="bottom"/>
          </w:tcPr>
          <w:p>
            <w:pPr>
              <w:spacing w:after="0"/>
              <w:rPr>
                <w:sz w:val="11"/>
                <w:szCs w:val="11"/>
                <w:color w:val="auto"/>
              </w:rPr>
            </w:pPr>
          </w:p>
        </w:tc>
        <w:tc>
          <w:tcPr>
            <w:tcW w:w="1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Total</w:t>
            </w:r>
          </w:p>
        </w:tc>
        <w:tc>
          <w:tcPr>
            <w:tcW w:w="3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Purchased as</w:t>
            </w:r>
          </w:p>
        </w:tc>
        <w:tc>
          <w:tcPr>
            <w:tcW w:w="180" w:type="dxa"/>
            <w:vAlign w:val="bottom"/>
          </w:tcPr>
          <w:p>
            <w:pPr>
              <w:spacing w:after="0"/>
              <w:rPr>
                <w:sz w:val="11"/>
                <w:szCs w:val="11"/>
                <w:color w:val="auto"/>
              </w:rPr>
            </w:pPr>
          </w:p>
        </w:tc>
        <w:tc>
          <w:tcPr>
            <w:tcW w:w="1780" w:type="dxa"/>
            <w:vAlign w:val="bottom"/>
          </w:tcPr>
          <w:p>
            <w:pPr>
              <w:jc w:val="center"/>
              <w:ind w:right="82"/>
              <w:spacing w:after="0" w:line="135" w:lineRule="exact"/>
              <w:rPr>
                <w:sz w:val="20"/>
                <w:szCs w:val="20"/>
                <w:color w:val="auto"/>
              </w:rPr>
            </w:pPr>
            <w:r>
              <w:rPr>
                <w:rFonts w:ascii="Arial" w:cs="Arial" w:eastAsia="Arial" w:hAnsi="Arial"/>
                <w:sz w:val="14"/>
                <w:szCs w:val="14"/>
                <w:b w:val="1"/>
                <w:bCs w:val="1"/>
                <w:color w:val="auto"/>
              </w:rPr>
              <w:t>Value of Shares that</w:t>
            </w:r>
          </w:p>
        </w:tc>
        <w:tc>
          <w:tcPr>
            <w:tcW w:w="0" w:type="dxa"/>
            <w:vAlign w:val="bottom"/>
          </w:tcPr>
          <w:p>
            <w:pPr>
              <w:spacing w:after="0"/>
              <w:rPr>
                <w:sz w:val="1"/>
                <w:szCs w:val="1"/>
                <w:color w:val="auto"/>
              </w:rPr>
            </w:pPr>
          </w:p>
        </w:tc>
      </w:tr>
      <w:tr>
        <w:trPr>
          <w:trHeight w:val="135"/>
        </w:trPr>
        <w:tc>
          <w:tcPr>
            <w:tcW w:w="3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20" w:type="dxa"/>
            <w:vAlign w:val="bottom"/>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166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rPr>
              <w:t>Average</w:t>
            </w:r>
          </w:p>
        </w:tc>
        <w:tc>
          <w:tcPr>
            <w:tcW w:w="20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Part of Publicly</w:t>
            </w:r>
          </w:p>
        </w:tc>
        <w:tc>
          <w:tcPr>
            <w:tcW w:w="180" w:type="dxa"/>
            <w:vAlign w:val="bottom"/>
          </w:tcPr>
          <w:p>
            <w:pPr>
              <w:spacing w:after="0"/>
              <w:rPr>
                <w:sz w:val="11"/>
                <w:szCs w:val="11"/>
                <w:color w:val="auto"/>
              </w:rPr>
            </w:pPr>
          </w:p>
        </w:tc>
        <w:tc>
          <w:tcPr>
            <w:tcW w:w="1780" w:type="dxa"/>
            <w:vAlign w:val="bottom"/>
          </w:tcPr>
          <w:p>
            <w:pPr>
              <w:jc w:val="center"/>
              <w:ind w:right="102"/>
              <w:spacing w:after="0" w:line="135" w:lineRule="exact"/>
              <w:rPr>
                <w:sz w:val="20"/>
                <w:szCs w:val="20"/>
                <w:color w:val="auto"/>
              </w:rPr>
            </w:pPr>
            <w:r>
              <w:rPr>
                <w:rFonts w:ascii="Arial" w:cs="Arial" w:eastAsia="Arial" w:hAnsi="Arial"/>
                <w:sz w:val="14"/>
                <w:szCs w:val="14"/>
                <w:b w:val="1"/>
                <w:bCs w:val="1"/>
                <w:color w:val="auto"/>
              </w:rPr>
              <w:t>May Yet be Purchased</w:t>
            </w:r>
          </w:p>
        </w:tc>
        <w:tc>
          <w:tcPr>
            <w:tcW w:w="0" w:type="dxa"/>
            <w:vAlign w:val="bottom"/>
          </w:tcPr>
          <w:p>
            <w:pPr>
              <w:spacing w:after="0"/>
              <w:rPr>
                <w:sz w:val="1"/>
                <w:szCs w:val="1"/>
                <w:color w:val="auto"/>
              </w:rPr>
            </w:pPr>
          </w:p>
        </w:tc>
      </w:tr>
      <w:tr>
        <w:trPr>
          <w:trHeight w:val="135"/>
        </w:trPr>
        <w:tc>
          <w:tcPr>
            <w:tcW w:w="3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Number of</w:t>
            </w:r>
          </w:p>
        </w:tc>
        <w:tc>
          <w:tcPr>
            <w:tcW w:w="360" w:type="dxa"/>
            <w:vAlign w:val="bottom"/>
          </w:tcPr>
          <w:p>
            <w:pPr>
              <w:spacing w:after="0"/>
              <w:rPr>
                <w:sz w:val="11"/>
                <w:szCs w:val="11"/>
                <w:color w:val="auto"/>
              </w:rPr>
            </w:pPr>
          </w:p>
        </w:tc>
        <w:tc>
          <w:tcPr>
            <w:tcW w:w="1660" w:type="dxa"/>
            <w:vAlign w:val="bottom"/>
            <w:gridSpan w:val="2"/>
            <w:vMerge w:val="continue"/>
          </w:tcPr>
          <w:p>
            <w:pPr>
              <w:spacing w:after="0"/>
              <w:rPr>
                <w:sz w:val="11"/>
                <w:szCs w:val="11"/>
                <w:color w:val="auto"/>
              </w:rPr>
            </w:pPr>
          </w:p>
        </w:tc>
        <w:tc>
          <w:tcPr>
            <w:tcW w:w="20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Announced</w:t>
            </w:r>
          </w:p>
        </w:tc>
        <w:tc>
          <w:tcPr>
            <w:tcW w:w="180" w:type="dxa"/>
            <w:vAlign w:val="bottom"/>
          </w:tcPr>
          <w:p>
            <w:pPr>
              <w:spacing w:after="0"/>
              <w:rPr>
                <w:sz w:val="11"/>
                <w:szCs w:val="11"/>
                <w:color w:val="auto"/>
              </w:rPr>
            </w:pPr>
          </w:p>
        </w:tc>
        <w:tc>
          <w:tcPr>
            <w:tcW w:w="1780" w:type="dxa"/>
            <w:vAlign w:val="bottom"/>
          </w:tcPr>
          <w:p>
            <w:pPr>
              <w:jc w:val="center"/>
              <w:ind w:right="82"/>
              <w:spacing w:after="0" w:line="135" w:lineRule="exact"/>
              <w:rPr>
                <w:sz w:val="20"/>
                <w:szCs w:val="20"/>
                <w:color w:val="auto"/>
              </w:rPr>
            </w:pPr>
            <w:r>
              <w:rPr>
                <w:rFonts w:ascii="Arial" w:cs="Arial" w:eastAsia="Arial" w:hAnsi="Arial"/>
                <w:sz w:val="14"/>
                <w:szCs w:val="14"/>
                <w:b w:val="1"/>
                <w:bCs w:val="1"/>
                <w:color w:val="auto"/>
              </w:rPr>
              <w:t>Under Plans or</w:t>
            </w:r>
          </w:p>
        </w:tc>
        <w:tc>
          <w:tcPr>
            <w:tcW w:w="0" w:type="dxa"/>
            <w:vAlign w:val="bottom"/>
          </w:tcPr>
          <w:p>
            <w:pPr>
              <w:spacing w:after="0"/>
              <w:rPr>
                <w:sz w:val="1"/>
                <w:szCs w:val="1"/>
                <w:color w:val="auto"/>
              </w:rPr>
            </w:pPr>
          </w:p>
        </w:tc>
      </w:tr>
      <w:tr>
        <w:trPr>
          <w:trHeight w:val="135"/>
        </w:trPr>
        <w:tc>
          <w:tcPr>
            <w:tcW w:w="30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Period</w:t>
            </w:r>
          </w:p>
        </w:tc>
        <w:tc>
          <w:tcPr>
            <w:tcW w:w="100" w:type="dxa"/>
            <w:vAlign w:val="bottom"/>
            <w:vMerge w:val="restart"/>
          </w:tcPr>
          <w:p>
            <w:pPr>
              <w:spacing w:after="0"/>
              <w:rPr>
                <w:sz w:val="11"/>
                <w:szCs w:val="11"/>
                <w:color w:val="auto"/>
              </w:rPr>
            </w:pPr>
          </w:p>
        </w:tc>
        <w:tc>
          <w:tcPr>
            <w:tcW w:w="20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Shares</w:t>
            </w:r>
          </w:p>
        </w:tc>
        <w:tc>
          <w:tcPr>
            <w:tcW w:w="360" w:type="dxa"/>
            <w:vAlign w:val="bottom"/>
          </w:tcPr>
          <w:p>
            <w:pPr>
              <w:spacing w:after="0"/>
              <w:rPr>
                <w:sz w:val="11"/>
                <w:szCs w:val="11"/>
                <w:color w:val="auto"/>
              </w:rPr>
            </w:pPr>
          </w:p>
        </w:tc>
        <w:tc>
          <w:tcPr>
            <w:tcW w:w="1660" w:type="dxa"/>
            <w:vAlign w:val="bottom"/>
            <w:gridSpan w:val="2"/>
          </w:tcPr>
          <w:p>
            <w:pPr>
              <w:jc w:val="center"/>
              <w:ind w:right="480"/>
              <w:spacing w:after="0" w:line="135" w:lineRule="exact"/>
              <w:rPr>
                <w:sz w:val="20"/>
                <w:szCs w:val="20"/>
                <w:color w:val="auto"/>
              </w:rPr>
            </w:pPr>
            <w:r>
              <w:rPr>
                <w:rFonts w:ascii="Arial" w:cs="Arial" w:eastAsia="Arial" w:hAnsi="Arial"/>
                <w:sz w:val="14"/>
                <w:szCs w:val="14"/>
                <w:b w:val="1"/>
                <w:bCs w:val="1"/>
                <w:color w:val="auto"/>
              </w:rPr>
              <w:t>Price Paid</w:t>
            </w:r>
          </w:p>
        </w:tc>
        <w:tc>
          <w:tcPr>
            <w:tcW w:w="20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Plans</w:t>
            </w:r>
          </w:p>
        </w:tc>
        <w:tc>
          <w:tcPr>
            <w:tcW w:w="180" w:type="dxa"/>
            <w:vAlign w:val="bottom"/>
          </w:tcPr>
          <w:p>
            <w:pPr>
              <w:spacing w:after="0"/>
              <w:rPr>
                <w:sz w:val="11"/>
                <w:szCs w:val="11"/>
                <w:color w:val="auto"/>
              </w:rPr>
            </w:pPr>
          </w:p>
        </w:tc>
        <w:tc>
          <w:tcPr>
            <w:tcW w:w="1780" w:type="dxa"/>
            <w:vAlign w:val="bottom"/>
          </w:tcPr>
          <w:p>
            <w:pPr>
              <w:jc w:val="center"/>
              <w:ind w:right="82"/>
              <w:spacing w:after="0" w:line="135" w:lineRule="exact"/>
              <w:rPr>
                <w:sz w:val="20"/>
                <w:szCs w:val="20"/>
                <w:color w:val="auto"/>
              </w:rPr>
            </w:pPr>
            <w:r>
              <w:rPr>
                <w:rFonts w:ascii="Arial" w:cs="Arial" w:eastAsia="Arial" w:hAnsi="Arial"/>
                <w:sz w:val="14"/>
                <w:szCs w:val="14"/>
                <w:b w:val="1"/>
                <w:bCs w:val="1"/>
                <w:color w:val="auto"/>
              </w:rPr>
              <w:t>Programs</w:t>
            </w:r>
          </w:p>
        </w:tc>
        <w:tc>
          <w:tcPr>
            <w:tcW w:w="0" w:type="dxa"/>
            <w:vAlign w:val="bottom"/>
          </w:tcPr>
          <w:p>
            <w:pPr>
              <w:spacing w:after="0"/>
              <w:rPr>
                <w:sz w:val="1"/>
                <w:szCs w:val="1"/>
                <w:color w:val="auto"/>
              </w:rPr>
            </w:pPr>
          </w:p>
        </w:tc>
      </w:tr>
      <w:tr>
        <w:trPr>
          <w:trHeight w:val="183"/>
        </w:trPr>
        <w:tc>
          <w:tcPr>
            <w:tcW w:w="3080" w:type="dxa"/>
            <w:vAlign w:val="bottom"/>
            <w:tcBorders>
              <w:bottom w:val="single" w:sz="8" w:color="DC202E"/>
            </w:tcBorders>
            <w:vMerge w:val="continue"/>
          </w:tcPr>
          <w:p>
            <w:pPr>
              <w:spacing w:after="0"/>
              <w:rPr>
                <w:sz w:val="15"/>
                <w:szCs w:val="15"/>
                <w:color w:val="auto"/>
              </w:rPr>
            </w:pPr>
          </w:p>
        </w:tc>
        <w:tc>
          <w:tcPr>
            <w:tcW w:w="100" w:type="dxa"/>
            <w:vAlign w:val="bottom"/>
            <w:tcBorders>
              <w:bottom w:val="single" w:sz="8" w:color="D0D0CE"/>
            </w:tcBorders>
            <w:vMerge w:val="continue"/>
          </w:tcPr>
          <w:p>
            <w:pPr>
              <w:spacing w:after="0"/>
              <w:rPr>
                <w:sz w:val="15"/>
                <w:szCs w:val="15"/>
                <w:color w:val="auto"/>
              </w:rPr>
            </w:pPr>
          </w:p>
        </w:tc>
        <w:tc>
          <w:tcPr>
            <w:tcW w:w="1900" w:type="dxa"/>
            <w:vAlign w:val="bottom"/>
            <w:tcBorders>
              <w:bottom w:val="single" w:sz="8" w:color="DC202E"/>
            </w:tcBorders>
          </w:tcPr>
          <w:p>
            <w:pPr>
              <w:jc w:val="center"/>
              <w:spacing w:after="0"/>
              <w:rPr>
                <w:sz w:val="20"/>
                <w:szCs w:val="20"/>
                <w:color w:val="auto"/>
              </w:rPr>
            </w:pPr>
            <w:r>
              <w:rPr>
                <w:rFonts w:ascii="Arial" w:cs="Arial" w:eastAsia="Arial" w:hAnsi="Arial"/>
                <w:sz w:val="14"/>
                <w:szCs w:val="14"/>
                <w:b w:val="1"/>
                <w:bCs w:val="1"/>
                <w:color w:val="auto"/>
              </w:rPr>
              <w:t>Purchased</w:t>
            </w:r>
          </w:p>
        </w:tc>
        <w:tc>
          <w:tcPr>
            <w:tcW w:w="120" w:type="dxa"/>
            <w:vAlign w:val="bottom"/>
            <w:tcBorders>
              <w:bottom w:val="single" w:sz="8" w:color="D0D0CE"/>
            </w:tcBorders>
          </w:tcPr>
          <w:p>
            <w:pPr>
              <w:spacing w:after="0"/>
              <w:rPr>
                <w:sz w:val="15"/>
                <w:szCs w:val="15"/>
                <w:color w:val="auto"/>
              </w:rPr>
            </w:pPr>
          </w:p>
        </w:tc>
        <w:tc>
          <w:tcPr>
            <w:tcW w:w="360" w:type="dxa"/>
            <w:vAlign w:val="bottom"/>
            <w:tcBorders>
              <w:bottom w:val="single" w:sz="8" w:color="DC202E"/>
            </w:tcBorders>
          </w:tcPr>
          <w:p>
            <w:pPr>
              <w:spacing w:after="0"/>
              <w:rPr>
                <w:sz w:val="15"/>
                <w:szCs w:val="15"/>
                <w:color w:val="auto"/>
              </w:rPr>
            </w:pPr>
          </w:p>
        </w:tc>
        <w:tc>
          <w:tcPr>
            <w:tcW w:w="1540" w:type="dxa"/>
            <w:vAlign w:val="bottom"/>
            <w:tcBorders>
              <w:bottom w:val="single" w:sz="8" w:color="DC202E"/>
            </w:tcBorders>
          </w:tcPr>
          <w:p>
            <w:pPr>
              <w:jc w:val="center"/>
              <w:ind w:right="279"/>
              <w:spacing w:after="0"/>
              <w:rPr>
                <w:sz w:val="20"/>
                <w:szCs w:val="20"/>
                <w:color w:val="auto"/>
              </w:rPr>
            </w:pPr>
            <w:r>
              <w:rPr>
                <w:rFonts w:ascii="Arial" w:cs="Arial" w:eastAsia="Arial" w:hAnsi="Arial"/>
                <w:sz w:val="14"/>
                <w:szCs w:val="14"/>
                <w:b w:val="1"/>
                <w:bCs w:val="1"/>
                <w:color w:val="auto"/>
              </w:rPr>
              <w:t>per Share</w:t>
            </w:r>
          </w:p>
        </w:tc>
        <w:tc>
          <w:tcPr>
            <w:tcW w:w="120" w:type="dxa"/>
            <w:vAlign w:val="bottom"/>
            <w:tcBorders>
              <w:bottom w:val="single" w:sz="8" w:color="D0D0CE"/>
            </w:tcBorders>
          </w:tcPr>
          <w:p>
            <w:pPr>
              <w:spacing w:after="0"/>
              <w:rPr>
                <w:sz w:val="15"/>
                <w:szCs w:val="15"/>
                <w:color w:val="auto"/>
              </w:rPr>
            </w:pPr>
          </w:p>
        </w:tc>
        <w:tc>
          <w:tcPr>
            <w:tcW w:w="1900" w:type="dxa"/>
            <w:vAlign w:val="bottom"/>
            <w:tcBorders>
              <w:bottom w:val="single" w:sz="8" w:color="DC202E"/>
            </w:tcBorders>
          </w:tcPr>
          <w:p>
            <w:pPr>
              <w:jc w:val="center"/>
              <w:spacing w:after="0"/>
              <w:rPr>
                <w:sz w:val="20"/>
                <w:szCs w:val="20"/>
                <w:color w:val="auto"/>
              </w:rPr>
            </w:pPr>
            <w:r>
              <w:rPr>
                <w:rFonts w:ascii="Arial" w:cs="Arial" w:eastAsia="Arial" w:hAnsi="Arial"/>
                <w:sz w:val="14"/>
                <w:szCs w:val="14"/>
                <w:b w:val="1"/>
                <w:bCs w:val="1"/>
                <w:color w:val="auto"/>
              </w:rPr>
              <w:t>or Programs</w:t>
            </w:r>
          </w:p>
        </w:tc>
        <w:tc>
          <w:tcPr>
            <w:tcW w:w="100" w:type="dxa"/>
            <w:vAlign w:val="bottom"/>
            <w:tcBorders>
              <w:bottom w:val="single" w:sz="8" w:color="D0D0CE"/>
            </w:tcBorders>
          </w:tcPr>
          <w:p>
            <w:pPr>
              <w:spacing w:after="0"/>
              <w:rPr>
                <w:sz w:val="15"/>
                <w:szCs w:val="15"/>
                <w:color w:val="auto"/>
              </w:rPr>
            </w:pPr>
          </w:p>
        </w:tc>
        <w:tc>
          <w:tcPr>
            <w:tcW w:w="180" w:type="dxa"/>
            <w:vAlign w:val="bottom"/>
            <w:tcBorders>
              <w:bottom w:val="single" w:sz="8" w:color="DC202E"/>
            </w:tcBorders>
          </w:tcPr>
          <w:p>
            <w:pPr>
              <w:spacing w:after="0"/>
              <w:rPr>
                <w:sz w:val="15"/>
                <w:szCs w:val="15"/>
                <w:color w:val="auto"/>
              </w:rPr>
            </w:pPr>
          </w:p>
        </w:tc>
        <w:tc>
          <w:tcPr>
            <w:tcW w:w="1780" w:type="dxa"/>
            <w:vAlign w:val="bottom"/>
            <w:tcBorders>
              <w:bottom w:val="single" w:sz="8" w:color="DC202E"/>
            </w:tcBorders>
          </w:tcPr>
          <w:p>
            <w:pPr>
              <w:jc w:val="center"/>
              <w:ind w:right="82"/>
              <w:spacing w:after="0"/>
              <w:rPr>
                <w:sz w:val="20"/>
                <w:szCs w:val="20"/>
                <w:color w:val="auto"/>
              </w:rPr>
            </w:pPr>
            <w:r>
              <w:rPr>
                <w:rFonts w:ascii="Arial" w:cs="Arial" w:eastAsia="Arial" w:hAnsi="Arial"/>
                <w:sz w:val="14"/>
                <w:szCs w:val="14"/>
                <w:b w:val="1"/>
                <w:bCs w:val="1"/>
                <w:color w:val="auto"/>
              </w:rPr>
              <w:t>(Dollars in millions)</w:t>
            </w:r>
          </w:p>
        </w:tc>
        <w:tc>
          <w:tcPr>
            <w:tcW w:w="0" w:type="dxa"/>
            <w:vAlign w:val="bottom"/>
          </w:tcPr>
          <w:p>
            <w:pPr>
              <w:spacing w:after="0"/>
              <w:rPr>
                <w:sz w:val="1"/>
                <w:szCs w:val="1"/>
                <w:color w:val="auto"/>
              </w:rPr>
            </w:pPr>
          </w:p>
        </w:tc>
      </w:tr>
      <w:tr>
        <w:trPr>
          <w:trHeight w:val="230"/>
        </w:trPr>
        <w:tc>
          <w:tcPr>
            <w:tcW w:w="3180" w:type="dxa"/>
            <w:vAlign w:val="bottom"/>
            <w:gridSpan w:val="2"/>
            <w:shd w:val="clear" w:color="auto" w:fill="D0D0CE"/>
          </w:tcPr>
          <w:p>
            <w:pPr>
              <w:jc w:val="center"/>
              <w:ind w:right="100"/>
              <w:spacing w:after="0"/>
              <w:rPr>
                <w:sz w:val="20"/>
                <w:szCs w:val="20"/>
                <w:color w:val="auto"/>
              </w:rPr>
            </w:pPr>
            <w:r>
              <w:rPr>
                <w:rFonts w:ascii="Arial" w:cs="Arial" w:eastAsia="Arial" w:hAnsi="Arial"/>
                <w:sz w:val="18"/>
                <w:szCs w:val="18"/>
                <w:color w:val="auto"/>
                <w:w w:val="99"/>
              </w:rPr>
              <w:t>October 1 - 31, 2020</w:t>
            </w:r>
          </w:p>
        </w:tc>
        <w:tc>
          <w:tcPr>
            <w:tcW w:w="2020" w:type="dxa"/>
            <w:vAlign w:val="bottom"/>
            <w:gridSpan w:val="2"/>
            <w:shd w:val="clear" w:color="auto" w:fill="D0D0CE"/>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D0D0CE"/>
          </w:tcPr>
          <w:p>
            <w:pPr>
              <w:jc w:val="right"/>
              <w:ind w:right="150"/>
              <w:spacing w:after="0"/>
              <w:rPr>
                <w:sz w:val="20"/>
                <w:szCs w:val="20"/>
                <w:color w:val="auto"/>
              </w:rPr>
            </w:pPr>
            <w:r>
              <w:rPr>
                <w:rFonts w:ascii="Arial" w:cs="Arial" w:eastAsia="Arial" w:hAnsi="Arial"/>
                <w:sz w:val="18"/>
                <w:szCs w:val="18"/>
                <w:color w:val="auto"/>
                <w:w w:val="99"/>
              </w:rPr>
              <w:t>$</w:t>
            </w:r>
          </w:p>
        </w:tc>
        <w:tc>
          <w:tcPr>
            <w:tcW w:w="1660" w:type="dxa"/>
            <w:vAlign w:val="bottom"/>
            <w:gridSpan w:val="2"/>
            <w:shd w:val="clear" w:color="auto" w:fill="D0D0CE"/>
          </w:tcPr>
          <w:p>
            <w:pPr>
              <w:jc w:val="right"/>
              <w:ind w:right="180"/>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D0D0CE"/>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0D0CE"/>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D0D0CE"/>
          </w:tcPr>
          <w:p>
            <w:pPr>
              <w:jc w:val="right"/>
              <w:ind w:right="2"/>
              <w:spacing w:after="0"/>
              <w:rPr>
                <w:sz w:val="20"/>
                <w:szCs w:val="20"/>
                <w:color w:val="auto"/>
              </w:rPr>
            </w:pPr>
            <w:r>
              <w:rPr>
                <w:rFonts w:ascii="Arial" w:cs="Arial" w:eastAsia="Arial" w:hAnsi="Arial"/>
                <w:sz w:val="18"/>
                <w:szCs w:val="18"/>
                <w:color w:val="auto"/>
              </w:rPr>
              <w:t>4,841</w:t>
            </w:r>
          </w:p>
        </w:tc>
        <w:tc>
          <w:tcPr>
            <w:tcW w:w="0" w:type="dxa"/>
            <w:vAlign w:val="bottom"/>
          </w:tcPr>
          <w:p>
            <w:pPr>
              <w:spacing w:after="0"/>
              <w:rPr>
                <w:sz w:val="1"/>
                <w:szCs w:val="1"/>
                <w:color w:val="auto"/>
              </w:rPr>
            </w:pPr>
          </w:p>
        </w:tc>
      </w:tr>
      <w:tr>
        <w:trPr>
          <w:trHeight w:val="229"/>
        </w:trPr>
        <w:tc>
          <w:tcPr>
            <w:tcW w:w="31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November 1 - 30, 2020</w:t>
            </w:r>
          </w:p>
        </w:tc>
        <w:tc>
          <w:tcPr>
            <w:tcW w:w="1900" w:type="dxa"/>
            <w:vAlign w:val="bottom"/>
          </w:tcPr>
          <w:p>
            <w:pPr>
              <w:jc w:val="right"/>
              <w:spacing w:after="0"/>
              <w:rPr>
                <w:sz w:val="20"/>
                <w:szCs w:val="20"/>
                <w:color w:val="auto"/>
              </w:rPr>
            </w:pPr>
            <w:r>
              <w:rPr>
                <w:rFonts w:ascii="Arial" w:cs="Arial" w:eastAsia="Arial" w:hAnsi="Arial"/>
                <w:sz w:val="18"/>
                <w:szCs w:val="18"/>
                <w:color w:val="auto"/>
              </w:rPr>
              <w:t>2,430,000</w:t>
            </w:r>
          </w:p>
        </w:tc>
        <w:tc>
          <w:tcPr>
            <w:tcW w:w="1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198.09</w:t>
            </w:r>
          </w:p>
        </w:tc>
        <w:tc>
          <w:tcPr>
            <w:tcW w:w="120" w:type="dxa"/>
            <w:vAlign w:val="bottom"/>
          </w:tcPr>
          <w:p>
            <w:pPr>
              <w:spacing w:after="0"/>
              <w:rPr>
                <w:sz w:val="19"/>
                <w:szCs w:val="19"/>
                <w:color w:val="auto"/>
              </w:rPr>
            </w:pPr>
          </w:p>
        </w:tc>
        <w:tc>
          <w:tcPr>
            <w:tcW w:w="1900" w:type="dxa"/>
            <w:vAlign w:val="bottom"/>
          </w:tcPr>
          <w:p>
            <w:pPr>
              <w:jc w:val="right"/>
              <w:ind w:right="3"/>
              <w:spacing w:after="0"/>
              <w:rPr>
                <w:sz w:val="20"/>
                <w:szCs w:val="20"/>
                <w:color w:val="auto"/>
              </w:rPr>
            </w:pPr>
            <w:r>
              <w:rPr>
                <w:rFonts w:ascii="Arial" w:cs="Arial" w:eastAsia="Arial" w:hAnsi="Arial"/>
                <w:sz w:val="18"/>
                <w:szCs w:val="18"/>
                <w:color w:val="auto"/>
              </w:rPr>
              <w:t>2,430,000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2"/>
              <w:spacing w:after="0"/>
              <w:rPr>
                <w:sz w:val="20"/>
                <w:szCs w:val="20"/>
                <w:color w:val="auto"/>
              </w:rPr>
            </w:pPr>
            <w:r>
              <w:rPr>
                <w:rFonts w:ascii="Arial" w:cs="Arial" w:eastAsia="Arial" w:hAnsi="Arial"/>
                <w:sz w:val="18"/>
                <w:szCs w:val="18"/>
                <w:color w:val="auto"/>
              </w:rPr>
              <w:t>4,360</w:t>
            </w:r>
          </w:p>
        </w:tc>
        <w:tc>
          <w:tcPr>
            <w:tcW w:w="0" w:type="dxa"/>
            <w:vAlign w:val="bottom"/>
          </w:tcPr>
          <w:p>
            <w:pPr>
              <w:spacing w:after="0"/>
              <w:rPr>
                <w:sz w:val="1"/>
                <w:szCs w:val="1"/>
                <w:color w:val="auto"/>
              </w:rPr>
            </w:pPr>
          </w:p>
        </w:tc>
      </w:tr>
      <w:tr>
        <w:trPr>
          <w:trHeight w:val="230"/>
        </w:trPr>
        <w:tc>
          <w:tcPr>
            <w:tcW w:w="3180" w:type="dxa"/>
            <w:vAlign w:val="bottom"/>
            <w:gridSpan w:val="2"/>
            <w:shd w:val="clear" w:color="auto" w:fill="D0D0CE"/>
          </w:tcPr>
          <w:p>
            <w:pPr>
              <w:jc w:val="center"/>
              <w:ind w:right="100"/>
              <w:spacing w:after="0"/>
              <w:rPr>
                <w:sz w:val="20"/>
                <w:szCs w:val="20"/>
                <w:color w:val="auto"/>
              </w:rPr>
            </w:pPr>
            <w:r>
              <w:rPr>
                <w:rFonts w:ascii="Arial" w:cs="Arial" w:eastAsia="Arial" w:hAnsi="Arial"/>
                <w:sz w:val="18"/>
                <w:szCs w:val="18"/>
                <w:color w:val="auto"/>
                <w:w w:val="99"/>
              </w:rPr>
              <w:t>December 1 - 31, 2020</w:t>
            </w:r>
          </w:p>
        </w:tc>
        <w:tc>
          <w:tcPr>
            <w:tcW w:w="1900" w:type="dxa"/>
            <w:vAlign w:val="bottom"/>
            <w:shd w:val="clear" w:color="auto" w:fill="D0D0CE"/>
          </w:tcPr>
          <w:p>
            <w:pPr>
              <w:jc w:val="right"/>
              <w:spacing w:after="0"/>
              <w:rPr>
                <w:sz w:val="20"/>
                <w:szCs w:val="20"/>
                <w:color w:val="auto"/>
              </w:rPr>
            </w:pPr>
            <w:r>
              <w:rPr>
                <w:rFonts w:ascii="Arial" w:cs="Arial" w:eastAsia="Arial" w:hAnsi="Arial"/>
                <w:sz w:val="18"/>
                <w:szCs w:val="18"/>
                <w:color w:val="auto"/>
              </w:rPr>
              <w:t>5,189,919</w:t>
            </w:r>
          </w:p>
        </w:tc>
        <w:tc>
          <w:tcPr>
            <w:tcW w:w="120" w:type="dxa"/>
            <w:vAlign w:val="bottom"/>
            <w:shd w:val="clear" w:color="auto" w:fill="D0D0CE"/>
          </w:tcPr>
          <w:p>
            <w:pPr>
              <w:spacing w:after="0"/>
              <w:rPr>
                <w:sz w:val="19"/>
                <w:szCs w:val="19"/>
                <w:color w:val="auto"/>
              </w:rPr>
            </w:pPr>
          </w:p>
        </w:tc>
        <w:tc>
          <w:tcPr>
            <w:tcW w:w="360" w:type="dxa"/>
            <w:vAlign w:val="bottom"/>
            <w:shd w:val="clear" w:color="auto" w:fill="D0D0CE"/>
          </w:tcPr>
          <w:p>
            <w:pPr>
              <w:jc w:val="right"/>
              <w:ind w:right="15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D0D0CE"/>
          </w:tcPr>
          <w:p>
            <w:pPr>
              <w:jc w:val="right"/>
              <w:spacing w:after="0"/>
              <w:rPr>
                <w:sz w:val="20"/>
                <w:szCs w:val="20"/>
                <w:color w:val="auto"/>
              </w:rPr>
            </w:pPr>
            <w:r>
              <w:rPr>
                <w:rFonts w:ascii="Arial" w:cs="Arial" w:eastAsia="Arial" w:hAnsi="Arial"/>
                <w:sz w:val="18"/>
                <w:szCs w:val="18"/>
                <w:color w:val="auto"/>
              </w:rPr>
              <w:t>208.96</w:t>
            </w:r>
          </w:p>
        </w:tc>
        <w:tc>
          <w:tcPr>
            <w:tcW w:w="120" w:type="dxa"/>
            <w:vAlign w:val="bottom"/>
            <w:shd w:val="clear" w:color="auto" w:fill="D0D0CE"/>
          </w:tcPr>
          <w:p>
            <w:pPr>
              <w:spacing w:after="0"/>
              <w:rPr>
                <w:sz w:val="19"/>
                <w:szCs w:val="19"/>
                <w:color w:val="auto"/>
              </w:rPr>
            </w:pPr>
          </w:p>
        </w:tc>
        <w:tc>
          <w:tcPr>
            <w:tcW w:w="1900" w:type="dxa"/>
            <w:vAlign w:val="bottom"/>
            <w:shd w:val="clear" w:color="auto" w:fill="D0D0CE"/>
          </w:tcPr>
          <w:p>
            <w:pPr>
              <w:jc w:val="right"/>
              <w:ind w:right="3"/>
              <w:spacing w:after="0"/>
              <w:rPr>
                <w:sz w:val="20"/>
                <w:szCs w:val="20"/>
                <w:color w:val="auto"/>
              </w:rPr>
            </w:pPr>
            <w:r>
              <w:rPr>
                <w:rFonts w:ascii="Arial" w:cs="Arial" w:eastAsia="Arial" w:hAnsi="Arial"/>
                <w:sz w:val="18"/>
                <w:szCs w:val="18"/>
                <w:color w:val="auto"/>
              </w:rPr>
              <w:t>5,189,919</w:t>
            </w:r>
          </w:p>
        </w:tc>
        <w:tc>
          <w:tcPr>
            <w:tcW w:w="100" w:type="dxa"/>
            <w:vAlign w:val="bottom"/>
            <w:shd w:val="clear" w:color="auto" w:fill="D0D0CE"/>
          </w:tcPr>
          <w:p>
            <w:pPr>
              <w:spacing w:after="0"/>
              <w:rPr>
                <w:sz w:val="19"/>
                <w:szCs w:val="19"/>
                <w:color w:val="auto"/>
              </w:rPr>
            </w:pPr>
          </w:p>
        </w:tc>
        <w:tc>
          <w:tcPr>
            <w:tcW w:w="180" w:type="dxa"/>
            <w:vAlign w:val="bottom"/>
            <w:shd w:val="clear" w:color="auto" w:fill="D0D0CE"/>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D0D0CE"/>
          </w:tcPr>
          <w:p>
            <w:pPr>
              <w:jc w:val="right"/>
              <w:ind w:right="2"/>
              <w:spacing w:after="0"/>
              <w:rPr>
                <w:sz w:val="20"/>
                <w:szCs w:val="20"/>
                <w:color w:val="auto"/>
              </w:rPr>
            </w:pPr>
            <w:r>
              <w:rPr>
                <w:rFonts w:ascii="Arial" w:cs="Arial" w:eastAsia="Arial" w:hAnsi="Arial"/>
                <w:sz w:val="18"/>
                <w:szCs w:val="18"/>
                <w:color w:val="auto"/>
              </w:rPr>
              <w:t>3,275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44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rPr>
          <w:sz w:val="20"/>
          <w:szCs w:val="20"/>
          <w:color w:val="auto"/>
        </w:rPr>
      </w:pPr>
      <w:r>
        <w:rPr>
          <w:rFonts w:ascii="Arial" w:cs="Arial" w:eastAsia="Arial" w:hAnsi="Arial"/>
          <w:sz w:val="25"/>
          <w:szCs w:val="25"/>
          <w:b w:val="1"/>
          <w:bCs w:val="1"/>
          <w:color w:val="auto"/>
        </w:rPr>
        <w:t>PERFORMANCE GRAPH</w:t>
      </w:r>
    </w:p>
    <w:p>
      <w:pPr>
        <w:spacing w:after="0" w:line="1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following graph compares the five-year cumulative total return on our common stock to the total returns on the Standard &amp; Poor’s (S&amp;P) 500 Stock Index and a composite of S&amp;P’s Industrial Conglomerates and Aerospace and Defense indices, on a 55%/45% weighted basis (the Composite Index). The weighting of the components of the Composite Index are based on our segments’ relative contribution to total segment profit. The selection of the Industrial Conglomerates component of the Composite Index reflects the diverse and distinct range of non-aerospace businesses conducted by Honeywell. The annual changes for the five-year period shown in the graph are based on the assumption that $100 was invested in Honeywell stock and each index on December 31, 2015 and that all dividends were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201295</wp:posOffset>
            </wp:positionV>
            <wp:extent cx="5709285" cy="31375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5709285" cy="3137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4380" w:type="dxa"/>
            <w:vAlign w:val="bottom"/>
          </w:tcPr>
          <w:p>
            <w:pPr>
              <w:spacing w:after="0"/>
              <w:rPr>
                <w:sz w:val="17"/>
                <w:szCs w:val="17"/>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Dec. 2015</w:t>
            </w: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Dec. 2016</w:t>
            </w: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Dec. 2017</w:t>
            </w: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Dec. 2018</w:t>
            </w: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Dec. 2019</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Dec. 2020</w:t>
            </w: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Honeywell</w:t>
            </w:r>
          </w:p>
        </w:tc>
        <w:tc>
          <w:tcPr>
            <w:tcW w:w="1040" w:type="dxa"/>
            <w:vAlign w:val="bottom"/>
            <w:tcBorders>
              <w:top w:val="single" w:sz="8" w:color="DC202E"/>
            </w:tcBorders>
          </w:tcPr>
          <w:p>
            <w:pPr>
              <w:jc w:val="center"/>
              <w:spacing w:after="0"/>
              <w:rPr>
                <w:sz w:val="20"/>
                <w:szCs w:val="20"/>
                <w:color w:val="auto"/>
              </w:rPr>
            </w:pPr>
            <w:r>
              <w:rPr>
                <w:rFonts w:ascii="Arial" w:cs="Arial" w:eastAsia="Arial" w:hAnsi="Arial"/>
                <w:sz w:val="18"/>
                <w:szCs w:val="18"/>
                <w:color w:val="auto"/>
                <w:w w:val="99"/>
              </w:rPr>
              <w:t>100</w:t>
            </w:r>
          </w:p>
        </w:tc>
        <w:tc>
          <w:tcPr>
            <w:tcW w:w="100" w:type="dxa"/>
            <w:vAlign w:val="bottom"/>
          </w:tcPr>
          <w:p>
            <w:pPr>
              <w:spacing w:after="0"/>
              <w:rPr>
                <w:sz w:val="19"/>
                <w:szCs w:val="19"/>
                <w:color w:val="auto"/>
              </w:rPr>
            </w:pPr>
          </w:p>
        </w:tc>
        <w:tc>
          <w:tcPr>
            <w:tcW w:w="1060" w:type="dxa"/>
            <w:vAlign w:val="bottom"/>
            <w:tcBorders>
              <w:top w:val="single" w:sz="8" w:color="DC202E"/>
            </w:tcBorders>
          </w:tcPr>
          <w:p>
            <w:pPr>
              <w:jc w:val="center"/>
              <w:spacing w:after="0"/>
              <w:rPr>
                <w:sz w:val="20"/>
                <w:szCs w:val="20"/>
                <w:color w:val="auto"/>
              </w:rPr>
            </w:pPr>
            <w:r>
              <w:rPr>
                <w:rFonts w:ascii="Arial" w:cs="Arial" w:eastAsia="Arial" w:hAnsi="Arial"/>
                <w:sz w:val="18"/>
                <w:szCs w:val="18"/>
                <w:color w:val="auto"/>
                <w:w w:val="98"/>
              </w:rPr>
              <w:t>114.98</w:t>
            </w:r>
          </w:p>
        </w:tc>
        <w:tc>
          <w:tcPr>
            <w:tcW w:w="100" w:type="dxa"/>
            <w:vAlign w:val="bottom"/>
          </w:tcPr>
          <w:p>
            <w:pPr>
              <w:spacing w:after="0"/>
              <w:rPr>
                <w:sz w:val="19"/>
                <w:szCs w:val="19"/>
                <w:color w:val="auto"/>
              </w:rPr>
            </w:pPr>
          </w:p>
        </w:tc>
        <w:tc>
          <w:tcPr>
            <w:tcW w:w="1060" w:type="dxa"/>
            <w:vAlign w:val="bottom"/>
            <w:tcBorders>
              <w:top w:val="single" w:sz="8" w:color="DC202E"/>
            </w:tcBorders>
          </w:tcPr>
          <w:p>
            <w:pPr>
              <w:jc w:val="center"/>
              <w:spacing w:after="0"/>
              <w:rPr>
                <w:sz w:val="20"/>
                <w:szCs w:val="20"/>
                <w:color w:val="auto"/>
              </w:rPr>
            </w:pPr>
            <w:r>
              <w:rPr>
                <w:rFonts w:ascii="Arial" w:cs="Arial" w:eastAsia="Arial" w:hAnsi="Arial"/>
                <w:sz w:val="18"/>
                <w:szCs w:val="18"/>
                <w:color w:val="auto"/>
                <w:w w:val="98"/>
              </w:rPr>
              <w:t>155.34</w:t>
            </w:r>
          </w:p>
        </w:tc>
        <w:tc>
          <w:tcPr>
            <w:tcW w:w="100" w:type="dxa"/>
            <w:vAlign w:val="bottom"/>
          </w:tcPr>
          <w:p>
            <w:pPr>
              <w:spacing w:after="0"/>
              <w:rPr>
                <w:sz w:val="19"/>
                <w:szCs w:val="19"/>
                <w:color w:val="auto"/>
              </w:rPr>
            </w:pPr>
          </w:p>
        </w:tc>
        <w:tc>
          <w:tcPr>
            <w:tcW w:w="1060" w:type="dxa"/>
            <w:vAlign w:val="bottom"/>
            <w:tcBorders>
              <w:top w:val="single" w:sz="8" w:color="DC202E"/>
            </w:tcBorders>
          </w:tcPr>
          <w:p>
            <w:pPr>
              <w:jc w:val="center"/>
              <w:spacing w:after="0"/>
              <w:rPr>
                <w:sz w:val="20"/>
                <w:szCs w:val="20"/>
                <w:color w:val="auto"/>
              </w:rPr>
            </w:pPr>
            <w:r>
              <w:rPr>
                <w:rFonts w:ascii="Arial" w:cs="Arial" w:eastAsia="Arial" w:hAnsi="Arial"/>
                <w:sz w:val="18"/>
                <w:szCs w:val="18"/>
                <w:color w:val="auto"/>
                <w:w w:val="98"/>
              </w:rPr>
              <w:t>142.57</w:t>
            </w:r>
          </w:p>
        </w:tc>
        <w:tc>
          <w:tcPr>
            <w:tcW w:w="100" w:type="dxa"/>
            <w:vAlign w:val="bottom"/>
          </w:tcPr>
          <w:p>
            <w:pPr>
              <w:spacing w:after="0"/>
              <w:rPr>
                <w:sz w:val="19"/>
                <w:szCs w:val="19"/>
                <w:color w:val="auto"/>
              </w:rPr>
            </w:pPr>
          </w:p>
        </w:tc>
        <w:tc>
          <w:tcPr>
            <w:tcW w:w="1060" w:type="dxa"/>
            <w:vAlign w:val="bottom"/>
            <w:tcBorders>
              <w:top w:val="single" w:sz="8" w:color="DC202E"/>
            </w:tcBorders>
          </w:tcPr>
          <w:p>
            <w:pPr>
              <w:jc w:val="center"/>
              <w:spacing w:after="0"/>
              <w:rPr>
                <w:sz w:val="20"/>
                <w:szCs w:val="20"/>
                <w:color w:val="auto"/>
              </w:rPr>
            </w:pPr>
            <w:r>
              <w:rPr>
                <w:rFonts w:ascii="Arial" w:cs="Arial" w:eastAsia="Arial" w:hAnsi="Arial"/>
                <w:sz w:val="18"/>
                <w:szCs w:val="18"/>
                <w:color w:val="auto"/>
                <w:w w:val="98"/>
              </w:rPr>
              <w:t>194.89</w:t>
            </w:r>
          </w:p>
        </w:tc>
        <w:tc>
          <w:tcPr>
            <w:tcW w:w="100" w:type="dxa"/>
            <w:vAlign w:val="bottom"/>
          </w:tcPr>
          <w:p>
            <w:pPr>
              <w:spacing w:after="0"/>
              <w:rPr>
                <w:sz w:val="19"/>
                <w:szCs w:val="19"/>
                <w:color w:val="auto"/>
              </w:rPr>
            </w:pPr>
          </w:p>
        </w:tc>
        <w:tc>
          <w:tcPr>
            <w:tcW w:w="1060" w:type="dxa"/>
            <w:vAlign w:val="bottom"/>
            <w:tcBorders>
              <w:top w:val="single" w:sz="8" w:color="DC202E"/>
            </w:tcBorders>
          </w:tcPr>
          <w:p>
            <w:pPr>
              <w:jc w:val="center"/>
              <w:spacing w:after="0"/>
              <w:rPr>
                <w:sz w:val="20"/>
                <w:szCs w:val="20"/>
                <w:color w:val="auto"/>
              </w:rPr>
            </w:pPr>
            <w:r>
              <w:rPr>
                <w:rFonts w:ascii="Arial" w:cs="Arial" w:eastAsia="Arial" w:hAnsi="Arial"/>
                <w:sz w:val="18"/>
                <w:szCs w:val="18"/>
                <w:color w:val="auto"/>
                <w:w w:val="98"/>
              </w:rPr>
              <w:t>239.66</w:t>
            </w: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S&amp;P 500 Index</w:t>
            </w: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8"/>
              </w:rPr>
              <w:t>111.96</w:t>
            </w: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8"/>
              </w:rPr>
              <w:t>136.40</w:t>
            </w: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8"/>
              </w:rPr>
              <w:t>130.42</w:t>
            </w: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8"/>
              </w:rPr>
              <w:t>171.49</w:t>
            </w: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8"/>
              </w:rPr>
              <w:t>203.04</w:t>
            </w: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Composite Index</w:t>
            </w: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8"/>
              </w:rPr>
              <w:t>113.33</w:t>
            </w: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8"/>
              </w:rPr>
              <w:t>129.15</w:t>
            </w: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8"/>
              </w:rPr>
              <w:t>105.37</w:t>
            </w: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8"/>
              </w:rPr>
              <w:t>134.31</w:t>
            </w: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8"/>
              </w:rPr>
              <w:t>132.19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45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9" w:right="339" w:bottom="1440" w:gutter="0" w:footer="0" w:header="0"/>
        </w:sectPr>
      </w:pPr>
    </w:p>
    <w:bookmarkStart w:id="48" w:name="page49"/>
    <w:bookmarkEnd w:id="48"/>
    <w:p>
      <w:pPr>
        <w:spacing w:after="0" w:line="185" w:lineRule="exact"/>
        <w:rPr>
          <w:sz w:val="20"/>
          <w:szCs w:val="20"/>
          <w:color w:val="auto"/>
        </w:rPr>
      </w:pPr>
    </w:p>
    <w:p>
      <w:pPr>
        <w:spacing w:after="0"/>
        <w:rPr>
          <w:sz w:val="20"/>
          <w:szCs w:val="20"/>
          <w:color w:val="auto"/>
        </w:rPr>
      </w:pPr>
      <w:r>
        <w:rPr>
          <w:rFonts w:ascii="Arial" w:cs="Arial" w:eastAsia="Arial" w:hAnsi="Arial"/>
          <w:sz w:val="29"/>
          <w:szCs w:val="29"/>
          <w:b w:val="1"/>
          <w:bCs w:val="1"/>
          <w:color w:val="EE2724"/>
        </w:rPr>
        <w:t>FINANCIAL STATEMENTS AND SUPPLEMENTARY DATA</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HONEYWELL INTERNATIONAL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 OF OPERATIONS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660" w:type="dxa"/>
            <w:vAlign w:val="bottom"/>
          </w:tcPr>
          <w:p>
            <w:pPr>
              <w:spacing w:after="0"/>
              <w:rPr>
                <w:sz w:val="17"/>
                <w:szCs w:val="17"/>
                <w:color w:val="auto"/>
              </w:rPr>
            </w:pPr>
          </w:p>
        </w:tc>
        <w:tc>
          <w:tcPr>
            <w:tcW w:w="340" w:type="dxa"/>
            <w:vAlign w:val="bottom"/>
            <w:tcBorders>
              <w:bottom w:val="single" w:sz="8" w:color="DC202E"/>
            </w:tcBorders>
          </w:tcPr>
          <w:p>
            <w:pPr>
              <w:spacing w:after="0"/>
              <w:rPr>
                <w:sz w:val="17"/>
                <w:szCs w:val="17"/>
                <w:color w:val="auto"/>
              </w:rPr>
            </w:pPr>
          </w:p>
        </w:tc>
        <w:tc>
          <w:tcPr>
            <w:tcW w:w="3100" w:type="dxa"/>
            <w:vAlign w:val="bottom"/>
            <w:tcBorders>
              <w:bottom w:val="single" w:sz="8" w:color="DC202E"/>
            </w:tcBorders>
            <w:gridSpan w:val="6"/>
          </w:tcPr>
          <w:p>
            <w:pPr>
              <w:jc w:val="center"/>
              <w:ind w:left="693"/>
              <w:spacing w:after="0"/>
              <w:rPr>
                <w:sz w:val="20"/>
                <w:szCs w:val="20"/>
                <w:color w:val="auto"/>
              </w:rPr>
            </w:pPr>
            <w:r>
              <w:rPr>
                <w:rFonts w:ascii="Arial" w:cs="Arial" w:eastAsia="Arial" w:hAnsi="Arial"/>
                <w:sz w:val="14"/>
                <w:szCs w:val="14"/>
                <w:b w:val="1"/>
                <w:bCs w:val="1"/>
                <w:color w:val="auto"/>
              </w:rPr>
              <w:t>Years Ended December 31,</w:t>
            </w:r>
          </w:p>
        </w:tc>
        <w:tc>
          <w:tcPr>
            <w:tcW w:w="1120" w:type="dxa"/>
            <w:vAlign w:val="bottom"/>
            <w:tcBorders>
              <w:bottom w:val="single" w:sz="8" w:color="DC202E"/>
            </w:tcBorders>
          </w:tcPr>
          <w:p>
            <w:pPr>
              <w:spacing w:after="0"/>
              <w:rPr>
                <w:sz w:val="17"/>
                <w:szCs w:val="17"/>
                <w:color w:val="auto"/>
              </w:rPr>
            </w:pPr>
          </w:p>
        </w:tc>
      </w:tr>
      <w:tr>
        <w:trPr>
          <w:trHeight w:val="237"/>
        </w:trPr>
        <w:tc>
          <w:tcPr>
            <w:tcW w:w="6660" w:type="dxa"/>
            <w:vAlign w:val="bottom"/>
          </w:tcPr>
          <w:p>
            <w:pPr>
              <w:spacing w:after="0"/>
              <w:rPr>
                <w:sz w:val="20"/>
                <w:szCs w:val="20"/>
                <w:color w:val="auto"/>
              </w:rPr>
            </w:pPr>
          </w:p>
        </w:tc>
        <w:tc>
          <w:tcPr>
            <w:tcW w:w="340" w:type="dxa"/>
            <w:vAlign w:val="bottom"/>
            <w:tcBorders>
              <w:bottom w:val="single" w:sz="8" w:color="DC202E"/>
            </w:tcBorders>
          </w:tcPr>
          <w:p>
            <w:pPr>
              <w:spacing w:after="0"/>
              <w:rPr>
                <w:sz w:val="20"/>
                <w:szCs w:val="20"/>
                <w:color w:val="auto"/>
              </w:rPr>
            </w:pPr>
          </w:p>
        </w:tc>
        <w:tc>
          <w:tcPr>
            <w:tcW w:w="1100" w:type="dxa"/>
            <w:vAlign w:val="bottom"/>
            <w:tcBorders>
              <w:bottom w:val="single" w:sz="8" w:color="DC202E"/>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DC202E"/>
            </w:tcBorders>
          </w:tcPr>
          <w:p>
            <w:pPr>
              <w:spacing w:after="0"/>
              <w:rPr>
                <w:sz w:val="20"/>
                <w:szCs w:val="20"/>
                <w:color w:val="auto"/>
              </w:rPr>
            </w:pPr>
          </w:p>
        </w:tc>
        <w:tc>
          <w:tcPr>
            <w:tcW w:w="340" w:type="dxa"/>
            <w:vAlign w:val="bottom"/>
            <w:tcBorders>
              <w:bottom w:val="single" w:sz="8" w:color="DC202E"/>
            </w:tcBorders>
          </w:tcPr>
          <w:p>
            <w:pPr>
              <w:spacing w:after="0"/>
              <w:rPr>
                <w:sz w:val="20"/>
                <w:szCs w:val="20"/>
                <w:color w:val="auto"/>
              </w:rPr>
            </w:pPr>
          </w:p>
        </w:tc>
        <w:tc>
          <w:tcPr>
            <w:tcW w:w="1100" w:type="dxa"/>
            <w:vAlign w:val="bottom"/>
            <w:tcBorders>
              <w:bottom w:val="single" w:sz="8" w:color="DC202E"/>
            </w:tcBorders>
          </w:tcPr>
          <w:p>
            <w:pPr>
              <w:jc w:val="center"/>
              <w:ind w:right="25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DC202E"/>
            </w:tcBorders>
          </w:tcPr>
          <w:p>
            <w:pPr>
              <w:spacing w:after="0"/>
              <w:rPr>
                <w:sz w:val="20"/>
                <w:szCs w:val="20"/>
                <w:color w:val="auto"/>
              </w:rPr>
            </w:pPr>
          </w:p>
        </w:tc>
        <w:tc>
          <w:tcPr>
            <w:tcW w:w="340" w:type="dxa"/>
            <w:vAlign w:val="bottom"/>
            <w:tcBorders>
              <w:bottom w:val="single" w:sz="8" w:color="DC202E"/>
            </w:tcBorders>
          </w:tcPr>
          <w:p>
            <w:pPr>
              <w:spacing w:after="0"/>
              <w:rPr>
                <w:sz w:val="20"/>
                <w:szCs w:val="20"/>
                <w:color w:val="auto"/>
              </w:rPr>
            </w:pPr>
          </w:p>
        </w:tc>
        <w:tc>
          <w:tcPr>
            <w:tcW w:w="1120" w:type="dxa"/>
            <w:vAlign w:val="bottom"/>
            <w:tcBorders>
              <w:bottom w:val="single" w:sz="8" w:color="DC202E"/>
            </w:tcBorders>
          </w:tcPr>
          <w:p>
            <w:pPr>
              <w:jc w:val="right"/>
              <w:ind w:right="471"/>
              <w:spacing w:after="0"/>
              <w:rPr>
                <w:sz w:val="20"/>
                <w:szCs w:val="20"/>
                <w:color w:val="auto"/>
              </w:rPr>
            </w:pPr>
            <w:r>
              <w:rPr>
                <w:rFonts w:ascii="Arial" w:cs="Arial" w:eastAsia="Arial" w:hAnsi="Arial"/>
                <w:sz w:val="14"/>
                <w:szCs w:val="14"/>
                <w:b w:val="1"/>
                <w:bCs w:val="1"/>
                <w:color w:val="auto"/>
              </w:rPr>
              <w:t>2018</w:t>
            </w:r>
          </w:p>
        </w:tc>
      </w:tr>
      <w:tr>
        <w:trPr>
          <w:trHeight w:val="148"/>
        </w:trPr>
        <w:tc>
          <w:tcPr>
            <w:tcW w:w="6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rPr>
              <w:t>(Dollars in millions,</w:t>
            </w: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76"/>
        </w:trPr>
        <w:tc>
          <w:tcPr>
            <w:tcW w:w="6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100" w:type="dxa"/>
            <w:vAlign w:val="bottom"/>
            <w:gridSpan w:val="6"/>
          </w:tcPr>
          <w:p>
            <w:pPr>
              <w:jc w:val="center"/>
              <w:ind w:left="693"/>
              <w:spacing w:after="0"/>
              <w:rPr>
                <w:sz w:val="20"/>
                <w:szCs w:val="20"/>
                <w:color w:val="auto"/>
              </w:rPr>
            </w:pPr>
            <w:r>
              <w:rPr>
                <w:rFonts w:ascii="Arial" w:cs="Arial" w:eastAsia="Arial" w:hAnsi="Arial"/>
                <w:sz w:val="14"/>
                <w:szCs w:val="14"/>
                <w:b w:val="1"/>
                <w:bCs w:val="1"/>
                <w:color w:val="auto"/>
              </w:rPr>
              <w:t>except per share amounts)</w:t>
            </w:r>
          </w:p>
        </w:tc>
        <w:tc>
          <w:tcPr>
            <w:tcW w:w="1120" w:type="dxa"/>
            <w:vAlign w:val="bottom"/>
          </w:tcPr>
          <w:p>
            <w:pPr>
              <w:spacing w:after="0"/>
              <w:rPr>
                <w:sz w:val="15"/>
                <w:szCs w:val="15"/>
                <w:color w:val="auto"/>
              </w:rPr>
            </w:pPr>
          </w:p>
        </w:tc>
      </w:tr>
      <w:tr>
        <w:trPr>
          <w:trHeight w:val="229"/>
        </w:trPr>
        <w:tc>
          <w:tcPr>
            <w:tcW w:w="6660" w:type="dxa"/>
            <w:vAlign w:val="bottom"/>
            <w:shd w:val="clear" w:color="auto" w:fill="DDDDDD"/>
          </w:tcPr>
          <w:p>
            <w:pPr>
              <w:ind w:left="20"/>
              <w:spacing w:after="0"/>
              <w:rPr>
                <w:sz w:val="20"/>
                <w:szCs w:val="20"/>
                <w:color w:val="auto"/>
              </w:rPr>
            </w:pPr>
            <w:r>
              <w:rPr>
                <w:rFonts w:ascii="Arial" w:cs="Arial" w:eastAsia="Arial" w:hAnsi="Arial"/>
                <w:sz w:val="18"/>
                <w:szCs w:val="18"/>
                <w:color w:val="auto"/>
              </w:rPr>
              <w:t>Product sales</w:t>
            </w:r>
          </w:p>
        </w:tc>
        <w:tc>
          <w:tcPr>
            <w:tcW w:w="3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24,737</w:t>
            </w:r>
          </w:p>
        </w:tc>
        <w:tc>
          <w:tcPr>
            <w:tcW w:w="120" w:type="dxa"/>
            <w:vAlign w:val="bottom"/>
            <w:shd w:val="clear" w:color="auto" w:fill="DDDDDD"/>
          </w:tcPr>
          <w:p>
            <w:pPr>
              <w:spacing w:after="0"/>
              <w:rPr>
                <w:sz w:val="19"/>
                <w:szCs w:val="19"/>
                <w:color w:val="auto"/>
              </w:rPr>
            </w:pPr>
          </w:p>
        </w:tc>
        <w:tc>
          <w:tcPr>
            <w:tcW w:w="340" w:type="dxa"/>
            <w:vAlign w:val="bottom"/>
            <w:shd w:val="clear" w:color="auto" w:fill="DDDDDD"/>
          </w:tcPr>
          <w:p>
            <w:pPr>
              <w:jc w:val="right"/>
              <w:ind w:right="134"/>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27,629</w:t>
            </w:r>
          </w:p>
        </w:tc>
        <w:tc>
          <w:tcPr>
            <w:tcW w:w="100" w:type="dxa"/>
            <w:vAlign w:val="bottom"/>
            <w:shd w:val="clear" w:color="auto" w:fill="DDDDDD"/>
          </w:tcPr>
          <w:p>
            <w:pPr>
              <w:spacing w:after="0"/>
              <w:rPr>
                <w:sz w:val="19"/>
                <w:szCs w:val="19"/>
                <w:color w:val="auto"/>
              </w:rPr>
            </w:pPr>
          </w:p>
        </w:tc>
        <w:tc>
          <w:tcPr>
            <w:tcW w:w="3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32,848</w:t>
            </w:r>
          </w:p>
        </w:tc>
      </w:tr>
      <w:tr>
        <w:trPr>
          <w:trHeight w:val="229"/>
        </w:trPr>
        <w:tc>
          <w:tcPr>
            <w:tcW w:w="6660" w:type="dxa"/>
            <w:vAlign w:val="bottom"/>
            <w:tcBorders>
              <w:bottom w:val="single" w:sz="8" w:color="DDDDDD"/>
            </w:tcBorders>
          </w:tcPr>
          <w:p>
            <w:pPr>
              <w:ind w:left="20"/>
              <w:spacing w:after="0"/>
              <w:rPr>
                <w:sz w:val="20"/>
                <w:szCs w:val="20"/>
                <w:color w:val="auto"/>
              </w:rPr>
            </w:pPr>
            <w:r>
              <w:rPr>
                <w:rFonts w:ascii="Arial" w:cs="Arial" w:eastAsia="Arial" w:hAnsi="Arial"/>
                <w:sz w:val="18"/>
                <w:szCs w:val="18"/>
                <w:color w:val="auto"/>
              </w:rPr>
              <w:t>Service sales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7,900</w:t>
            </w:r>
          </w:p>
        </w:tc>
        <w:tc>
          <w:tcPr>
            <w:tcW w:w="120" w:type="dxa"/>
            <w:vAlign w:val="bottom"/>
            <w:tcBorders>
              <w:bottom w:val="single" w:sz="8" w:color="DDDDDD"/>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9,080</w:t>
            </w:r>
          </w:p>
        </w:tc>
        <w:tc>
          <w:tcPr>
            <w:tcW w:w="100" w:type="dxa"/>
            <w:vAlign w:val="bottom"/>
            <w:tcBorders>
              <w:bottom w:val="single" w:sz="8" w:color="DDDDDD"/>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8,954</w:t>
            </w:r>
          </w:p>
        </w:tc>
      </w:tr>
      <w:tr>
        <w:trPr>
          <w:trHeight w:val="223"/>
        </w:trPr>
        <w:tc>
          <w:tcPr>
            <w:tcW w:w="6660" w:type="dxa"/>
            <w:vAlign w:val="bottom"/>
            <w:shd w:val="clear" w:color="auto" w:fill="DDDDDD"/>
          </w:tcPr>
          <w:p>
            <w:pPr>
              <w:ind w:left="20"/>
              <w:spacing w:after="0"/>
              <w:rPr>
                <w:sz w:val="20"/>
                <w:szCs w:val="20"/>
                <w:color w:val="auto"/>
              </w:rPr>
            </w:pPr>
            <w:r>
              <w:rPr>
                <w:rFonts w:ascii="Arial" w:cs="Arial" w:eastAsia="Arial" w:hAnsi="Arial"/>
                <w:sz w:val="18"/>
                <w:szCs w:val="18"/>
                <w:color w:val="auto"/>
              </w:rPr>
              <w:t>Net sales</w:t>
            </w:r>
          </w:p>
        </w:tc>
        <w:tc>
          <w:tcPr>
            <w:tcW w:w="340" w:type="dxa"/>
            <w:vAlign w:val="bottom"/>
            <w:tcBorders>
              <w:bottom w:val="single" w:sz="8" w:color="auto"/>
            </w:tcBorders>
            <w:shd w:val="clear" w:color="auto" w:fill="DDDDDD"/>
          </w:tcPr>
          <w:p>
            <w:pPr>
              <w:spacing w:after="0"/>
              <w:rPr>
                <w:sz w:val="19"/>
                <w:szCs w:val="19"/>
                <w:color w:val="auto"/>
              </w:rPr>
            </w:pPr>
          </w:p>
        </w:tc>
        <w:tc>
          <w:tcPr>
            <w:tcW w:w="11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32,637</w:t>
            </w:r>
          </w:p>
        </w:tc>
        <w:tc>
          <w:tcPr>
            <w:tcW w:w="120" w:type="dxa"/>
            <w:vAlign w:val="bottom"/>
            <w:shd w:val="clear" w:color="auto" w:fill="DDDDDD"/>
          </w:tcPr>
          <w:p>
            <w:pPr>
              <w:spacing w:after="0"/>
              <w:rPr>
                <w:sz w:val="19"/>
                <w:szCs w:val="19"/>
                <w:color w:val="auto"/>
              </w:rPr>
            </w:pPr>
          </w:p>
        </w:tc>
        <w:tc>
          <w:tcPr>
            <w:tcW w:w="340" w:type="dxa"/>
            <w:vAlign w:val="bottom"/>
            <w:tcBorders>
              <w:bottom w:val="single" w:sz="8" w:color="auto"/>
            </w:tcBorders>
            <w:shd w:val="clear" w:color="auto" w:fill="DDDDDD"/>
          </w:tcPr>
          <w:p>
            <w:pPr>
              <w:spacing w:after="0"/>
              <w:rPr>
                <w:sz w:val="19"/>
                <w:szCs w:val="19"/>
                <w:color w:val="auto"/>
              </w:rPr>
            </w:pPr>
          </w:p>
        </w:tc>
        <w:tc>
          <w:tcPr>
            <w:tcW w:w="11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36,709</w:t>
            </w:r>
          </w:p>
        </w:tc>
        <w:tc>
          <w:tcPr>
            <w:tcW w:w="100" w:type="dxa"/>
            <w:vAlign w:val="bottom"/>
            <w:shd w:val="clear" w:color="auto" w:fill="DDDDDD"/>
          </w:tcPr>
          <w:p>
            <w:pPr>
              <w:spacing w:after="0"/>
              <w:rPr>
                <w:sz w:val="19"/>
                <w:szCs w:val="19"/>
                <w:color w:val="auto"/>
              </w:rPr>
            </w:pPr>
          </w:p>
        </w:tc>
        <w:tc>
          <w:tcPr>
            <w:tcW w:w="340" w:type="dxa"/>
            <w:vAlign w:val="bottom"/>
            <w:tcBorders>
              <w:bottom w:val="single" w:sz="8" w:color="auto"/>
            </w:tcBorders>
            <w:shd w:val="clear" w:color="auto" w:fill="DDDDDD"/>
          </w:tcPr>
          <w:p>
            <w:pPr>
              <w:spacing w:after="0"/>
              <w:rPr>
                <w:sz w:val="19"/>
                <w:szCs w:val="19"/>
                <w:color w:val="auto"/>
              </w:rPr>
            </w:pPr>
          </w:p>
        </w:tc>
        <w:tc>
          <w:tcPr>
            <w:tcW w:w="11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41,802</w:t>
            </w:r>
          </w:p>
        </w:tc>
      </w:tr>
      <w:tr>
        <w:trPr>
          <w:trHeight w:val="209"/>
        </w:trPr>
        <w:tc>
          <w:tcPr>
            <w:tcW w:w="6660" w:type="dxa"/>
            <w:vAlign w:val="bottom"/>
          </w:tcPr>
          <w:p>
            <w:pPr>
              <w:ind w:left="20"/>
              <w:spacing w:after="0"/>
              <w:rPr>
                <w:sz w:val="20"/>
                <w:szCs w:val="20"/>
                <w:color w:val="auto"/>
              </w:rPr>
            </w:pPr>
            <w:r>
              <w:rPr>
                <w:rFonts w:ascii="Arial" w:cs="Arial" w:eastAsia="Arial" w:hAnsi="Arial"/>
                <w:sz w:val="18"/>
                <w:szCs w:val="18"/>
                <w:color w:val="auto"/>
              </w:rPr>
              <w:t>Costs, expenses and other</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6660" w:type="dxa"/>
            <w:vAlign w:val="bottom"/>
            <w:shd w:val="clear" w:color="auto" w:fill="DDDDDD"/>
          </w:tcPr>
          <w:p>
            <w:pPr>
              <w:ind w:left="360"/>
              <w:spacing w:after="0"/>
              <w:rPr>
                <w:sz w:val="20"/>
                <w:szCs w:val="20"/>
                <w:color w:val="auto"/>
              </w:rPr>
            </w:pPr>
            <w:r>
              <w:rPr>
                <w:rFonts w:ascii="Arial" w:cs="Arial" w:eastAsia="Arial" w:hAnsi="Arial"/>
                <w:sz w:val="18"/>
                <w:szCs w:val="18"/>
                <w:color w:val="auto"/>
              </w:rPr>
              <w:t>Cost of products sold</w:t>
            </w: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17,638</w:t>
            </w:r>
          </w:p>
        </w:tc>
        <w:tc>
          <w:tcPr>
            <w:tcW w:w="12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19,269</w:t>
            </w:r>
          </w:p>
        </w:tc>
        <w:tc>
          <w:tcPr>
            <w:tcW w:w="10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11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23,634</w:t>
            </w:r>
          </w:p>
        </w:tc>
      </w:tr>
      <w:tr>
        <w:trPr>
          <w:trHeight w:val="229"/>
        </w:trPr>
        <w:tc>
          <w:tcPr>
            <w:tcW w:w="6660" w:type="dxa"/>
            <w:vAlign w:val="bottom"/>
            <w:tcBorders>
              <w:bottom w:val="single" w:sz="8" w:color="DDDDDD"/>
            </w:tcBorders>
          </w:tcPr>
          <w:p>
            <w:pPr>
              <w:ind w:left="360"/>
              <w:spacing w:after="0"/>
              <w:rPr>
                <w:sz w:val="20"/>
                <w:szCs w:val="20"/>
                <w:color w:val="auto"/>
              </w:rPr>
            </w:pPr>
            <w:r>
              <w:rPr>
                <w:rFonts w:ascii="Arial" w:cs="Arial" w:eastAsia="Arial" w:hAnsi="Arial"/>
                <w:sz w:val="18"/>
                <w:szCs w:val="18"/>
                <w:color w:val="auto"/>
              </w:rPr>
              <w:t>Cost of services sold</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4,531</w:t>
            </w:r>
          </w:p>
        </w:tc>
        <w:tc>
          <w:tcPr>
            <w:tcW w:w="120" w:type="dxa"/>
            <w:vAlign w:val="bottom"/>
            <w:tcBorders>
              <w:bottom w:val="single" w:sz="8" w:color="DDDDDD"/>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5,070</w:t>
            </w:r>
          </w:p>
        </w:tc>
        <w:tc>
          <w:tcPr>
            <w:tcW w:w="100" w:type="dxa"/>
            <w:vAlign w:val="bottom"/>
            <w:tcBorders>
              <w:bottom w:val="single" w:sz="8" w:color="DDDDDD"/>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5,412</w:t>
            </w:r>
          </w:p>
        </w:tc>
      </w:tr>
      <w:tr>
        <w:trPr>
          <w:trHeight w:val="223"/>
        </w:trPr>
        <w:tc>
          <w:tcPr>
            <w:tcW w:w="666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22,169</w:t>
            </w:r>
          </w:p>
        </w:tc>
        <w:tc>
          <w:tcPr>
            <w:tcW w:w="12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24,339</w:t>
            </w:r>
          </w:p>
        </w:tc>
        <w:tc>
          <w:tcPr>
            <w:tcW w:w="10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11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29,046</w:t>
            </w:r>
          </w:p>
        </w:tc>
      </w:tr>
      <w:tr>
        <w:trPr>
          <w:trHeight w:val="229"/>
        </w:trPr>
        <w:tc>
          <w:tcPr>
            <w:tcW w:w="6660" w:type="dxa"/>
            <w:vAlign w:val="bottom"/>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4,772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6,051</w:t>
            </w:r>
          </w:p>
        </w:tc>
      </w:tr>
      <w:tr>
        <w:trPr>
          <w:trHeight w:val="229"/>
        </w:trPr>
        <w:tc>
          <w:tcPr>
            <w:tcW w:w="6660" w:type="dxa"/>
            <w:vAlign w:val="bottom"/>
            <w:shd w:val="clear" w:color="auto" w:fill="DDDDDD"/>
          </w:tcPr>
          <w:p>
            <w:pPr>
              <w:ind w:left="360"/>
              <w:spacing w:after="0"/>
              <w:rPr>
                <w:sz w:val="20"/>
                <w:szCs w:val="20"/>
                <w:color w:val="auto"/>
              </w:rPr>
            </w:pPr>
            <w:r>
              <w:rPr>
                <w:rFonts w:ascii="Arial" w:cs="Arial" w:eastAsia="Arial" w:hAnsi="Arial"/>
                <w:sz w:val="18"/>
                <w:szCs w:val="18"/>
                <w:color w:val="auto"/>
              </w:rPr>
              <w:t>Other (income) expense</w:t>
            </w: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(675)</w:t>
            </w:r>
          </w:p>
        </w:tc>
        <w:tc>
          <w:tcPr>
            <w:tcW w:w="12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(1,065)</w:t>
            </w:r>
          </w:p>
        </w:tc>
        <w:tc>
          <w:tcPr>
            <w:tcW w:w="10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11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(1,149)</w:t>
            </w:r>
          </w:p>
        </w:tc>
      </w:tr>
      <w:tr>
        <w:trPr>
          <w:trHeight w:val="230"/>
        </w:trPr>
        <w:tc>
          <w:tcPr>
            <w:tcW w:w="6660" w:type="dxa"/>
            <w:vAlign w:val="bottom"/>
            <w:tcBorders>
              <w:bottom w:val="single" w:sz="8" w:color="DDDDDD"/>
            </w:tcBorders>
          </w:tcPr>
          <w:p>
            <w:pPr>
              <w:ind w:left="360"/>
              <w:spacing w:after="0"/>
              <w:rPr>
                <w:sz w:val="20"/>
                <w:szCs w:val="20"/>
                <w:color w:val="auto"/>
              </w:rPr>
            </w:pPr>
            <w:r>
              <w:rPr>
                <w:rFonts w:ascii="Arial" w:cs="Arial" w:eastAsia="Arial" w:hAnsi="Arial"/>
                <w:sz w:val="18"/>
                <w:szCs w:val="18"/>
                <w:color w:val="auto"/>
              </w:rPr>
              <w:t>Interest and other financial charges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w:t>
            </w:r>
          </w:p>
        </w:tc>
        <w:tc>
          <w:tcPr>
            <w:tcW w:w="120" w:type="dxa"/>
            <w:vAlign w:val="bottom"/>
            <w:tcBorders>
              <w:bottom w:val="single" w:sz="8" w:color="DDDDDD"/>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Borders>
              <w:bottom w:val="single" w:sz="8" w:color="DDDDDD"/>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w:t>
            </w:r>
          </w:p>
        </w:tc>
      </w:tr>
      <w:tr>
        <w:trPr>
          <w:trHeight w:val="223"/>
        </w:trPr>
        <w:tc>
          <w:tcPr>
            <w:tcW w:w="6660" w:type="dxa"/>
            <w:vAlign w:val="bottom"/>
            <w:shd w:val="clear" w:color="auto" w:fill="DDDDDD"/>
          </w:tcPr>
          <w:p>
            <w:pPr>
              <w:spacing w:after="0"/>
              <w:rPr>
                <w:sz w:val="19"/>
                <w:szCs w:val="19"/>
                <w:color w:val="auto"/>
              </w:rPr>
            </w:pPr>
          </w:p>
        </w:tc>
        <w:tc>
          <w:tcPr>
            <w:tcW w:w="340" w:type="dxa"/>
            <w:vAlign w:val="bottom"/>
            <w:tcBorders>
              <w:bottom w:val="single" w:sz="8" w:color="auto"/>
            </w:tcBorders>
            <w:shd w:val="clear" w:color="auto" w:fill="DDDDDD"/>
          </w:tcPr>
          <w:p>
            <w:pPr>
              <w:spacing w:after="0"/>
              <w:rPr>
                <w:sz w:val="19"/>
                <w:szCs w:val="19"/>
                <w:color w:val="auto"/>
              </w:rPr>
            </w:pPr>
          </w:p>
        </w:tc>
        <w:tc>
          <w:tcPr>
            <w:tcW w:w="11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26,625</w:t>
            </w:r>
          </w:p>
        </w:tc>
        <w:tc>
          <w:tcPr>
            <w:tcW w:w="120" w:type="dxa"/>
            <w:vAlign w:val="bottom"/>
            <w:shd w:val="clear" w:color="auto" w:fill="DDDDDD"/>
          </w:tcPr>
          <w:p>
            <w:pPr>
              <w:spacing w:after="0"/>
              <w:rPr>
                <w:sz w:val="19"/>
                <w:szCs w:val="19"/>
                <w:color w:val="auto"/>
              </w:rPr>
            </w:pPr>
          </w:p>
        </w:tc>
        <w:tc>
          <w:tcPr>
            <w:tcW w:w="340" w:type="dxa"/>
            <w:vAlign w:val="bottom"/>
            <w:tcBorders>
              <w:bottom w:val="single" w:sz="8" w:color="auto"/>
            </w:tcBorders>
            <w:shd w:val="clear" w:color="auto" w:fill="DDDDDD"/>
          </w:tcPr>
          <w:p>
            <w:pPr>
              <w:spacing w:after="0"/>
              <w:rPr>
                <w:sz w:val="19"/>
                <w:szCs w:val="19"/>
                <w:color w:val="auto"/>
              </w:rPr>
            </w:pPr>
          </w:p>
        </w:tc>
        <w:tc>
          <w:tcPr>
            <w:tcW w:w="11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29,150</w:t>
            </w:r>
          </w:p>
        </w:tc>
        <w:tc>
          <w:tcPr>
            <w:tcW w:w="100" w:type="dxa"/>
            <w:vAlign w:val="bottom"/>
            <w:shd w:val="clear" w:color="auto" w:fill="DDDDDD"/>
          </w:tcPr>
          <w:p>
            <w:pPr>
              <w:spacing w:after="0"/>
              <w:rPr>
                <w:sz w:val="19"/>
                <w:szCs w:val="19"/>
                <w:color w:val="auto"/>
              </w:rPr>
            </w:pPr>
          </w:p>
        </w:tc>
        <w:tc>
          <w:tcPr>
            <w:tcW w:w="340" w:type="dxa"/>
            <w:vAlign w:val="bottom"/>
            <w:tcBorders>
              <w:bottom w:val="single" w:sz="8" w:color="auto"/>
            </w:tcBorders>
            <w:shd w:val="clear" w:color="auto" w:fill="DDDDDD"/>
          </w:tcPr>
          <w:p>
            <w:pPr>
              <w:spacing w:after="0"/>
              <w:rPr>
                <w:sz w:val="19"/>
                <w:szCs w:val="19"/>
                <w:color w:val="auto"/>
              </w:rPr>
            </w:pPr>
          </w:p>
        </w:tc>
        <w:tc>
          <w:tcPr>
            <w:tcW w:w="11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34,315</w:t>
            </w:r>
          </w:p>
        </w:tc>
      </w:tr>
      <w:tr>
        <w:trPr>
          <w:trHeight w:val="223"/>
        </w:trPr>
        <w:tc>
          <w:tcPr>
            <w:tcW w:w="6660" w:type="dxa"/>
            <w:vAlign w:val="bottom"/>
          </w:tcPr>
          <w:p>
            <w:pPr>
              <w:ind w:left="20"/>
              <w:spacing w:after="0"/>
              <w:rPr>
                <w:sz w:val="20"/>
                <w:szCs w:val="20"/>
                <w:color w:val="auto"/>
              </w:rPr>
            </w:pPr>
            <w:r>
              <w:rPr>
                <w:rFonts w:ascii="Arial" w:cs="Arial" w:eastAsia="Arial" w:hAnsi="Arial"/>
                <w:sz w:val="18"/>
                <w:szCs w:val="18"/>
                <w:color w:val="auto"/>
              </w:rPr>
              <w:t>Income before taxes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6,012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7,487</w:t>
            </w:r>
          </w:p>
        </w:tc>
      </w:tr>
      <w:tr>
        <w:trPr>
          <w:trHeight w:val="229"/>
        </w:trPr>
        <w:tc>
          <w:tcPr>
            <w:tcW w:w="6660" w:type="dxa"/>
            <w:vAlign w:val="bottom"/>
            <w:shd w:val="clear" w:color="auto" w:fill="DDDDDD"/>
          </w:tcPr>
          <w:p>
            <w:pPr>
              <w:ind w:left="20"/>
              <w:spacing w:after="0"/>
              <w:rPr>
                <w:sz w:val="20"/>
                <w:szCs w:val="20"/>
                <w:color w:val="auto"/>
              </w:rPr>
            </w:pPr>
            <w:r>
              <w:rPr>
                <w:rFonts w:ascii="Arial" w:cs="Arial" w:eastAsia="Arial" w:hAnsi="Arial"/>
                <w:sz w:val="18"/>
                <w:szCs w:val="18"/>
                <w:color w:val="auto"/>
              </w:rPr>
              <w:t>Tax expense</w:t>
            </w:r>
          </w:p>
        </w:tc>
        <w:tc>
          <w:tcPr>
            <w:tcW w:w="340" w:type="dxa"/>
            <w:vAlign w:val="bottom"/>
            <w:tcBorders>
              <w:bottom w:val="single" w:sz="8" w:color="auto"/>
            </w:tcBorders>
            <w:shd w:val="clear" w:color="auto" w:fill="DDDDDD"/>
          </w:tcPr>
          <w:p>
            <w:pPr>
              <w:spacing w:after="0"/>
              <w:rPr>
                <w:sz w:val="19"/>
                <w:szCs w:val="19"/>
                <w:color w:val="auto"/>
              </w:rPr>
            </w:pPr>
          </w:p>
        </w:tc>
        <w:tc>
          <w:tcPr>
            <w:tcW w:w="11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1,147</w:t>
            </w:r>
          </w:p>
        </w:tc>
        <w:tc>
          <w:tcPr>
            <w:tcW w:w="120" w:type="dxa"/>
            <w:vAlign w:val="bottom"/>
            <w:shd w:val="clear" w:color="auto" w:fill="DDDDDD"/>
          </w:tcPr>
          <w:p>
            <w:pPr>
              <w:spacing w:after="0"/>
              <w:rPr>
                <w:sz w:val="19"/>
                <w:szCs w:val="19"/>
                <w:color w:val="auto"/>
              </w:rPr>
            </w:pPr>
          </w:p>
        </w:tc>
        <w:tc>
          <w:tcPr>
            <w:tcW w:w="340" w:type="dxa"/>
            <w:vAlign w:val="bottom"/>
            <w:tcBorders>
              <w:bottom w:val="single" w:sz="8" w:color="auto"/>
            </w:tcBorders>
            <w:shd w:val="clear" w:color="auto" w:fill="DDDDDD"/>
          </w:tcPr>
          <w:p>
            <w:pPr>
              <w:spacing w:after="0"/>
              <w:rPr>
                <w:sz w:val="19"/>
                <w:szCs w:val="19"/>
                <w:color w:val="auto"/>
              </w:rPr>
            </w:pPr>
          </w:p>
        </w:tc>
        <w:tc>
          <w:tcPr>
            <w:tcW w:w="11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1,329</w:t>
            </w:r>
          </w:p>
        </w:tc>
        <w:tc>
          <w:tcPr>
            <w:tcW w:w="100" w:type="dxa"/>
            <w:vAlign w:val="bottom"/>
            <w:shd w:val="clear" w:color="auto" w:fill="DDDDDD"/>
          </w:tcPr>
          <w:p>
            <w:pPr>
              <w:spacing w:after="0"/>
              <w:rPr>
                <w:sz w:val="19"/>
                <w:szCs w:val="19"/>
                <w:color w:val="auto"/>
              </w:rPr>
            </w:pPr>
          </w:p>
        </w:tc>
        <w:tc>
          <w:tcPr>
            <w:tcW w:w="340" w:type="dxa"/>
            <w:vAlign w:val="bottom"/>
            <w:tcBorders>
              <w:bottom w:val="single" w:sz="8" w:color="auto"/>
            </w:tcBorders>
            <w:shd w:val="clear" w:color="auto" w:fill="DDDDDD"/>
          </w:tcPr>
          <w:p>
            <w:pPr>
              <w:spacing w:after="0"/>
              <w:rPr>
                <w:sz w:val="19"/>
                <w:szCs w:val="19"/>
                <w:color w:val="auto"/>
              </w:rPr>
            </w:pPr>
          </w:p>
        </w:tc>
        <w:tc>
          <w:tcPr>
            <w:tcW w:w="11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659</w:t>
            </w:r>
          </w:p>
        </w:tc>
      </w:tr>
      <w:tr>
        <w:trPr>
          <w:trHeight w:val="223"/>
        </w:trPr>
        <w:tc>
          <w:tcPr>
            <w:tcW w:w="66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4,865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6,828</w:t>
            </w:r>
          </w:p>
        </w:tc>
      </w:tr>
      <w:tr>
        <w:trPr>
          <w:trHeight w:val="229"/>
        </w:trPr>
        <w:tc>
          <w:tcPr>
            <w:tcW w:w="6660" w:type="dxa"/>
            <w:vAlign w:val="bottom"/>
            <w:shd w:val="clear" w:color="auto" w:fill="DDDDDD"/>
          </w:tcPr>
          <w:p>
            <w:pPr>
              <w:ind w:left="20"/>
              <w:spacing w:after="0"/>
              <w:rPr>
                <w:sz w:val="20"/>
                <w:szCs w:val="20"/>
                <w:color w:val="auto"/>
              </w:rPr>
            </w:pPr>
            <w:r>
              <w:rPr>
                <w:rFonts w:ascii="Arial" w:cs="Arial" w:eastAsia="Arial" w:hAnsi="Arial"/>
                <w:sz w:val="18"/>
                <w:szCs w:val="18"/>
                <w:color w:val="auto"/>
              </w:rPr>
              <w:t>Less: Net income attributable to the noncontrolling interest</w:t>
            </w:r>
          </w:p>
        </w:tc>
        <w:tc>
          <w:tcPr>
            <w:tcW w:w="340" w:type="dxa"/>
            <w:vAlign w:val="bottom"/>
            <w:tcBorders>
              <w:bottom w:val="single" w:sz="8" w:color="auto"/>
            </w:tcBorders>
            <w:shd w:val="clear" w:color="auto" w:fill="DDDDDD"/>
          </w:tcPr>
          <w:p>
            <w:pPr>
              <w:spacing w:after="0"/>
              <w:rPr>
                <w:sz w:val="19"/>
                <w:szCs w:val="19"/>
                <w:color w:val="auto"/>
              </w:rPr>
            </w:pPr>
          </w:p>
        </w:tc>
        <w:tc>
          <w:tcPr>
            <w:tcW w:w="11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86</w:t>
            </w:r>
          </w:p>
        </w:tc>
        <w:tc>
          <w:tcPr>
            <w:tcW w:w="120" w:type="dxa"/>
            <w:vAlign w:val="bottom"/>
            <w:shd w:val="clear" w:color="auto" w:fill="DDDDDD"/>
          </w:tcPr>
          <w:p>
            <w:pPr>
              <w:spacing w:after="0"/>
              <w:rPr>
                <w:sz w:val="19"/>
                <w:szCs w:val="19"/>
                <w:color w:val="auto"/>
              </w:rPr>
            </w:pPr>
          </w:p>
        </w:tc>
        <w:tc>
          <w:tcPr>
            <w:tcW w:w="340" w:type="dxa"/>
            <w:vAlign w:val="bottom"/>
            <w:tcBorders>
              <w:bottom w:val="single" w:sz="8" w:color="auto"/>
            </w:tcBorders>
            <w:shd w:val="clear" w:color="auto" w:fill="DDDDDD"/>
          </w:tcPr>
          <w:p>
            <w:pPr>
              <w:spacing w:after="0"/>
              <w:rPr>
                <w:sz w:val="19"/>
                <w:szCs w:val="19"/>
                <w:color w:val="auto"/>
              </w:rPr>
            </w:pPr>
          </w:p>
        </w:tc>
        <w:tc>
          <w:tcPr>
            <w:tcW w:w="11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DDDDDD"/>
          </w:tcPr>
          <w:p>
            <w:pPr>
              <w:spacing w:after="0"/>
              <w:rPr>
                <w:sz w:val="19"/>
                <w:szCs w:val="19"/>
                <w:color w:val="auto"/>
              </w:rPr>
            </w:pPr>
          </w:p>
        </w:tc>
        <w:tc>
          <w:tcPr>
            <w:tcW w:w="340" w:type="dxa"/>
            <w:vAlign w:val="bottom"/>
            <w:tcBorders>
              <w:bottom w:val="single" w:sz="8" w:color="auto"/>
            </w:tcBorders>
            <w:shd w:val="clear" w:color="auto" w:fill="DDDDDD"/>
          </w:tcPr>
          <w:p>
            <w:pPr>
              <w:spacing w:after="0"/>
              <w:rPr>
                <w:sz w:val="19"/>
                <w:szCs w:val="19"/>
                <w:color w:val="auto"/>
              </w:rPr>
            </w:pPr>
          </w:p>
        </w:tc>
        <w:tc>
          <w:tcPr>
            <w:tcW w:w="11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63</w:t>
            </w:r>
          </w:p>
        </w:tc>
      </w:tr>
      <w:tr>
        <w:trPr>
          <w:trHeight w:val="223"/>
        </w:trPr>
        <w:tc>
          <w:tcPr>
            <w:tcW w:w="6660" w:type="dxa"/>
            <w:vAlign w:val="bottom"/>
          </w:tcPr>
          <w:p>
            <w:pPr>
              <w:ind w:left="20"/>
              <w:spacing w:after="0"/>
              <w:rPr>
                <w:sz w:val="20"/>
                <w:szCs w:val="20"/>
                <w:color w:val="auto"/>
              </w:rPr>
            </w:pPr>
            <w:r>
              <w:rPr>
                <w:rFonts w:ascii="Arial" w:cs="Arial" w:eastAsia="Arial" w:hAnsi="Arial"/>
                <w:sz w:val="18"/>
                <w:szCs w:val="18"/>
                <w:color w:val="auto"/>
              </w:rPr>
              <w:t>Net income attributable to Honeywell</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4,779</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6,765</w:t>
            </w:r>
          </w:p>
        </w:tc>
      </w:tr>
      <w:tr>
        <w:trPr>
          <w:trHeight w:val="20"/>
        </w:trPr>
        <w:tc>
          <w:tcPr>
            <w:tcW w:w="6660" w:type="dxa"/>
            <w:vAlign w:val="bottom"/>
            <w:tcBorders>
              <w:bottom w:val="single" w:sz="8" w:color="DDDDDD"/>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DDDDD"/>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DDDDD"/>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8"/>
        </w:trPr>
        <w:tc>
          <w:tcPr>
            <w:tcW w:w="666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8"/>
                <w:szCs w:val="18"/>
                <w:color w:val="auto"/>
              </w:rPr>
              <w:t>Earnings per share of common stock—basic</w:t>
            </w:r>
          </w:p>
        </w:tc>
        <w:tc>
          <w:tcPr>
            <w:tcW w:w="340" w:type="dxa"/>
            <w:vAlign w:val="bottom"/>
            <w:tcBorders>
              <w:bottom w:val="single" w:sz="8" w:color="auto"/>
            </w:tcBorders>
            <w:shd w:val="clear" w:color="auto" w:fill="DDDDDD"/>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6.79</w:t>
            </w:r>
          </w:p>
        </w:tc>
        <w:tc>
          <w:tcPr>
            <w:tcW w:w="120" w:type="dxa"/>
            <w:vAlign w:val="bottom"/>
            <w:tcBorders>
              <w:bottom w:val="single" w:sz="8" w:color="DDDDDD"/>
            </w:tcBorders>
            <w:shd w:val="clear" w:color="auto" w:fill="DDDDDD"/>
          </w:tcPr>
          <w:p>
            <w:pPr>
              <w:spacing w:after="0"/>
              <w:rPr>
                <w:sz w:val="21"/>
                <w:szCs w:val="21"/>
                <w:color w:val="auto"/>
              </w:rPr>
            </w:pPr>
          </w:p>
        </w:tc>
        <w:tc>
          <w:tcPr>
            <w:tcW w:w="340" w:type="dxa"/>
            <w:vAlign w:val="bottom"/>
            <w:tcBorders>
              <w:bottom w:val="single" w:sz="8" w:color="auto"/>
            </w:tcBorders>
            <w:shd w:val="clear" w:color="auto" w:fill="DDDDDD"/>
          </w:tcPr>
          <w:p>
            <w:pPr>
              <w:jc w:val="right"/>
              <w:ind w:right="134"/>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8.52</w:t>
            </w:r>
          </w:p>
        </w:tc>
        <w:tc>
          <w:tcPr>
            <w:tcW w:w="100" w:type="dxa"/>
            <w:vAlign w:val="bottom"/>
            <w:tcBorders>
              <w:bottom w:val="single" w:sz="8" w:color="DDDDDD"/>
            </w:tcBorders>
            <w:shd w:val="clear" w:color="auto" w:fill="DDDDDD"/>
          </w:tcPr>
          <w:p>
            <w:pPr>
              <w:spacing w:after="0"/>
              <w:rPr>
                <w:sz w:val="21"/>
                <w:szCs w:val="21"/>
                <w:color w:val="auto"/>
              </w:rPr>
            </w:pPr>
          </w:p>
        </w:tc>
        <w:tc>
          <w:tcPr>
            <w:tcW w:w="340" w:type="dxa"/>
            <w:vAlign w:val="bottom"/>
            <w:tcBorders>
              <w:bottom w:val="single" w:sz="8" w:color="auto"/>
            </w:tcBorders>
            <w:shd w:val="clear" w:color="auto" w:fill="DDDDDD"/>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9.10</w:t>
            </w:r>
          </w:p>
        </w:tc>
      </w:tr>
      <w:tr>
        <w:trPr>
          <w:trHeight w:val="20"/>
        </w:trPr>
        <w:tc>
          <w:tcPr>
            <w:tcW w:w="6660" w:type="dxa"/>
            <w:vAlign w:val="bottom"/>
            <w:tcBorders>
              <w:top w:val="single" w:sz="8" w:color="DDDDDD"/>
            </w:tcBorders>
          </w:tcPr>
          <w:p>
            <w:pPr>
              <w:spacing w:after="0" w:line="20" w:lineRule="exact"/>
              <w:rPr>
                <w:sz w:val="1"/>
                <w:szCs w:val="1"/>
                <w:color w:val="auto"/>
              </w:rPr>
            </w:pPr>
          </w:p>
        </w:tc>
        <w:tc>
          <w:tcPr>
            <w:tcW w:w="340" w:type="dxa"/>
            <w:vAlign w:val="bottom"/>
            <w:tcBorders>
              <w:top w:val="single" w:sz="8" w:color="DDDDDD"/>
              <w:bottom w:val="single" w:sz="8" w:color="auto"/>
            </w:tcBorders>
          </w:tcPr>
          <w:p>
            <w:pPr>
              <w:spacing w:after="0" w:line="20" w:lineRule="exact"/>
              <w:rPr>
                <w:sz w:val="1"/>
                <w:szCs w:val="1"/>
                <w:color w:val="auto"/>
              </w:rPr>
            </w:pPr>
          </w:p>
        </w:tc>
        <w:tc>
          <w:tcPr>
            <w:tcW w:w="1100" w:type="dxa"/>
            <w:vAlign w:val="bottom"/>
            <w:tcBorders>
              <w:top w:val="single" w:sz="8" w:color="DDDDDD"/>
              <w:bottom w:val="single" w:sz="8" w:color="auto"/>
            </w:tcBorders>
          </w:tcPr>
          <w:p>
            <w:pPr>
              <w:spacing w:after="0" w:line="20" w:lineRule="exact"/>
              <w:rPr>
                <w:sz w:val="1"/>
                <w:szCs w:val="1"/>
                <w:color w:val="auto"/>
              </w:rPr>
            </w:pPr>
          </w:p>
        </w:tc>
        <w:tc>
          <w:tcPr>
            <w:tcW w:w="120" w:type="dxa"/>
            <w:vAlign w:val="bottom"/>
            <w:tcBorders>
              <w:top w:val="single" w:sz="8" w:color="DDDDDD"/>
            </w:tcBorders>
          </w:tcPr>
          <w:p>
            <w:pPr>
              <w:spacing w:after="0" w:line="20" w:lineRule="exact"/>
              <w:rPr>
                <w:sz w:val="1"/>
                <w:szCs w:val="1"/>
                <w:color w:val="auto"/>
              </w:rPr>
            </w:pPr>
          </w:p>
        </w:tc>
        <w:tc>
          <w:tcPr>
            <w:tcW w:w="340" w:type="dxa"/>
            <w:vAlign w:val="bottom"/>
            <w:tcBorders>
              <w:top w:val="single" w:sz="8" w:color="DDDDDD"/>
              <w:bottom w:val="single" w:sz="8" w:color="auto"/>
            </w:tcBorders>
          </w:tcPr>
          <w:p>
            <w:pPr>
              <w:spacing w:after="0" w:line="20" w:lineRule="exact"/>
              <w:rPr>
                <w:sz w:val="1"/>
                <w:szCs w:val="1"/>
                <w:color w:val="auto"/>
              </w:rPr>
            </w:pPr>
          </w:p>
        </w:tc>
        <w:tc>
          <w:tcPr>
            <w:tcW w:w="1100" w:type="dxa"/>
            <w:vAlign w:val="bottom"/>
            <w:tcBorders>
              <w:top w:val="single" w:sz="8" w:color="DDDDDD"/>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340" w:type="dxa"/>
            <w:vAlign w:val="bottom"/>
            <w:tcBorders>
              <w:top w:val="single" w:sz="8" w:color="DDDDDD"/>
              <w:bottom w:val="single" w:sz="8" w:color="auto"/>
            </w:tcBorders>
          </w:tcPr>
          <w:p>
            <w:pPr>
              <w:spacing w:after="0" w:line="20" w:lineRule="exact"/>
              <w:rPr>
                <w:sz w:val="1"/>
                <w:szCs w:val="1"/>
                <w:color w:val="auto"/>
              </w:rPr>
            </w:pPr>
          </w:p>
        </w:tc>
        <w:tc>
          <w:tcPr>
            <w:tcW w:w="1120" w:type="dxa"/>
            <w:vAlign w:val="bottom"/>
            <w:tcBorders>
              <w:top w:val="single" w:sz="8" w:color="DDDDDD"/>
              <w:bottom w:val="single" w:sz="8" w:color="auto"/>
            </w:tcBorders>
          </w:tcPr>
          <w:p>
            <w:pPr>
              <w:spacing w:after="0" w:line="20" w:lineRule="exact"/>
              <w:rPr>
                <w:sz w:val="1"/>
                <w:szCs w:val="1"/>
                <w:color w:val="auto"/>
              </w:rPr>
            </w:pPr>
          </w:p>
        </w:tc>
      </w:tr>
      <w:tr>
        <w:trPr>
          <w:trHeight w:val="203"/>
        </w:trPr>
        <w:tc>
          <w:tcPr>
            <w:tcW w:w="6660" w:type="dxa"/>
            <w:vAlign w:val="bottom"/>
          </w:tcPr>
          <w:p>
            <w:pPr>
              <w:ind w:left="20"/>
              <w:spacing w:after="0" w:line="203" w:lineRule="exact"/>
              <w:rPr>
                <w:sz w:val="20"/>
                <w:szCs w:val="20"/>
                <w:color w:val="auto"/>
              </w:rPr>
            </w:pPr>
            <w:r>
              <w:rPr>
                <w:rFonts w:ascii="Arial" w:cs="Arial" w:eastAsia="Arial" w:hAnsi="Arial"/>
                <w:sz w:val="18"/>
                <w:szCs w:val="18"/>
                <w:color w:val="auto"/>
              </w:rPr>
              <w:t>Earnings per share of common stock—assuming dilution</w:t>
            </w:r>
          </w:p>
        </w:tc>
        <w:tc>
          <w:tcPr>
            <w:tcW w:w="3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6.72</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34"/>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8.41</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8.98</w:t>
            </w:r>
          </w:p>
        </w:tc>
      </w:tr>
      <w:tr>
        <w:trPr>
          <w:trHeight w:val="20"/>
        </w:trPr>
        <w:tc>
          <w:tcPr>
            <w:tcW w:w="6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Notes to Consolidated Financial Statements are an integral part of this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46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22"/>
          <w:szCs w:val="22"/>
          <w:b w:val="1"/>
          <w:bCs w:val="1"/>
          <w:color w:val="auto"/>
        </w:rPr>
        <w:t>HONEYWELL INTERNATIONAL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 OF COMPREHENSIVE INCOME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680" w:type="dxa"/>
            <w:vAlign w:val="bottom"/>
          </w:tcPr>
          <w:p>
            <w:pPr>
              <w:spacing w:after="0"/>
              <w:rPr>
                <w:sz w:val="17"/>
                <w:szCs w:val="17"/>
                <w:color w:val="auto"/>
              </w:rPr>
            </w:pPr>
          </w:p>
        </w:tc>
        <w:tc>
          <w:tcPr>
            <w:tcW w:w="880" w:type="dxa"/>
            <w:vAlign w:val="bottom"/>
            <w:tcBorders>
              <w:bottom w:val="single" w:sz="8" w:color="DC202E"/>
            </w:tcBorders>
          </w:tcPr>
          <w:p>
            <w:pPr>
              <w:spacing w:after="0"/>
              <w:rPr>
                <w:sz w:val="17"/>
                <w:szCs w:val="17"/>
                <w:color w:val="auto"/>
              </w:rPr>
            </w:pPr>
          </w:p>
        </w:tc>
        <w:tc>
          <w:tcPr>
            <w:tcW w:w="2540" w:type="dxa"/>
            <w:vAlign w:val="bottom"/>
            <w:tcBorders>
              <w:bottom w:val="single" w:sz="8" w:color="DC202E"/>
            </w:tcBorders>
            <w:gridSpan w:val="6"/>
          </w:tcPr>
          <w:p>
            <w:pPr>
              <w:jc w:val="center"/>
              <w:ind w:left="131"/>
              <w:spacing w:after="0"/>
              <w:rPr>
                <w:sz w:val="20"/>
                <w:szCs w:val="20"/>
                <w:color w:val="auto"/>
              </w:rPr>
            </w:pPr>
            <w:r>
              <w:rPr>
                <w:rFonts w:ascii="Arial" w:cs="Arial" w:eastAsia="Arial" w:hAnsi="Arial"/>
                <w:sz w:val="14"/>
                <w:szCs w:val="14"/>
                <w:b w:val="1"/>
                <w:bCs w:val="1"/>
                <w:color w:val="auto"/>
              </w:rPr>
              <w:t>Years Ended December 31,</w:t>
            </w:r>
          </w:p>
        </w:tc>
        <w:tc>
          <w:tcPr>
            <w:tcW w:w="1120" w:type="dxa"/>
            <w:vAlign w:val="bottom"/>
            <w:tcBorders>
              <w:bottom w:val="single" w:sz="8" w:color="DC202E"/>
            </w:tcBorders>
          </w:tcPr>
          <w:p>
            <w:pPr>
              <w:spacing w:after="0"/>
              <w:rPr>
                <w:sz w:val="17"/>
                <w:szCs w:val="17"/>
                <w:color w:val="auto"/>
              </w:rPr>
            </w:pPr>
          </w:p>
        </w:tc>
      </w:tr>
      <w:tr>
        <w:trPr>
          <w:trHeight w:val="250"/>
        </w:trPr>
        <w:tc>
          <w:tcPr>
            <w:tcW w:w="6680" w:type="dxa"/>
            <w:vAlign w:val="bottom"/>
          </w:tcPr>
          <w:p>
            <w:pPr>
              <w:spacing w:after="0"/>
              <w:rPr>
                <w:sz w:val="21"/>
                <w:szCs w:val="21"/>
                <w:color w:val="auto"/>
              </w:rPr>
            </w:pPr>
          </w:p>
        </w:tc>
        <w:tc>
          <w:tcPr>
            <w:tcW w:w="88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DC202E"/>
            </w:tcBorders>
          </w:tcPr>
          <w:p>
            <w:pPr>
              <w:spacing w:after="0"/>
              <w:rPr>
                <w:sz w:val="21"/>
                <w:szCs w:val="21"/>
                <w:color w:val="auto"/>
              </w:rPr>
            </w:pPr>
          </w:p>
        </w:tc>
        <w:tc>
          <w:tcPr>
            <w:tcW w:w="120" w:type="dxa"/>
            <w:vAlign w:val="bottom"/>
            <w:tcBorders>
              <w:bottom w:val="single" w:sz="8" w:color="DC202E"/>
            </w:tcBorders>
          </w:tcPr>
          <w:p>
            <w:pPr>
              <w:spacing w:after="0"/>
              <w:rPr>
                <w:sz w:val="21"/>
                <w:szCs w:val="21"/>
                <w:color w:val="auto"/>
              </w:rPr>
            </w:pPr>
          </w:p>
        </w:tc>
        <w:tc>
          <w:tcPr>
            <w:tcW w:w="340" w:type="dxa"/>
            <w:vAlign w:val="bottom"/>
            <w:tcBorders>
              <w:bottom w:val="single" w:sz="8" w:color="DC202E"/>
            </w:tcBorders>
          </w:tcPr>
          <w:p>
            <w:pPr>
              <w:spacing w:after="0"/>
              <w:rPr>
                <w:sz w:val="21"/>
                <w:szCs w:val="21"/>
                <w:color w:val="auto"/>
              </w:rPr>
            </w:pPr>
          </w:p>
        </w:tc>
        <w:tc>
          <w:tcPr>
            <w:tcW w:w="1100" w:type="dxa"/>
            <w:vAlign w:val="bottom"/>
            <w:tcBorders>
              <w:bottom w:val="single" w:sz="8" w:color="DC202E"/>
            </w:tcBorders>
          </w:tcPr>
          <w:p>
            <w:pPr>
              <w:jc w:val="center"/>
              <w:ind w:right="25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DC202E"/>
            </w:tcBorders>
          </w:tcPr>
          <w:p>
            <w:pPr>
              <w:spacing w:after="0"/>
              <w:rPr>
                <w:sz w:val="21"/>
                <w:szCs w:val="21"/>
                <w:color w:val="auto"/>
              </w:rPr>
            </w:pPr>
          </w:p>
        </w:tc>
        <w:tc>
          <w:tcPr>
            <w:tcW w:w="340" w:type="dxa"/>
            <w:vAlign w:val="bottom"/>
            <w:tcBorders>
              <w:bottom w:val="single" w:sz="8" w:color="DC202E"/>
            </w:tcBorders>
          </w:tcPr>
          <w:p>
            <w:pPr>
              <w:spacing w:after="0"/>
              <w:rPr>
                <w:sz w:val="21"/>
                <w:szCs w:val="21"/>
                <w:color w:val="auto"/>
              </w:rPr>
            </w:pPr>
          </w:p>
        </w:tc>
        <w:tc>
          <w:tcPr>
            <w:tcW w:w="1120" w:type="dxa"/>
            <w:vAlign w:val="bottom"/>
            <w:tcBorders>
              <w:bottom w:val="single" w:sz="8" w:color="DC202E"/>
            </w:tcBorders>
          </w:tcPr>
          <w:p>
            <w:pPr>
              <w:jc w:val="right"/>
              <w:ind w:right="471"/>
              <w:spacing w:after="0"/>
              <w:rPr>
                <w:sz w:val="20"/>
                <w:szCs w:val="20"/>
                <w:color w:val="auto"/>
              </w:rPr>
            </w:pPr>
            <w:r>
              <w:rPr>
                <w:rFonts w:ascii="Arial" w:cs="Arial" w:eastAsia="Arial" w:hAnsi="Arial"/>
                <w:sz w:val="14"/>
                <w:szCs w:val="14"/>
                <w:b w:val="1"/>
                <w:bCs w:val="1"/>
                <w:color w:val="auto"/>
              </w:rPr>
              <w:t>2018</w:t>
            </w:r>
          </w:p>
        </w:tc>
      </w:tr>
      <w:tr>
        <w:trPr>
          <w:trHeight w:val="189"/>
        </w:trPr>
        <w:tc>
          <w:tcPr>
            <w:tcW w:w="66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(Dollars in millions)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29"/>
        </w:trPr>
        <w:tc>
          <w:tcPr>
            <w:tcW w:w="6680" w:type="dxa"/>
            <w:vAlign w:val="bottom"/>
            <w:shd w:val="clear" w:color="auto" w:fill="DDDDDD"/>
          </w:tcPr>
          <w:p>
            <w:pPr>
              <w:ind w:left="20"/>
              <w:spacing w:after="0"/>
              <w:rPr>
                <w:sz w:val="20"/>
                <w:szCs w:val="20"/>
                <w:color w:val="auto"/>
              </w:rPr>
            </w:pPr>
            <w:r>
              <w:rPr>
                <w:rFonts w:ascii="Arial" w:cs="Arial" w:eastAsia="Arial" w:hAnsi="Arial"/>
                <w:sz w:val="18"/>
                <w:szCs w:val="18"/>
                <w:color w:val="auto"/>
              </w:rPr>
              <w:t>Net income</w:t>
            </w:r>
          </w:p>
        </w:tc>
        <w:tc>
          <w:tcPr>
            <w:tcW w:w="880" w:type="dxa"/>
            <w:vAlign w:val="bottom"/>
            <w:shd w:val="clear" w:color="auto" w:fill="DDDDDD"/>
          </w:tcPr>
          <w:p>
            <w:pPr>
              <w:jc w:val="right"/>
              <w:ind w:right="67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4,865</w:t>
            </w:r>
          </w:p>
        </w:tc>
        <w:tc>
          <w:tcPr>
            <w:tcW w:w="120" w:type="dxa"/>
            <w:vAlign w:val="bottom"/>
            <w:shd w:val="clear" w:color="auto" w:fill="DDDDDD"/>
          </w:tcPr>
          <w:p>
            <w:pPr>
              <w:spacing w:after="0"/>
              <w:rPr>
                <w:sz w:val="19"/>
                <w:szCs w:val="19"/>
                <w:color w:val="auto"/>
              </w:rPr>
            </w:pPr>
          </w:p>
        </w:tc>
        <w:tc>
          <w:tcPr>
            <w:tcW w:w="340" w:type="dxa"/>
            <w:vAlign w:val="bottom"/>
            <w:shd w:val="clear" w:color="auto" w:fill="DDDDDD"/>
          </w:tcPr>
          <w:p>
            <w:pPr>
              <w:jc w:val="right"/>
              <w:ind w:right="136"/>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6,230</w:t>
            </w:r>
          </w:p>
        </w:tc>
        <w:tc>
          <w:tcPr>
            <w:tcW w:w="100" w:type="dxa"/>
            <w:vAlign w:val="bottom"/>
            <w:shd w:val="clear" w:color="auto" w:fill="DDDDDD"/>
          </w:tcPr>
          <w:p>
            <w:pPr>
              <w:spacing w:after="0"/>
              <w:rPr>
                <w:sz w:val="19"/>
                <w:szCs w:val="19"/>
                <w:color w:val="auto"/>
              </w:rPr>
            </w:pPr>
          </w:p>
        </w:tc>
        <w:tc>
          <w:tcPr>
            <w:tcW w:w="3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6,828</w:t>
            </w:r>
          </w:p>
        </w:tc>
      </w:tr>
      <w:tr>
        <w:trPr>
          <w:trHeight w:val="230"/>
        </w:trPr>
        <w:tc>
          <w:tcPr>
            <w:tcW w:w="6680" w:type="dxa"/>
            <w:vAlign w:val="bottom"/>
          </w:tcPr>
          <w:p>
            <w:pPr>
              <w:ind w:left="140"/>
              <w:spacing w:after="0"/>
              <w:rPr>
                <w:sz w:val="20"/>
                <w:szCs w:val="20"/>
                <w:color w:val="auto"/>
              </w:rPr>
            </w:pPr>
            <w:r>
              <w:rPr>
                <w:rFonts w:ascii="Arial" w:cs="Arial" w:eastAsia="Arial" w:hAnsi="Arial"/>
                <w:sz w:val="18"/>
                <w:szCs w:val="18"/>
                <w:color w:val="auto"/>
              </w:rPr>
              <w:t>Other comprehensive income (loss), net of tax</w:t>
            </w:r>
          </w:p>
        </w:tc>
        <w:tc>
          <w:tcPr>
            <w:tcW w:w="8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6680" w:type="dxa"/>
            <w:vAlign w:val="bottom"/>
            <w:shd w:val="clear" w:color="auto" w:fill="DDDDDD"/>
          </w:tcPr>
          <w:p>
            <w:pPr>
              <w:ind w:left="360"/>
              <w:spacing w:after="0"/>
              <w:rPr>
                <w:sz w:val="20"/>
                <w:szCs w:val="20"/>
                <w:color w:val="auto"/>
              </w:rPr>
            </w:pPr>
            <w:r>
              <w:rPr>
                <w:rFonts w:ascii="Arial" w:cs="Arial" w:eastAsia="Arial" w:hAnsi="Arial"/>
                <w:sz w:val="18"/>
                <w:szCs w:val="18"/>
                <w:color w:val="auto"/>
              </w:rPr>
              <w:t>Foreign exchange translation adjustment</w:t>
            </w:r>
          </w:p>
        </w:tc>
        <w:tc>
          <w:tcPr>
            <w:tcW w:w="880" w:type="dxa"/>
            <w:vAlign w:val="bottom"/>
            <w:shd w:val="clear" w:color="auto" w:fill="DDDDDD"/>
          </w:tcPr>
          <w:p>
            <w:pPr>
              <w:spacing w:after="0"/>
              <w:rPr>
                <w:sz w:val="19"/>
                <w:szCs w:val="19"/>
                <w:color w:val="auto"/>
              </w:rPr>
            </w:pPr>
          </w:p>
        </w:tc>
        <w:tc>
          <w:tcPr>
            <w:tcW w:w="5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(211)</w:t>
            </w:r>
          </w:p>
        </w:tc>
        <w:tc>
          <w:tcPr>
            <w:tcW w:w="12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11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(685)</w:t>
            </w:r>
          </w:p>
        </w:tc>
      </w:tr>
      <w:tr>
        <w:trPr>
          <w:trHeight w:val="229"/>
        </w:trPr>
        <w:tc>
          <w:tcPr>
            <w:tcW w:w="6680" w:type="dxa"/>
            <w:vAlign w:val="bottom"/>
          </w:tcPr>
          <w:p>
            <w:pPr>
              <w:ind w:left="480"/>
              <w:spacing w:after="0"/>
              <w:rPr>
                <w:sz w:val="20"/>
                <w:szCs w:val="20"/>
                <w:color w:val="auto"/>
              </w:rPr>
            </w:pPr>
            <w:r>
              <w:rPr>
                <w:rFonts w:ascii="Arial" w:cs="Arial" w:eastAsia="Arial" w:hAnsi="Arial"/>
                <w:sz w:val="18"/>
                <w:szCs w:val="18"/>
                <w:color w:val="auto"/>
              </w:rPr>
              <w:t>Actuarial gains (losses) recognized</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(602)</w:t>
            </w:r>
          </w:p>
        </w:tc>
      </w:tr>
      <w:tr>
        <w:trPr>
          <w:trHeight w:val="230"/>
        </w:trPr>
        <w:tc>
          <w:tcPr>
            <w:tcW w:w="6680" w:type="dxa"/>
            <w:vAlign w:val="bottom"/>
            <w:shd w:val="clear" w:color="auto" w:fill="DDDDDD"/>
          </w:tcPr>
          <w:p>
            <w:pPr>
              <w:ind w:left="480"/>
              <w:spacing w:after="0"/>
              <w:rPr>
                <w:sz w:val="20"/>
                <w:szCs w:val="20"/>
                <w:color w:val="auto"/>
              </w:rPr>
            </w:pPr>
            <w:r>
              <w:rPr>
                <w:rFonts w:ascii="Arial" w:cs="Arial" w:eastAsia="Arial" w:hAnsi="Arial"/>
                <w:sz w:val="18"/>
                <w:szCs w:val="18"/>
                <w:color w:val="auto"/>
              </w:rPr>
              <w:t>Prior service credit (cost) recognized</w:t>
            </w:r>
          </w:p>
        </w:tc>
        <w:tc>
          <w:tcPr>
            <w:tcW w:w="880" w:type="dxa"/>
            <w:vAlign w:val="bottom"/>
            <w:shd w:val="clear" w:color="auto" w:fill="DDDDDD"/>
          </w:tcPr>
          <w:p>
            <w:pPr>
              <w:spacing w:after="0"/>
              <w:rPr>
                <w:sz w:val="19"/>
                <w:szCs w:val="19"/>
                <w:color w:val="auto"/>
              </w:rPr>
            </w:pPr>
          </w:p>
        </w:tc>
        <w:tc>
          <w:tcPr>
            <w:tcW w:w="5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11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6680" w:type="dxa"/>
            <w:vAlign w:val="bottom"/>
          </w:tcPr>
          <w:p>
            <w:pPr>
              <w:ind w:left="480"/>
              <w:spacing w:after="0"/>
              <w:rPr>
                <w:sz w:val="20"/>
                <w:szCs w:val="20"/>
                <w:color w:val="auto"/>
              </w:rPr>
            </w:pPr>
            <w:r>
              <w:rPr>
                <w:rFonts w:ascii="Arial" w:cs="Arial" w:eastAsia="Arial" w:hAnsi="Arial"/>
                <w:sz w:val="18"/>
                <w:szCs w:val="18"/>
                <w:color w:val="auto"/>
              </w:rPr>
              <w:t>Prior service credit recognized during year</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29"/>
        </w:trPr>
        <w:tc>
          <w:tcPr>
            <w:tcW w:w="6680" w:type="dxa"/>
            <w:vAlign w:val="bottom"/>
            <w:shd w:val="clear" w:color="auto" w:fill="DDDDDD"/>
          </w:tcPr>
          <w:p>
            <w:pPr>
              <w:ind w:left="480"/>
              <w:spacing w:after="0"/>
              <w:rPr>
                <w:sz w:val="20"/>
                <w:szCs w:val="20"/>
                <w:color w:val="auto"/>
              </w:rPr>
            </w:pPr>
            <w:r>
              <w:rPr>
                <w:rFonts w:ascii="Arial" w:cs="Arial" w:eastAsia="Arial" w:hAnsi="Arial"/>
                <w:sz w:val="18"/>
                <w:szCs w:val="18"/>
                <w:color w:val="auto"/>
              </w:rPr>
              <w:t>Actuarial (gains) losses recognized during year</w:t>
            </w:r>
          </w:p>
        </w:tc>
        <w:tc>
          <w:tcPr>
            <w:tcW w:w="880" w:type="dxa"/>
            <w:vAlign w:val="bottom"/>
            <w:shd w:val="clear" w:color="auto" w:fill="DDDDDD"/>
          </w:tcPr>
          <w:p>
            <w:pPr>
              <w:spacing w:after="0"/>
              <w:rPr>
                <w:sz w:val="19"/>
                <w:szCs w:val="19"/>
                <w:color w:val="auto"/>
              </w:rPr>
            </w:pPr>
          </w:p>
        </w:tc>
        <w:tc>
          <w:tcPr>
            <w:tcW w:w="5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11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6680" w:type="dxa"/>
            <w:vAlign w:val="bottom"/>
          </w:tcPr>
          <w:p>
            <w:pPr>
              <w:ind w:left="480"/>
              <w:spacing w:after="0"/>
              <w:rPr>
                <w:sz w:val="20"/>
                <w:szCs w:val="20"/>
                <w:color w:val="auto"/>
              </w:rPr>
            </w:pPr>
            <w:r>
              <w:rPr>
                <w:rFonts w:ascii="Arial" w:cs="Arial" w:eastAsia="Arial" w:hAnsi="Arial"/>
                <w:sz w:val="18"/>
                <w:szCs w:val="18"/>
                <w:color w:val="auto"/>
              </w:rPr>
              <w:t>Settlements and curtailments</w:t>
            </w:r>
          </w:p>
        </w:tc>
        <w:tc>
          <w:tcPr>
            <w:tcW w:w="8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6680" w:type="dxa"/>
            <w:vAlign w:val="bottom"/>
            <w:shd w:val="clear" w:color="auto" w:fill="DDDDDD"/>
          </w:tcPr>
          <w:p>
            <w:pPr>
              <w:ind w:left="480"/>
              <w:spacing w:after="0"/>
              <w:rPr>
                <w:sz w:val="20"/>
                <w:szCs w:val="20"/>
                <w:color w:val="auto"/>
              </w:rPr>
            </w:pPr>
            <w:r>
              <w:rPr>
                <w:rFonts w:ascii="Arial" w:cs="Arial" w:eastAsia="Arial" w:hAnsi="Arial"/>
                <w:sz w:val="18"/>
                <w:szCs w:val="18"/>
                <w:color w:val="auto"/>
              </w:rPr>
              <w:t>Foreign exchange translation and other</w:t>
            </w:r>
          </w:p>
        </w:tc>
        <w:tc>
          <w:tcPr>
            <w:tcW w:w="880" w:type="dxa"/>
            <w:vAlign w:val="bottom"/>
            <w:tcBorders>
              <w:bottom w:val="single" w:sz="8" w:color="auto"/>
            </w:tcBorders>
            <w:shd w:val="clear" w:color="auto" w:fill="DDDDDD"/>
          </w:tcPr>
          <w:p>
            <w:pPr>
              <w:spacing w:after="0"/>
              <w:rPr>
                <w:sz w:val="19"/>
                <w:szCs w:val="19"/>
                <w:color w:val="auto"/>
              </w:rPr>
            </w:pPr>
          </w:p>
        </w:tc>
        <w:tc>
          <w:tcPr>
            <w:tcW w:w="5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DDDDDD"/>
          </w:tcPr>
          <w:p>
            <w:pPr>
              <w:spacing w:after="0"/>
              <w:rPr>
                <w:sz w:val="19"/>
                <w:szCs w:val="19"/>
                <w:color w:val="auto"/>
              </w:rPr>
            </w:pPr>
          </w:p>
        </w:tc>
        <w:tc>
          <w:tcPr>
            <w:tcW w:w="340" w:type="dxa"/>
            <w:vAlign w:val="bottom"/>
            <w:tcBorders>
              <w:bottom w:val="single" w:sz="8" w:color="auto"/>
            </w:tcBorders>
            <w:shd w:val="clear" w:color="auto" w:fill="DDDDDD"/>
          </w:tcPr>
          <w:p>
            <w:pPr>
              <w:spacing w:after="0"/>
              <w:rPr>
                <w:sz w:val="19"/>
                <w:szCs w:val="19"/>
                <w:color w:val="auto"/>
              </w:rPr>
            </w:pPr>
          </w:p>
        </w:tc>
        <w:tc>
          <w:tcPr>
            <w:tcW w:w="11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DDDDDD"/>
          </w:tcPr>
          <w:p>
            <w:pPr>
              <w:spacing w:after="0"/>
              <w:rPr>
                <w:sz w:val="19"/>
                <w:szCs w:val="19"/>
                <w:color w:val="auto"/>
              </w:rPr>
            </w:pPr>
          </w:p>
        </w:tc>
        <w:tc>
          <w:tcPr>
            <w:tcW w:w="340" w:type="dxa"/>
            <w:vAlign w:val="bottom"/>
            <w:tcBorders>
              <w:bottom w:val="single" w:sz="8" w:color="auto"/>
            </w:tcBorders>
            <w:shd w:val="clear" w:color="auto" w:fill="DDDDDD"/>
          </w:tcPr>
          <w:p>
            <w:pPr>
              <w:spacing w:after="0"/>
              <w:rPr>
                <w:sz w:val="19"/>
                <w:szCs w:val="19"/>
                <w:color w:val="auto"/>
              </w:rPr>
            </w:pPr>
          </w:p>
        </w:tc>
        <w:tc>
          <w:tcPr>
            <w:tcW w:w="11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31</w:t>
            </w:r>
          </w:p>
        </w:tc>
      </w:tr>
      <w:tr>
        <w:trPr>
          <w:trHeight w:val="223"/>
        </w:trPr>
        <w:tc>
          <w:tcPr>
            <w:tcW w:w="6680" w:type="dxa"/>
            <w:vAlign w:val="bottom"/>
          </w:tcPr>
          <w:p>
            <w:pPr>
              <w:ind w:left="360"/>
              <w:spacing w:after="0"/>
              <w:rPr>
                <w:sz w:val="20"/>
                <w:szCs w:val="20"/>
                <w:color w:val="auto"/>
              </w:rPr>
            </w:pPr>
            <w:r>
              <w:rPr>
                <w:rFonts w:ascii="Arial" w:cs="Arial" w:eastAsia="Arial" w:hAnsi="Arial"/>
                <w:sz w:val="18"/>
                <w:szCs w:val="18"/>
                <w:color w:val="auto"/>
              </w:rPr>
              <w:t>Pensions and other postretirement benefit adjustments</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(606)</w:t>
            </w:r>
          </w:p>
        </w:tc>
      </w:tr>
      <w:tr>
        <w:trPr>
          <w:trHeight w:val="243"/>
        </w:trPr>
        <w:tc>
          <w:tcPr>
            <w:tcW w:w="6680" w:type="dxa"/>
            <w:vAlign w:val="bottom"/>
            <w:shd w:val="clear" w:color="auto" w:fill="DDDDDD"/>
          </w:tcPr>
          <w:p>
            <w:pPr>
              <w:ind w:left="360"/>
              <w:spacing w:after="0"/>
              <w:rPr>
                <w:sz w:val="20"/>
                <w:szCs w:val="20"/>
                <w:color w:val="auto"/>
              </w:rPr>
            </w:pPr>
            <w:r>
              <w:rPr>
                <w:rFonts w:ascii="Arial" w:cs="Arial" w:eastAsia="Arial" w:hAnsi="Arial"/>
                <w:sz w:val="18"/>
                <w:szCs w:val="18"/>
                <w:color w:val="auto"/>
              </w:rPr>
              <w:t>Changes in fair value of available for sale investments</w:t>
            </w:r>
          </w:p>
        </w:tc>
        <w:tc>
          <w:tcPr>
            <w:tcW w:w="880" w:type="dxa"/>
            <w:vAlign w:val="bottom"/>
            <w:shd w:val="clear" w:color="auto" w:fill="DDDDDD"/>
          </w:tcPr>
          <w:p>
            <w:pPr>
              <w:spacing w:after="0"/>
              <w:rPr>
                <w:sz w:val="21"/>
                <w:szCs w:val="21"/>
                <w:color w:val="auto"/>
              </w:rPr>
            </w:pPr>
          </w:p>
        </w:tc>
        <w:tc>
          <w:tcPr>
            <w:tcW w:w="540" w:type="dxa"/>
            <w:vAlign w:val="bottom"/>
            <w:shd w:val="clear" w:color="auto" w:fill="DDDDDD"/>
          </w:tcPr>
          <w:p>
            <w:pPr>
              <w:jc w:val="right"/>
              <w:spacing w:after="0"/>
              <w:rPr>
                <w:sz w:val="20"/>
                <w:szCs w:val="20"/>
                <w:color w:val="auto"/>
              </w:rPr>
            </w:pPr>
            <w:r>
              <w:rPr>
                <w:rFonts w:ascii="Arial" w:cs="Arial" w:eastAsia="Arial" w:hAnsi="Arial"/>
                <w:sz w:val="20"/>
                <w:szCs w:val="20"/>
                <w:color w:val="auto"/>
              </w:rPr>
              <w:t>4</w:t>
            </w:r>
          </w:p>
        </w:tc>
        <w:tc>
          <w:tcPr>
            <w:tcW w:w="120" w:type="dxa"/>
            <w:vAlign w:val="bottom"/>
            <w:shd w:val="clear" w:color="auto" w:fill="DDDDDD"/>
          </w:tcPr>
          <w:p>
            <w:pPr>
              <w:spacing w:after="0"/>
              <w:rPr>
                <w:sz w:val="21"/>
                <w:szCs w:val="21"/>
                <w:color w:val="auto"/>
              </w:rPr>
            </w:pPr>
          </w:p>
        </w:tc>
        <w:tc>
          <w:tcPr>
            <w:tcW w:w="340" w:type="dxa"/>
            <w:vAlign w:val="bottom"/>
            <w:shd w:val="clear" w:color="auto" w:fill="DDDDDD"/>
          </w:tcPr>
          <w:p>
            <w:pPr>
              <w:spacing w:after="0"/>
              <w:rPr>
                <w:sz w:val="21"/>
                <w:szCs w:val="21"/>
                <w:color w:val="auto"/>
              </w:rPr>
            </w:pPr>
          </w:p>
        </w:tc>
        <w:tc>
          <w:tcPr>
            <w:tcW w:w="1200" w:type="dxa"/>
            <w:vAlign w:val="bottom"/>
            <w:gridSpan w:val="2"/>
            <w:shd w:val="clear" w:color="auto" w:fill="DDDDDD"/>
          </w:tcPr>
          <w:p>
            <w:pPr>
              <w:jc w:val="right"/>
              <w:ind w:right="180"/>
              <w:spacing w:after="0"/>
              <w:rPr>
                <w:sz w:val="20"/>
                <w:szCs w:val="20"/>
                <w:color w:val="auto"/>
              </w:rPr>
            </w:pPr>
            <w:r>
              <w:rPr>
                <w:rFonts w:ascii="Arial" w:cs="Arial" w:eastAsia="Arial" w:hAnsi="Arial"/>
                <w:sz w:val="20"/>
                <w:szCs w:val="20"/>
                <w:color w:val="auto"/>
              </w:rPr>
              <w:t>—</w:t>
            </w:r>
          </w:p>
        </w:tc>
        <w:tc>
          <w:tcPr>
            <w:tcW w:w="340" w:type="dxa"/>
            <w:vAlign w:val="bottom"/>
            <w:shd w:val="clear" w:color="auto" w:fill="DDDDDD"/>
          </w:tcPr>
          <w:p>
            <w:pPr>
              <w:spacing w:after="0"/>
              <w:rPr>
                <w:sz w:val="21"/>
                <w:szCs w:val="21"/>
                <w:color w:val="auto"/>
              </w:rPr>
            </w:pPr>
          </w:p>
        </w:tc>
        <w:tc>
          <w:tcPr>
            <w:tcW w:w="1120" w:type="dxa"/>
            <w:vAlign w:val="bottom"/>
            <w:shd w:val="clear" w:color="auto" w:fill="DDDDDD"/>
          </w:tcPr>
          <w:p>
            <w:pPr>
              <w:jc w:val="right"/>
              <w:spacing w:after="0"/>
              <w:rPr>
                <w:sz w:val="20"/>
                <w:szCs w:val="20"/>
                <w:color w:val="auto"/>
              </w:rPr>
            </w:pPr>
            <w:r>
              <w:rPr>
                <w:rFonts w:ascii="Arial" w:cs="Arial" w:eastAsia="Arial" w:hAnsi="Arial"/>
                <w:sz w:val="20"/>
                <w:szCs w:val="20"/>
                <w:color w:val="auto"/>
              </w:rPr>
              <w:t>—</w:t>
            </w:r>
          </w:p>
        </w:tc>
      </w:tr>
      <w:tr>
        <w:trPr>
          <w:trHeight w:val="230"/>
        </w:trPr>
        <w:tc>
          <w:tcPr>
            <w:tcW w:w="6680" w:type="dxa"/>
            <w:vAlign w:val="bottom"/>
          </w:tcPr>
          <w:p>
            <w:pPr>
              <w:ind w:left="480"/>
              <w:spacing w:after="0"/>
              <w:rPr>
                <w:sz w:val="20"/>
                <w:szCs w:val="20"/>
                <w:color w:val="auto"/>
              </w:rPr>
            </w:pPr>
            <w:r>
              <w:rPr>
                <w:rFonts w:ascii="Arial" w:cs="Arial" w:eastAsia="Arial" w:hAnsi="Arial"/>
                <w:sz w:val="18"/>
                <w:szCs w:val="18"/>
                <w:color w:val="auto"/>
              </w:rPr>
              <w:t>Cash flow hedges recognized in other comprehensive income</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29"/>
        </w:trPr>
        <w:tc>
          <w:tcPr>
            <w:tcW w:w="6680" w:type="dxa"/>
            <w:vAlign w:val="bottom"/>
            <w:shd w:val="clear" w:color="auto" w:fill="DDDDDD"/>
          </w:tcPr>
          <w:p>
            <w:pPr>
              <w:ind w:left="480"/>
              <w:spacing w:after="0"/>
              <w:rPr>
                <w:sz w:val="20"/>
                <w:szCs w:val="20"/>
                <w:color w:val="auto"/>
              </w:rPr>
            </w:pPr>
            <w:r>
              <w:rPr>
                <w:rFonts w:ascii="Arial" w:cs="Arial" w:eastAsia="Arial" w:hAnsi="Arial"/>
                <w:sz w:val="18"/>
                <w:szCs w:val="18"/>
                <w:color w:val="auto"/>
              </w:rPr>
              <w:t>Less: Reclassification adjustment for gains (losses) included in net income</w:t>
            </w:r>
          </w:p>
        </w:tc>
        <w:tc>
          <w:tcPr>
            <w:tcW w:w="880" w:type="dxa"/>
            <w:vAlign w:val="bottom"/>
            <w:tcBorders>
              <w:bottom w:val="single" w:sz="8" w:color="auto"/>
            </w:tcBorders>
            <w:shd w:val="clear" w:color="auto" w:fill="DDDDDD"/>
          </w:tcPr>
          <w:p>
            <w:pPr>
              <w:spacing w:after="0"/>
              <w:rPr>
                <w:sz w:val="19"/>
                <w:szCs w:val="19"/>
                <w:color w:val="auto"/>
              </w:rPr>
            </w:pPr>
          </w:p>
        </w:tc>
        <w:tc>
          <w:tcPr>
            <w:tcW w:w="5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DDDDDD"/>
          </w:tcPr>
          <w:p>
            <w:pPr>
              <w:spacing w:after="0"/>
              <w:rPr>
                <w:sz w:val="19"/>
                <w:szCs w:val="19"/>
                <w:color w:val="auto"/>
              </w:rPr>
            </w:pPr>
          </w:p>
        </w:tc>
        <w:tc>
          <w:tcPr>
            <w:tcW w:w="340" w:type="dxa"/>
            <w:vAlign w:val="bottom"/>
            <w:tcBorders>
              <w:bottom w:val="single" w:sz="8" w:color="auto"/>
            </w:tcBorders>
            <w:shd w:val="clear" w:color="auto" w:fill="DDDDDD"/>
          </w:tcPr>
          <w:p>
            <w:pPr>
              <w:spacing w:after="0"/>
              <w:rPr>
                <w:sz w:val="19"/>
                <w:szCs w:val="19"/>
                <w:color w:val="auto"/>
              </w:rPr>
            </w:pPr>
          </w:p>
        </w:tc>
        <w:tc>
          <w:tcPr>
            <w:tcW w:w="11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DDDDDD"/>
          </w:tcPr>
          <w:p>
            <w:pPr>
              <w:spacing w:after="0"/>
              <w:rPr>
                <w:sz w:val="19"/>
                <w:szCs w:val="19"/>
                <w:color w:val="auto"/>
              </w:rPr>
            </w:pPr>
          </w:p>
        </w:tc>
        <w:tc>
          <w:tcPr>
            <w:tcW w:w="340" w:type="dxa"/>
            <w:vAlign w:val="bottom"/>
            <w:tcBorders>
              <w:bottom w:val="single" w:sz="8" w:color="auto"/>
            </w:tcBorders>
            <w:shd w:val="clear" w:color="auto" w:fill="DDDDDD"/>
          </w:tcPr>
          <w:p>
            <w:pPr>
              <w:spacing w:after="0"/>
              <w:rPr>
                <w:sz w:val="19"/>
                <w:szCs w:val="19"/>
                <w:color w:val="auto"/>
              </w:rPr>
            </w:pPr>
          </w:p>
        </w:tc>
        <w:tc>
          <w:tcPr>
            <w:tcW w:w="11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6680" w:type="dxa"/>
            <w:vAlign w:val="bottom"/>
          </w:tcPr>
          <w:p>
            <w:pPr>
              <w:ind w:left="360"/>
              <w:spacing w:after="0"/>
              <w:rPr>
                <w:sz w:val="20"/>
                <w:szCs w:val="20"/>
                <w:color w:val="auto"/>
              </w:rPr>
            </w:pPr>
            <w:r>
              <w:rPr>
                <w:rFonts w:ascii="Arial" w:cs="Arial" w:eastAsia="Arial" w:hAnsi="Arial"/>
                <w:sz w:val="18"/>
                <w:szCs w:val="18"/>
                <w:color w:val="auto"/>
              </w:rPr>
              <w:t>Changes in fair value of cash flow hedges</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29"/>
        </w:trPr>
        <w:tc>
          <w:tcPr>
            <w:tcW w:w="6680" w:type="dxa"/>
            <w:vAlign w:val="bottom"/>
            <w:shd w:val="clear" w:color="auto" w:fill="DDDDDD"/>
          </w:tcPr>
          <w:p>
            <w:pPr>
              <w:ind w:left="140"/>
              <w:spacing w:after="0"/>
              <w:rPr>
                <w:sz w:val="20"/>
                <w:szCs w:val="20"/>
                <w:color w:val="auto"/>
              </w:rPr>
            </w:pPr>
            <w:r>
              <w:rPr>
                <w:rFonts w:ascii="Arial" w:cs="Arial" w:eastAsia="Arial" w:hAnsi="Arial"/>
                <w:sz w:val="18"/>
                <w:szCs w:val="18"/>
                <w:color w:val="auto"/>
              </w:rPr>
              <w:t>Other comprehensive income (loss), net of tax</w:t>
            </w:r>
          </w:p>
        </w:tc>
        <w:tc>
          <w:tcPr>
            <w:tcW w:w="880" w:type="dxa"/>
            <w:vAlign w:val="bottom"/>
            <w:shd w:val="clear" w:color="auto" w:fill="DDDDDD"/>
          </w:tcPr>
          <w:p>
            <w:pPr>
              <w:spacing w:after="0"/>
              <w:rPr>
                <w:sz w:val="19"/>
                <w:szCs w:val="19"/>
                <w:color w:val="auto"/>
              </w:rPr>
            </w:pPr>
          </w:p>
        </w:tc>
        <w:tc>
          <w:tcPr>
            <w:tcW w:w="5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(177)</w:t>
            </w:r>
          </w:p>
        </w:tc>
        <w:tc>
          <w:tcPr>
            <w:tcW w:w="12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11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(1,206)</w:t>
            </w:r>
          </w:p>
        </w:tc>
      </w:tr>
      <w:tr>
        <w:trPr>
          <w:trHeight w:val="229"/>
        </w:trPr>
        <w:tc>
          <w:tcPr>
            <w:tcW w:w="668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4,688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5,622</w:t>
            </w:r>
          </w:p>
        </w:tc>
      </w:tr>
      <w:tr>
        <w:trPr>
          <w:trHeight w:val="230"/>
        </w:trPr>
        <w:tc>
          <w:tcPr>
            <w:tcW w:w="6680" w:type="dxa"/>
            <w:vAlign w:val="bottom"/>
            <w:shd w:val="clear" w:color="auto" w:fill="DDDDDD"/>
          </w:tcPr>
          <w:p>
            <w:pPr>
              <w:ind w:left="360"/>
              <w:spacing w:after="0"/>
              <w:rPr>
                <w:sz w:val="20"/>
                <w:szCs w:val="20"/>
                <w:color w:val="auto"/>
              </w:rPr>
            </w:pPr>
            <w:r>
              <w:rPr>
                <w:rFonts w:ascii="Arial" w:cs="Arial" w:eastAsia="Arial" w:hAnsi="Arial"/>
                <w:sz w:val="18"/>
                <w:szCs w:val="18"/>
                <w:color w:val="auto"/>
              </w:rPr>
              <w:t>Less: Comprehensive income attributable to the noncontrolling interest</w:t>
            </w:r>
          </w:p>
        </w:tc>
        <w:tc>
          <w:tcPr>
            <w:tcW w:w="880" w:type="dxa"/>
            <w:vAlign w:val="bottom"/>
            <w:tcBorders>
              <w:bottom w:val="single" w:sz="8" w:color="auto"/>
            </w:tcBorders>
            <w:shd w:val="clear" w:color="auto" w:fill="DDDDDD"/>
          </w:tcPr>
          <w:p>
            <w:pPr>
              <w:spacing w:after="0"/>
              <w:rPr>
                <w:sz w:val="19"/>
                <w:szCs w:val="19"/>
                <w:color w:val="auto"/>
              </w:rPr>
            </w:pPr>
          </w:p>
        </w:tc>
        <w:tc>
          <w:tcPr>
            <w:tcW w:w="5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89</w:t>
            </w:r>
          </w:p>
        </w:tc>
        <w:tc>
          <w:tcPr>
            <w:tcW w:w="120" w:type="dxa"/>
            <w:vAlign w:val="bottom"/>
            <w:shd w:val="clear" w:color="auto" w:fill="DDDDDD"/>
          </w:tcPr>
          <w:p>
            <w:pPr>
              <w:spacing w:after="0"/>
              <w:rPr>
                <w:sz w:val="19"/>
                <w:szCs w:val="19"/>
                <w:color w:val="auto"/>
              </w:rPr>
            </w:pPr>
          </w:p>
        </w:tc>
        <w:tc>
          <w:tcPr>
            <w:tcW w:w="340" w:type="dxa"/>
            <w:vAlign w:val="bottom"/>
            <w:tcBorders>
              <w:bottom w:val="single" w:sz="8" w:color="auto"/>
            </w:tcBorders>
            <w:shd w:val="clear" w:color="auto" w:fill="DDDDDD"/>
          </w:tcPr>
          <w:p>
            <w:pPr>
              <w:spacing w:after="0"/>
              <w:rPr>
                <w:sz w:val="19"/>
                <w:szCs w:val="19"/>
                <w:color w:val="auto"/>
              </w:rPr>
            </w:pPr>
          </w:p>
        </w:tc>
        <w:tc>
          <w:tcPr>
            <w:tcW w:w="11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DDDDDD"/>
          </w:tcPr>
          <w:p>
            <w:pPr>
              <w:spacing w:after="0"/>
              <w:rPr>
                <w:sz w:val="19"/>
                <w:szCs w:val="19"/>
                <w:color w:val="auto"/>
              </w:rPr>
            </w:pPr>
          </w:p>
        </w:tc>
        <w:tc>
          <w:tcPr>
            <w:tcW w:w="340" w:type="dxa"/>
            <w:vAlign w:val="bottom"/>
            <w:tcBorders>
              <w:bottom w:val="single" w:sz="8" w:color="auto"/>
            </w:tcBorders>
            <w:shd w:val="clear" w:color="auto" w:fill="DDDDDD"/>
          </w:tcPr>
          <w:p>
            <w:pPr>
              <w:spacing w:after="0"/>
              <w:rPr>
                <w:sz w:val="19"/>
                <w:szCs w:val="19"/>
                <w:color w:val="auto"/>
              </w:rPr>
            </w:pPr>
          </w:p>
        </w:tc>
        <w:tc>
          <w:tcPr>
            <w:tcW w:w="11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53</w:t>
            </w:r>
          </w:p>
        </w:tc>
      </w:tr>
      <w:tr>
        <w:trPr>
          <w:trHeight w:val="223"/>
        </w:trPr>
        <w:tc>
          <w:tcPr>
            <w:tcW w:w="6680" w:type="dxa"/>
            <w:vAlign w:val="bottom"/>
          </w:tcPr>
          <w:p>
            <w:pPr>
              <w:ind w:left="20"/>
              <w:spacing w:after="0"/>
              <w:rPr>
                <w:sz w:val="20"/>
                <w:szCs w:val="20"/>
                <w:color w:val="auto"/>
              </w:rPr>
            </w:pPr>
            <w:r>
              <w:rPr>
                <w:rFonts w:ascii="Arial" w:cs="Arial" w:eastAsia="Arial" w:hAnsi="Arial"/>
                <w:sz w:val="18"/>
                <w:szCs w:val="18"/>
                <w:color w:val="auto"/>
              </w:rPr>
              <w:t>Comprehensive income attributable to Honeywell</w:t>
            </w:r>
          </w:p>
        </w:tc>
        <w:tc>
          <w:tcPr>
            <w:tcW w:w="880" w:type="dxa"/>
            <w:vAlign w:val="bottom"/>
            <w:tcBorders>
              <w:bottom w:val="single" w:sz="8" w:color="auto"/>
            </w:tcBorders>
          </w:tcPr>
          <w:p>
            <w:pPr>
              <w:jc w:val="right"/>
              <w:ind w:right="67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4,599</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5,569</w:t>
            </w:r>
          </w:p>
        </w:tc>
      </w:tr>
      <w:tr>
        <w:trPr>
          <w:trHeight w:val="20"/>
        </w:trPr>
        <w:tc>
          <w:tcPr>
            <w:tcW w:w="66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Notes to Consolidated Financial Statements are an integral part of this statement.</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47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30" w:right="359" w:bottom="1440" w:gutter="0" w:footer="0" w:header="0"/>
        </w:sectPr>
      </w:pPr>
    </w:p>
    <w:bookmarkStart w:id="50" w:name="page51"/>
    <w:bookmarkEnd w:id="50"/>
    <w:p>
      <w:pPr>
        <w:jc w:val="center"/>
        <w:ind w:right="-19"/>
        <w:spacing w:after="0"/>
        <w:rPr>
          <w:sz w:val="20"/>
          <w:szCs w:val="20"/>
          <w:color w:val="auto"/>
        </w:rPr>
      </w:pPr>
      <w:r>
        <w:rPr>
          <w:rFonts w:ascii="Arial" w:cs="Arial" w:eastAsia="Arial" w:hAnsi="Arial"/>
          <w:sz w:val="22"/>
          <w:szCs w:val="22"/>
          <w:b w:val="1"/>
          <w:bCs w:val="1"/>
          <w:color w:val="auto"/>
        </w:rPr>
        <w:t>HONEYWELL INTERNATIONAL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w:t>
      </w:r>
    </w:p>
    <w:p>
      <w:pPr>
        <w:spacing w:after="0" w:line="51"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8200" w:type="dxa"/>
            <w:vAlign w:val="bottom"/>
          </w:tcPr>
          <w:p>
            <w:pPr>
              <w:spacing w:after="0"/>
              <w:rPr>
                <w:sz w:val="17"/>
                <w:szCs w:val="17"/>
                <w:color w:val="auto"/>
              </w:rPr>
            </w:pPr>
          </w:p>
        </w:tc>
        <w:tc>
          <w:tcPr>
            <w:tcW w:w="340" w:type="dxa"/>
            <w:vAlign w:val="bottom"/>
            <w:tcBorders>
              <w:bottom w:val="single" w:sz="8" w:color="DC202E"/>
            </w:tcBorders>
          </w:tcPr>
          <w:p>
            <w:pPr>
              <w:spacing w:after="0"/>
              <w:rPr>
                <w:sz w:val="17"/>
                <w:szCs w:val="17"/>
                <w:color w:val="auto"/>
              </w:rPr>
            </w:pPr>
          </w:p>
        </w:tc>
        <w:tc>
          <w:tcPr>
            <w:tcW w:w="1720" w:type="dxa"/>
            <w:vAlign w:val="bottom"/>
            <w:tcBorders>
              <w:bottom w:val="single" w:sz="8" w:color="DC202E"/>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DC202E"/>
            </w:tcBorders>
          </w:tcPr>
          <w:p>
            <w:pPr>
              <w:spacing w:after="0"/>
              <w:rPr>
                <w:sz w:val="17"/>
                <w:szCs w:val="17"/>
                <w:color w:val="auto"/>
              </w:rPr>
            </w:pPr>
          </w:p>
        </w:tc>
      </w:tr>
      <w:tr>
        <w:trPr>
          <w:trHeight w:val="196"/>
        </w:trPr>
        <w:tc>
          <w:tcPr>
            <w:tcW w:w="8200" w:type="dxa"/>
            <w:vAlign w:val="bottom"/>
          </w:tcPr>
          <w:p>
            <w:pPr>
              <w:spacing w:after="0"/>
              <w:rPr>
                <w:sz w:val="17"/>
                <w:szCs w:val="17"/>
                <w:color w:val="auto"/>
              </w:rPr>
            </w:pPr>
          </w:p>
        </w:tc>
        <w:tc>
          <w:tcPr>
            <w:tcW w:w="340" w:type="dxa"/>
            <w:vAlign w:val="bottom"/>
            <w:tcBorders>
              <w:bottom w:val="single" w:sz="8" w:color="DC202E"/>
            </w:tcBorders>
          </w:tcPr>
          <w:p>
            <w:pPr>
              <w:spacing w:after="0"/>
              <w:rPr>
                <w:sz w:val="17"/>
                <w:szCs w:val="17"/>
                <w:color w:val="auto"/>
              </w:rPr>
            </w:pPr>
          </w:p>
        </w:tc>
        <w:tc>
          <w:tcPr>
            <w:tcW w:w="1120" w:type="dxa"/>
            <w:vAlign w:val="bottom"/>
            <w:tcBorders>
              <w:bottom w:val="single" w:sz="8" w:color="DC202E"/>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DC202E"/>
            </w:tcBorders>
          </w:tcPr>
          <w:p>
            <w:pPr>
              <w:spacing w:after="0"/>
              <w:rPr>
                <w:sz w:val="17"/>
                <w:szCs w:val="17"/>
                <w:color w:val="auto"/>
              </w:rPr>
            </w:pPr>
          </w:p>
        </w:tc>
        <w:tc>
          <w:tcPr>
            <w:tcW w:w="500" w:type="dxa"/>
            <w:vAlign w:val="bottom"/>
            <w:tcBorders>
              <w:bottom w:val="single" w:sz="8" w:color="DC202E"/>
            </w:tcBorders>
          </w:tcPr>
          <w:p>
            <w:pPr>
              <w:spacing w:after="0"/>
              <w:rPr>
                <w:sz w:val="17"/>
                <w:szCs w:val="17"/>
                <w:color w:val="auto"/>
              </w:rPr>
            </w:pPr>
          </w:p>
        </w:tc>
        <w:tc>
          <w:tcPr>
            <w:tcW w:w="940" w:type="dxa"/>
            <w:vAlign w:val="bottom"/>
            <w:tcBorders>
              <w:bottom w:val="single" w:sz="8" w:color="DC202E"/>
            </w:tcBorders>
          </w:tcPr>
          <w:p>
            <w:pPr>
              <w:jc w:val="right"/>
              <w:ind w:right="471"/>
              <w:spacing w:after="0"/>
              <w:rPr>
                <w:sz w:val="20"/>
                <w:szCs w:val="20"/>
                <w:color w:val="auto"/>
              </w:rPr>
            </w:pPr>
            <w:r>
              <w:rPr>
                <w:rFonts w:ascii="Arial" w:cs="Arial" w:eastAsia="Arial" w:hAnsi="Arial"/>
                <w:sz w:val="14"/>
                <w:szCs w:val="14"/>
                <w:b w:val="1"/>
                <w:bCs w:val="1"/>
                <w:color w:val="auto"/>
              </w:rPr>
              <w:t>2019</w:t>
            </w:r>
          </w:p>
        </w:tc>
      </w:tr>
      <w:tr>
        <w:trPr>
          <w:trHeight w:val="189"/>
        </w:trPr>
        <w:tc>
          <w:tcPr>
            <w:tcW w:w="8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60" w:type="dxa"/>
            <w:vAlign w:val="bottom"/>
            <w:gridSpan w:val="4"/>
          </w:tcPr>
          <w:p>
            <w:pPr>
              <w:jc w:val="right"/>
              <w:ind w:right="731"/>
              <w:spacing w:after="0"/>
              <w:rPr>
                <w:sz w:val="20"/>
                <w:szCs w:val="20"/>
                <w:color w:val="auto"/>
              </w:rPr>
            </w:pPr>
            <w:r>
              <w:rPr>
                <w:rFonts w:ascii="Arial" w:cs="Arial" w:eastAsia="Arial" w:hAnsi="Arial"/>
                <w:sz w:val="14"/>
                <w:szCs w:val="14"/>
                <w:b w:val="1"/>
                <w:bCs w:val="1"/>
                <w:color w:val="auto"/>
              </w:rPr>
              <w:t>(Dollars in millions)</w:t>
            </w:r>
          </w:p>
        </w:tc>
      </w:tr>
      <w:tr>
        <w:trPr>
          <w:trHeight w:val="230"/>
        </w:trPr>
        <w:tc>
          <w:tcPr>
            <w:tcW w:w="8200" w:type="dxa"/>
            <w:vAlign w:val="bottom"/>
            <w:shd w:val="clear" w:color="auto" w:fill="DDDDDD"/>
          </w:tcPr>
          <w:p>
            <w:pPr>
              <w:ind w:left="20"/>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DDDDDD"/>
          </w:tcPr>
          <w:p>
            <w:pPr>
              <w:spacing w:after="0"/>
              <w:rPr>
                <w:sz w:val="19"/>
                <w:szCs w:val="19"/>
                <w:color w:val="auto"/>
              </w:rPr>
            </w:pPr>
          </w:p>
        </w:tc>
        <w:tc>
          <w:tcPr>
            <w:tcW w:w="112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500" w:type="dxa"/>
            <w:vAlign w:val="bottom"/>
            <w:shd w:val="clear" w:color="auto" w:fill="DDDDDD"/>
          </w:tcPr>
          <w:p>
            <w:pPr>
              <w:spacing w:after="0"/>
              <w:rPr>
                <w:sz w:val="19"/>
                <w:szCs w:val="19"/>
                <w:color w:val="auto"/>
              </w:rPr>
            </w:pPr>
          </w:p>
        </w:tc>
        <w:tc>
          <w:tcPr>
            <w:tcW w:w="940" w:type="dxa"/>
            <w:vAlign w:val="bottom"/>
            <w:shd w:val="clear" w:color="auto" w:fill="DDDDDD"/>
          </w:tcPr>
          <w:p>
            <w:pPr>
              <w:spacing w:after="0"/>
              <w:rPr>
                <w:sz w:val="19"/>
                <w:szCs w:val="19"/>
                <w:color w:val="auto"/>
              </w:rPr>
            </w:pPr>
          </w:p>
        </w:tc>
      </w:tr>
      <w:tr>
        <w:trPr>
          <w:trHeight w:val="229"/>
        </w:trPr>
        <w:tc>
          <w:tcPr>
            <w:tcW w:w="82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8200" w:type="dxa"/>
            <w:vAlign w:val="bottom"/>
            <w:shd w:val="clear" w:color="auto" w:fill="DDDDDD"/>
          </w:tcPr>
          <w:p>
            <w:pPr>
              <w:ind w:left="14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14,275</w:t>
            </w:r>
          </w:p>
        </w:tc>
        <w:tc>
          <w:tcPr>
            <w:tcW w:w="100" w:type="dxa"/>
            <w:vAlign w:val="bottom"/>
            <w:shd w:val="clear" w:color="auto" w:fill="DDDDDD"/>
          </w:tcPr>
          <w:p>
            <w:pPr>
              <w:spacing w:after="0"/>
              <w:rPr>
                <w:sz w:val="19"/>
                <w:szCs w:val="19"/>
                <w:color w:val="auto"/>
              </w:rPr>
            </w:pPr>
          </w:p>
        </w:tc>
        <w:tc>
          <w:tcPr>
            <w:tcW w:w="500" w:type="dxa"/>
            <w:vAlign w:val="bottom"/>
            <w:shd w:val="clear" w:color="auto" w:fill="DDDDDD"/>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9,067</w:t>
            </w:r>
          </w:p>
        </w:tc>
      </w:tr>
      <w:tr>
        <w:trPr>
          <w:trHeight w:val="229"/>
        </w:trPr>
        <w:tc>
          <w:tcPr>
            <w:tcW w:w="8200" w:type="dxa"/>
            <w:vAlign w:val="bottom"/>
          </w:tcPr>
          <w:p>
            <w:pPr>
              <w:ind w:left="140"/>
              <w:spacing w:after="0"/>
              <w:rPr>
                <w:sz w:val="20"/>
                <w:szCs w:val="20"/>
                <w:color w:val="auto"/>
              </w:rPr>
            </w:pPr>
            <w:r>
              <w:rPr>
                <w:rFonts w:ascii="Arial" w:cs="Arial" w:eastAsia="Arial" w:hAnsi="Arial"/>
                <w:sz w:val="18"/>
                <w:szCs w:val="18"/>
                <w:color w:val="auto"/>
              </w:rPr>
              <w:t>Short-term investments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1,349</w:t>
            </w:r>
          </w:p>
        </w:tc>
      </w:tr>
      <w:tr>
        <w:trPr>
          <w:trHeight w:val="229"/>
        </w:trPr>
        <w:tc>
          <w:tcPr>
            <w:tcW w:w="8200" w:type="dxa"/>
            <w:vAlign w:val="bottom"/>
            <w:shd w:val="clear" w:color="auto" w:fill="DDDDDD"/>
          </w:tcPr>
          <w:p>
            <w:pPr>
              <w:ind w:left="140"/>
              <w:spacing w:after="0"/>
              <w:rPr>
                <w:sz w:val="20"/>
                <w:szCs w:val="20"/>
                <w:color w:val="auto"/>
              </w:rPr>
            </w:pPr>
            <w:r>
              <w:rPr>
                <w:rFonts w:ascii="Arial" w:cs="Arial" w:eastAsia="Arial" w:hAnsi="Arial"/>
                <w:sz w:val="18"/>
                <w:szCs w:val="18"/>
                <w:color w:val="auto"/>
              </w:rPr>
              <w:t>Accounts receivable—net</w:t>
            </w:r>
          </w:p>
        </w:tc>
        <w:tc>
          <w:tcPr>
            <w:tcW w:w="340" w:type="dxa"/>
            <w:vAlign w:val="bottom"/>
            <w:shd w:val="clear" w:color="auto" w:fill="DDDDDD"/>
          </w:tcPr>
          <w:p>
            <w:pPr>
              <w:spacing w:after="0"/>
              <w:rPr>
                <w:sz w:val="19"/>
                <w:szCs w:val="19"/>
                <w:color w:val="auto"/>
              </w:rPr>
            </w:pPr>
          </w:p>
        </w:tc>
        <w:tc>
          <w:tcPr>
            <w:tcW w:w="11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6,827</w:t>
            </w:r>
          </w:p>
        </w:tc>
        <w:tc>
          <w:tcPr>
            <w:tcW w:w="100" w:type="dxa"/>
            <w:vAlign w:val="bottom"/>
            <w:shd w:val="clear" w:color="auto" w:fill="DDDDDD"/>
          </w:tcPr>
          <w:p>
            <w:pPr>
              <w:spacing w:after="0"/>
              <w:rPr>
                <w:sz w:val="19"/>
                <w:szCs w:val="19"/>
                <w:color w:val="auto"/>
              </w:rPr>
            </w:pPr>
          </w:p>
        </w:tc>
        <w:tc>
          <w:tcPr>
            <w:tcW w:w="500" w:type="dxa"/>
            <w:vAlign w:val="bottom"/>
            <w:shd w:val="clear" w:color="auto" w:fill="DDDDDD"/>
          </w:tcPr>
          <w:p>
            <w:pPr>
              <w:spacing w:after="0"/>
              <w:rPr>
                <w:sz w:val="19"/>
                <w:szCs w:val="19"/>
                <w:color w:val="auto"/>
              </w:rPr>
            </w:pPr>
          </w:p>
        </w:tc>
        <w:tc>
          <w:tcPr>
            <w:tcW w:w="9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7,493</w:t>
            </w:r>
          </w:p>
        </w:tc>
      </w:tr>
      <w:tr>
        <w:trPr>
          <w:trHeight w:val="230"/>
        </w:trPr>
        <w:tc>
          <w:tcPr>
            <w:tcW w:w="8200" w:type="dxa"/>
            <w:vAlign w:val="bottom"/>
          </w:tcPr>
          <w:p>
            <w:pPr>
              <w:ind w:left="140"/>
              <w:spacing w:after="0"/>
              <w:rPr>
                <w:sz w:val="20"/>
                <w:szCs w:val="20"/>
                <w:color w:val="auto"/>
              </w:rPr>
            </w:pPr>
            <w:r>
              <w:rPr>
                <w:rFonts w:ascii="Arial" w:cs="Arial" w:eastAsia="Arial" w:hAnsi="Arial"/>
                <w:sz w:val="18"/>
                <w:szCs w:val="18"/>
                <w:color w:val="auto"/>
              </w:rPr>
              <w:t>Inventories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4,489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4,421</w:t>
            </w:r>
          </w:p>
        </w:tc>
      </w:tr>
      <w:tr>
        <w:trPr>
          <w:trHeight w:val="229"/>
        </w:trPr>
        <w:tc>
          <w:tcPr>
            <w:tcW w:w="8200" w:type="dxa"/>
            <w:vAlign w:val="bottom"/>
            <w:shd w:val="clear" w:color="auto" w:fill="DDDDDD"/>
          </w:tcPr>
          <w:p>
            <w:pPr>
              <w:ind w:left="140"/>
              <w:spacing w:after="0"/>
              <w:rPr>
                <w:sz w:val="20"/>
                <w:szCs w:val="20"/>
                <w:color w:val="auto"/>
              </w:rPr>
            </w:pPr>
            <w:r>
              <w:rPr>
                <w:rFonts w:ascii="Arial" w:cs="Arial" w:eastAsia="Arial" w:hAnsi="Arial"/>
                <w:sz w:val="18"/>
                <w:szCs w:val="18"/>
                <w:color w:val="auto"/>
              </w:rPr>
              <w:t>Other current assets</w:t>
            </w:r>
          </w:p>
        </w:tc>
        <w:tc>
          <w:tcPr>
            <w:tcW w:w="340" w:type="dxa"/>
            <w:vAlign w:val="bottom"/>
            <w:tcBorders>
              <w:bottom w:val="single" w:sz="8" w:color="auto"/>
            </w:tcBorders>
            <w:shd w:val="clear" w:color="auto" w:fill="DDDDDD"/>
          </w:tcPr>
          <w:p>
            <w:pPr>
              <w:spacing w:after="0"/>
              <w:rPr>
                <w:sz w:val="19"/>
                <w:szCs w:val="19"/>
                <w:color w:val="auto"/>
              </w:rPr>
            </w:pPr>
          </w:p>
        </w:tc>
        <w:tc>
          <w:tcPr>
            <w:tcW w:w="11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1,639</w:t>
            </w:r>
          </w:p>
        </w:tc>
        <w:tc>
          <w:tcPr>
            <w:tcW w:w="100" w:type="dxa"/>
            <w:vAlign w:val="bottom"/>
            <w:shd w:val="clear" w:color="auto" w:fill="DDDDDD"/>
          </w:tcPr>
          <w:p>
            <w:pPr>
              <w:spacing w:after="0"/>
              <w:rPr>
                <w:sz w:val="19"/>
                <w:szCs w:val="19"/>
                <w:color w:val="auto"/>
              </w:rPr>
            </w:pPr>
          </w:p>
        </w:tc>
        <w:tc>
          <w:tcPr>
            <w:tcW w:w="500" w:type="dxa"/>
            <w:vAlign w:val="bottom"/>
            <w:tcBorders>
              <w:bottom w:val="single" w:sz="8" w:color="auto"/>
            </w:tcBorders>
            <w:shd w:val="clear" w:color="auto" w:fill="DDDDDD"/>
          </w:tcPr>
          <w:p>
            <w:pPr>
              <w:spacing w:after="0"/>
              <w:rPr>
                <w:sz w:val="19"/>
                <w:szCs w:val="19"/>
                <w:color w:val="auto"/>
              </w:rPr>
            </w:pPr>
          </w:p>
        </w:tc>
        <w:tc>
          <w:tcPr>
            <w:tcW w:w="9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1,973</w:t>
            </w:r>
          </w:p>
        </w:tc>
      </w:tr>
      <w:tr>
        <w:trPr>
          <w:trHeight w:val="223"/>
        </w:trPr>
        <w:tc>
          <w:tcPr>
            <w:tcW w:w="8200" w:type="dxa"/>
            <w:vAlign w:val="bottom"/>
          </w:tcPr>
          <w:p>
            <w:pPr>
              <w:ind w:left="660"/>
              <w:spacing w:after="0"/>
              <w:rPr>
                <w:sz w:val="20"/>
                <w:szCs w:val="20"/>
                <w:color w:val="auto"/>
              </w:rPr>
            </w:pPr>
            <w:r>
              <w:rPr>
                <w:rFonts w:ascii="Arial" w:cs="Arial" w:eastAsia="Arial" w:hAnsi="Arial"/>
                <w:sz w:val="18"/>
                <w:szCs w:val="18"/>
                <w:color w:val="auto"/>
              </w:rPr>
              <w:t>Total current assets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28,175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24,303</w:t>
            </w:r>
          </w:p>
        </w:tc>
      </w:tr>
      <w:tr>
        <w:trPr>
          <w:trHeight w:val="229"/>
        </w:trPr>
        <w:tc>
          <w:tcPr>
            <w:tcW w:w="8200" w:type="dxa"/>
            <w:vAlign w:val="bottom"/>
            <w:shd w:val="clear" w:color="auto" w:fill="DDDDDD"/>
          </w:tcPr>
          <w:p>
            <w:pPr>
              <w:ind w:left="20"/>
              <w:spacing w:after="0"/>
              <w:rPr>
                <w:sz w:val="20"/>
                <w:szCs w:val="20"/>
                <w:color w:val="auto"/>
              </w:rPr>
            </w:pPr>
            <w:r>
              <w:rPr>
                <w:rFonts w:ascii="Arial" w:cs="Arial" w:eastAsia="Arial" w:hAnsi="Arial"/>
                <w:sz w:val="18"/>
                <w:szCs w:val="18"/>
                <w:color w:val="auto"/>
              </w:rPr>
              <w:t>Investments and long-term receivables</w:t>
            </w:r>
          </w:p>
        </w:tc>
        <w:tc>
          <w:tcPr>
            <w:tcW w:w="340" w:type="dxa"/>
            <w:vAlign w:val="bottom"/>
            <w:shd w:val="clear" w:color="auto" w:fill="DDDDDD"/>
          </w:tcPr>
          <w:p>
            <w:pPr>
              <w:spacing w:after="0"/>
              <w:rPr>
                <w:sz w:val="19"/>
                <w:szCs w:val="19"/>
                <w:color w:val="auto"/>
              </w:rPr>
            </w:pPr>
          </w:p>
        </w:tc>
        <w:tc>
          <w:tcPr>
            <w:tcW w:w="11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685</w:t>
            </w:r>
          </w:p>
        </w:tc>
        <w:tc>
          <w:tcPr>
            <w:tcW w:w="100" w:type="dxa"/>
            <w:vAlign w:val="bottom"/>
            <w:shd w:val="clear" w:color="auto" w:fill="DDDDDD"/>
          </w:tcPr>
          <w:p>
            <w:pPr>
              <w:spacing w:after="0"/>
              <w:rPr>
                <w:sz w:val="19"/>
                <w:szCs w:val="19"/>
                <w:color w:val="auto"/>
              </w:rPr>
            </w:pPr>
          </w:p>
        </w:tc>
        <w:tc>
          <w:tcPr>
            <w:tcW w:w="500" w:type="dxa"/>
            <w:vAlign w:val="bottom"/>
            <w:shd w:val="clear" w:color="auto" w:fill="DDDDDD"/>
          </w:tcPr>
          <w:p>
            <w:pPr>
              <w:spacing w:after="0"/>
              <w:rPr>
                <w:sz w:val="19"/>
                <w:szCs w:val="19"/>
                <w:color w:val="auto"/>
              </w:rPr>
            </w:pPr>
          </w:p>
        </w:tc>
        <w:tc>
          <w:tcPr>
            <w:tcW w:w="9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588</w:t>
            </w:r>
          </w:p>
        </w:tc>
      </w:tr>
      <w:tr>
        <w:trPr>
          <w:trHeight w:val="229"/>
        </w:trPr>
        <w:tc>
          <w:tcPr>
            <w:tcW w:w="8200" w:type="dxa"/>
            <w:vAlign w:val="bottom"/>
          </w:tcPr>
          <w:p>
            <w:pPr>
              <w:ind w:left="20"/>
              <w:spacing w:after="0"/>
              <w:rPr>
                <w:sz w:val="20"/>
                <w:szCs w:val="20"/>
                <w:color w:val="auto"/>
              </w:rPr>
            </w:pPr>
            <w:r>
              <w:rPr>
                <w:rFonts w:ascii="Arial" w:cs="Arial" w:eastAsia="Arial" w:hAnsi="Arial"/>
                <w:sz w:val="18"/>
                <w:szCs w:val="18"/>
                <w:color w:val="auto"/>
              </w:rPr>
              <w:t>Property, plant and equipment—net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5,570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5,325</w:t>
            </w:r>
          </w:p>
        </w:tc>
      </w:tr>
      <w:tr>
        <w:trPr>
          <w:trHeight w:val="230"/>
        </w:trPr>
        <w:tc>
          <w:tcPr>
            <w:tcW w:w="8200" w:type="dxa"/>
            <w:vAlign w:val="bottom"/>
            <w:shd w:val="clear" w:color="auto" w:fill="DDDDDD"/>
          </w:tcPr>
          <w:p>
            <w:pPr>
              <w:ind w:left="20"/>
              <w:spacing w:after="0"/>
              <w:rPr>
                <w:sz w:val="20"/>
                <w:szCs w:val="20"/>
                <w:color w:val="auto"/>
              </w:rPr>
            </w:pPr>
            <w:r>
              <w:rPr>
                <w:rFonts w:ascii="Arial" w:cs="Arial" w:eastAsia="Arial" w:hAnsi="Arial"/>
                <w:sz w:val="18"/>
                <w:szCs w:val="18"/>
                <w:color w:val="auto"/>
              </w:rPr>
              <w:t>Goodwill</w:t>
            </w:r>
          </w:p>
        </w:tc>
        <w:tc>
          <w:tcPr>
            <w:tcW w:w="340" w:type="dxa"/>
            <w:vAlign w:val="bottom"/>
            <w:shd w:val="clear" w:color="auto" w:fill="DDDDDD"/>
          </w:tcPr>
          <w:p>
            <w:pPr>
              <w:spacing w:after="0"/>
              <w:rPr>
                <w:sz w:val="19"/>
                <w:szCs w:val="19"/>
                <w:color w:val="auto"/>
              </w:rPr>
            </w:pPr>
          </w:p>
        </w:tc>
        <w:tc>
          <w:tcPr>
            <w:tcW w:w="11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16,058</w:t>
            </w:r>
          </w:p>
        </w:tc>
        <w:tc>
          <w:tcPr>
            <w:tcW w:w="100" w:type="dxa"/>
            <w:vAlign w:val="bottom"/>
            <w:shd w:val="clear" w:color="auto" w:fill="DDDDDD"/>
          </w:tcPr>
          <w:p>
            <w:pPr>
              <w:spacing w:after="0"/>
              <w:rPr>
                <w:sz w:val="19"/>
                <w:szCs w:val="19"/>
                <w:color w:val="auto"/>
              </w:rPr>
            </w:pPr>
          </w:p>
        </w:tc>
        <w:tc>
          <w:tcPr>
            <w:tcW w:w="500" w:type="dxa"/>
            <w:vAlign w:val="bottom"/>
            <w:shd w:val="clear" w:color="auto" w:fill="DDDDDD"/>
          </w:tcPr>
          <w:p>
            <w:pPr>
              <w:spacing w:after="0"/>
              <w:rPr>
                <w:sz w:val="19"/>
                <w:szCs w:val="19"/>
                <w:color w:val="auto"/>
              </w:rPr>
            </w:pPr>
          </w:p>
        </w:tc>
        <w:tc>
          <w:tcPr>
            <w:tcW w:w="9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15,563</w:t>
            </w:r>
          </w:p>
        </w:tc>
      </w:tr>
      <w:tr>
        <w:trPr>
          <w:trHeight w:val="229"/>
        </w:trPr>
        <w:tc>
          <w:tcPr>
            <w:tcW w:w="8200" w:type="dxa"/>
            <w:vAlign w:val="bottom"/>
          </w:tcPr>
          <w:p>
            <w:pPr>
              <w:ind w:left="20"/>
              <w:spacing w:after="0"/>
              <w:rPr>
                <w:sz w:val="20"/>
                <w:szCs w:val="20"/>
                <w:color w:val="auto"/>
              </w:rPr>
            </w:pPr>
            <w:r>
              <w:rPr>
                <w:rFonts w:ascii="Arial" w:cs="Arial" w:eastAsia="Arial" w:hAnsi="Arial"/>
                <w:sz w:val="18"/>
                <w:szCs w:val="18"/>
                <w:color w:val="auto"/>
              </w:rPr>
              <w:t>Other intangible assets—net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3,560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3,734</w:t>
            </w:r>
          </w:p>
        </w:tc>
      </w:tr>
      <w:tr>
        <w:trPr>
          <w:trHeight w:val="230"/>
        </w:trPr>
        <w:tc>
          <w:tcPr>
            <w:tcW w:w="8200" w:type="dxa"/>
            <w:vAlign w:val="bottom"/>
            <w:shd w:val="clear" w:color="auto" w:fill="DDDDDD"/>
          </w:tcPr>
          <w:p>
            <w:pPr>
              <w:ind w:left="20"/>
              <w:spacing w:after="0"/>
              <w:rPr>
                <w:sz w:val="20"/>
                <w:szCs w:val="20"/>
                <w:color w:val="auto"/>
              </w:rPr>
            </w:pPr>
            <w:r>
              <w:rPr>
                <w:rFonts w:ascii="Arial" w:cs="Arial" w:eastAsia="Arial" w:hAnsi="Arial"/>
                <w:sz w:val="18"/>
                <w:szCs w:val="18"/>
                <w:color w:val="auto"/>
              </w:rPr>
              <w:t>Insurance recoveries for asbestos related liabilities</w:t>
            </w:r>
          </w:p>
        </w:tc>
        <w:tc>
          <w:tcPr>
            <w:tcW w:w="340" w:type="dxa"/>
            <w:vAlign w:val="bottom"/>
            <w:shd w:val="clear" w:color="auto" w:fill="DDDDDD"/>
          </w:tcPr>
          <w:p>
            <w:pPr>
              <w:spacing w:after="0"/>
              <w:rPr>
                <w:sz w:val="19"/>
                <w:szCs w:val="19"/>
                <w:color w:val="auto"/>
              </w:rPr>
            </w:pPr>
          </w:p>
        </w:tc>
        <w:tc>
          <w:tcPr>
            <w:tcW w:w="11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366</w:t>
            </w:r>
          </w:p>
        </w:tc>
        <w:tc>
          <w:tcPr>
            <w:tcW w:w="100" w:type="dxa"/>
            <w:vAlign w:val="bottom"/>
            <w:shd w:val="clear" w:color="auto" w:fill="DDDDDD"/>
          </w:tcPr>
          <w:p>
            <w:pPr>
              <w:spacing w:after="0"/>
              <w:rPr>
                <w:sz w:val="19"/>
                <w:szCs w:val="19"/>
                <w:color w:val="auto"/>
              </w:rPr>
            </w:pPr>
          </w:p>
        </w:tc>
        <w:tc>
          <w:tcPr>
            <w:tcW w:w="500" w:type="dxa"/>
            <w:vAlign w:val="bottom"/>
            <w:shd w:val="clear" w:color="auto" w:fill="DDDDDD"/>
          </w:tcPr>
          <w:p>
            <w:pPr>
              <w:spacing w:after="0"/>
              <w:rPr>
                <w:sz w:val="19"/>
                <w:szCs w:val="19"/>
                <w:color w:val="auto"/>
              </w:rPr>
            </w:pPr>
          </w:p>
        </w:tc>
        <w:tc>
          <w:tcPr>
            <w:tcW w:w="9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392</w:t>
            </w:r>
          </w:p>
        </w:tc>
      </w:tr>
      <w:tr>
        <w:trPr>
          <w:trHeight w:val="229"/>
        </w:trPr>
        <w:tc>
          <w:tcPr>
            <w:tcW w:w="820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29"/>
        </w:trPr>
        <w:tc>
          <w:tcPr>
            <w:tcW w:w="8200" w:type="dxa"/>
            <w:vAlign w:val="bottom"/>
            <w:shd w:val="clear" w:color="auto" w:fill="DDDDDD"/>
          </w:tcPr>
          <w:p>
            <w:pPr>
              <w:ind w:left="20"/>
              <w:spacing w:after="0"/>
              <w:rPr>
                <w:sz w:val="20"/>
                <w:szCs w:val="20"/>
                <w:color w:val="auto"/>
              </w:rPr>
            </w:pPr>
            <w:r>
              <w:rPr>
                <w:rFonts w:ascii="Arial" w:cs="Arial" w:eastAsia="Arial" w:hAnsi="Arial"/>
                <w:sz w:val="18"/>
                <w:szCs w:val="18"/>
                <w:color w:val="auto"/>
              </w:rPr>
              <w:t>Other assets</w:t>
            </w:r>
          </w:p>
        </w:tc>
        <w:tc>
          <w:tcPr>
            <w:tcW w:w="340" w:type="dxa"/>
            <w:vAlign w:val="bottom"/>
            <w:tcBorders>
              <w:bottom w:val="single" w:sz="8" w:color="auto"/>
            </w:tcBorders>
            <w:shd w:val="clear" w:color="auto" w:fill="DDDDDD"/>
          </w:tcPr>
          <w:p>
            <w:pPr>
              <w:spacing w:after="0"/>
              <w:rPr>
                <w:sz w:val="19"/>
                <w:szCs w:val="19"/>
                <w:color w:val="auto"/>
              </w:rPr>
            </w:pPr>
          </w:p>
        </w:tc>
        <w:tc>
          <w:tcPr>
            <w:tcW w:w="11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9,412</w:t>
            </w:r>
          </w:p>
        </w:tc>
        <w:tc>
          <w:tcPr>
            <w:tcW w:w="100" w:type="dxa"/>
            <w:vAlign w:val="bottom"/>
            <w:shd w:val="clear" w:color="auto" w:fill="DDDDDD"/>
          </w:tcPr>
          <w:p>
            <w:pPr>
              <w:spacing w:after="0"/>
              <w:rPr>
                <w:sz w:val="19"/>
                <w:szCs w:val="19"/>
                <w:color w:val="auto"/>
              </w:rPr>
            </w:pPr>
          </w:p>
        </w:tc>
        <w:tc>
          <w:tcPr>
            <w:tcW w:w="500" w:type="dxa"/>
            <w:vAlign w:val="bottom"/>
            <w:tcBorders>
              <w:bottom w:val="single" w:sz="8" w:color="auto"/>
            </w:tcBorders>
            <w:shd w:val="clear" w:color="auto" w:fill="DDDDDD"/>
          </w:tcPr>
          <w:p>
            <w:pPr>
              <w:spacing w:after="0"/>
              <w:rPr>
                <w:sz w:val="19"/>
                <w:szCs w:val="19"/>
                <w:color w:val="auto"/>
              </w:rPr>
            </w:pPr>
          </w:p>
        </w:tc>
        <w:tc>
          <w:tcPr>
            <w:tcW w:w="9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8,688</w:t>
            </w:r>
          </w:p>
        </w:tc>
      </w:tr>
      <w:tr>
        <w:trPr>
          <w:trHeight w:val="223"/>
        </w:trPr>
        <w:tc>
          <w:tcPr>
            <w:tcW w:w="8200" w:type="dxa"/>
            <w:vAlign w:val="bottom"/>
          </w:tcPr>
          <w:p>
            <w:pPr>
              <w:ind w:left="66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64,586</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58,679</w:t>
            </w:r>
          </w:p>
        </w:tc>
      </w:tr>
      <w:tr>
        <w:trPr>
          <w:trHeight w:val="20"/>
        </w:trPr>
        <w:tc>
          <w:tcPr>
            <w:tcW w:w="8200" w:type="dxa"/>
            <w:vAlign w:val="bottom"/>
            <w:tcBorders>
              <w:bottom w:val="single" w:sz="8" w:color="DDDDDD"/>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DDDDD"/>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97"/>
        </w:trPr>
        <w:tc>
          <w:tcPr>
            <w:tcW w:w="8200" w:type="dxa"/>
            <w:vAlign w:val="bottom"/>
            <w:shd w:val="clear" w:color="auto" w:fill="DDDDDD"/>
          </w:tcPr>
          <w:p>
            <w:pPr>
              <w:ind w:left="20"/>
              <w:spacing w:after="0" w:line="196" w:lineRule="exact"/>
              <w:rPr>
                <w:sz w:val="20"/>
                <w:szCs w:val="20"/>
                <w:color w:val="auto"/>
              </w:rPr>
            </w:pPr>
            <w:r>
              <w:rPr>
                <w:rFonts w:ascii="Arial" w:cs="Arial" w:eastAsia="Arial" w:hAnsi="Arial"/>
                <w:sz w:val="18"/>
                <w:szCs w:val="18"/>
                <w:b w:val="1"/>
                <w:bCs w:val="1"/>
                <w:color w:val="auto"/>
              </w:rPr>
              <w:t>LIABILITIES</w:t>
            </w:r>
          </w:p>
        </w:tc>
        <w:tc>
          <w:tcPr>
            <w:tcW w:w="340" w:type="dxa"/>
            <w:vAlign w:val="bottom"/>
            <w:shd w:val="clear" w:color="auto" w:fill="DDDDDD"/>
          </w:tcPr>
          <w:p>
            <w:pPr>
              <w:spacing w:after="0"/>
              <w:rPr>
                <w:sz w:val="17"/>
                <w:szCs w:val="17"/>
                <w:color w:val="auto"/>
              </w:rPr>
            </w:pPr>
          </w:p>
        </w:tc>
        <w:tc>
          <w:tcPr>
            <w:tcW w:w="112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500" w:type="dxa"/>
            <w:vAlign w:val="bottom"/>
            <w:shd w:val="clear" w:color="auto" w:fill="DDDDDD"/>
          </w:tcPr>
          <w:p>
            <w:pPr>
              <w:spacing w:after="0"/>
              <w:rPr>
                <w:sz w:val="17"/>
                <w:szCs w:val="17"/>
                <w:color w:val="auto"/>
              </w:rPr>
            </w:pPr>
          </w:p>
        </w:tc>
        <w:tc>
          <w:tcPr>
            <w:tcW w:w="940" w:type="dxa"/>
            <w:vAlign w:val="bottom"/>
            <w:shd w:val="clear" w:color="auto" w:fill="DDDDDD"/>
          </w:tcPr>
          <w:p>
            <w:pPr>
              <w:spacing w:after="0"/>
              <w:rPr>
                <w:sz w:val="17"/>
                <w:szCs w:val="17"/>
                <w:color w:val="auto"/>
              </w:rPr>
            </w:pPr>
          </w:p>
        </w:tc>
      </w:tr>
      <w:tr>
        <w:trPr>
          <w:trHeight w:val="229"/>
        </w:trPr>
        <w:tc>
          <w:tcPr>
            <w:tcW w:w="82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8200" w:type="dxa"/>
            <w:vAlign w:val="bottom"/>
            <w:shd w:val="clear" w:color="auto" w:fill="DDDDDD"/>
          </w:tcPr>
          <w:p>
            <w:pPr>
              <w:ind w:left="140"/>
              <w:spacing w:after="0"/>
              <w:rPr>
                <w:sz w:val="20"/>
                <w:szCs w:val="20"/>
                <w:color w:val="auto"/>
              </w:rPr>
            </w:pPr>
            <w:r>
              <w:rPr>
                <w:rFonts w:ascii="Arial" w:cs="Arial" w:eastAsia="Arial" w:hAnsi="Arial"/>
                <w:sz w:val="18"/>
                <w:szCs w:val="18"/>
                <w:color w:val="auto"/>
              </w:rPr>
              <w:t>Accounts payable</w:t>
            </w:r>
          </w:p>
        </w:tc>
        <w:tc>
          <w:tcPr>
            <w:tcW w:w="3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5,750</w:t>
            </w:r>
          </w:p>
        </w:tc>
        <w:tc>
          <w:tcPr>
            <w:tcW w:w="100" w:type="dxa"/>
            <w:vAlign w:val="bottom"/>
            <w:shd w:val="clear" w:color="auto" w:fill="DDDDDD"/>
          </w:tcPr>
          <w:p>
            <w:pPr>
              <w:spacing w:after="0"/>
              <w:rPr>
                <w:sz w:val="19"/>
                <w:szCs w:val="19"/>
                <w:color w:val="auto"/>
              </w:rPr>
            </w:pPr>
          </w:p>
        </w:tc>
        <w:tc>
          <w:tcPr>
            <w:tcW w:w="500" w:type="dxa"/>
            <w:vAlign w:val="bottom"/>
            <w:shd w:val="clear" w:color="auto" w:fill="DDDDDD"/>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5,730</w:t>
            </w:r>
          </w:p>
        </w:tc>
      </w:tr>
      <w:tr>
        <w:trPr>
          <w:trHeight w:val="230"/>
        </w:trPr>
        <w:tc>
          <w:tcPr>
            <w:tcW w:w="8200" w:type="dxa"/>
            <w:vAlign w:val="bottom"/>
          </w:tcPr>
          <w:p>
            <w:pPr>
              <w:ind w:left="140"/>
              <w:spacing w:after="0"/>
              <w:rPr>
                <w:sz w:val="20"/>
                <w:szCs w:val="20"/>
                <w:color w:val="auto"/>
              </w:rPr>
            </w:pPr>
            <w:r>
              <w:rPr>
                <w:rFonts w:ascii="Arial" w:cs="Arial" w:eastAsia="Arial" w:hAnsi="Arial"/>
                <w:sz w:val="18"/>
                <w:szCs w:val="18"/>
                <w:color w:val="auto"/>
              </w:rPr>
              <w:t>Commercial paper and other short-term borrowings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3,597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3,516</w:t>
            </w:r>
          </w:p>
        </w:tc>
      </w:tr>
      <w:tr>
        <w:trPr>
          <w:trHeight w:val="229"/>
        </w:trPr>
        <w:tc>
          <w:tcPr>
            <w:tcW w:w="8200" w:type="dxa"/>
            <w:vAlign w:val="bottom"/>
            <w:shd w:val="clear" w:color="auto" w:fill="DDDDDD"/>
          </w:tcPr>
          <w:p>
            <w:pPr>
              <w:ind w:left="140"/>
              <w:spacing w:after="0"/>
              <w:rPr>
                <w:sz w:val="20"/>
                <w:szCs w:val="20"/>
                <w:color w:val="auto"/>
              </w:rPr>
            </w:pPr>
            <w:r>
              <w:rPr>
                <w:rFonts w:ascii="Arial" w:cs="Arial" w:eastAsia="Arial" w:hAnsi="Arial"/>
                <w:sz w:val="18"/>
                <w:szCs w:val="18"/>
                <w:color w:val="auto"/>
              </w:rPr>
              <w:t>Current maturities of long-term debt</w:t>
            </w:r>
          </w:p>
        </w:tc>
        <w:tc>
          <w:tcPr>
            <w:tcW w:w="340" w:type="dxa"/>
            <w:vAlign w:val="bottom"/>
            <w:shd w:val="clear" w:color="auto" w:fill="DDDDDD"/>
          </w:tcPr>
          <w:p>
            <w:pPr>
              <w:spacing w:after="0"/>
              <w:rPr>
                <w:sz w:val="19"/>
                <w:szCs w:val="19"/>
                <w:color w:val="auto"/>
              </w:rPr>
            </w:pPr>
          </w:p>
        </w:tc>
        <w:tc>
          <w:tcPr>
            <w:tcW w:w="11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2,445</w:t>
            </w:r>
          </w:p>
        </w:tc>
        <w:tc>
          <w:tcPr>
            <w:tcW w:w="100" w:type="dxa"/>
            <w:vAlign w:val="bottom"/>
            <w:shd w:val="clear" w:color="auto" w:fill="DDDDDD"/>
          </w:tcPr>
          <w:p>
            <w:pPr>
              <w:spacing w:after="0"/>
              <w:rPr>
                <w:sz w:val="19"/>
                <w:szCs w:val="19"/>
                <w:color w:val="auto"/>
              </w:rPr>
            </w:pPr>
          </w:p>
        </w:tc>
        <w:tc>
          <w:tcPr>
            <w:tcW w:w="500" w:type="dxa"/>
            <w:vAlign w:val="bottom"/>
            <w:shd w:val="clear" w:color="auto" w:fill="DDDDDD"/>
          </w:tcPr>
          <w:p>
            <w:pPr>
              <w:spacing w:after="0"/>
              <w:rPr>
                <w:sz w:val="19"/>
                <w:szCs w:val="19"/>
                <w:color w:val="auto"/>
              </w:rPr>
            </w:pPr>
          </w:p>
        </w:tc>
        <w:tc>
          <w:tcPr>
            <w:tcW w:w="9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1,376</w:t>
            </w:r>
          </w:p>
        </w:tc>
      </w:tr>
      <w:tr>
        <w:trPr>
          <w:trHeight w:val="230"/>
        </w:trPr>
        <w:tc>
          <w:tcPr>
            <w:tcW w:w="8200" w:type="dxa"/>
            <w:vAlign w:val="bottom"/>
            <w:tcBorders>
              <w:bottom w:val="single" w:sz="8" w:color="DDDDDD"/>
            </w:tcBorders>
          </w:tcPr>
          <w:p>
            <w:pPr>
              <w:ind w:left="140"/>
              <w:spacing w:after="0"/>
              <w:rPr>
                <w:sz w:val="20"/>
                <w:szCs w:val="20"/>
                <w:color w:val="auto"/>
              </w:rPr>
            </w:pPr>
            <w:r>
              <w:rPr>
                <w:rFonts w:ascii="Arial" w:cs="Arial" w:eastAsia="Arial" w:hAnsi="Arial"/>
                <w:sz w:val="18"/>
                <w:szCs w:val="18"/>
                <w:color w:val="auto"/>
              </w:rPr>
              <w:t>Accrued liabilities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7,405</w:t>
            </w:r>
          </w:p>
        </w:tc>
        <w:tc>
          <w:tcPr>
            <w:tcW w:w="100" w:type="dxa"/>
            <w:vAlign w:val="bottom"/>
            <w:tcBorders>
              <w:bottom w:val="single" w:sz="8" w:color="DDDDDD"/>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7,476</w:t>
            </w:r>
          </w:p>
        </w:tc>
      </w:tr>
      <w:tr>
        <w:trPr>
          <w:trHeight w:val="223"/>
        </w:trPr>
        <w:tc>
          <w:tcPr>
            <w:tcW w:w="8200" w:type="dxa"/>
            <w:vAlign w:val="bottom"/>
            <w:shd w:val="clear" w:color="auto" w:fill="DDDDDD"/>
          </w:tcPr>
          <w:p>
            <w:pPr>
              <w:ind w:left="660"/>
              <w:spacing w:after="0"/>
              <w:rPr>
                <w:sz w:val="20"/>
                <w:szCs w:val="20"/>
                <w:color w:val="auto"/>
              </w:rPr>
            </w:pPr>
            <w:r>
              <w:rPr>
                <w:rFonts w:ascii="Arial" w:cs="Arial" w:eastAsia="Arial" w:hAnsi="Arial"/>
                <w:sz w:val="18"/>
                <w:szCs w:val="18"/>
                <w:color w:val="auto"/>
              </w:rPr>
              <w:t>Total current liabilities</w:t>
            </w:r>
          </w:p>
        </w:tc>
        <w:tc>
          <w:tcPr>
            <w:tcW w:w="340" w:type="dxa"/>
            <w:vAlign w:val="bottom"/>
            <w:shd w:val="clear" w:color="auto" w:fill="DDDDDD"/>
          </w:tcPr>
          <w:p>
            <w:pPr>
              <w:spacing w:after="0"/>
              <w:rPr>
                <w:sz w:val="19"/>
                <w:szCs w:val="19"/>
                <w:color w:val="auto"/>
              </w:rPr>
            </w:pPr>
          </w:p>
        </w:tc>
        <w:tc>
          <w:tcPr>
            <w:tcW w:w="11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19,197</w:t>
            </w:r>
          </w:p>
        </w:tc>
        <w:tc>
          <w:tcPr>
            <w:tcW w:w="100" w:type="dxa"/>
            <w:vAlign w:val="bottom"/>
            <w:shd w:val="clear" w:color="auto" w:fill="DDDDDD"/>
          </w:tcPr>
          <w:p>
            <w:pPr>
              <w:spacing w:after="0"/>
              <w:rPr>
                <w:sz w:val="19"/>
                <w:szCs w:val="19"/>
                <w:color w:val="auto"/>
              </w:rPr>
            </w:pPr>
          </w:p>
        </w:tc>
        <w:tc>
          <w:tcPr>
            <w:tcW w:w="500" w:type="dxa"/>
            <w:vAlign w:val="bottom"/>
            <w:shd w:val="clear" w:color="auto" w:fill="DDDDDD"/>
          </w:tcPr>
          <w:p>
            <w:pPr>
              <w:spacing w:after="0"/>
              <w:rPr>
                <w:sz w:val="19"/>
                <w:szCs w:val="19"/>
                <w:color w:val="auto"/>
              </w:rPr>
            </w:pPr>
          </w:p>
        </w:tc>
        <w:tc>
          <w:tcPr>
            <w:tcW w:w="9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18,098</w:t>
            </w:r>
          </w:p>
        </w:tc>
      </w:tr>
      <w:tr>
        <w:trPr>
          <w:trHeight w:val="230"/>
        </w:trPr>
        <w:tc>
          <w:tcPr>
            <w:tcW w:w="820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16,342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11,110</w:t>
            </w:r>
          </w:p>
        </w:tc>
      </w:tr>
      <w:tr>
        <w:trPr>
          <w:trHeight w:val="230"/>
        </w:trPr>
        <w:tc>
          <w:tcPr>
            <w:tcW w:w="8200" w:type="dxa"/>
            <w:vAlign w:val="bottom"/>
            <w:shd w:val="clear" w:color="auto" w:fill="DDDDDD"/>
          </w:tcPr>
          <w:p>
            <w:pPr>
              <w:ind w:left="20"/>
              <w:spacing w:after="0"/>
              <w:rPr>
                <w:sz w:val="20"/>
                <w:szCs w:val="20"/>
                <w:color w:val="auto"/>
              </w:rPr>
            </w:pPr>
            <w:r>
              <w:rPr>
                <w:rFonts w:ascii="Arial" w:cs="Arial" w:eastAsia="Arial" w:hAnsi="Arial"/>
                <w:sz w:val="18"/>
                <w:szCs w:val="18"/>
                <w:color w:val="auto"/>
              </w:rPr>
              <w:t>Deferred income taxes</w:t>
            </w:r>
          </w:p>
        </w:tc>
        <w:tc>
          <w:tcPr>
            <w:tcW w:w="340" w:type="dxa"/>
            <w:vAlign w:val="bottom"/>
            <w:shd w:val="clear" w:color="auto" w:fill="DDDDDD"/>
          </w:tcPr>
          <w:p>
            <w:pPr>
              <w:spacing w:after="0"/>
              <w:rPr>
                <w:sz w:val="19"/>
                <w:szCs w:val="19"/>
                <w:color w:val="auto"/>
              </w:rPr>
            </w:pPr>
          </w:p>
        </w:tc>
        <w:tc>
          <w:tcPr>
            <w:tcW w:w="11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2,113</w:t>
            </w:r>
          </w:p>
        </w:tc>
        <w:tc>
          <w:tcPr>
            <w:tcW w:w="100" w:type="dxa"/>
            <w:vAlign w:val="bottom"/>
            <w:shd w:val="clear" w:color="auto" w:fill="DDDDDD"/>
          </w:tcPr>
          <w:p>
            <w:pPr>
              <w:spacing w:after="0"/>
              <w:rPr>
                <w:sz w:val="19"/>
                <w:szCs w:val="19"/>
                <w:color w:val="auto"/>
              </w:rPr>
            </w:pPr>
          </w:p>
        </w:tc>
        <w:tc>
          <w:tcPr>
            <w:tcW w:w="500" w:type="dxa"/>
            <w:vAlign w:val="bottom"/>
            <w:shd w:val="clear" w:color="auto" w:fill="DDDDDD"/>
          </w:tcPr>
          <w:p>
            <w:pPr>
              <w:spacing w:after="0"/>
              <w:rPr>
                <w:sz w:val="19"/>
                <w:szCs w:val="19"/>
                <w:color w:val="auto"/>
              </w:rPr>
            </w:pPr>
          </w:p>
        </w:tc>
        <w:tc>
          <w:tcPr>
            <w:tcW w:w="9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1,670</w:t>
            </w:r>
          </w:p>
        </w:tc>
      </w:tr>
      <w:tr>
        <w:trPr>
          <w:trHeight w:val="230"/>
        </w:trPr>
        <w:tc>
          <w:tcPr>
            <w:tcW w:w="8200" w:type="dxa"/>
            <w:vAlign w:val="bottom"/>
          </w:tcPr>
          <w:p>
            <w:pPr>
              <w:ind w:left="20"/>
              <w:spacing w:after="0"/>
              <w:rPr>
                <w:sz w:val="20"/>
                <w:szCs w:val="20"/>
                <w:color w:val="auto"/>
              </w:rPr>
            </w:pPr>
            <w:r>
              <w:rPr>
                <w:rFonts w:ascii="Arial" w:cs="Arial" w:eastAsia="Arial" w:hAnsi="Arial"/>
                <w:sz w:val="18"/>
                <w:szCs w:val="18"/>
                <w:color w:val="auto"/>
              </w:rPr>
              <w:t>Postretirement benefit obligations other than pensions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326</w:t>
            </w:r>
          </w:p>
        </w:tc>
      </w:tr>
      <w:tr>
        <w:trPr>
          <w:trHeight w:val="229"/>
        </w:trPr>
        <w:tc>
          <w:tcPr>
            <w:tcW w:w="8200" w:type="dxa"/>
            <w:vAlign w:val="bottom"/>
            <w:shd w:val="clear" w:color="auto" w:fill="DDDDDD"/>
          </w:tcPr>
          <w:p>
            <w:pPr>
              <w:ind w:left="20"/>
              <w:spacing w:after="0"/>
              <w:rPr>
                <w:sz w:val="20"/>
                <w:szCs w:val="20"/>
                <w:color w:val="auto"/>
              </w:rPr>
            </w:pPr>
            <w:r>
              <w:rPr>
                <w:rFonts w:ascii="Arial" w:cs="Arial" w:eastAsia="Arial" w:hAnsi="Arial"/>
                <w:sz w:val="18"/>
                <w:szCs w:val="18"/>
                <w:color w:val="auto"/>
              </w:rPr>
              <w:t>Asbestos related liabilities</w:t>
            </w:r>
          </w:p>
        </w:tc>
        <w:tc>
          <w:tcPr>
            <w:tcW w:w="340" w:type="dxa"/>
            <w:vAlign w:val="bottom"/>
            <w:shd w:val="clear" w:color="auto" w:fill="DDDDDD"/>
          </w:tcPr>
          <w:p>
            <w:pPr>
              <w:spacing w:after="0"/>
              <w:rPr>
                <w:sz w:val="19"/>
                <w:szCs w:val="19"/>
                <w:color w:val="auto"/>
              </w:rPr>
            </w:pPr>
          </w:p>
        </w:tc>
        <w:tc>
          <w:tcPr>
            <w:tcW w:w="11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1,920</w:t>
            </w:r>
          </w:p>
        </w:tc>
        <w:tc>
          <w:tcPr>
            <w:tcW w:w="100" w:type="dxa"/>
            <w:vAlign w:val="bottom"/>
            <w:shd w:val="clear" w:color="auto" w:fill="DDDDDD"/>
          </w:tcPr>
          <w:p>
            <w:pPr>
              <w:spacing w:after="0"/>
              <w:rPr>
                <w:sz w:val="19"/>
                <w:szCs w:val="19"/>
                <w:color w:val="auto"/>
              </w:rPr>
            </w:pPr>
          </w:p>
        </w:tc>
        <w:tc>
          <w:tcPr>
            <w:tcW w:w="500" w:type="dxa"/>
            <w:vAlign w:val="bottom"/>
            <w:shd w:val="clear" w:color="auto" w:fill="DDDDDD"/>
          </w:tcPr>
          <w:p>
            <w:pPr>
              <w:spacing w:after="0"/>
              <w:rPr>
                <w:sz w:val="19"/>
                <w:szCs w:val="19"/>
                <w:color w:val="auto"/>
              </w:rPr>
            </w:pPr>
          </w:p>
        </w:tc>
        <w:tc>
          <w:tcPr>
            <w:tcW w:w="9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1,996</w:t>
            </w:r>
          </w:p>
        </w:tc>
      </w:tr>
      <w:tr>
        <w:trPr>
          <w:trHeight w:val="230"/>
        </w:trPr>
        <w:tc>
          <w:tcPr>
            <w:tcW w:w="820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6,975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6,766</w:t>
            </w:r>
          </w:p>
        </w:tc>
      </w:tr>
      <w:tr>
        <w:trPr>
          <w:trHeight w:val="230"/>
        </w:trPr>
        <w:tc>
          <w:tcPr>
            <w:tcW w:w="8200" w:type="dxa"/>
            <w:vAlign w:val="bottom"/>
            <w:shd w:val="clear" w:color="auto" w:fill="DDDDDD"/>
          </w:tcPr>
          <w:p>
            <w:pPr>
              <w:ind w:left="20"/>
              <w:spacing w:after="0"/>
              <w:rPr>
                <w:sz w:val="20"/>
                <w:szCs w:val="20"/>
                <w:color w:val="auto"/>
              </w:rPr>
            </w:pPr>
            <w:r>
              <w:rPr>
                <w:rFonts w:ascii="Arial" w:cs="Arial" w:eastAsia="Arial" w:hAnsi="Arial"/>
                <w:sz w:val="18"/>
                <w:szCs w:val="18"/>
                <w:color w:val="auto"/>
              </w:rPr>
              <w:t>Redeemable noncontrolling interest</w:t>
            </w:r>
          </w:p>
        </w:tc>
        <w:tc>
          <w:tcPr>
            <w:tcW w:w="340" w:type="dxa"/>
            <w:vAlign w:val="bottom"/>
            <w:shd w:val="clear" w:color="auto" w:fill="DDDDDD"/>
          </w:tcPr>
          <w:p>
            <w:pPr>
              <w:spacing w:after="0"/>
              <w:rPr>
                <w:sz w:val="19"/>
                <w:szCs w:val="19"/>
                <w:color w:val="auto"/>
              </w:rPr>
            </w:pPr>
          </w:p>
        </w:tc>
        <w:tc>
          <w:tcPr>
            <w:tcW w:w="11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DDDDDD"/>
          </w:tcPr>
          <w:p>
            <w:pPr>
              <w:spacing w:after="0"/>
              <w:rPr>
                <w:sz w:val="19"/>
                <w:szCs w:val="19"/>
                <w:color w:val="auto"/>
              </w:rPr>
            </w:pPr>
          </w:p>
        </w:tc>
        <w:tc>
          <w:tcPr>
            <w:tcW w:w="500" w:type="dxa"/>
            <w:vAlign w:val="bottom"/>
            <w:shd w:val="clear" w:color="auto" w:fill="DDDDDD"/>
          </w:tcPr>
          <w:p>
            <w:pPr>
              <w:spacing w:after="0"/>
              <w:rPr>
                <w:sz w:val="19"/>
                <w:szCs w:val="19"/>
                <w:color w:val="auto"/>
              </w:rPr>
            </w:pPr>
          </w:p>
        </w:tc>
        <w:tc>
          <w:tcPr>
            <w:tcW w:w="9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8200" w:type="dxa"/>
            <w:vAlign w:val="bottom"/>
          </w:tcPr>
          <w:p>
            <w:pPr>
              <w:ind w:left="20"/>
              <w:spacing w:after="0"/>
              <w:rPr>
                <w:sz w:val="20"/>
                <w:szCs w:val="20"/>
                <w:color w:val="auto"/>
              </w:rPr>
            </w:pPr>
            <w:r>
              <w:rPr>
                <w:rFonts w:ascii="Arial" w:cs="Arial" w:eastAsia="Arial" w:hAnsi="Arial"/>
                <w:sz w:val="18"/>
                <w:szCs w:val="18"/>
                <w:b w:val="1"/>
                <w:bCs w:val="1"/>
                <w:color w:val="auto"/>
              </w:rPr>
              <w:t>SHAREOWNERS’ EQUITY</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8200" w:type="dxa"/>
            <w:vAlign w:val="bottom"/>
            <w:shd w:val="clear" w:color="auto" w:fill="DDDDDD"/>
          </w:tcPr>
          <w:p>
            <w:pPr>
              <w:ind w:left="20"/>
              <w:spacing w:after="0"/>
              <w:rPr>
                <w:sz w:val="20"/>
                <w:szCs w:val="20"/>
                <w:color w:val="auto"/>
              </w:rPr>
            </w:pPr>
            <w:r>
              <w:rPr>
                <w:rFonts w:ascii="Arial" w:cs="Arial" w:eastAsia="Arial" w:hAnsi="Arial"/>
                <w:sz w:val="18"/>
                <w:szCs w:val="18"/>
                <w:color w:val="auto"/>
              </w:rPr>
              <w:t>Capital—common stock issued</w:t>
            </w:r>
          </w:p>
        </w:tc>
        <w:tc>
          <w:tcPr>
            <w:tcW w:w="340" w:type="dxa"/>
            <w:vAlign w:val="bottom"/>
            <w:shd w:val="clear" w:color="auto" w:fill="DDDDDD"/>
          </w:tcPr>
          <w:p>
            <w:pPr>
              <w:spacing w:after="0"/>
              <w:rPr>
                <w:sz w:val="19"/>
                <w:szCs w:val="19"/>
                <w:color w:val="auto"/>
              </w:rPr>
            </w:pPr>
          </w:p>
        </w:tc>
        <w:tc>
          <w:tcPr>
            <w:tcW w:w="11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958</w:t>
            </w:r>
          </w:p>
        </w:tc>
        <w:tc>
          <w:tcPr>
            <w:tcW w:w="100" w:type="dxa"/>
            <w:vAlign w:val="bottom"/>
            <w:shd w:val="clear" w:color="auto" w:fill="DDDDDD"/>
          </w:tcPr>
          <w:p>
            <w:pPr>
              <w:spacing w:after="0"/>
              <w:rPr>
                <w:sz w:val="19"/>
                <w:szCs w:val="19"/>
                <w:color w:val="auto"/>
              </w:rPr>
            </w:pPr>
          </w:p>
        </w:tc>
        <w:tc>
          <w:tcPr>
            <w:tcW w:w="500" w:type="dxa"/>
            <w:vAlign w:val="bottom"/>
            <w:shd w:val="clear" w:color="auto" w:fill="DDDDDD"/>
          </w:tcPr>
          <w:p>
            <w:pPr>
              <w:spacing w:after="0"/>
              <w:rPr>
                <w:sz w:val="19"/>
                <w:szCs w:val="19"/>
                <w:color w:val="auto"/>
              </w:rPr>
            </w:pPr>
          </w:p>
        </w:tc>
        <w:tc>
          <w:tcPr>
            <w:tcW w:w="9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958</w:t>
            </w:r>
          </w:p>
        </w:tc>
      </w:tr>
      <w:tr>
        <w:trPr>
          <w:trHeight w:val="230"/>
        </w:trPr>
        <w:tc>
          <w:tcPr>
            <w:tcW w:w="8200" w:type="dxa"/>
            <w:vAlign w:val="bottom"/>
          </w:tcPr>
          <w:p>
            <w:pPr>
              <w:ind w:left="560"/>
              <w:spacing w:after="0"/>
              <w:rPr>
                <w:sz w:val="20"/>
                <w:szCs w:val="20"/>
                <w:color w:val="auto"/>
              </w:rPr>
            </w:pPr>
            <w:r>
              <w:rPr>
                <w:rFonts w:ascii="Arial" w:cs="Arial" w:eastAsia="Arial" w:hAnsi="Arial"/>
                <w:sz w:val="18"/>
                <w:szCs w:val="18"/>
                <w:color w:val="auto"/>
              </w:rPr>
              <w:t>—additional paid-in capital</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7,292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6,876</w:t>
            </w:r>
          </w:p>
        </w:tc>
      </w:tr>
      <w:tr>
        <w:trPr>
          <w:trHeight w:val="230"/>
        </w:trPr>
        <w:tc>
          <w:tcPr>
            <w:tcW w:w="8200" w:type="dxa"/>
            <w:vAlign w:val="bottom"/>
            <w:shd w:val="clear" w:color="auto" w:fill="DDDDDD"/>
          </w:tcPr>
          <w:p>
            <w:pPr>
              <w:ind w:left="20"/>
              <w:spacing w:after="0"/>
              <w:rPr>
                <w:sz w:val="20"/>
                <w:szCs w:val="20"/>
                <w:color w:val="auto"/>
              </w:rPr>
            </w:pPr>
            <w:r>
              <w:rPr>
                <w:rFonts w:ascii="Arial" w:cs="Arial" w:eastAsia="Arial" w:hAnsi="Arial"/>
                <w:sz w:val="18"/>
                <w:szCs w:val="18"/>
                <w:color w:val="auto"/>
              </w:rPr>
              <w:t>Common stock held in treasury, at cost</w:t>
            </w:r>
          </w:p>
        </w:tc>
        <w:tc>
          <w:tcPr>
            <w:tcW w:w="340" w:type="dxa"/>
            <w:vAlign w:val="bottom"/>
            <w:shd w:val="clear" w:color="auto" w:fill="DDDDDD"/>
          </w:tcPr>
          <w:p>
            <w:pPr>
              <w:spacing w:after="0"/>
              <w:rPr>
                <w:sz w:val="19"/>
                <w:szCs w:val="19"/>
                <w:color w:val="auto"/>
              </w:rPr>
            </w:pPr>
          </w:p>
        </w:tc>
        <w:tc>
          <w:tcPr>
            <w:tcW w:w="11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(27,229)</w:t>
            </w:r>
          </w:p>
        </w:tc>
        <w:tc>
          <w:tcPr>
            <w:tcW w:w="100" w:type="dxa"/>
            <w:vAlign w:val="bottom"/>
            <w:shd w:val="clear" w:color="auto" w:fill="DDDDDD"/>
          </w:tcPr>
          <w:p>
            <w:pPr>
              <w:spacing w:after="0"/>
              <w:rPr>
                <w:sz w:val="19"/>
                <w:szCs w:val="19"/>
                <w:color w:val="auto"/>
              </w:rPr>
            </w:pPr>
          </w:p>
        </w:tc>
        <w:tc>
          <w:tcPr>
            <w:tcW w:w="500" w:type="dxa"/>
            <w:vAlign w:val="bottom"/>
            <w:shd w:val="clear" w:color="auto" w:fill="DDDDDD"/>
          </w:tcPr>
          <w:p>
            <w:pPr>
              <w:spacing w:after="0"/>
              <w:rPr>
                <w:sz w:val="19"/>
                <w:szCs w:val="19"/>
                <w:color w:val="auto"/>
              </w:rPr>
            </w:pPr>
          </w:p>
        </w:tc>
        <w:tc>
          <w:tcPr>
            <w:tcW w:w="9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(23,836)</w:t>
            </w:r>
          </w:p>
        </w:tc>
      </w:tr>
      <w:tr>
        <w:trPr>
          <w:trHeight w:val="230"/>
        </w:trPr>
        <w:tc>
          <w:tcPr>
            <w:tcW w:w="8200" w:type="dxa"/>
            <w:vAlign w:val="bottom"/>
          </w:tcPr>
          <w:p>
            <w:pPr>
              <w:ind w:left="20"/>
              <w:spacing w:after="0"/>
              <w:rPr>
                <w:sz w:val="20"/>
                <w:szCs w:val="20"/>
                <w:color w:val="auto"/>
              </w:rPr>
            </w:pPr>
            <w:r>
              <w:rPr>
                <w:rFonts w:ascii="Arial" w:cs="Arial" w:eastAsia="Arial" w:hAnsi="Arial"/>
                <w:sz w:val="18"/>
                <w:szCs w:val="18"/>
                <w:color w:val="auto"/>
              </w:rPr>
              <w:t>Accumulated other comprehensive income (loss)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(3,377)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(3,197)</w:t>
            </w:r>
          </w:p>
        </w:tc>
      </w:tr>
      <w:tr>
        <w:trPr>
          <w:trHeight w:val="229"/>
        </w:trPr>
        <w:tc>
          <w:tcPr>
            <w:tcW w:w="8200" w:type="dxa"/>
            <w:vAlign w:val="bottom"/>
            <w:shd w:val="clear" w:color="auto" w:fill="DDDDDD"/>
          </w:tcPr>
          <w:p>
            <w:pPr>
              <w:ind w:left="20"/>
              <w:spacing w:after="0"/>
              <w:rPr>
                <w:sz w:val="20"/>
                <w:szCs w:val="20"/>
                <w:color w:val="auto"/>
              </w:rPr>
            </w:pPr>
            <w:r>
              <w:rPr>
                <w:rFonts w:ascii="Arial" w:cs="Arial" w:eastAsia="Arial" w:hAnsi="Arial"/>
                <w:sz w:val="18"/>
                <w:szCs w:val="18"/>
                <w:color w:val="auto"/>
              </w:rPr>
              <w:t>Retained earnings</w:t>
            </w:r>
          </w:p>
        </w:tc>
        <w:tc>
          <w:tcPr>
            <w:tcW w:w="340" w:type="dxa"/>
            <w:vAlign w:val="bottom"/>
            <w:tcBorders>
              <w:bottom w:val="single" w:sz="8" w:color="auto"/>
            </w:tcBorders>
            <w:shd w:val="clear" w:color="auto" w:fill="DDDDDD"/>
          </w:tcPr>
          <w:p>
            <w:pPr>
              <w:spacing w:after="0"/>
              <w:rPr>
                <w:sz w:val="19"/>
                <w:szCs w:val="19"/>
                <w:color w:val="auto"/>
              </w:rPr>
            </w:pPr>
          </w:p>
        </w:tc>
        <w:tc>
          <w:tcPr>
            <w:tcW w:w="11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39,905</w:t>
            </w:r>
          </w:p>
        </w:tc>
        <w:tc>
          <w:tcPr>
            <w:tcW w:w="100" w:type="dxa"/>
            <w:vAlign w:val="bottom"/>
            <w:shd w:val="clear" w:color="auto" w:fill="DDDDDD"/>
          </w:tcPr>
          <w:p>
            <w:pPr>
              <w:spacing w:after="0"/>
              <w:rPr>
                <w:sz w:val="19"/>
                <w:szCs w:val="19"/>
                <w:color w:val="auto"/>
              </w:rPr>
            </w:pPr>
          </w:p>
        </w:tc>
        <w:tc>
          <w:tcPr>
            <w:tcW w:w="500" w:type="dxa"/>
            <w:vAlign w:val="bottom"/>
            <w:tcBorders>
              <w:bottom w:val="single" w:sz="8" w:color="auto"/>
            </w:tcBorders>
            <w:shd w:val="clear" w:color="auto" w:fill="DDDDDD"/>
          </w:tcPr>
          <w:p>
            <w:pPr>
              <w:spacing w:after="0"/>
              <w:rPr>
                <w:sz w:val="19"/>
                <w:szCs w:val="19"/>
                <w:color w:val="auto"/>
              </w:rPr>
            </w:pPr>
          </w:p>
        </w:tc>
        <w:tc>
          <w:tcPr>
            <w:tcW w:w="9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37,693</w:t>
            </w:r>
          </w:p>
        </w:tc>
      </w:tr>
      <w:tr>
        <w:trPr>
          <w:trHeight w:val="223"/>
        </w:trPr>
        <w:tc>
          <w:tcPr>
            <w:tcW w:w="8200" w:type="dxa"/>
            <w:vAlign w:val="bottom"/>
          </w:tcPr>
          <w:p>
            <w:pPr>
              <w:ind w:left="660"/>
              <w:spacing w:after="0"/>
              <w:rPr>
                <w:sz w:val="20"/>
                <w:szCs w:val="20"/>
                <w:color w:val="auto"/>
              </w:rPr>
            </w:pPr>
            <w:r>
              <w:rPr>
                <w:rFonts w:ascii="Arial" w:cs="Arial" w:eastAsia="Arial" w:hAnsi="Arial"/>
                <w:sz w:val="18"/>
                <w:szCs w:val="18"/>
                <w:color w:val="auto"/>
              </w:rPr>
              <w:t>Total Honeywell shareowners’ equity</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17,549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18,494</w:t>
            </w:r>
          </w:p>
        </w:tc>
      </w:tr>
      <w:tr>
        <w:trPr>
          <w:trHeight w:val="229"/>
        </w:trPr>
        <w:tc>
          <w:tcPr>
            <w:tcW w:w="8200" w:type="dxa"/>
            <w:vAlign w:val="bottom"/>
            <w:shd w:val="clear" w:color="auto" w:fill="DDDDDD"/>
          </w:tcPr>
          <w:p>
            <w:pPr>
              <w:ind w:left="20"/>
              <w:spacing w:after="0"/>
              <w:rPr>
                <w:sz w:val="20"/>
                <w:szCs w:val="20"/>
                <w:color w:val="auto"/>
              </w:rPr>
            </w:pPr>
            <w:r>
              <w:rPr>
                <w:rFonts w:ascii="Arial" w:cs="Arial" w:eastAsia="Arial" w:hAnsi="Arial"/>
                <w:sz w:val="18"/>
                <w:szCs w:val="18"/>
                <w:color w:val="auto"/>
              </w:rPr>
              <w:t>Noncontrolling interest</w:t>
            </w:r>
          </w:p>
        </w:tc>
        <w:tc>
          <w:tcPr>
            <w:tcW w:w="340" w:type="dxa"/>
            <w:vAlign w:val="bottom"/>
            <w:tcBorders>
              <w:bottom w:val="single" w:sz="8" w:color="auto"/>
            </w:tcBorders>
            <w:shd w:val="clear" w:color="auto" w:fill="DDDDDD"/>
          </w:tcPr>
          <w:p>
            <w:pPr>
              <w:spacing w:after="0"/>
              <w:rPr>
                <w:sz w:val="19"/>
                <w:szCs w:val="19"/>
                <w:color w:val="auto"/>
              </w:rPr>
            </w:pPr>
          </w:p>
        </w:tc>
        <w:tc>
          <w:tcPr>
            <w:tcW w:w="11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DDDDDD"/>
          </w:tcPr>
          <w:p>
            <w:pPr>
              <w:spacing w:after="0"/>
              <w:rPr>
                <w:sz w:val="19"/>
                <w:szCs w:val="19"/>
                <w:color w:val="auto"/>
              </w:rPr>
            </w:pPr>
          </w:p>
        </w:tc>
        <w:tc>
          <w:tcPr>
            <w:tcW w:w="500" w:type="dxa"/>
            <w:vAlign w:val="bottom"/>
            <w:tcBorders>
              <w:bottom w:val="single" w:sz="8" w:color="auto"/>
            </w:tcBorders>
            <w:shd w:val="clear" w:color="auto" w:fill="DDDDDD"/>
          </w:tcPr>
          <w:p>
            <w:pPr>
              <w:spacing w:after="0"/>
              <w:rPr>
                <w:sz w:val="19"/>
                <w:szCs w:val="19"/>
                <w:color w:val="auto"/>
              </w:rPr>
            </w:pPr>
          </w:p>
        </w:tc>
        <w:tc>
          <w:tcPr>
            <w:tcW w:w="9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212</w:t>
            </w:r>
          </w:p>
        </w:tc>
      </w:tr>
      <w:tr>
        <w:trPr>
          <w:trHeight w:val="223"/>
        </w:trPr>
        <w:tc>
          <w:tcPr>
            <w:tcW w:w="8200" w:type="dxa"/>
            <w:vAlign w:val="bottom"/>
            <w:tcBorders>
              <w:bottom w:val="single" w:sz="8" w:color="DDDDDD"/>
            </w:tcBorders>
          </w:tcPr>
          <w:p>
            <w:pPr>
              <w:ind w:left="660"/>
              <w:spacing w:after="0"/>
              <w:rPr>
                <w:sz w:val="20"/>
                <w:szCs w:val="20"/>
                <w:color w:val="auto"/>
              </w:rPr>
            </w:pPr>
            <w:r>
              <w:rPr>
                <w:rFonts w:ascii="Arial" w:cs="Arial" w:eastAsia="Arial" w:hAnsi="Arial"/>
                <w:sz w:val="18"/>
                <w:szCs w:val="18"/>
                <w:color w:val="auto"/>
              </w:rPr>
              <w:t>Total shareowners’ equity</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17,790</w:t>
            </w:r>
          </w:p>
        </w:tc>
        <w:tc>
          <w:tcPr>
            <w:tcW w:w="100" w:type="dxa"/>
            <w:vAlign w:val="bottom"/>
            <w:tcBorders>
              <w:bottom w:val="single" w:sz="8" w:color="DDDDDD"/>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18,706</w:t>
            </w:r>
          </w:p>
        </w:tc>
      </w:tr>
      <w:tr>
        <w:trPr>
          <w:trHeight w:val="248"/>
        </w:trPr>
        <w:tc>
          <w:tcPr>
            <w:tcW w:w="8200" w:type="dxa"/>
            <w:vAlign w:val="bottom"/>
            <w:tcBorders>
              <w:bottom w:val="single" w:sz="8" w:color="DDDDDD"/>
            </w:tcBorders>
            <w:shd w:val="clear" w:color="auto" w:fill="DDDDDD"/>
          </w:tcPr>
          <w:p>
            <w:pPr>
              <w:ind w:left="660"/>
              <w:spacing w:after="0"/>
              <w:rPr>
                <w:sz w:val="20"/>
                <w:szCs w:val="20"/>
                <w:color w:val="auto"/>
              </w:rPr>
            </w:pPr>
            <w:r>
              <w:rPr>
                <w:rFonts w:ascii="Arial" w:cs="Arial" w:eastAsia="Arial" w:hAnsi="Arial"/>
                <w:sz w:val="18"/>
                <w:szCs w:val="18"/>
                <w:color w:val="auto"/>
              </w:rPr>
              <w:t>Total liabilities, redeemable noncontrolling interest and shareowners’ equity</w:t>
            </w:r>
          </w:p>
        </w:tc>
        <w:tc>
          <w:tcPr>
            <w:tcW w:w="340" w:type="dxa"/>
            <w:vAlign w:val="bottom"/>
            <w:tcBorders>
              <w:bottom w:val="single" w:sz="8" w:color="auto"/>
            </w:tcBorders>
            <w:shd w:val="clear" w:color="auto" w:fill="DDDDDD"/>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64,586</w:t>
            </w:r>
          </w:p>
        </w:tc>
        <w:tc>
          <w:tcPr>
            <w:tcW w:w="100" w:type="dxa"/>
            <w:vAlign w:val="bottom"/>
            <w:tcBorders>
              <w:bottom w:val="single" w:sz="8" w:color="DDDDDD"/>
            </w:tcBorders>
            <w:shd w:val="clear" w:color="auto" w:fill="DDDDDD"/>
          </w:tcPr>
          <w:p>
            <w:pPr>
              <w:spacing w:after="0"/>
              <w:rPr>
                <w:sz w:val="21"/>
                <w:szCs w:val="21"/>
                <w:color w:val="auto"/>
              </w:rPr>
            </w:pPr>
          </w:p>
        </w:tc>
        <w:tc>
          <w:tcPr>
            <w:tcW w:w="500" w:type="dxa"/>
            <w:vAlign w:val="bottom"/>
            <w:tcBorders>
              <w:bottom w:val="single" w:sz="8" w:color="auto"/>
            </w:tcBorders>
            <w:shd w:val="clear" w:color="auto" w:fill="DDDDDD"/>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58,679</w:t>
            </w:r>
          </w:p>
        </w:tc>
      </w:tr>
      <w:tr>
        <w:trPr>
          <w:trHeight w:val="20"/>
        </w:trPr>
        <w:tc>
          <w:tcPr>
            <w:tcW w:w="8200" w:type="dxa"/>
            <w:vAlign w:val="bottom"/>
            <w:tcBorders>
              <w:top w:val="single" w:sz="8" w:color="DDDDDD"/>
            </w:tcBorders>
          </w:tcPr>
          <w:p>
            <w:pPr>
              <w:spacing w:after="0" w:line="20" w:lineRule="exact"/>
              <w:rPr>
                <w:sz w:val="1"/>
                <w:szCs w:val="1"/>
                <w:color w:val="auto"/>
              </w:rPr>
            </w:pPr>
          </w:p>
        </w:tc>
        <w:tc>
          <w:tcPr>
            <w:tcW w:w="340" w:type="dxa"/>
            <w:vAlign w:val="bottom"/>
            <w:tcBorders>
              <w:top w:val="single" w:sz="8" w:color="DDDDDD"/>
              <w:bottom w:val="single" w:sz="8" w:color="auto"/>
            </w:tcBorders>
          </w:tcPr>
          <w:p>
            <w:pPr>
              <w:spacing w:after="0" w:line="20" w:lineRule="exact"/>
              <w:rPr>
                <w:sz w:val="1"/>
                <w:szCs w:val="1"/>
                <w:color w:val="auto"/>
              </w:rPr>
            </w:pPr>
          </w:p>
        </w:tc>
        <w:tc>
          <w:tcPr>
            <w:tcW w:w="1120" w:type="dxa"/>
            <w:vAlign w:val="bottom"/>
            <w:tcBorders>
              <w:top w:val="single" w:sz="8" w:color="DDDDDD"/>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500" w:type="dxa"/>
            <w:vAlign w:val="bottom"/>
            <w:tcBorders>
              <w:top w:val="single" w:sz="8" w:color="DDDDDD"/>
              <w:bottom w:val="single" w:sz="8" w:color="auto"/>
            </w:tcBorders>
          </w:tcPr>
          <w:p>
            <w:pPr>
              <w:spacing w:after="0" w:line="20" w:lineRule="exact"/>
              <w:rPr>
                <w:sz w:val="1"/>
                <w:szCs w:val="1"/>
                <w:color w:val="auto"/>
              </w:rPr>
            </w:pPr>
          </w:p>
        </w:tc>
        <w:tc>
          <w:tcPr>
            <w:tcW w:w="940" w:type="dxa"/>
            <w:vAlign w:val="bottom"/>
            <w:tcBorders>
              <w:top w:val="single" w:sz="8" w:color="DDDDDD"/>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Notes to Consolidated Financial Statements are an integral part of this statement.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48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30" w:right="359"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22"/>
          <w:szCs w:val="22"/>
          <w:b w:val="1"/>
          <w:bCs w:val="1"/>
          <w:color w:val="auto"/>
        </w:rPr>
        <w:t>HONEYWELL INTERNATIONAL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 OF CASH FLOWS</w:t>
      </w:r>
    </w:p>
    <w:p>
      <w:pPr>
        <w:spacing w:after="0" w:line="361"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7140" w:type="dxa"/>
            <w:vAlign w:val="bottom"/>
          </w:tcPr>
          <w:p>
            <w:pPr>
              <w:spacing w:after="0"/>
              <w:rPr>
                <w:sz w:val="17"/>
                <w:szCs w:val="17"/>
                <w:color w:val="auto"/>
              </w:rPr>
            </w:pPr>
          </w:p>
        </w:tc>
        <w:tc>
          <w:tcPr>
            <w:tcW w:w="300" w:type="dxa"/>
            <w:vAlign w:val="bottom"/>
            <w:tcBorders>
              <w:bottom w:val="single" w:sz="8" w:color="DC202E"/>
            </w:tcBorders>
          </w:tcPr>
          <w:p>
            <w:pPr>
              <w:spacing w:after="0"/>
              <w:rPr>
                <w:sz w:val="17"/>
                <w:szCs w:val="17"/>
                <w:color w:val="auto"/>
              </w:rPr>
            </w:pPr>
          </w:p>
        </w:tc>
        <w:tc>
          <w:tcPr>
            <w:tcW w:w="2780" w:type="dxa"/>
            <w:vAlign w:val="bottom"/>
            <w:tcBorders>
              <w:bottom w:val="single" w:sz="8" w:color="DC202E"/>
            </w:tcBorders>
            <w:gridSpan w:val="6"/>
          </w:tcPr>
          <w:p>
            <w:pPr>
              <w:jc w:val="center"/>
              <w:ind w:left="588"/>
              <w:spacing w:after="0"/>
              <w:rPr>
                <w:sz w:val="20"/>
                <w:szCs w:val="20"/>
                <w:color w:val="auto"/>
              </w:rPr>
            </w:pPr>
            <w:r>
              <w:rPr>
                <w:rFonts w:ascii="Arial" w:cs="Arial" w:eastAsia="Arial" w:hAnsi="Arial"/>
                <w:sz w:val="14"/>
                <w:szCs w:val="14"/>
                <w:b w:val="1"/>
                <w:bCs w:val="1"/>
                <w:color w:val="auto"/>
              </w:rPr>
              <w:t>Years Ended December 31,</w:t>
            </w:r>
          </w:p>
        </w:tc>
        <w:tc>
          <w:tcPr>
            <w:tcW w:w="960" w:type="dxa"/>
            <w:vAlign w:val="bottom"/>
            <w:tcBorders>
              <w:bottom w:val="single" w:sz="8" w:color="DC202E"/>
            </w:tcBorders>
          </w:tcPr>
          <w:p>
            <w:pPr>
              <w:spacing w:after="0"/>
              <w:rPr>
                <w:sz w:val="17"/>
                <w:szCs w:val="17"/>
                <w:color w:val="auto"/>
              </w:rPr>
            </w:pPr>
          </w:p>
        </w:tc>
      </w:tr>
      <w:tr>
        <w:trPr>
          <w:trHeight w:val="196"/>
        </w:trPr>
        <w:tc>
          <w:tcPr>
            <w:tcW w:w="7140" w:type="dxa"/>
            <w:vAlign w:val="bottom"/>
          </w:tcPr>
          <w:p>
            <w:pPr>
              <w:spacing w:after="0"/>
              <w:rPr>
                <w:sz w:val="17"/>
                <w:szCs w:val="17"/>
                <w:color w:val="auto"/>
              </w:rPr>
            </w:pPr>
          </w:p>
        </w:tc>
        <w:tc>
          <w:tcPr>
            <w:tcW w:w="300" w:type="dxa"/>
            <w:vAlign w:val="bottom"/>
            <w:tcBorders>
              <w:bottom w:val="single" w:sz="8" w:color="DC202E"/>
            </w:tcBorders>
          </w:tcPr>
          <w:p>
            <w:pPr>
              <w:spacing w:after="0"/>
              <w:rPr>
                <w:sz w:val="17"/>
                <w:szCs w:val="17"/>
                <w:color w:val="auto"/>
              </w:rPr>
            </w:pPr>
          </w:p>
        </w:tc>
        <w:tc>
          <w:tcPr>
            <w:tcW w:w="980" w:type="dxa"/>
            <w:vAlign w:val="bottom"/>
            <w:tcBorders>
              <w:bottom w:val="single" w:sz="8" w:color="DC202E"/>
            </w:tcBorders>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DC202E"/>
            </w:tcBorders>
          </w:tcPr>
          <w:p>
            <w:pPr>
              <w:spacing w:after="0"/>
              <w:rPr>
                <w:sz w:val="17"/>
                <w:szCs w:val="17"/>
                <w:color w:val="auto"/>
              </w:rPr>
            </w:pPr>
          </w:p>
        </w:tc>
        <w:tc>
          <w:tcPr>
            <w:tcW w:w="300" w:type="dxa"/>
            <w:vAlign w:val="bottom"/>
            <w:tcBorders>
              <w:bottom w:val="single" w:sz="8" w:color="DC202E"/>
            </w:tcBorders>
          </w:tcPr>
          <w:p>
            <w:pPr>
              <w:spacing w:after="0"/>
              <w:rPr>
                <w:sz w:val="17"/>
                <w:szCs w:val="17"/>
                <w:color w:val="auto"/>
              </w:rPr>
            </w:pPr>
          </w:p>
        </w:tc>
        <w:tc>
          <w:tcPr>
            <w:tcW w:w="980" w:type="dxa"/>
            <w:vAlign w:val="bottom"/>
            <w:tcBorders>
              <w:bottom w:val="single" w:sz="8" w:color="DC202E"/>
            </w:tcBorders>
          </w:tcPr>
          <w:p>
            <w:pPr>
              <w:jc w:val="center"/>
              <w:ind w:right="22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DC202E"/>
            </w:tcBorders>
          </w:tcPr>
          <w:p>
            <w:pPr>
              <w:spacing w:after="0"/>
              <w:rPr>
                <w:sz w:val="17"/>
                <w:szCs w:val="17"/>
                <w:color w:val="auto"/>
              </w:rPr>
            </w:pPr>
          </w:p>
        </w:tc>
        <w:tc>
          <w:tcPr>
            <w:tcW w:w="320" w:type="dxa"/>
            <w:vAlign w:val="bottom"/>
            <w:tcBorders>
              <w:bottom w:val="single" w:sz="8" w:color="DC202E"/>
            </w:tcBorders>
          </w:tcPr>
          <w:p>
            <w:pPr>
              <w:spacing w:after="0"/>
              <w:rPr>
                <w:sz w:val="17"/>
                <w:szCs w:val="17"/>
                <w:color w:val="auto"/>
              </w:rPr>
            </w:pPr>
          </w:p>
        </w:tc>
        <w:tc>
          <w:tcPr>
            <w:tcW w:w="960" w:type="dxa"/>
            <w:vAlign w:val="bottom"/>
            <w:tcBorders>
              <w:bottom w:val="single" w:sz="8" w:color="DC202E"/>
            </w:tcBorders>
          </w:tcPr>
          <w:p>
            <w:pPr>
              <w:jc w:val="right"/>
              <w:ind w:right="408"/>
              <w:spacing w:after="0"/>
              <w:rPr>
                <w:sz w:val="20"/>
                <w:szCs w:val="20"/>
                <w:color w:val="auto"/>
              </w:rPr>
            </w:pPr>
            <w:r>
              <w:rPr>
                <w:rFonts w:ascii="Arial" w:cs="Arial" w:eastAsia="Arial" w:hAnsi="Arial"/>
                <w:sz w:val="14"/>
                <w:szCs w:val="14"/>
                <w:b w:val="1"/>
                <w:bCs w:val="1"/>
                <w:color w:val="auto"/>
              </w:rPr>
              <w:t>2018</w:t>
            </w:r>
          </w:p>
        </w:tc>
      </w:tr>
      <w:tr>
        <w:trPr>
          <w:trHeight w:val="189"/>
        </w:trPr>
        <w:tc>
          <w:tcPr>
            <w:tcW w:w="7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80" w:type="dxa"/>
            <w:vAlign w:val="bottom"/>
            <w:gridSpan w:val="4"/>
          </w:tcPr>
          <w:p>
            <w:pPr>
              <w:jc w:val="center"/>
              <w:spacing w:after="0"/>
              <w:rPr>
                <w:sz w:val="20"/>
                <w:szCs w:val="20"/>
                <w:color w:val="auto"/>
              </w:rPr>
            </w:pPr>
            <w:r>
              <w:rPr>
                <w:rFonts w:ascii="Arial" w:cs="Arial" w:eastAsia="Arial" w:hAnsi="Arial"/>
                <w:sz w:val="14"/>
                <w:szCs w:val="14"/>
                <w:b w:val="1"/>
                <w:bCs w:val="1"/>
                <w:color w:val="auto"/>
              </w:rPr>
              <w:t>(Dollars in millions)</w:t>
            </w: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9"/>
        </w:trPr>
        <w:tc>
          <w:tcPr>
            <w:tcW w:w="7140" w:type="dxa"/>
            <w:vAlign w:val="bottom"/>
            <w:shd w:val="clear" w:color="auto" w:fill="DDDDDD"/>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300" w:type="dxa"/>
            <w:vAlign w:val="bottom"/>
            <w:shd w:val="clear" w:color="auto" w:fill="DDDDDD"/>
          </w:tcPr>
          <w:p>
            <w:pPr>
              <w:spacing w:after="0"/>
              <w:rPr>
                <w:sz w:val="16"/>
                <w:szCs w:val="16"/>
                <w:color w:val="auto"/>
              </w:rPr>
            </w:pPr>
          </w:p>
        </w:tc>
        <w:tc>
          <w:tcPr>
            <w:tcW w:w="9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300" w:type="dxa"/>
            <w:vAlign w:val="bottom"/>
            <w:shd w:val="clear" w:color="auto" w:fill="DDDDDD"/>
          </w:tcPr>
          <w:p>
            <w:pPr>
              <w:spacing w:after="0"/>
              <w:rPr>
                <w:sz w:val="16"/>
                <w:szCs w:val="16"/>
                <w:color w:val="auto"/>
              </w:rPr>
            </w:pPr>
          </w:p>
        </w:tc>
        <w:tc>
          <w:tcPr>
            <w:tcW w:w="9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320" w:type="dxa"/>
            <w:vAlign w:val="bottom"/>
            <w:shd w:val="clear" w:color="auto" w:fill="DDDDDD"/>
          </w:tcPr>
          <w:p>
            <w:pPr>
              <w:spacing w:after="0"/>
              <w:rPr>
                <w:sz w:val="16"/>
                <w:szCs w:val="16"/>
                <w:color w:val="auto"/>
              </w:rPr>
            </w:pPr>
          </w:p>
        </w:tc>
        <w:tc>
          <w:tcPr>
            <w:tcW w:w="960" w:type="dxa"/>
            <w:vAlign w:val="bottom"/>
            <w:shd w:val="clear" w:color="auto" w:fill="DDDDDD"/>
          </w:tcPr>
          <w:p>
            <w:pPr>
              <w:spacing w:after="0"/>
              <w:rPr>
                <w:sz w:val="16"/>
                <w:szCs w:val="16"/>
                <w:color w:val="auto"/>
              </w:rPr>
            </w:pPr>
          </w:p>
        </w:tc>
      </w:tr>
      <w:tr>
        <w:trPr>
          <w:trHeight w:val="189"/>
        </w:trPr>
        <w:tc>
          <w:tcPr>
            <w:tcW w:w="7140" w:type="dxa"/>
            <w:vAlign w:val="bottom"/>
          </w:tcPr>
          <w:p>
            <w:pPr>
              <w:ind w:left="220"/>
              <w:spacing w:after="0"/>
              <w:rPr>
                <w:sz w:val="20"/>
                <w:szCs w:val="20"/>
                <w:color w:val="auto"/>
              </w:rPr>
            </w:pPr>
            <w:r>
              <w:rPr>
                <w:rFonts w:ascii="Arial" w:cs="Arial" w:eastAsia="Arial" w:hAnsi="Arial"/>
                <w:sz w:val="14"/>
                <w:szCs w:val="14"/>
                <w:color w:val="auto"/>
              </w:rPr>
              <w:t>Net income</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4,865</w:t>
            </w:r>
          </w:p>
        </w:tc>
        <w:tc>
          <w:tcPr>
            <w:tcW w:w="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6,230</w:t>
            </w:r>
          </w:p>
        </w:tc>
        <w:tc>
          <w:tcPr>
            <w:tcW w:w="1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6,828</w:t>
            </w:r>
          </w:p>
        </w:tc>
      </w:tr>
      <w:tr>
        <w:trPr>
          <w:trHeight w:val="189"/>
        </w:trPr>
        <w:tc>
          <w:tcPr>
            <w:tcW w:w="7140" w:type="dxa"/>
            <w:vAlign w:val="bottom"/>
            <w:shd w:val="clear" w:color="auto" w:fill="DDDDDD"/>
          </w:tcPr>
          <w:p>
            <w:pPr>
              <w:ind w:left="220"/>
              <w:spacing w:after="0"/>
              <w:rPr>
                <w:sz w:val="20"/>
                <w:szCs w:val="20"/>
                <w:color w:val="auto"/>
              </w:rPr>
            </w:pPr>
            <w:r>
              <w:rPr>
                <w:rFonts w:ascii="Arial" w:cs="Arial" w:eastAsia="Arial" w:hAnsi="Arial"/>
                <w:sz w:val="14"/>
                <w:szCs w:val="14"/>
                <w:color w:val="auto"/>
              </w:rPr>
              <w:t>Less: Net income attributable to the noncontrolling interest</w:t>
            </w:r>
          </w:p>
        </w:tc>
        <w:tc>
          <w:tcPr>
            <w:tcW w:w="300" w:type="dxa"/>
            <w:vAlign w:val="bottom"/>
            <w:tcBorders>
              <w:bottom w:val="single" w:sz="8" w:color="auto"/>
            </w:tcBorders>
            <w:shd w:val="clear" w:color="auto" w:fill="DDDDDD"/>
          </w:tcPr>
          <w:p>
            <w:pPr>
              <w:spacing w:after="0"/>
              <w:rPr>
                <w:sz w:val="16"/>
                <w:szCs w:val="16"/>
                <w:color w:val="auto"/>
              </w:rPr>
            </w:pPr>
          </w:p>
        </w:tc>
        <w:tc>
          <w:tcPr>
            <w:tcW w:w="9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86</w:t>
            </w:r>
          </w:p>
        </w:tc>
        <w:tc>
          <w:tcPr>
            <w:tcW w:w="100" w:type="dxa"/>
            <w:vAlign w:val="bottom"/>
            <w:shd w:val="clear" w:color="auto" w:fill="DDDDDD"/>
          </w:tcPr>
          <w:p>
            <w:pPr>
              <w:spacing w:after="0"/>
              <w:rPr>
                <w:sz w:val="16"/>
                <w:szCs w:val="16"/>
                <w:color w:val="auto"/>
              </w:rPr>
            </w:pPr>
          </w:p>
        </w:tc>
        <w:tc>
          <w:tcPr>
            <w:tcW w:w="300" w:type="dxa"/>
            <w:vAlign w:val="bottom"/>
            <w:tcBorders>
              <w:bottom w:val="single" w:sz="8" w:color="auto"/>
            </w:tcBorders>
            <w:shd w:val="clear" w:color="auto" w:fill="DDDDDD"/>
          </w:tcPr>
          <w:p>
            <w:pPr>
              <w:spacing w:after="0"/>
              <w:rPr>
                <w:sz w:val="16"/>
                <w:szCs w:val="16"/>
                <w:color w:val="auto"/>
              </w:rPr>
            </w:pPr>
          </w:p>
        </w:tc>
        <w:tc>
          <w:tcPr>
            <w:tcW w:w="980" w:type="dxa"/>
            <w:vAlign w:val="bottom"/>
            <w:tcBorders>
              <w:bottom w:val="single" w:sz="8" w:color="auto"/>
            </w:tcBorders>
            <w:shd w:val="clear" w:color="auto" w:fill="DDDDDD"/>
          </w:tcPr>
          <w:p>
            <w:pPr>
              <w:jc w:val="right"/>
              <w:ind w:right="8"/>
              <w:spacing w:after="0"/>
              <w:rPr>
                <w:sz w:val="20"/>
                <w:szCs w:val="20"/>
                <w:color w:val="auto"/>
              </w:rPr>
            </w:pPr>
            <w:r>
              <w:rPr>
                <w:rFonts w:ascii="Arial" w:cs="Arial" w:eastAsia="Arial" w:hAnsi="Arial"/>
                <w:sz w:val="14"/>
                <w:szCs w:val="14"/>
                <w:color w:val="auto"/>
              </w:rPr>
              <w:t>87</w:t>
            </w:r>
          </w:p>
        </w:tc>
        <w:tc>
          <w:tcPr>
            <w:tcW w:w="100" w:type="dxa"/>
            <w:vAlign w:val="bottom"/>
            <w:shd w:val="clear" w:color="auto" w:fill="DDDDDD"/>
          </w:tcPr>
          <w:p>
            <w:pPr>
              <w:spacing w:after="0"/>
              <w:rPr>
                <w:sz w:val="16"/>
                <w:szCs w:val="16"/>
                <w:color w:val="auto"/>
              </w:rPr>
            </w:pPr>
          </w:p>
        </w:tc>
        <w:tc>
          <w:tcPr>
            <w:tcW w:w="320" w:type="dxa"/>
            <w:vAlign w:val="bottom"/>
            <w:tcBorders>
              <w:bottom w:val="single" w:sz="8" w:color="auto"/>
            </w:tcBorders>
            <w:shd w:val="clear" w:color="auto" w:fill="DDDDDD"/>
          </w:tcPr>
          <w:p>
            <w:pPr>
              <w:spacing w:after="0"/>
              <w:rPr>
                <w:sz w:val="16"/>
                <w:szCs w:val="16"/>
                <w:color w:val="auto"/>
              </w:rPr>
            </w:pPr>
          </w:p>
        </w:tc>
        <w:tc>
          <w:tcPr>
            <w:tcW w:w="960" w:type="dxa"/>
            <w:vAlign w:val="bottom"/>
            <w:tcBorders>
              <w:bottom w:val="single" w:sz="8" w:color="auto"/>
            </w:tcBorders>
            <w:shd w:val="clear" w:color="auto" w:fill="DDDDDD"/>
          </w:tcPr>
          <w:p>
            <w:pPr>
              <w:jc w:val="right"/>
              <w:ind w:right="8"/>
              <w:spacing w:after="0"/>
              <w:rPr>
                <w:sz w:val="20"/>
                <w:szCs w:val="20"/>
                <w:color w:val="auto"/>
              </w:rPr>
            </w:pPr>
            <w:r>
              <w:rPr>
                <w:rFonts w:ascii="Arial" w:cs="Arial" w:eastAsia="Arial" w:hAnsi="Arial"/>
                <w:sz w:val="14"/>
                <w:szCs w:val="14"/>
                <w:color w:val="auto"/>
              </w:rPr>
              <w:t>63</w:t>
            </w:r>
          </w:p>
        </w:tc>
      </w:tr>
      <w:tr>
        <w:trPr>
          <w:trHeight w:val="183"/>
        </w:trPr>
        <w:tc>
          <w:tcPr>
            <w:tcW w:w="7140" w:type="dxa"/>
            <w:vAlign w:val="bottom"/>
          </w:tcPr>
          <w:p>
            <w:pPr>
              <w:ind w:left="220"/>
              <w:spacing w:after="0"/>
              <w:rPr>
                <w:sz w:val="20"/>
                <w:szCs w:val="20"/>
                <w:color w:val="auto"/>
              </w:rPr>
            </w:pPr>
            <w:r>
              <w:rPr>
                <w:rFonts w:ascii="Arial" w:cs="Arial" w:eastAsia="Arial" w:hAnsi="Arial"/>
                <w:sz w:val="14"/>
                <w:szCs w:val="14"/>
                <w:color w:val="auto"/>
              </w:rPr>
              <w:t>Net income attributable to Honeywell</w:t>
            </w: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4,779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6,143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6,765</w:t>
            </w:r>
          </w:p>
        </w:tc>
      </w:tr>
      <w:tr>
        <w:trPr>
          <w:trHeight w:val="189"/>
        </w:trPr>
        <w:tc>
          <w:tcPr>
            <w:tcW w:w="7140" w:type="dxa"/>
            <w:vAlign w:val="bottom"/>
            <w:shd w:val="clear" w:color="auto" w:fill="DDDDDD"/>
          </w:tcPr>
          <w:p>
            <w:pPr>
              <w:ind w:left="220"/>
              <w:spacing w:after="0"/>
              <w:rPr>
                <w:sz w:val="20"/>
                <w:szCs w:val="20"/>
                <w:color w:val="auto"/>
              </w:rPr>
            </w:pPr>
            <w:r>
              <w:rPr>
                <w:rFonts w:ascii="Arial" w:cs="Arial" w:eastAsia="Arial" w:hAnsi="Arial"/>
                <w:sz w:val="14"/>
                <w:szCs w:val="14"/>
                <w:color w:val="auto"/>
              </w:rPr>
              <w:t>Adjustments to reconcile net income attributable to Honeywell to net cash provided by operating activities:</w:t>
            </w:r>
          </w:p>
        </w:tc>
        <w:tc>
          <w:tcPr>
            <w:tcW w:w="300" w:type="dxa"/>
            <w:vAlign w:val="bottom"/>
            <w:shd w:val="clear" w:color="auto" w:fill="DDDDDD"/>
          </w:tcPr>
          <w:p>
            <w:pPr>
              <w:spacing w:after="0"/>
              <w:rPr>
                <w:sz w:val="16"/>
                <w:szCs w:val="16"/>
                <w:color w:val="auto"/>
              </w:rPr>
            </w:pPr>
          </w:p>
        </w:tc>
        <w:tc>
          <w:tcPr>
            <w:tcW w:w="9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300" w:type="dxa"/>
            <w:vAlign w:val="bottom"/>
            <w:shd w:val="clear" w:color="auto" w:fill="DDDDDD"/>
          </w:tcPr>
          <w:p>
            <w:pPr>
              <w:spacing w:after="0"/>
              <w:rPr>
                <w:sz w:val="16"/>
                <w:szCs w:val="16"/>
                <w:color w:val="auto"/>
              </w:rPr>
            </w:pPr>
          </w:p>
        </w:tc>
        <w:tc>
          <w:tcPr>
            <w:tcW w:w="9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320" w:type="dxa"/>
            <w:vAlign w:val="bottom"/>
            <w:shd w:val="clear" w:color="auto" w:fill="DDDDDD"/>
          </w:tcPr>
          <w:p>
            <w:pPr>
              <w:spacing w:after="0"/>
              <w:rPr>
                <w:sz w:val="16"/>
                <w:szCs w:val="16"/>
                <w:color w:val="auto"/>
              </w:rPr>
            </w:pPr>
          </w:p>
        </w:tc>
        <w:tc>
          <w:tcPr>
            <w:tcW w:w="960" w:type="dxa"/>
            <w:vAlign w:val="bottom"/>
            <w:shd w:val="clear" w:color="auto" w:fill="DDDDDD"/>
          </w:tcPr>
          <w:p>
            <w:pPr>
              <w:spacing w:after="0"/>
              <w:rPr>
                <w:sz w:val="16"/>
                <w:szCs w:val="16"/>
                <w:color w:val="auto"/>
              </w:rPr>
            </w:pPr>
          </w:p>
        </w:tc>
      </w:tr>
      <w:tr>
        <w:trPr>
          <w:trHeight w:val="189"/>
        </w:trPr>
        <w:tc>
          <w:tcPr>
            <w:tcW w:w="7140" w:type="dxa"/>
            <w:vAlign w:val="bottom"/>
          </w:tcPr>
          <w:p>
            <w:pPr>
              <w:ind w:left="540"/>
              <w:spacing w:after="0"/>
              <w:rPr>
                <w:sz w:val="20"/>
                <w:szCs w:val="20"/>
                <w:color w:val="auto"/>
              </w:rPr>
            </w:pPr>
            <w:r>
              <w:rPr>
                <w:rFonts w:ascii="Arial" w:cs="Arial" w:eastAsia="Arial" w:hAnsi="Arial"/>
                <w:sz w:val="14"/>
                <w:szCs w:val="14"/>
                <w:color w:val="auto"/>
              </w:rPr>
              <w:t>Depreciation</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644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673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721</w:t>
            </w:r>
          </w:p>
        </w:tc>
      </w:tr>
      <w:tr>
        <w:trPr>
          <w:trHeight w:val="189"/>
        </w:trPr>
        <w:tc>
          <w:tcPr>
            <w:tcW w:w="7140" w:type="dxa"/>
            <w:vAlign w:val="bottom"/>
            <w:shd w:val="clear" w:color="auto" w:fill="DDDDDD"/>
          </w:tcPr>
          <w:p>
            <w:pPr>
              <w:ind w:left="540"/>
              <w:spacing w:after="0"/>
              <w:rPr>
                <w:sz w:val="20"/>
                <w:szCs w:val="20"/>
                <w:color w:val="auto"/>
              </w:rPr>
            </w:pPr>
            <w:r>
              <w:rPr>
                <w:rFonts w:ascii="Arial" w:cs="Arial" w:eastAsia="Arial" w:hAnsi="Arial"/>
                <w:sz w:val="14"/>
                <w:szCs w:val="14"/>
                <w:color w:val="auto"/>
              </w:rPr>
              <w:t>Amortization</w:t>
            </w:r>
          </w:p>
        </w:tc>
        <w:tc>
          <w:tcPr>
            <w:tcW w:w="300" w:type="dxa"/>
            <w:vAlign w:val="bottom"/>
            <w:shd w:val="clear" w:color="auto" w:fill="DDDDDD"/>
          </w:tcPr>
          <w:p>
            <w:pPr>
              <w:spacing w:after="0"/>
              <w:rPr>
                <w:sz w:val="16"/>
                <w:szCs w:val="16"/>
                <w:color w:val="auto"/>
              </w:rPr>
            </w:pPr>
          </w:p>
        </w:tc>
        <w:tc>
          <w:tcPr>
            <w:tcW w:w="980" w:type="dxa"/>
            <w:vAlign w:val="bottom"/>
            <w:shd w:val="clear" w:color="auto" w:fill="DDDDDD"/>
          </w:tcPr>
          <w:p>
            <w:pPr>
              <w:jc w:val="right"/>
              <w:spacing w:after="0"/>
              <w:rPr>
                <w:sz w:val="20"/>
                <w:szCs w:val="20"/>
                <w:color w:val="auto"/>
              </w:rPr>
            </w:pPr>
            <w:r>
              <w:rPr>
                <w:rFonts w:ascii="Arial" w:cs="Arial" w:eastAsia="Arial" w:hAnsi="Arial"/>
                <w:sz w:val="14"/>
                <w:szCs w:val="14"/>
                <w:color w:val="auto"/>
              </w:rPr>
              <w:t>358</w:t>
            </w:r>
          </w:p>
        </w:tc>
        <w:tc>
          <w:tcPr>
            <w:tcW w:w="100" w:type="dxa"/>
            <w:vAlign w:val="bottom"/>
            <w:shd w:val="clear" w:color="auto" w:fill="DDDDDD"/>
          </w:tcPr>
          <w:p>
            <w:pPr>
              <w:spacing w:after="0"/>
              <w:rPr>
                <w:sz w:val="16"/>
                <w:szCs w:val="16"/>
                <w:color w:val="auto"/>
              </w:rPr>
            </w:pPr>
          </w:p>
        </w:tc>
        <w:tc>
          <w:tcPr>
            <w:tcW w:w="300" w:type="dxa"/>
            <w:vAlign w:val="bottom"/>
            <w:shd w:val="clear" w:color="auto" w:fill="DDDDDD"/>
          </w:tcPr>
          <w:p>
            <w:pPr>
              <w:spacing w:after="0"/>
              <w:rPr>
                <w:sz w:val="16"/>
                <w:szCs w:val="16"/>
                <w:color w:val="auto"/>
              </w:rPr>
            </w:pPr>
          </w:p>
        </w:tc>
        <w:tc>
          <w:tcPr>
            <w:tcW w:w="98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415</w:t>
            </w:r>
          </w:p>
        </w:tc>
        <w:tc>
          <w:tcPr>
            <w:tcW w:w="100" w:type="dxa"/>
            <w:vAlign w:val="bottom"/>
            <w:shd w:val="clear" w:color="auto" w:fill="DDDDDD"/>
          </w:tcPr>
          <w:p>
            <w:pPr>
              <w:spacing w:after="0"/>
              <w:rPr>
                <w:sz w:val="16"/>
                <w:szCs w:val="16"/>
                <w:color w:val="auto"/>
              </w:rPr>
            </w:pPr>
          </w:p>
        </w:tc>
        <w:tc>
          <w:tcPr>
            <w:tcW w:w="320" w:type="dxa"/>
            <w:vAlign w:val="bottom"/>
            <w:shd w:val="clear" w:color="auto" w:fill="DDDDDD"/>
          </w:tcPr>
          <w:p>
            <w:pPr>
              <w:spacing w:after="0"/>
              <w:rPr>
                <w:sz w:val="16"/>
                <w:szCs w:val="16"/>
                <w:color w:val="auto"/>
              </w:rPr>
            </w:pPr>
          </w:p>
        </w:tc>
        <w:tc>
          <w:tcPr>
            <w:tcW w:w="96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395</w:t>
            </w:r>
          </w:p>
        </w:tc>
      </w:tr>
      <w:tr>
        <w:trPr>
          <w:trHeight w:val="189"/>
        </w:trPr>
        <w:tc>
          <w:tcPr>
            <w:tcW w:w="7140" w:type="dxa"/>
            <w:vAlign w:val="bottom"/>
          </w:tcPr>
          <w:p>
            <w:pPr>
              <w:ind w:left="540"/>
              <w:spacing w:after="0"/>
              <w:rPr>
                <w:sz w:val="20"/>
                <w:szCs w:val="20"/>
                <w:color w:val="auto"/>
              </w:rPr>
            </w:pPr>
            <w:r>
              <w:rPr>
                <w:rFonts w:ascii="Arial" w:cs="Arial" w:eastAsia="Arial" w:hAnsi="Arial"/>
                <w:sz w:val="14"/>
                <w:szCs w:val="14"/>
                <w:color w:val="auto"/>
              </w:rPr>
              <w:t>Repositioning and other charges</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575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546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1,091</w:t>
            </w:r>
          </w:p>
        </w:tc>
      </w:tr>
      <w:tr>
        <w:trPr>
          <w:trHeight w:val="189"/>
        </w:trPr>
        <w:tc>
          <w:tcPr>
            <w:tcW w:w="7140" w:type="dxa"/>
            <w:vAlign w:val="bottom"/>
            <w:shd w:val="clear" w:color="auto" w:fill="DDDDDD"/>
          </w:tcPr>
          <w:p>
            <w:pPr>
              <w:ind w:left="540"/>
              <w:spacing w:after="0"/>
              <w:rPr>
                <w:sz w:val="20"/>
                <w:szCs w:val="20"/>
                <w:color w:val="auto"/>
              </w:rPr>
            </w:pPr>
            <w:r>
              <w:rPr>
                <w:rFonts w:ascii="Arial" w:cs="Arial" w:eastAsia="Arial" w:hAnsi="Arial"/>
                <w:sz w:val="14"/>
                <w:szCs w:val="14"/>
                <w:color w:val="auto"/>
              </w:rPr>
              <w:t>Net payments for repositioning and other charges</w:t>
            </w:r>
          </w:p>
        </w:tc>
        <w:tc>
          <w:tcPr>
            <w:tcW w:w="300" w:type="dxa"/>
            <w:vAlign w:val="bottom"/>
            <w:shd w:val="clear" w:color="auto" w:fill="DDDDDD"/>
          </w:tcPr>
          <w:p>
            <w:pPr>
              <w:spacing w:after="0"/>
              <w:rPr>
                <w:sz w:val="16"/>
                <w:szCs w:val="16"/>
                <w:color w:val="auto"/>
              </w:rPr>
            </w:pPr>
          </w:p>
        </w:tc>
        <w:tc>
          <w:tcPr>
            <w:tcW w:w="980" w:type="dxa"/>
            <w:vAlign w:val="bottom"/>
            <w:shd w:val="clear" w:color="auto" w:fill="DDDDDD"/>
          </w:tcPr>
          <w:p>
            <w:pPr>
              <w:jc w:val="right"/>
              <w:spacing w:after="0"/>
              <w:rPr>
                <w:sz w:val="20"/>
                <w:szCs w:val="20"/>
                <w:color w:val="auto"/>
              </w:rPr>
            </w:pPr>
            <w:r>
              <w:rPr>
                <w:rFonts w:ascii="Arial" w:cs="Arial" w:eastAsia="Arial" w:hAnsi="Arial"/>
                <w:sz w:val="14"/>
                <w:szCs w:val="14"/>
                <w:color w:val="auto"/>
              </w:rPr>
              <w:t>(833)</w:t>
            </w:r>
          </w:p>
        </w:tc>
        <w:tc>
          <w:tcPr>
            <w:tcW w:w="100" w:type="dxa"/>
            <w:vAlign w:val="bottom"/>
            <w:shd w:val="clear" w:color="auto" w:fill="DDDDDD"/>
          </w:tcPr>
          <w:p>
            <w:pPr>
              <w:spacing w:after="0"/>
              <w:rPr>
                <w:sz w:val="16"/>
                <w:szCs w:val="16"/>
                <w:color w:val="auto"/>
              </w:rPr>
            </w:pPr>
          </w:p>
        </w:tc>
        <w:tc>
          <w:tcPr>
            <w:tcW w:w="300" w:type="dxa"/>
            <w:vAlign w:val="bottom"/>
            <w:shd w:val="clear" w:color="auto" w:fill="DDDDDD"/>
          </w:tcPr>
          <w:p>
            <w:pPr>
              <w:spacing w:after="0"/>
              <w:rPr>
                <w:sz w:val="16"/>
                <w:szCs w:val="16"/>
                <w:color w:val="auto"/>
              </w:rPr>
            </w:pPr>
          </w:p>
        </w:tc>
        <w:tc>
          <w:tcPr>
            <w:tcW w:w="980" w:type="dxa"/>
            <w:vAlign w:val="bottom"/>
            <w:shd w:val="clear" w:color="auto" w:fill="DDDDDD"/>
          </w:tcPr>
          <w:p>
            <w:pPr>
              <w:jc w:val="right"/>
              <w:spacing w:after="0"/>
              <w:rPr>
                <w:sz w:val="20"/>
                <w:szCs w:val="20"/>
                <w:color w:val="auto"/>
              </w:rPr>
            </w:pPr>
            <w:r>
              <w:rPr>
                <w:rFonts w:ascii="Arial" w:cs="Arial" w:eastAsia="Arial" w:hAnsi="Arial"/>
                <w:sz w:val="14"/>
                <w:szCs w:val="14"/>
                <w:color w:val="auto"/>
              </w:rPr>
              <w:t>(376)</w:t>
            </w:r>
          </w:p>
        </w:tc>
        <w:tc>
          <w:tcPr>
            <w:tcW w:w="100" w:type="dxa"/>
            <w:vAlign w:val="bottom"/>
            <w:shd w:val="clear" w:color="auto" w:fill="DDDDDD"/>
          </w:tcPr>
          <w:p>
            <w:pPr>
              <w:spacing w:after="0"/>
              <w:rPr>
                <w:sz w:val="16"/>
                <w:szCs w:val="16"/>
                <w:color w:val="auto"/>
              </w:rPr>
            </w:pPr>
          </w:p>
        </w:tc>
        <w:tc>
          <w:tcPr>
            <w:tcW w:w="320" w:type="dxa"/>
            <w:vAlign w:val="bottom"/>
            <w:shd w:val="clear" w:color="auto" w:fill="DDDDDD"/>
          </w:tcPr>
          <w:p>
            <w:pPr>
              <w:spacing w:after="0"/>
              <w:rPr>
                <w:sz w:val="16"/>
                <w:szCs w:val="16"/>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14"/>
                <w:szCs w:val="14"/>
                <w:color w:val="auto"/>
              </w:rPr>
              <w:t>(652)</w:t>
            </w:r>
          </w:p>
        </w:tc>
      </w:tr>
      <w:tr>
        <w:trPr>
          <w:trHeight w:val="189"/>
        </w:trPr>
        <w:tc>
          <w:tcPr>
            <w:tcW w:w="7140" w:type="dxa"/>
            <w:vAlign w:val="bottom"/>
          </w:tcPr>
          <w:p>
            <w:pPr>
              <w:ind w:left="540"/>
              <w:spacing w:after="0"/>
              <w:rPr>
                <w:sz w:val="20"/>
                <w:szCs w:val="20"/>
                <w:color w:val="auto"/>
              </w:rPr>
            </w:pPr>
            <w:r>
              <w:rPr>
                <w:rFonts w:ascii="Arial" w:cs="Arial" w:eastAsia="Arial" w:hAnsi="Arial"/>
                <w:sz w:val="14"/>
                <w:szCs w:val="14"/>
                <w:color w:val="auto"/>
              </w:rPr>
              <w:t>Pension and other postretirement income</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(798)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(516)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(987)</w:t>
            </w:r>
          </w:p>
        </w:tc>
      </w:tr>
      <w:tr>
        <w:trPr>
          <w:trHeight w:val="189"/>
        </w:trPr>
        <w:tc>
          <w:tcPr>
            <w:tcW w:w="7140" w:type="dxa"/>
            <w:vAlign w:val="bottom"/>
            <w:shd w:val="clear" w:color="auto" w:fill="DDDDDD"/>
          </w:tcPr>
          <w:p>
            <w:pPr>
              <w:ind w:left="540"/>
              <w:spacing w:after="0"/>
              <w:rPr>
                <w:sz w:val="20"/>
                <w:szCs w:val="20"/>
                <w:color w:val="auto"/>
              </w:rPr>
            </w:pPr>
            <w:r>
              <w:rPr>
                <w:rFonts w:ascii="Arial" w:cs="Arial" w:eastAsia="Arial" w:hAnsi="Arial"/>
                <w:sz w:val="14"/>
                <w:szCs w:val="14"/>
                <w:color w:val="auto"/>
              </w:rPr>
              <w:t>Pension and other postretirement benefit payments</w:t>
            </w:r>
          </w:p>
        </w:tc>
        <w:tc>
          <w:tcPr>
            <w:tcW w:w="300" w:type="dxa"/>
            <w:vAlign w:val="bottom"/>
            <w:shd w:val="clear" w:color="auto" w:fill="DDDDDD"/>
          </w:tcPr>
          <w:p>
            <w:pPr>
              <w:spacing w:after="0"/>
              <w:rPr>
                <w:sz w:val="16"/>
                <w:szCs w:val="16"/>
                <w:color w:val="auto"/>
              </w:rPr>
            </w:pPr>
          </w:p>
        </w:tc>
        <w:tc>
          <w:tcPr>
            <w:tcW w:w="980" w:type="dxa"/>
            <w:vAlign w:val="bottom"/>
            <w:shd w:val="clear" w:color="auto" w:fill="DDDDDD"/>
          </w:tcPr>
          <w:p>
            <w:pPr>
              <w:jc w:val="right"/>
              <w:spacing w:after="0"/>
              <w:rPr>
                <w:sz w:val="20"/>
                <w:szCs w:val="20"/>
                <w:color w:val="auto"/>
              </w:rPr>
            </w:pPr>
            <w:r>
              <w:rPr>
                <w:rFonts w:ascii="Arial" w:cs="Arial" w:eastAsia="Arial" w:hAnsi="Arial"/>
                <w:sz w:val="14"/>
                <w:szCs w:val="14"/>
                <w:color w:val="auto"/>
              </w:rPr>
              <w:t>(47)</w:t>
            </w:r>
          </w:p>
        </w:tc>
        <w:tc>
          <w:tcPr>
            <w:tcW w:w="100" w:type="dxa"/>
            <w:vAlign w:val="bottom"/>
            <w:shd w:val="clear" w:color="auto" w:fill="DDDDDD"/>
          </w:tcPr>
          <w:p>
            <w:pPr>
              <w:spacing w:after="0"/>
              <w:rPr>
                <w:sz w:val="16"/>
                <w:szCs w:val="16"/>
                <w:color w:val="auto"/>
              </w:rPr>
            </w:pPr>
          </w:p>
        </w:tc>
        <w:tc>
          <w:tcPr>
            <w:tcW w:w="300" w:type="dxa"/>
            <w:vAlign w:val="bottom"/>
            <w:shd w:val="clear" w:color="auto" w:fill="DDDDDD"/>
          </w:tcPr>
          <w:p>
            <w:pPr>
              <w:spacing w:after="0"/>
              <w:rPr>
                <w:sz w:val="16"/>
                <w:szCs w:val="16"/>
                <w:color w:val="auto"/>
              </w:rPr>
            </w:pPr>
          </w:p>
        </w:tc>
        <w:tc>
          <w:tcPr>
            <w:tcW w:w="980" w:type="dxa"/>
            <w:vAlign w:val="bottom"/>
            <w:shd w:val="clear" w:color="auto" w:fill="DDDDDD"/>
          </w:tcPr>
          <w:p>
            <w:pPr>
              <w:jc w:val="right"/>
              <w:spacing w:after="0"/>
              <w:rPr>
                <w:sz w:val="20"/>
                <w:szCs w:val="20"/>
                <w:color w:val="auto"/>
              </w:rPr>
            </w:pPr>
            <w:r>
              <w:rPr>
                <w:rFonts w:ascii="Arial" w:cs="Arial" w:eastAsia="Arial" w:hAnsi="Arial"/>
                <w:sz w:val="14"/>
                <w:szCs w:val="14"/>
                <w:color w:val="auto"/>
              </w:rPr>
              <w:t>(78)</w:t>
            </w:r>
          </w:p>
        </w:tc>
        <w:tc>
          <w:tcPr>
            <w:tcW w:w="100" w:type="dxa"/>
            <w:vAlign w:val="bottom"/>
            <w:shd w:val="clear" w:color="auto" w:fill="DDDDDD"/>
          </w:tcPr>
          <w:p>
            <w:pPr>
              <w:spacing w:after="0"/>
              <w:rPr>
                <w:sz w:val="16"/>
                <w:szCs w:val="16"/>
                <w:color w:val="auto"/>
              </w:rPr>
            </w:pPr>
          </w:p>
        </w:tc>
        <w:tc>
          <w:tcPr>
            <w:tcW w:w="320" w:type="dxa"/>
            <w:vAlign w:val="bottom"/>
            <w:shd w:val="clear" w:color="auto" w:fill="DDDDDD"/>
          </w:tcPr>
          <w:p>
            <w:pPr>
              <w:spacing w:after="0"/>
              <w:rPr>
                <w:sz w:val="16"/>
                <w:szCs w:val="16"/>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14"/>
                <w:szCs w:val="14"/>
                <w:color w:val="auto"/>
              </w:rPr>
              <w:t>(80)</w:t>
            </w:r>
          </w:p>
        </w:tc>
      </w:tr>
      <w:tr>
        <w:trPr>
          <w:trHeight w:val="189"/>
        </w:trPr>
        <w:tc>
          <w:tcPr>
            <w:tcW w:w="7140" w:type="dxa"/>
            <w:vAlign w:val="bottom"/>
          </w:tcPr>
          <w:p>
            <w:pPr>
              <w:ind w:left="540"/>
              <w:spacing w:after="0"/>
              <w:rPr>
                <w:sz w:val="20"/>
                <w:szCs w:val="20"/>
                <w:color w:val="auto"/>
              </w:rPr>
            </w:pPr>
            <w:r>
              <w:rPr>
                <w:rFonts w:ascii="Arial" w:cs="Arial" w:eastAsia="Arial" w:hAnsi="Arial"/>
                <w:sz w:val="14"/>
                <w:szCs w:val="14"/>
                <w:color w:val="auto"/>
              </w:rPr>
              <w:t>Stock compensation expense</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153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175</w:t>
            </w:r>
          </w:p>
        </w:tc>
      </w:tr>
      <w:tr>
        <w:trPr>
          <w:trHeight w:val="189"/>
        </w:trPr>
        <w:tc>
          <w:tcPr>
            <w:tcW w:w="7140" w:type="dxa"/>
            <w:vAlign w:val="bottom"/>
            <w:shd w:val="clear" w:color="auto" w:fill="DDDDDD"/>
          </w:tcPr>
          <w:p>
            <w:pPr>
              <w:ind w:left="540"/>
              <w:spacing w:after="0"/>
              <w:rPr>
                <w:sz w:val="20"/>
                <w:szCs w:val="20"/>
                <w:color w:val="auto"/>
              </w:rPr>
            </w:pPr>
            <w:r>
              <w:rPr>
                <w:rFonts w:ascii="Arial" w:cs="Arial" w:eastAsia="Arial" w:hAnsi="Arial"/>
                <w:sz w:val="14"/>
                <w:szCs w:val="14"/>
                <w:color w:val="auto"/>
              </w:rPr>
              <w:t>Deferred income taxes</w:t>
            </w:r>
          </w:p>
        </w:tc>
        <w:tc>
          <w:tcPr>
            <w:tcW w:w="300" w:type="dxa"/>
            <w:vAlign w:val="bottom"/>
            <w:shd w:val="clear" w:color="auto" w:fill="DDDDDD"/>
          </w:tcPr>
          <w:p>
            <w:pPr>
              <w:spacing w:after="0"/>
              <w:rPr>
                <w:sz w:val="16"/>
                <w:szCs w:val="16"/>
                <w:color w:val="auto"/>
              </w:rPr>
            </w:pPr>
          </w:p>
        </w:tc>
        <w:tc>
          <w:tcPr>
            <w:tcW w:w="98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(175)</w:t>
            </w:r>
          </w:p>
        </w:tc>
        <w:tc>
          <w:tcPr>
            <w:tcW w:w="100" w:type="dxa"/>
            <w:vAlign w:val="bottom"/>
            <w:shd w:val="clear" w:color="auto" w:fill="DDDDDD"/>
          </w:tcPr>
          <w:p>
            <w:pPr>
              <w:spacing w:after="0"/>
              <w:rPr>
                <w:sz w:val="16"/>
                <w:szCs w:val="16"/>
                <w:color w:val="auto"/>
              </w:rPr>
            </w:pPr>
          </w:p>
        </w:tc>
        <w:tc>
          <w:tcPr>
            <w:tcW w:w="300" w:type="dxa"/>
            <w:vAlign w:val="bottom"/>
            <w:shd w:val="clear" w:color="auto" w:fill="DDDDDD"/>
          </w:tcPr>
          <w:p>
            <w:pPr>
              <w:spacing w:after="0"/>
              <w:rPr>
                <w:sz w:val="16"/>
                <w:szCs w:val="16"/>
                <w:color w:val="auto"/>
              </w:rPr>
            </w:pPr>
          </w:p>
        </w:tc>
        <w:tc>
          <w:tcPr>
            <w:tcW w:w="98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179</w:t>
            </w:r>
          </w:p>
        </w:tc>
        <w:tc>
          <w:tcPr>
            <w:tcW w:w="100" w:type="dxa"/>
            <w:vAlign w:val="bottom"/>
            <w:shd w:val="clear" w:color="auto" w:fill="DDDDDD"/>
          </w:tcPr>
          <w:p>
            <w:pPr>
              <w:spacing w:after="0"/>
              <w:rPr>
                <w:sz w:val="16"/>
                <w:szCs w:val="16"/>
                <w:color w:val="auto"/>
              </w:rPr>
            </w:pPr>
          </w:p>
        </w:tc>
        <w:tc>
          <w:tcPr>
            <w:tcW w:w="320" w:type="dxa"/>
            <w:vAlign w:val="bottom"/>
            <w:shd w:val="clear" w:color="auto" w:fill="DDDDDD"/>
          </w:tcPr>
          <w:p>
            <w:pPr>
              <w:spacing w:after="0"/>
              <w:rPr>
                <w:sz w:val="16"/>
                <w:szCs w:val="16"/>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14"/>
                <w:szCs w:val="14"/>
                <w:color w:val="auto"/>
              </w:rPr>
              <w:t>(586)</w:t>
            </w:r>
          </w:p>
        </w:tc>
      </w:tr>
      <w:tr>
        <w:trPr>
          <w:trHeight w:val="189"/>
        </w:trPr>
        <w:tc>
          <w:tcPr>
            <w:tcW w:w="7140" w:type="dxa"/>
            <w:vAlign w:val="bottom"/>
          </w:tcPr>
          <w:p>
            <w:pPr>
              <w:ind w:left="540"/>
              <w:spacing w:after="0"/>
              <w:rPr>
                <w:sz w:val="20"/>
                <w:szCs w:val="20"/>
                <w:color w:val="auto"/>
              </w:rPr>
            </w:pPr>
            <w:r>
              <w:rPr>
                <w:rFonts w:ascii="Arial" w:cs="Arial" w:eastAsia="Arial" w:hAnsi="Arial"/>
                <w:sz w:val="14"/>
                <w:szCs w:val="14"/>
                <w:color w:val="auto"/>
              </w:rPr>
              <w:t>Reimbursement receivables charge</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509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189"/>
        </w:trPr>
        <w:tc>
          <w:tcPr>
            <w:tcW w:w="7140" w:type="dxa"/>
            <w:vAlign w:val="bottom"/>
            <w:shd w:val="clear" w:color="auto" w:fill="DDDDDD"/>
          </w:tcPr>
          <w:p>
            <w:pPr>
              <w:ind w:left="540"/>
              <w:spacing w:after="0"/>
              <w:rPr>
                <w:sz w:val="20"/>
                <w:szCs w:val="20"/>
                <w:color w:val="auto"/>
              </w:rPr>
            </w:pPr>
            <w:r>
              <w:rPr>
                <w:rFonts w:ascii="Arial" w:cs="Arial" w:eastAsia="Arial" w:hAnsi="Arial"/>
                <w:sz w:val="14"/>
                <w:szCs w:val="14"/>
                <w:color w:val="auto"/>
              </w:rPr>
              <w:t>Other</w:t>
            </w:r>
          </w:p>
        </w:tc>
        <w:tc>
          <w:tcPr>
            <w:tcW w:w="300" w:type="dxa"/>
            <w:vAlign w:val="bottom"/>
            <w:shd w:val="clear" w:color="auto" w:fill="DDDDDD"/>
          </w:tcPr>
          <w:p>
            <w:pPr>
              <w:spacing w:after="0"/>
              <w:rPr>
                <w:sz w:val="16"/>
                <w:szCs w:val="16"/>
                <w:color w:val="auto"/>
              </w:rPr>
            </w:pPr>
          </w:p>
        </w:tc>
        <w:tc>
          <w:tcPr>
            <w:tcW w:w="980" w:type="dxa"/>
            <w:vAlign w:val="bottom"/>
            <w:shd w:val="clear" w:color="auto" w:fill="DDDDDD"/>
          </w:tcPr>
          <w:p>
            <w:pPr>
              <w:jc w:val="right"/>
              <w:spacing w:after="0"/>
              <w:rPr>
                <w:sz w:val="20"/>
                <w:szCs w:val="20"/>
                <w:color w:val="auto"/>
              </w:rPr>
            </w:pPr>
            <w:r>
              <w:rPr>
                <w:rFonts w:ascii="Arial" w:cs="Arial" w:eastAsia="Arial" w:hAnsi="Arial"/>
                <w:sz w:val="14"/>
                <w:szCs w:val="14"/>
                <w:color w:val="auto"/>
              </w:rPr>
              <w:t>(335)</w:t>
            </w:r>
          </w:p>
        </w:tc>
        <w:tc>
          <w:tcPr>
            <w:tcW w:w="100" w:type="dxa"/>
            <w:vAlign w:val="bottom"/>
            <w:shd w:val="clear" w:color="auto" w:fill="DDDDDD"/>
          </w:tcPr>
          <w:p>
            <w:pPr>
              <w:spacing w:after="0"/>
              <w:rPr>
                <w:sz w:val="16"/>
                <w:szCs w:val="16"/>
                <w:color w:val="auto"/>
              </w:rPr>
            </w:pPr>
          </w:p>
        </w:tc>
        <w:tc>
          <w:tcPr>
            <w:tcW w:w="300" w:type="dxa"/>
            <w:vAlign w:val="bottom"/>
            <w:shd w:val="clear" w:color="auto" w:fill="DDDDDD"/>
          </w:tcPr>
          <w:p>
            <w:pPr>
              <w:spacing w:after="0"/>
              <w:rPr>
                <w:sz w:val="16"/>
                <w:szCs w:val="16"/>
                <w:color w:val="auto"/>
              </w:rPr>
            </w:pPr>
          </w:p>
        </w:tc>
        <w:tc>
          <w:tcPr>
            <w:tcW w:w="980" w:type="dxa"/>
            <w:vAlign w:val="bottom"/>
            <w:shd w:val="clear" w:color="auto" w:fill="DDDDDD"/>
          </w:tcPr>
          <w:p>
            <w:pPr>
              <w:jc w:val="right"/>
              <w:spacing w:after="0"/>
              <w:rPr>
                <w:sz w:val="20"/>
                <w:szCs w:val="20"/>
                <w:color w:val="auto"/>
              </w:rPr>
            </w:pPr>
            <w:r>
              <w:rPr>
                <w:rFonts w:ascii="Arial" w:cs="Arial" w:eastAsia="Arial" w:hAnsi="Arial"/>
                <w:sz w:val="14"/>
                <w:szCs w:val="14"/>
                <w:color w:val="auto"/>
              </w:rPr>
              <w:t>(286)</w:t>
            </w:r>
          </w:p>
        </w:tc>
        <w:tc>
          <w:tcPr>
            <w:tcW w:w="100" w:type="dxa"/>
            <w:vAlign w:val="bottom"/>
            <w:shd w:val="clear" w:color="auto" w:fill="DDDDDD"/>
          </w:tcPr>
          <w:p>
            <w:pPr>
              <w:spacing w:after="0"/>
              <w:rPr>
                <w:sz w:val="16"/>
                <w:szCs w:val="16"/>
                <w:color w:val="auto"/>
              </w:rPr>
            </w:pPr>
          </w:p>
        </w:tc>
        <w:tc>
          <w:tcPr>
            <w:tcW w:w="320" w:type="dxa"/>
            <w:vAlign w:val="bottom"/>
            <w:shd w:val="clear" w:color="auto" w:fill="DDDDDD"/>
          </w:tcPr>
          <w:p>
            <w:pPr>
              <w:spacing w:after="0"/>
              <w:rPr>
                <w:sz w:val="16"/>
                <w:szCs w:val="16"/>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14"/>
                <w:szCs w:val="14"/>
                <w:color w:val="auto"/>
              </w:rPr>
              <w:t>(694)</w:t>
            </w:r>
          </w:p>
        </w:tc>
      </w:tr>
      <w:tr>
        <w:trPr>
          <w:trHeight w:val="189"/>
        </w:trPr>
        <w:tc>
          <w:tcPr>
            <w:tcW w:w="7140" w:type="dxa"/>
            <w:vAlign w:val="bottom"/>
          </w:tcPr>
          <w:p>
            <w:pPr>
              <w:ind w:left="540"/>
              <w:spacing w:after="0"/>
              <w:rPr>
                <w:sz w:val="20"/>
                <w:szCs w:val="20"/>
                <w:color w:val="auto"/>
              </w:rPr>
            </w:pPr>
            <w:r>
              <w:rPr>
                <w:rFonts w:ascii="Arial" w:cs="Arial" w:eastAsia="Arial" w:hAnsi="Arial"/>
                <w:sz w:val="14"/>
                <w:szCs w:val="14"/>
                <w:color w:val="auto"/>
              </w:rPr>
              <w:t>Changes in assets and liabilities, net of the effects of acquisitions and divestitures:</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9"/>
        </w:trPr>
        <w:tc>
          <w:tcPr>
            <w:tcW w:w="7140" w:type="dxa"/>
            <w:vAlign w:val="bottom"/>
            <w:shd w:val="clear" w:color="auto" w:fill="DDDDDD"/>
          </w:tcPr>
          <w:p>
            <w:pPr>
              <w:ind w:left="780"/>
              <w:spacing w:after="0"/>
              <w:rPr>
                <w:sz w:val="20"/>
                <w:szCs w:val="20"/>
                <w:color w:val="auto"/>
              </w:rPr>
            </w:pPr>
            <w:r>
              <w:rPr>
                <w:rFonts w:ascii="Arial" w:cs="Arial" w:eastAsia="Arial" w:hAnsi="Arial"/>
                <w:sz w:val="14"/>
                <w:szCs w:val="14"/>
                <w:color w:val="auto"/>
              </w:rPr>
              <w:t>Accounts receivable</w:t>
            </w:r>
          </w:p>
        </w:tc>
        <w:tc>
          <w:tcPr>
            <w:tcW w:w="300" w:type="dxa"/>
            <w:vAlign w:val="bottom"/>
            <w:shd w:val="clear" w:color="auto" w:fill="DDDDDD"/>
          </w:tcPr>
          <w:p>
            <w:pPr>
              <w:spacing w:after="0"/>
              <w:rPr>
                <w:sz w:val="16"/>
                <w:szCs w:val="16"/>
                <w:color w:val="auto"/>
              </w:rPr>
            </w:pPr>
          </w:p>
        </w:tc>
        <w:tc>
          <w:tcPr>
            <w:tcW w:w="980" w:type="dxa"/>
            <w:vAlign w:val="bottom"/>
            <w:shd w:val="clear" w:color="auto" w:fill="DDDDDD"/>
          </w:tcPr>
          <w:p>
            <w:pPr>
              <w:jc w:val="right"/>
              <w:spacing w:after="0"/>
              <w:rPr>
                <w:sz w:val="20"/>
                <w:szCs w:val="20"/>
                <w:color w:val="auto"/>
              </w:rPr>
            </w:pPr>
            <w:r>
              <w:rPr>
                <w:rFonts w:ascii="Arial" w:cs="Arial" w:eastAsia="Arial" w:hAnsi="Arial"/>
                <w:sz w:val="14"/>
                <w:szCs w:val="14"/>
                <w:color w:val="auto"/>
              </w:rPr>
              <w:t>669</w:t>
            </w:r>
          </w:p>
        </w:tc>
        <w:tc>
          <w:tcPr>
            <w:tcW w:w="100" w:type="dxa"/>
            <w:vAlign w:val="bottom"/>
            <w:shd w:val="clear" w:color="auto" w:fill="DDDDDD"/>
          </w:tcPr>
          <w:p>
            <w:pPr>
              <w:spacing w:after="0"/>
              <w:rPr>
                <w:sz w:val="16"/>
                <w:szCs w:val="16"/>
                <w:color w:val="auto"/>
              </w:rPr>
            </w:pPr>
          </w:p>
        </w:tc>
        <w:tc>
          <w:tcPr>
            <w:tcW w:w="300" w:type="dxa"/>
            <w:vAlign w:val="bottom"/>
            <w:shd w:val="clear" w:color="auto" w:fill="DDDDDD"/>
          </w:tcPr>
          <w:p>
            <w:pPr>
              <w:spacing w:after="0"/>
              <w:rPr>
                <w:sz w:val="16"/>
                <w:szCs w:val="16"/>
                <w:color w:val="auto"/>
              </w:rPr>
            </w:pPr>
          </w:p>
        </w:tc>
        <w:tc>
          <w:tcPr>
            <w:tcW w:w="98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11</w:t>
            </w:r>
          </w:p>
        </w:tc>
        <w:tc>
          <w:tcPr>
            <w:tcW w:w="100" w:type="dxa"/>
            <w:vAlign w:val="bottom"/>
            <w:shd w:val="clear" w:color="auto" w:fill="DDDDDD"/>
          </w:tcPr>
          <w:p>
            <w:pPr>
              <w:spacing w:after="0"/>
              <w:rPr>
                <w:sz w:val="16"/>
                <w:szCs w:val="16"/>
                <w:color w:val="auto"/>
              </w:rPr>
            </w:pPr>
          </w:p>
        </w:tc>
        <w:tc>
          <w:tcPr>
            <w:tcW w:w="320" w:type="dxa"/>
            <w:vAlign w:val="bottom"/>
            <w:shd w:val="clear" w:color="auto" w:fill="DDDDDD"/>
          </w:tcPr>
          <w:p>
            <w:pPr>
              <w:spacing w:after="0"/>
              <w:rPr>
                <w:sz w:val="16"/>
                <w:szCs w:val="16"/>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14"/>
                <w:szCs w:val="14"/>
                <w:color w:val="auto"/>
              </w:rPr>
              <w:t>(236)</w:t>
            </w:r>
          </w:p>
        </w:tc>
      </w:tr>
      <w:tr>
        <w:trPr>
          <w:trHeight w:val="189"/>
        </w:trPr>
        <w:tc>
          <w:tcPr>
            <w:tcW w:w="7140" w:type="dxa"/>
            <w:vAlign w:val="bottom"/>
          </w:tcPr>
          <w:p>
            <w:pPr>
              <w:ind w:left="780"/>
              <w:spacing w:after="0"/>
              <w:rPr>
                <w:sz w:val="20"/>
                <w:szCs w:val="20"/>
                <w:color w:val="auto"/>
              </w:rPr>
            </w:pPr>
            <w:r>
              <w:rPr>
                <w:rFonts w:ascii="Arial" w:cs="Arial" w:eastAsia="Arial" w:hAnsi="Arial"/>
                <w:sz w:val="14"/>
                <w:szCs w:val="14"/>
                <w:color w:val="auto"/>
              </w:rPr>
              <w:t>Inventories</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(503)</w:t>
            </w:r>
          </w:p>
        </w:tc>
      </w:tr>
      <w:tr>
        <w:trPr>
          <w:trHeight w:val="189"/>
        </w:trPr>
        <w:tc>
          <w:tcPr>
            <w:tcW w:w="7140" w:type="dxa"/>
            <w:vAlign w:val="bottom"/>
            <w:shd w:val="clear" w:color="auto" w:fill="DDDDDD"/>
          </w:tcPr>
          <w:p>
            <w:pPr>
              <w:ind w:left="780"/>
              <w:spacing w:after="0"/>
              <w:rPr>
                <w:sz w:val="20"/>
                <w:szCs w:val="20"/>
                <w:color w:val="auto"/>
              </w:rPr>
            </w:pPr>
            <w:r>
              <w:rPr>
                <w:rFonts w:ascii="Arial" w:cs="Arial" w:eastAsia="Arial" w:hAnsi="Arial"/>
                <w:sz w:val="14"/>
                <w:szCs w:val="14"/>
                <w:color w:val="auto"/>
              </w:rPr>
              <w:t>Other current assets</w:t>
            </w:r>
          </w:p>
        </w:tc>
        <w:tc>
          <w:tcPr>
            <w:tcW w:w="300" w:type="dxa"/>
            <w:vAlign w:val="bottom"/>
            <w:shd w:val="clear" w:color="auto" w:fill="DDDDDD"/>
          </w:tcPr>
          <w:p>
            <w:pPr>
              <w:spacing w:after="0"/>
              <w:rPr>
                <w:sz w:val="16"/>
                <w:szCs w:val="16"/>
                <w:color w:val="auto"/>
              </w:rPr>
            </w:pPr>
          </w:p>
        </w:tc>
        <w:tc>
          <w:tcPr>
            <w:tcW w:w="98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191</w:t>
            </w:r>
          </w:p>
        </w:tc>
        <w:tc>
          <w:tcPr>
            <w:tcW w:w="100" w:type="dxa"/>
            <w:vAlign w:val="bottom"/>
            <w:shd w:val="clear" w:color="auto" w:fill="DDDDDD"/>
          </w:tcPr>
          <w:p>
            <w:pPr>
              <w:spacing w:after="0"/>
              <w:rPr>
                <w:sz w:val="16"/>
                <w:szCs w:val="16"/>
                <w:color w:val="auto"/>
              </w:rPr>
            </w:pPr>
          </w:p>
        </w:tc>
        <w:tc>
          <w:tcPr>
            <w:tcW w:w="300" w:type="dxa"/>
            <w:vAlign w:val="bottom"/>
            <w:shd w:val="clear" w:color="auto" w:fill="DDDDDD"/>
          </w:tcPr>
          <w:p>
            <w:pPr>
              <w:spacing w:after="0"/>
              <w:rPr>
                <w:sz w:val="16"/>
                <w:szCs w:val="16"/>
                <w:color w:val="auto"/>
              </w:rPr>
            </w:pPr>
          </w:p>
        </w:tc>
        <w:tc>
          <w:tcPr>
            <w:tcW w:w="980" w:type="dxa"/>
            <w:vAlign w:val="bottom"/>
            <w:shd w:val="clear" w:color="auto" w:fill="DDDDDD"/>
          </w:tcPr>
          <w:p>
            <w:pPr>
              <w:jc w:val="right"/>
              <w:spacing w:after="0"/>
              <w:rPr>
                <w:sz w:val="20"/>
                <w:szCs w:val="20"/>
                <w:color w:val="auto"/>
              </w:rPr>
            </w:pPr>
            <w:r>
              <w:rPr>
                <w:rFonts w:ascii="Arial" w:cs="Arial" w:eastAsia="Arial" w:hAnsi="Arial"/>
                <w:sz w:val="14"/>
                <w:szCs w:val="14"/>
                <w:color w:val="auto"/>
              </w:rPr>
              <w:t>(430)</w:t>
            </w:r>
          </w:p>
        </w:tc>
        <w:tc>
          <w:tcPr>
            <w:tcW w:w="100" w:type="dxa"/>
            <w:vAlign w:val="bottom"/>
            <w:shd w:val="clear" w:color="auto" w:fill="DDDDDD"/>
          </w:tcPr>
          <w:p>
            <w:pPr>
              <w:spacing w:after="0"/>
              <w:rPr>
                <w:sz w:val="16"/>
                <w:szCs w:val="16"/>
                <w:color w:val="auto"/>
              </w:rPr>
            </w:pPr>
          </w:p>
        </w:tc>
        <w:tc>
          <w:tcPr>
            <w:tcW w:w="320" w:type="dxa"/>
            <w:vAlign w:val="bottom"/>
            <w:shd w:val="clear" w:color="auto" w:fill="DDDDDD"/>
          </w:tcPr>
          <w:p>
            <w:pPr>
              <w:spacing w:after="0"/>
              <w:rPr>
                <w:sz w:val="16"/>
                <w:szCs w:val="16"/>
                <w:color w:val="auto"/>
              </w:rPr>
            </w:pPr>
          </w:p>
        </w:tc>
        <w:tc>
          <w:tcPr>
            <w:tcW w:w="96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218</w:t>
            </w:r>
          </w:p>
        </w:tc>
      </w:tr>
      <w:tr>
        <w:trPr>
          <w:trHeight w:val="189"/>
        </w:trPr>
        <w:tc>
          <w:tcPr>
            <w:tcW w:w="7140" w:type="dxa"/>
            <w:vAlign w:val="bottom"/>
          </w:tcPr>
          <w:p>
            <w:pPr>
              <w:ind w:left="780"/>
              <w:spacing w:after="0"/>
              <w:rPr>
                <w:sz w:val="20"/>
                <w:szCs w:val="20"/>
                <w:color w:val="auto"/>
              </w:rPr>
            </w:pPr>
            <w:r>
              <w:rPr>
                <w:rFonts w:ascii="Arial" w:cs="Arial" w:eastAsia="Arial" w:hAnsi="Arial"/>
                <w:sz w:val="14"/>
                <w:szCs w:val="14"/>
                <w:color w:val="auto"/>
              </w:rPr>
              <w:t>Accounts payable</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118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733</w:t>
            </w:r>
          </w:p>
        </w:tc>
      </w:tr>
      <w:tr>
        <w:trPr>
          <w:trHeight w:val="189"/>
        </w:trPr>
        <w:tc>
          <w:tcPr>
            <w:tcW w:w="7140" w:type="dxa"/>
            <w:vAlign w:val="bottom"/>
            <w:shd w:val="clear" w:color="auto" w:fill="DDDDDD"/>
          </w:tcPr>
          <w:p>
            <w:pPr>
              <w:ind w:left="780"/>
              <w:spacing w:after="0"/>
              <w:rPr>
                <w:sz w:val="20"/>
                <w:szCs w:val="20"/>
                <w:color w:val="auto"/>
              </w:rPr>
            </w:pPr>
            <w:r>
              <w:rPr>
                <w:rFonts w:ascii="Arial" w:cs="Arial" w:eastAsia="Arial" w:hAnsi="Arial"/>
                <w:sz w:val="14"/>
                <w:szCs w:val="14"/>
                <w:color w:val="auto"/>
              </w:rPr>
              <w:t>Accrued liabilities</w:t>
            </w:r>
          </w:p>
        </w:tc>
        <w:tc>
          <w:tcPr>
            <w:tcW w:w="300" w:type="dxa"/>
            <w:vAlign w:val="bottom"/>
            <w:tcBorders>
              <w:bottom w:val="single" w:sz="8" w:color="auto"/>
            </w:tcBorders>
            <w:shd w:val="clear" w:color="auto" w:fill="DDDDDD"/>
          </w:tcPr>
          <w:p>
            <w:pPr>
              <w:spacing w:after="0"/>
              <w:rPr>
                <w:sz w:val="16"/>
                <w:szCs w:val="16"/>
                <w:color w:val="auto"/>
              </w:rPr>
            </w:pPr>
          </w:p>
        </w:tc>
        <w:tc>
          <w:tcPr>
            <w:tcW w:w="9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555</w:t>
            </w:r>
          </w:p>
        </w:tc>
        <w:tc>
          <w:tcPr>
            <w:tcW w:w="100" w:type="dxa"/>
            <w:vAlign w:val="bottom"/>
            <w:shd w:val="clear" w:color="auto" w:fill="DDDDDD"/>
          </w:tcPr>
          <w:p>
            <w:pPr>
              <w:spacing w:after="0"/>
              <w:rPr>
                <w:sz w:val="16"/>
                <w:szCs w:val="16"/>
                <w:color w:val="auto"/>
              </w:rPr>
            </w:pPr>
          </w:p>
        </w:tc>
        <w:tc>
          <w:tcPr>
            <w:tcW w:w="300" w:type="dxa"/>
            <w:vAlign w:val="bottom"/>
            <w:tcBorders>
              <w:bottom w:val="single" w:sz="8" w:color="auto"/>
            </w:tcBorders>
            <w:shd w:val="clear" w:color="auto" w:fill="DDDDDD"/>
          </w:tcPr>
          <w:p>
            <w:pPr>
              <w:spacing w:after="0"/>
              <w:rPr>
                <w:sz w:val="16"/>
                <w:szCs w:val="16"/>
                <w:color w:val="auto"/>
              </w:rPr>
            </w:pPr>
          </w:p>
        </w:tc>
        <w:tc>
          <w:tcPr>
            <w:tcW w:w="980" w:type="dxa"/>
            <w:vAlign w:val="bottom"/>
            <w:tcBorders>
              <w:bottom w:val="single" w:sz="8" w:color="auto"/>
            </w:tcBorders>
            <w:shd w:val="clear" w:color="auto" w:fill="DDDDDD"/>
          </w:tcPr>
          <w:p>
            <w:pPr>
              <w:jc w:val="right"/>
              <w:ind w:right="8"/>
              <w:spacing w:after="0"/>
              <w:rPr>
                <w:sz w:val="20"/>
                <w:szCs w:val="20"/>
                <w:color w:val="auto"/>
              </w:rPr>
            </w:pPr>
            <w:r>
              <w:rPr>
                <w:rFonts w:ascii="Arial" w:cs="Arial" w:eastAsia="Arial" w:hAnsi="Arial"/>
                <w:sz w:val="14"/>
                <w:szCs w:val="14"/>
                <w:color w:val="auto"/>
              </w:rPr>
              <w:t>445</w:t>
            </w:r>
          </w:p>
        </w:tc>
        <w:tc>
          <w:tcPr>
            <w:tcW w:w="100" w:type="dxa"/>
            <w:vAlign w:val="bottom"/>
            <w:shd w:val="clear" w:color="auto" w:fill="DDDDDD"/>
          </w:tcPr>
          <w:p>
            <w:pPr>
              <w:spacing w:after="0"/>
              <w:rPr>
                <w:sz w:val="16"/>
                <w:szCs w:val="16"/>
                <w:color w:val="auto"/>
              </w:rPr>
            </w:pPr>
          </w:p>
        </w:tc>
        <w:tc>
          <w:tcPr>
            <w:tcW w:w="320" w:type="dxa"/>
            <w:vAlign w:val="bottom"/>
            <w:tcBorders>
              <w:bottom w:val="single" w:sz="8" w:color="auto"/>
            </w:tcBorders>
            <w:shd w:val="clear" w:color="auto" w:fill="DDDDDD"/>
          </w:tcPr>
          <w:p>
            <w:pPr>
              <w:spacing w:after="0"/>
              <w:rPr>
                <w:sz w:val="16"/>
                <w:szCs w:val="16"/>
                <w:color w:val="auto"/>
              </w:rPr>
            </w:pPr>
          </w:p>
        </w:tc>
        <w:tc>
          <w:tcPr>
            <w:tcW w:w="960" w:type="dxa"/>
            <w:vAlign w:val="bottom"/>
            <w:tcBorders>
              <w:bottom w:val="single" w:sz="8" w:color="auto"/>
            </w:tcBorders>
            <w:shd w:val="clear" w:color="auto" w:fill="DDDDDD"/>
          </w:tcPr>
          <w:p>
            <w:pPr>
              <w:jc w:val="right"/>
              <w:ind w:right="8"/>
              <w:spacing w:after="0"/>
              <w:rPr>
                <w:sz w:val="20"/>
                <w:szCs w:val="20"/>
                <w:color w:val="auto"/>
              </w:rPr>
            </w:pPr>
            <w:r>
              <w:rPr>
                <w:rFonts w:ascii="Arial" w:cs="Arial" w:eastAsia="Arial" w:hAnsi="Arial"/>
                <w:sz w:val="14"/>
                <w:szCs w:val="14"/>
                <w:color w:val="auto"/>
              </w:rPr>
              <w:t>74</w:t>
            </w:r>
          </w:p>
        </w:tc>
      </w:tr>
      <w:tr>
        <w:trPr>
          <w:trHeight w:val="183"/>
        </w:trPr>
        <w:tc>
          <w:tcPr>
            <w:tcW w:w="7140" w:type="dxa"/>
            <w:vAlign w:val="bottom"/>
            <w:tcBorders>
              <w:bottom w:val="single" w:sz="8" w:color="DDDDDD"/>
            </w:tcBorders>
          </w:tcPr>
          <w:p>
            <w:pPr>
              <w:ind w:left="980"/>
              <w:spacing w:after="0"/>
              <w:rPr>
                <w:sz w:val="20"/>
                <w:szCs w:val="20"/>
                <w:color w:val="auto"/>
              </w:rPr>
            </w:pPr>
            <w:r>
              <w:rPr>
                <w:rFonts w:ascii="Arial" w:cs="Arial" w:eastAsia="Arial" w:hAnsi="Arial"/>
                <w:sz w:val="14"/>
                <w:szCs w:val="14"/>
                <w:color w:val="auto"/>
              </w:rPr>
              <w:t>Net cash provided by (used for) operating activities</w:t>
            </w: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6,208</w:t>
            </w:r>
          </w:p>
        </w:tc>
        <w:tc>
          <w:tcPr>
            <w:tcW w:w="100" w:type="dxa"/>
            <w:vAlign w:val="bottom"/>
            <w:tcBorders>
              <w:bottom w:val="single" w:sz="8" w:color="DDDDDD"/>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6,897</w:t>
            </w:r>
          </w:p>
        </w:tc>
        <w:tc>
          <w:tcPr>
            <w:tcW w:w="100" w:type="dxa"/>
            <w:vAlign w:val="bottom"/>
            <w:tcBorders>
              <w:bottom w:val="single" w:sz="8" w:color="DDDDDD"/>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6,434</w:t>
            </w:r>
          </w:p>
        </w:tc>
      </w:tr>
      <w:tr>
        <w:trPr>
          <w:trHeight w:val="169"/>
        </w:trPr>
        <w:tc>
          <w:tcPr>
            <w:tcW w:w="7140" w:type="dxa"/>
            <w:vAlign w:val="bottom"/>
            <w:shd w:val="clear" w:color="auto" w:fill="DDDDDD"/>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300" w:type="dxa"/>
            <w:vAlign w:val="bottom"/>
            <w:shd w:val="clear" w:color="auto" w:fill="DDDDDD"/>
          </w:tcPr>
          <w:p>
            <w:pPr>
              <w:spacing w:after="0"/>
              <w:rPr>
                <w:sz w:val="14"/>
                <w:szCs w:val="14"/>
                <w:color w:val="auto"/>
              </w:rPr>
            </w:pPr>
          </w:p>
        </w:tc>
        <w:tc>
          <w:tcPr>
            <w:tcW w:w="980" w:type="dxa"/>
            <w:vAlign w:val="bottom"/>
            <w:shd w:val="clear" w:color="auto" w:fill="DDDDDD"/>
          </w:tcPr>
          <w:p>
            <w:pPr>
              <w:spacing w:after="0"/>
              <w:rPr>
                <w:sz w:val="14"/>
                <w:szCs w:val="14"/>
                <w:color w:val="auto"/>
              </w:rPr>
            </w:pPr>
          </w:p>
        </w:tc>
        <w:tc>
          <w:tcPr>
            <w:tcW w:w="100" w:type="dxa"/>
            <w:vAlign w:val="bottom"/>
            <w:shd w:val="clear" w:color="auto" w:fill="DDDDDD"/>
          </w:tcPr>
          <w:p>
            <w:pPr>
              <w:spacing w:after="0"/>
              <w:rPr>
                <w:sz w:val="14"/>
                <w:szCs w:val="14"/>
                <w:color w:val="auto"/>
              </w:rPr>
            </w:pPr>
          </w:p>
        </w:tc>
        <w:tc>
          <w:tcPr>
            <w:tcW w:w="300" w:type="dxa"/>
            <w:vAlign w:val="bottom"/>
            <w:shd w:val="clear" w:color="auto" w:fill="DDDDDD"/>
          </w:tcPr>
          <w:p>
            <w:pPr>
              <w:spacing w:after="0"/>
              <w:rPr>
                <w:sz w:val="14"/>
                <w:szCs w:val="14"/>
                <w:color w:val="auto"/>
              </w:rPr>
            </w:pPr>
          </w:p>
        </w:tc>
        <w:tc>
          <w:tcPr>
            <w:tcW w:w="980" w:type="dxa"/>
            <w:vAlign w:val="bottom"/>
            <w:shd w:val="clear" w:color="auto" w:fill="DDDDDD"/>
          </w:tcPr>
          <w:p>
            <w:pPr>
              <w:spacing w:after="0"/>
              <w:rPr>
                <w:sz w:val="14"/>
                <w:szCs w:val="14"/>
                <w:color w:val="auto"/>
              </w:rPr>
            </w:pPr>
          </w:p>
        </w:tc>
        <w:tc>
          <w:tcPr>
            <w:tcW w:w="100" w:type="dxa"/>
            <w:vAlign w:val="bottom"/>
            <w:shd w:val="clear" w:color="auto" w:fill="DDDDDD"/>
          </w:tcPr>
          <w:p>
            <w:pPr>
              <w:spacing w:after="0"/>
              <w:rPr>
                <w:sz w:val="14"/>
                <w:szCs w:val="14"/>
                <w:color w:val="auto"/>
              </w:rPr>
            </w:pPr>
          </w:p>
        </w:tc>
        <w:tc>
          <w:tcPr>
            <w:tcW w:w="320" w:type="dxa"/>
            <w:vAlign w:val="bottom"/>
            <w:shd w:val="clear" w:color="auto" w:fill="DDDDDD"/>
          </w:tcPr>
          <w:p>
            <w:pPr>
              <w:spacing w:after="0"/>
              <w:rPr>
                <w:sz w:val="14"/>
                <w:szCs w:val="14"/>
                <w:color w:val="auto"/>
              </w:rPr>
            </w:pPr>
          </w:p>
        </w:tc>
        <w:tc>
          <w:tcPr>
            <w:tcW w:w="960" w:type="dxa"/>
            <w:vAlign w:val="bottom"/>
            <w:shd w:val="clear" w:color="auto" w:fill="DDDDDD"/>
          </w:tcPr>
          <w:p>
            <w:pPr>
              <w:spacing w:after="0"/>
              <w:rPr>
                <w:sz w:val="14"/>
                <w:szCs w:val="14"/>
                <w:color w:val="auto"/>
              </w:rPr>
            </w:pPr>
          </w:p>
        </w:tc>
      </w:tr>
      <w:tr>
        <w:trPr>
          <w:trHeight w:val="189"/>
        </w:trPr>
        <w:tc>
          <w:tcPr>
            <w:tcW w:w="7140" w:type="dxa"/>
            <w:vAlign w:val="bottom"/>
          </w:tcPr>
          <w:p>
            <w:pPr>
              <w:ind w:left="220"/>
              <w:spacing w:after="0"/>
              <w:rPr>
                <w:sz w:val="20"/>
                <w:szCs w:val="20"/>
                <w:color w:val="auto"/>
              </w:rPr>
            </w:pPr>
            <w:r>
              <w:rPr>
                <w:rFonts w:ascii="Arial" w:cs="Arial" w:eastAsia="Arial" w:hAnsi="Arial"/>
                <w:sz w:val="14"/>
                <w:szCs w:val="14"/>
                <w:color w:val="auto"/>
              </w:rPr>
              <w:t>Expenditures for property, plant and equipment</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(906)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(839)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(828)</w:t>
            </w:r>
          </w:p>
        </w:tc>
      </w:tr>
      <w:tr>
        <w:trPr>
          <w:trHeight w:val="189"/>
        </w:trPr>
        <w:tc>
          <w:tcPr>
            <w:tcW w:w="7140" w:type="dxa"/>
            <w:vAlign w:val="bottom"/>
            <w:shd w:val="clear" w:color="auto" w:fill="DDDDDD"/>
          </w:tcPr>
          <w:p>
            <w:pPr>
              <w:ind w:left="220"/>
              <w:spacing w:after="0"/>
              <w:rPr>
                <w:sz w:val="20"/>
                <w:szCs w:val="20"/>
                <w:color w:val="auto"/>
              </w:rPr>
            </w:pPr>
            <w:r>
              <w:rPr>
                <w:rFonts w:ascii="Arial" w:cs="Arial" w:eastAsia="Arial" w:hAnsi="Arial"/>
                <w:sz w:val="14"/>
                <w:szCs w:val="14"/>
                <w:color w:val="auto"/>
              </w:rPr>
              <w:t>Proceeds from disposals of property, plant and equipment</w:t>
            </w:r>
          </w:p>
        </w:tc>
        <w:tc>
          <w:tcPr>
            <w:tcW w:w="300" w:type="dxa"/>
            <w:vAlign w:val="bottom"/>
            <w:shd w:val="clear" w:color="auto" w:fill="DDDDDD"/>
          </w:tcPr>
          <w:p>
            <w:pPr>
              <w:spacing w:after="0"/>
              <w:rPr>
                <w:sz w:val="16"/>
                <w:szCs w:val="16"/>
                <w:color w:val="auto"/>
              </w:rPr>
            </w:pPr>
          </w:p>
        </w:tc>
        <w:tc>
          <w:tcPr>
            <w:tcW w:w="980" w:type="dxa"/>
            <w:vAlign w:val="bottom"/>
            <w:shd w:val="clear" w:color="auto" w:fill="DDDDDD"/>
          </w:tcPr>
          <w:p>
            <w:pPr>
              <w:jc w:val="right"/>
              <w:spacing w:after="0"/>
              <w:rPr>
                <w:sz w:val="20"/>
                <w:szCs w:val="20"/>
                <w:color w:val="auto"/>
              </w:rPr>
            </w:pPr>
            <w:r>
              <w:rPr>
                <w:rFonts w:ascii="Arial" w:cs="Arial" w:eastAsia="Arial" w:hAnsi="Arial"/>
                <w:sz w:val="14"/>
                <w:szCs w:val="14"/>
                <w:color w:val="auto"/>
              </w:rPr>
              <w:t>57</w:t>
            </w:r>
          </w:p>
        </w:tc>
        <w:tc>
          <w:tcPr>
            <w:tcW w:w="100" w:type="dxa"/>
            <w:vAlign w:val="bottom"/>
            <w:shd w:val="clear" w:color="auto" w:fill="DDDDDD"/>
          </w:tcPr>
          <w:p>
            <w:pPr>
              <w:spacing w:after="0"/>
              <w:rPr>
                <w:sz w:val="16"/>
                <w:szCs w:val="16"/>
                <w:color w:val="auto"/>
              </w:rPr>
            </w:pPr>
          </w:p>
        </w:tc>
        <w:tc>
          <w:tcPr>
            <w:tcW w:w="300" w:type="dxa"/>
            <w:vAlign w:val="bottom"/>
            <w:shd w:val="clear" w:color="auto" w:fill="DDDDDD"/>
          </w:tcPr>
          <w:p>
            <w:pPr>
              <w:spacing w:after="0"/>
              <w:rPr>
                <w:sz w:val="16"/>
                <w:szCs w:val="16"/>
                <w:color w:val="auto"/>
              </w:rPr>
            </w:pPr>
          </w:p>
        </w:tc>
        <w:tc>
          <w:tcPr>
            <w:tcW w:w="98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43</w:t>
            </w:r>
          </w:p>
        </w:tc>
        <w:tc>
          <w:tcPr>
            <w:tcW w:w="100" w:type="dxa"/>
            <w:vAlign w:val="bottom"/>
            <w:shd w:val="clear" w:color="auto" w:fill="DDDDDD"/>
          </w:tcPr>
          <w:p>
            <w:pPr>
              <w:spacing w:after="0"/>
              <w:rPr>
                <w:sz w:val="16"/>
                <w:szCs w:val="16"/>
                <w:color w:val="auto"/>
              </w:rPr>
            </w:pPr>
          </w:p>
        </w:tc>
        <w:tc>
          <w:tcPr>
            <w:tcW w:w="320" w:type="dxa"/>
            <w:vAlign w:val="bottom"/>
            <w:shd w:val="clear" w:color="auto" w:fill="DDDDDD"/>
          </w:tcPr>
          <w:p>
            <w:pPr>
              <w:spacing w:after="0"/>
              <w:rPr>
                <w:sz w:val="16"/>
                <w:szCs w:val="16"/>
                <w:color w:val="auto"/>
              </w:rPr>
            </w:pPr>
          </w:p>
        </w:tc>
        <w:tc>
          <w:tcPr>
            <w:tcW w:w="96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15</w:t>
            </w:r>
          </w:p>
        </w:tc>
      </w:tr>
      <w:tr>
        <w:trPr>
          <w:trHeight w:val="189"/>
        </w:trPr>
        <w:tc>
          <w:tcPr>
            <w:tcW w:w="7140" w:type="dxa"/>
            <w:vAlign w:val="bottom"/>
          </w:tcPr>
          <w:p>
            <w:pPr>
              <w:ind w:left="220"/>
              <w:spacing w:after="0"/>
              <w:rPr>
                <w:sz w:val="20"/>
                <w:szCs w:val="20"/>
                <w:color w:val="auto"/>
              </w:rPr>
            </w:pPr>
            <w:r>
              <w:rPr>
                <w:rFonts w:ascii="Arial" w:cs="Arial" w:eastAsia="Arial" w:hAnsi="Arial"/>
                <w:sz w:val="14"/>
                <w:szCs w:val="14"/>
                <w:color w:val="auto"/>
              </w:rPr>
              <w:t>Increase in investments</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(3,236)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(4,253)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(4,059)</w:t>
            </w:r>
          </w:p>
        </w:tc>
      </w:tr>
      <w:tr>
        <w:trPr>
          <w:trHeight w:val="189"/>
        </w:trPr>
        <w:tc>
          <w:tcPr>
            <w:tcW w:w="7140" w:type="dxa"/>
            <w:vAlign w:val="bottom"/>
            <w:shd w:val="clear" w:color="auto" w:fill="DDDDDD"/>
          </w:tcPr>
          <w:p>
            <w:pPr>
              <w:ind w:left="220"/>
              <w:spacing w:after="0"/>
              <w:rPr>
                <w:sz w:val="20"/>
                <w:szCs w:val="20"/>
                <w:color w:val="auto"/>
              </w:rPr>
            </w:pPr>
            <w:r>
              <w:rPr>
                <w:rFonts w:ascii="Arial" w:cs="Arial" w:eastAsia="Arial" w:hAnsi="Arial"/>
                <w:sz w:val="14"/>
                <w:szCs w:val="14"/>
                <w:color w:val="auto"/>
              </w:rPr>
              <w:t>Decrease in investments</w:t>
            </w:r>
          </w:p>
        </w:tc>
        <w:tc>
          <w:tcPr>
            <w:tcW w:w="300" w:type="dxa"/>
            <w:vAlign w:val="bottom"/>
            <w:shd w:val="clear" w:color="auto" w:fill="DDDDDD"/>
          </w:tcPr>
          <w:p>
            <w:pPr>
              <w:spacing w:after="0"/>
              <w:rPr>
                <w:sz w:val="16"/>
                <w:szCs w:val="16"/>
                <w:color w:val="auto"/>
              </w:rPr>
            </w:pPr>
          </w:p>
        </w:tc>
        <w:tc>
          <w:tcPr>
            <w:tcW w:w="980" w:type="dxa"/>
            <w:vAlign w:val="bottom"/>
            <w:shd w:val="clear" w:color="auto" w:fill="DDDDDD"/>
          </w:tcPr>
          <w:p>
            <w:pPr>
              <w:jc w:val="right"/>
              <w:spacing w:after="0"/>
              <w:rPr>
                <w:sz w:val="20"/>
                <w:szCs w:val="20"/>
                <w:color w:val="auto"/>
              </w:rPr>
            </w:pPr>
            <w:r>
              <w:rPr>
                <w:rFonts w:ascii="Arial" w:cs="Arial" w:eastAsia="Arial" w:hAnsi="Arial"/>
                <w:sz w:val="14"/>
                <w:szCs w:val="14"/>
                <w:color w:val="auto"/>
              </w:rPr>
              <w:t>3,508</w:t>
            </w:r>
          </w:p>
        </w:tc>
        <w:tc>
          <w:tcPr>
            <w:tcW w:w="100" w:type="dxa"/>
            <w:vAlign w:val="bottom"/>
            <w:shd w:val="clear" w:color="auto" w:fill="DDDDDD"/>
          </w:tcPr>
          <w:p>
            <w:pPr>
              <w:spacing w:after="0"/>
              <w:rPr>
                <w:sz w:val="16"/>
                <w:szCs w:val="16"/>
                <w:color w:val="auto"/>
              </w:rPr>
            </w:pPr>
          </w:p>
        </w:tc>
        <w:tc>
          <w:tcPr>
            <w:tcW w:w="300" w:type="dxa"/>
            <w:vAlign w:val="bottom"/>
            <w:shd w:val="clear" w:color="auto" w:fill="DDDDDD"/>
          </w:tcPr>
          <w:p>
            <w:pPr>
              <w:spacing w:after="0"/>
              <w:rPr>
                <w:sz w:val="16"/>
                <w:szCs w:val="16"/>
                <w:color w:val="auto"/>
              </w:rPr>
            </w:pPr>
          </w:p>
        </w:tc>
        <w:tc>
          <w:tcPr>
            <w:tcW w:w="98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4,464</w:t>
            </w:r>
          </w:p>
        </w:tc>
        <w:tc>
          <w:tcPr>
            <w:tcW w:w="100" w:type="dxa"/>
            <w:vAlign w:val="bottom"/>
            <w:shd w:val="clear" w:color="auto" w:fill="DDDDDD"/>
          </w:tcPr>
          <w:p>
            <w:pPr>
              <w:spacing w:after="0"/>
              <w:rPr>
                <w:sz w:val="16"/>
                <w:szCs w:val="16"/>
                <w:color w:val="auto"/>
              </w:rPr>
            </w:pPr>
          </w:p>
        </w:tc>
        <w:tc>
          <w:tcPr>
            <w:tcW w:w="320" w:type="dxa"/>
            <w:vAlign w:val="bottom"/>
            <w:shd w:val="clear" w:color="auto" w:fill="DDDDDD"/>
          </w:tcPr>
          <w:p>
            <w:pPr>
              <w:spacing w:after="0"/>
              <w:rPr>
                <w:sz w:val="16"/>
                <w:szCs w:val="16"/>
                <w:color w:val="auto"/>
              </w:rPr>
            </w:pPr>
          </w:p>
        </w:tc>
        <w:tc>
          <w:tcPr>
            <w:tcW w:w="96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6,032</w:t>
            </w:r>
          </w:p>
        </w:tc>
      </w:tr>
      <w:tr>
        <w:trPr>
          <w:trHeight w:val="189"/>
        </w:trPr>
        <w:tc>
          <w:tcPr>
            <w:tcW w:w="7140" w:type="dxa"/>
            <w:vAlign w:val="bottom"/>
          </w:tcPr>
          <w:p>
            <w:pPr>
              <w:ind w:left="220"/>
              <w:spacing w:after="0"/>
              <w:rPr>
                <w:sz w:val="20"/>
                <w:szCs w:val="20"/>
                <w:color w:val="auto"/>
              </w:rPr>
            </w:pPr>
            <w:r>
              <w:rPr>
                <w:rFonts w:ascii="Arial" w:cs="Arial" w:eastAsia="Arial" w:hAnsi="Arial"/>
                <w:sz w:val="14"/>
                <w:szCs w:val="14"/>
                <w:color w:val="auto"/>
              </w:rPr>
              <w:t>Receipts (payments) from settlements of derivative contracts</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402</w:t>
            </w:r>
          </w:p>
        </w:tc>
      </w:tr>
      <w:tr>
        <w:trPr>
          <w:trHeight w:val="189"/>
        </w:trPr>
        <w:tc>
          <w:tcPr>
            <w:tcW w:w="7140" w:type="dxa"/>
            <w:vAlign w:val="bottom"/>
            <w:shd w:val="clear" w:color="auto" w:fill="DDDDDD"/>
          </w:tcPr>
          <w:p>
            <w:pPr>
              <w:ind w:left="220"/>
              <w:spacing w:after="0"/>
              <w:rPr>
                <w:sz w:val="20"/>
                <w:szCs w:val="20"/>
                <w:color w:val="auto"/>
              </w:rPr>
            </w:pPr>
            <w:r>
              <w:rPr>
                <w:rFonts w:ascii="Arial" w:cs="Arial" w:eastAsia="Arial" w:hAnsi="Arial"/>
                <w:sz w:val="14"/>
                <w:szCs w:val="14"/>
                <w:color w:val="auto"/>
              </w:rPr>
              <w:t>Cash paid for acquisitions, net of cash acquired</w:t>
            </w:r>
          </w:p>
        </w:tc>
        <w:tc>
          <w:tcPr>
            <w:tcW w:w="300" w:type="dxa"/>
            <w:vAlign w:val="bottom"/>
            <w:tcBorders>
              <w:bottom w:val="single" w:sz="8" w:color="auto"/>
            </w:tcBorders>
            <w:shd w:val="clear" w:color="auto" w:fill="DDDDDD"/>
          </w:tcPr>
          <w:p>
            <w:pPr>
              <w:spacing w:after="0"/>
              <w:rPr>
                <w:sz w:val="16"/>
                <w:szCs w:val="16"/>
                <w:color w:val="auto"/>
              </w:rPr>
            </w:pPr>
          </w:p>
        </w:tc>
        <w:tc>
          <w:tcPr>
            <w:tcW w:w="9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(261)</w:t>
            </w:r>
          </w:p>
        </w:tc>
        <w:tc>
          <w:tcPr>
            <w:tcW w:w="100" w:type="dxa"/>
            <w:vAlign w:val="bottom"/>
            <w:shd w:val="clear" w:color="auto" w:fill="DDDDDD"/>
          </w:tcPr>
          <w:p>
            <w:pPr>
              <w:spacing w:after="0"/>
              <w:rPr>
                <w:sz w:val="16"/>
                <w:szCs w:val="16"/>
                <w:color w:val="auto"/>
              </w:rPr>
            </w:pPr>
          </w:p>
        </w:tc>
        <w:tc>
          <w:tcPr>
            <w:tcW w:w="300" w:type="dxa"/>
            <w:vAlign w:val="bottom"/>
            <w:tcBorders>
              <w:bottom w:val="single" w:sz="8" w:color="auto"/>
            </w:tcBorders>
            <w:shd w:val="clear" w:color="auto" w:fill="DDDDDD"/>
          </w:tcPr>
          <w:p>
            <w:pPr>
              <w:spacing w:after="0"/>
              <w:rPr>
                <w:sz w:val="16"/>
                <w:szCs w:val="16"/>
                <w:color w:val="auto"/>
              </w:rPr>
            </w:pPr>
          </w:p>
        </w:tc>
        <w:tc>
          <w:tcPr>
            <w:tcW w:w="9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(50)</w:t>
            </w:r>
          </w:p>
        </w:tc>
        <w:tc>
          <w:tcPr>
            <w:tcW w:w="100" w:type="dxa"/>
            <w:vAlign w:val="bottom"/>
            <w:shd w:val="clear" w:color="auto" w:fill="DDDDDD"/>
          </w:tcPr>
          <w:p>
            <w:pPr>
              <w:spacing w:after="0"/>
              <w:rPr>
                <w:sz w:val="16"/>
                <w:szCs w:val="16"/>
                <w:color w:val="auto"/>
              </w:rPr>
            </w:pPr>
          </w:p>
        </w:tc>
        <w:tc>
          <w:tcPr>
            <w:tcW w:w="320" w:type="dxa"/>
            <w:vAlign w:val="bottom"/>
            <w:tcBorders>
              <w:bottom w:val="single" w:sz="8" w:color="auto"/>
            </w:tcBorders>
            <w:shd w:val="clear" w:color="auto" w:fill="DDDDDD"/>
          </w:tcPr>
          <w:p>
            <w:pPr>
              <w:spacing w:after="0"/>
              <w:rPr>
                <w:sz w:val="16"/>
                <w:szCs w:val="16"/>
                <w:color w:val="auto"/>
              </w:rPr>
            </w:pPr>
          </w:p>
        </w:tc>
        <w:tc>
          <w:tcPr>
            <w:tcW w:w="9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(535)</w:t>
            </w:r>
          </w:p>
        </w:tc>
      </w:tr>
      <w:tr>
        <w:trPr>
          <w:trHeight w:val="183"/>
        </w:trPr>
        <w:tc>
          <w:tcPr>
            <w:tcW w:w="7140" w:type="dxa"/>
            <w:vAlign w:val="bottom"/>
            <w:tcBorders>
              <w:bottom w:val="single" w:sz="8" w:color="DDDDDD"/>
            </w:tcBorders>
          </w:tcPr>
          <w:p>
            <w:pPr>
              <w:ind w:left="980"/>
              <w:spacing w:after="0"/>
              <w:rPr>
                <w:sz w:val="20"/>
                <w:szCs w:val="20"/>
                <w:color w:val="auto"/>
              </w:rPr>
            </w:pPr>
            <w:r>
              <w:rPr>
                <w:rFonts w:ascii="Arial" w:cs="Arial" w:eastAsia="Arial" w:hAnsi="Arial"/>
                <w:sz w:val="14"/>
                <w:szCs w:val="14"/>
                <w:color w:val="auto"/>
              </w:rPr>
              <w:t>Net cash provided by (used for) investing activities</w:t>
            </w: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(987)</w:t>
            </w:r>
          </w:p>
        </w:tc>
        <w:tc>
          <w:tcPr>
            <w:tcW w:w="100" w:type="dxa"/>
            <w:vAlign w:val="bottom"/>
            <w:tcBorders>
              <w:bottom w:val="single" w:sz="8" w:color="DDDDDD"/>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(533)</w:t>
            </w:r>
          </w:p>
        </w:tc>
        <w:tc>
          <w:tcPr>
            <w:tcW w:w="100" w:type="dxa"/>
            <w:vAlign w:val="bottom"/>
            <w:tcBorders>
              <w:bottom w:val="single" w:sz="8" w:color="DDDDDD"/>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1,027</w:t>
            </w:r>
          </w:p>
        </w:tc>
      </w:tr>
      <w:tr>
        <w:trPr>
          <w:trHeight w:val="169"/>
        </w:trPr>
        <w:tc>
          <w:tcPr>
            <w:tcW w:w="7140" w:type="dxa"/>
            <w:vAlign w:val="bottom"/>
            <w:shd w:val="clear" w:color="auto" w:fill="DDDDDD"/>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300" w:type="dxa"/>
            <w:vAlign w:val="bottom"/>
            <w:shd w:val="clear" w:color="auto" w:fill="DDDDDD"/>
          </w:tcPr>
          <w:p>
            <w:pPr>
              <w:spacing w:after="0"/>
              <w:rPr>
                <w:sz w:val="14"/>
                <w:szCs w:val="14"/>
                <w:color w:val="auto"/>
              </w:rPr>
            </w:pPr>
          </w:p>
        </w:tc>
        <w:tc>
          <w:tcPr>
            <w:tcW w:w="980" w:type="dxa"/>
            <w:vAlign w:val="bottom"/>
            <w:shd w:val="clear" w:color="auto" w:fill="DDDDDD"/>
          </w:tcPr>
          <w:p>
            <w:pPr>
              <w:spacing w:after="0"/>
              <w:rPr>
                <w:sz w:val="14"/>
                <w:szCs w:val="14"/>
                <w:color w:val="auto"/>
              </w:rPr>
            </w:pPr>
          </w:p>
        </w:tc>
        <w:tc>
          <w:tcPr>
            <w:tcW w:w="100" w:type="dxa"/>
            <w:vAlign w:val="bottom"/>
            <w:shd w:val="clear" w:color="auto" w:fill="DDDDDD"/>
          </w:tcPr>
          <w:p>
            <w:pPr>
              <w:spacing w:after="0"/>
              <w:rPr>
                <w:sz w:val="14"/>
                <w:szCs w:val="14"/>
                <w:color w:val="auto"/>
              </w:rPr>
            </w:pPr>
          </w:p>
        </w:tc>
        <w:tc>
          <w:tcPr>
            <w:tcW w:w="300" w:type="dxa"/>
            <w:vAlign w:val="bottom"/>
            <w:shd w:val="clear" w:color="auto" w:fill="DDDDDD"/>
          </w:tcPr>
          <w:p>
            <w:pPr>
              <w:spacing w:after="0"/>
              <w:rPr>
                <w:sz w:val="14"/>
                <w:szCs w:val="14"/>
                <w:color w:val="auto"/>
              </w:rPr>
            </w:pPr>
          </w:p>
        </w:tc>
        <w:tc>
          <w:tcPr>
            <w:tcW w:w="980" w:type="dxa"/>
            <w:vAlign w:val="bottom"/>
            <w:shd w:val="clear" w:color="auto" w:fill="DDDDDD"/>
          </w:tcPr>
          <w:p>
            <w:pPr>
              <w:spacing w:after="0"/>
              <w:rPr>
                <w:sz w:val="14"/>
                <w:szCs w:val="14"/>
                <w:color w:val="auto"/>
              </w:rPr>
            </w:pPr>
          </w:p>
        </w:tc>
        <w:tc>
          <w:tcPr>
            <w:tcW w:w="100" w:type="dxa"/>
            <w:vAlign w:val="bottom"/>
            <w:shd w:val="clear" w:color="auto" w:fill="DDDDDD"/>
          </w:tcPr>
          <w:p>
            <w:pPr>
              <w:spacing w:after="0"/>
              <w:rPr>
                <w:sz w:val="14"/>
                <w:szCs w:val="14"/>
                <w:color w:val="auto"/>
              </w:rPr>
            </w:pPr>
          </w:p>
        </w:tc>
        <w:tc>
          <w:tcPr>
            <w:tcW w:w="320" w:type="dxa"/>
            <w:vAlign w:val="bottom"/>
            <w:shd w:val="clear" w:color="auto" w:fill="DDDDDD"/>
          </w:tcPr>
          <w:p>
            <w:pPr>
              <w:spacing w:after="0"/>
              <w:rPr>
                <w:sz w:val="14"/>
                <w:szCs w:val="14"/>
                <w:color w:val="auto"/>
              </w:rPr>
            </w:pPr>
          </w:p>
        </w:tc>
        <w:tc>
          <w:tcPr>
            <w:tcW w:w="960" w:type="dxa"/>
            <w:vAlign w:val="bottom"/>
            <w:shd w:val="clear" w:color="auto" w:fill="DDDDDD"/>
          </w:tcPr>
          <w:p>
            <w:pPr>
              <w:spacing w:after="0"/>
              <w:rPr>
                <w:sz w:val="14"/>
                <w:szCs w:val="14"/>
                <w:color w:val="auto"/>
              </w:rPr>
            </w:pPr>
          </w:p>
        </w:tc>
      </w:tr>
      <w:tr>
        <w:trPr>
          <w:trHeight w:val="189"/>
        </w:trPr>
        <w:tc>
          <w:tcPr>
            <w:tcW w:w="7140" w:type="dxa"/>
            <w:vAlign w:val="bottom"/>
          </w:tcPr>
          <w:p>
            <w:pPr>
              <w:ind w:left="220"/>
              <w:spacing w:after="0"/>
              <w:rPr>
                <w:sz w:val="20"/>
                <w:szCs w:val="20"/>
                <w:color w:val="auto"/>
              </w:rPr>
            </w:pPr>
            <w:r>
              <w:rPr>
                <w:rFonts w:ascii="Arial" w:cs="Arial" w:eastAsia="Arial" w:hAnsi="Arial"/>
                <w:sz w:val="14"/>
                <w:szCs w:val="14"/>
                <w:color w:val="auto"/>
              </w:rPr>
              <w:t>Proceeds from issuance of commercial paper and other short-term borrowings</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10,474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14,199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23,891</w:t>
            </w:r>
          </w:p>
        </w:tc>
      </w:tr>
      <w:tr>
        <w:trPr>
          <w:trHeight w:val="189"/>
        </w:trPr>
        <w:tc>
          <w:tcPr>
            <w:tcW w:w="7140" w:type="dxa"/>
            <w:vAlign w:val="bottom"/>
            <w:shd w:val="clear" w:color="auto" w:fill="DDDDDD"/>
          </w:tcPr>
          <w:p>
            <w:pPr>
              <w:ind w:left="220"/>
              <w:spacing w:after="0"/>
              <w:rPr>
                <w:sz w:val="20"/>
                <w:szCs w:val="20"/>
                <w:color w:val="auto"/>
              </w:rPr>
            </w:pPr>
            <w:r>
              <w:rPr>
                <w:rFonts w:ascii="Arial" w:cs="Arial" w:eastAsia="Arial" w:hAnsi="Arial"/>
                <w:sz w:val="14"/>
                <w:szCs w:val="14"/>
                <w:color w:val="auto"/>
              </w:rPr>
              <w:t>Payments of commercial paper and other short-term borrowings</w:t>
            </w:r>
          </w:p>
        </w:tc>
        <w:tc>
          <w:tcPr>
            <w:tcW w:w="300" w:type="dxa"/>
            <w:vAlign w:val="bottom"/>
            <w:shd w:val="clear" w:color="auto" w:fill="DDDDDD"/>
          </w:tcPr>
          <w:p>
            <w:pPr>
              <w:spacing w:after="0"/>
              <w:rPr>
                <w:sz w:val="16"/>
                <w:szCs w:val="16"/>
                <w:color w:val="auto"/>
              </w:rPr>
            </w:pPr>
          </w:p>
        </w:tc>
        <w:tc>
          <w:tcPr>
            <w:tcW w:w="98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(10,400)</w:t>
            </w:r>
          </w:p>
        </w:tc>
        <w:tc>
          <w:tcPr>
            <w:tcW w:w="100" w:type="dxa"/>
            <w:vAlign w:val="bottom"/>
            <w:shd w:val="clear" w:color="auto" w:fill="DDDDDD"/>
          </w:tcPr>
          <w:p>
            <w:pPr>
              <w:spacing w:after="0"/>
              <w:rPr>
                <w:sz w:val="16"/>
                <w:szCs w:val="16"/>
                <w:color w:val="auto"/>
              </w:rPr>
            </w:pPr>
          </w:p>
        </w:tc>
        <w:tc>
          <w:tcPr>
            <w:tcW w:w="300" w:type="dxa"/>
            <w:vAlign w:val="bottom"/>
            <w:shd w:val="clear" w:color="auto" w:fill="DDDDDD"/>
          </w:tcPr>
          <w:p>
            <w:pPr>
              <w:spacing w:after="0"/>
              <w:rPr>
                <w:sz w:val="16"/>
                <w:szCs w:val="16"/>
                <w:color w:val="auto"/>
              </w:rPr>
            </w:pPr>
          </w:p>
        </w:tc>
        <w:tc>
          <w:tcPr>
            <w:tcW w:w="98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(14,199)</w:t>
            </w:r>
          </w:p>
        </w:tc>
        <w:tc>
          <w:tcPr>
            <w:tcW w:w="100" w:type="dxa"/>
            <w:vAlign w:val="bottom"/>
            <w:shd w:val="clear" w:color="auto" w:fill="DDDDDD"/>
          </w:tcPr>
          <w:p>
            <w:pPr>
              <w:spacing w:after="0"/>
              <w:rPr>
                <w:sz w:val="16"/>
                <w:szCs w:val="16"/>
                <w:color w:val="auto"/>
              </w:rPr>
            </w:pPr>
          </w:p>
        </w:tc>
        <w:tc>
          <w:tcPr>
            <w:tcW w:w="320" w:type="dxa"/>
            <w:vAlign w:val="bottom"/>
            <w:shd w:val="clear" w:color="auto" w:fill="DDDDDD"/>
          </w:tcPr>
          <w:p>
            <w:pPr>
              <w:spacing w:after="0"/>
              <w:rPr>
                <w:sz w:val="16"/>
                <w:szCs w:val="16"/>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14"/>
                <w:szCs w:val="14"/>
                <w:color w:val="auto"/>
              </w:rPr>
              <w:t>(24,095)</w:t>
            </w:r>
          </w:p>
        </w:tc>
      </w:tr>
      <w:tr>
        <w:trPr>
          <w:trHeight w:val="189"/>
        </w:trPr>
        <w:tc>
          <w:tcPr>
            <w:tcW w:w="7140" w:type="dxa"/>
            <w:vAlign w:val="bottom"/>
          </w:tcPr>
          <w:p>
            <w:pPr>
              <w:ind w:left="220"/>
              <w:spacing w:after="0"/>
              <w:rPr>
                <w:sz w:val="20"/>
                <w:szCs w:val="20"/>
                <w:color w:val="auto"/>
              </w:rPr>
            </w:pPr>
            <w:r>
              <w:rPr>
                <w:rFonts w:ascii="Arial" w:cs="Arial" w:eastAsia="Arial" w:hAnsi="Arial"/>
                <w:sz w:val="14"/>
                <w:szCs w:val="14"/>
                <w:color w:val="auto"/>
              </w:rPr>
              <w:t>Proceeds from issuance of common stock</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393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498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267</w:t>
            </w:r>
          </w:p>
        </w:tc>
      </w:tr>
      <w:tr>
        <w:trPr>
          <w:trHeight w:val="189"/>
        </w:trPr>
        <w:tc>
          <w:tcPr>
            <w:tcW w:w="7140" w:type="dxa"/>
            <w:vAlign w:val="bottom"/>
            <w:shd w:val="clear" w:color="auto" w:fill="DDDDDD"/>
          </w:tcPr>
          <w:p>
            <w:pPr>
              <w:ind w:left="220"/>
              <w:spacing w:after="0"/>
              <w:rPr>
                <w:sz w:val="20"/>
                <w:szCs w:val="20"/>
                <w:color w:val="auto"/>
              </w:rPr>
            </w:pPr>
            <w:r>
              <w:rPr>
                <w:rFonts w:ascii="Arial" w:cs="Arial" w:eastAsia="Arial" w:hAnsi="Arial"/>
                <w:sz w:val="14"/>
                <w:szCs w:val="14"/>
                <w:color w:val="auto"/>
              </w:rPr>
              <w:t>Proceeds from issuance of long-term debt</w:t>
            </w:r>
          </w:p>
        </w:tc>
        <w:tc>
          <w:tcPr>
            <w:tcW w:w="300" w:type="dxa"/>
            <w:vAlign w:val="bottom"/>
            <w:shd w:val="clear" w:color="auto" w:fill="DDDDDD"/>
          </w:tcPr>
          <w:p>
            <w:pPr>
              <w:spacing w:after="0"/>
              <w:rPr>
                <w:sz w:val="16"/>
                <w:szCs w:val="16"/>
                <w:color w:val="auto"/>
              </w:rPr>
            </w:pPr>
          </w:p>
        </w:tc>
        <w:tc>
          <w:tcPr>
            <w:tcW w:w="98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10,125</w:t>
            </w:r>
          </w:p>
        </w:tc>
        <w:tc>
          <w:tcPr>
            <w:tcW w:w="100" w:type="dxa"/>
            <w:vAlign w:val="bottom"/>
            <w:shd w:val="clear" w:color="auto" w:fill="DDDDDD"/>
          </w:tcPr>
          <w:p>
            <w:pPr>
              <w:spacing w:after="0"/>
              <w:rPr>
                <w:sz w:val="16"/>
                <w:szCs w:val="16"/>
                <w:color w:val="auto"/>
              </w:rPr>
            </w:pPr>
          </w:p>
        </w:tc>
        <w:tc>
          <w:tcPr>
            <w:tcW w:w="300" w:type="dxa"/>
            <w:vAlign w:val="bottom"/>
            <w:shd w:val="clear" w:color="auto" w:fill="DDDDDD"/>
          </w:tcPr>
          <w:p>
            <w:pPr>
              <w:spacing w:after="0"/>
              <w:rPr>
                <w:sz w:val="16"/>
                <w:szCs w:val="16"/>
                <w:color w:val="auto"/>
              </w:rPr>
            </w:pPr>
          </w:p>
        </w:tc>
        <w:tc>
          <w:tcPr>
            <w:tcW w:w="98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2,726</w:t>
            </w:r>
          </w:p>
        </w:tc>
        <w:tc>
          <w:tcPr>
            <w:tcW w:w="100" w:type="dxa"/>
            <w:vAlign w:val="bottom"/>
            <w:shd w:val="clear" w:color="auto" w:fill="DDDDDD"/>
          </w:tcPr>
          <w:p>
            <w:pPr>
              <w:spacing w:after="0"/>
              <w:rPr>
                <w:sz w:val="16"/>
                <w:szCs w:val="16"/>
                <w:color w:val="auto"/>
              </w:rPr>
            </w:pPr>
          </w:p>
        </w:tc>
        <w:tc>
          <w:tcPr>
            <w:tcW w:w="320" w:type="dxa"/>
            <w:vAlign w:val="bottom"/>
            <w:shd w:val="clear" w:color="auto" w:fill="DDDDDD"/>
          </w:tcPr>
          <w:p>
            <w:pPr>
              <w:spacing w:after="0"/>
              <w:rPr>
                <w:sz w:val="16"/>
                <w:szCs w:val="16"/>
                <w:color w:val="auto"/>
              </w:rPr>
            </w:pPr>
          </w:p>
        </w:tc>
        <w:tc>
          <w:tcPr>
            <w:tcW w:w="96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27</w:t>
            </w:r>
          </w:p>
        </w:tc>
      </w:tr>
      <w:tr>
        <w:trPr>
          <w:trHeight w:val="189"/>
        </w:trPr>
        <w:tc>
          <w:tcPr>
            <w:tcW w:w="7140" w:type="dxa"/>
            <w:vAlign w:val="bottom"/>
          </w:tcPr>
          <w:p>
            <w:pPr>
              <w:ind w:left="220"/>
              <w:spacing w:after="0"/>
              <w:rPr>
                <w:sz w:val="20"/>
                <w:szCs w:val="20"/>
                <w:color w:val="auto"/>
              </w:rPr>
            </w:pPr>
            <w:r>
              <w:rPr>
                <w:rFonts w:ascii="Arial" w:cs="Arial" w:eastAsia="Arial" w:hAnsi="Arial"/>
                <w:sz w:val="14"/>
                <w:szCs w:val="14"/>
                <w:color w:val="auto"/>
              </w:rPr>
              <w:t>Payments of long-term debt</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(4,308)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(2,903)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(1,330)</w:t>
            </w:r>
          </w:p>
        </w:tc>
      </w:tr>
      <w:tr>
        <w:trPr>
          <w:trHeight w:val="189"/>
        </w:trPr>
        <w:tc>
          <w:tcPr>
            <w:tcW w:w="7140" w:type="dxa"/>
            <w:vAlign w:val="bottom"/>
            <w:shd w:val="clear" w:color="auto" w:fill="DDDDDD"/>
          </w:tcPr>
          <w:p>
            <w:pPr>
              <w:ind w:left="220"/>
              <w:spacing w:after="0"/>
              <w:rPr>
                <w:sz w:val="20"/>
                <w:szCs w:val="20"/>
                <w:color w:val="auto"/>
              </w:rPr>
            </w:pPr>
            <w:r>
              <w:rPr>
                <w:rFonts w:ascii="Arial" w:cs="Arial" w:eastAsia="Arial" w:hAnsi="Arial"/>
                <w:sz w:val="14"/>
                <w:szCs w:val="14"/>
                <w:color w:val="auto"/>
              </w:rPr>
              <w:t>Repurchases of common stock</w:t>
            </w:r>
          </w:p>
        </w:tc>
        <w:tc>
          <w:tcPr>
            <w:tcW w:w="300" w:type="dxa"/>
            <w:vAlign w:val="bottom"/>
            <w:shd w:val="clear" w:color="auto" w:fill="DDDDDD"/>
          </w:tcPr>
          <w:p>
            <w:pPr>
              <w:spacing w:after="0"/>
              <w:rPr>
                <w:sz w:val="16"/>
                <w:szCs w:val="16"/>
                <w:color w:val="auto"/>
              </w:rPr>
            </w:pPr>
          </w:p>
        </w:tc>
        <w:tc>
          <w:tcPr>
            <w:tcW w:w="980" w:type="dxa"/>
            <w:vAlign w:val="bottom"/>
            <w:shd w:val="clear" w:color="auto" w:fill="DDDDDD"/>
          </w:tcPr>
          <w:p>
            <w:pPr>
              <w:jc w:val="right"/>
              <w:spacing w:after="0"/>
              <w:rPr>
                <w:sz w:val="20"/>
                <w:szCs w:val="20"/>
                <w:color w:val="auto"/>
              </w:rPr>
            </w:pPr>
            <w:r>
              <w:rPr>
                <w:rFonts w:ascii="Arial" w:cs="Arial" w:eastAsia="Arial" w:hAnsi="Arial"/>
                <w:sz w:val="14"/>
                <w:szCs w:val="14"/>
                <w:color w:val="auto"/>
              </w:rPr>
              <w:t>(3,714)</w:t>
            </w:r>
          </w:p>
        </w:tc>
        <w:tc>
          <w:tcPr>
            <w:tcW w:w="100" w:type="dxa"/>
            <w:vAlign w:val="bottom"/>
            <w:shd w:val="clear" w:color="auto" w:fill="DDDDDD"/>
          </w:tcPr>
          <w:p>
            <w:pPr>
              <w:spacing w:after="0"/>
              <w:rPr>
                <w:sz w:val="16"/>
                <w:szCs w:val="16"/>
                <w:color w:val="auto"/>
              </w:rPr>
            </w:pPr>
          </w:p>
        </w:tc>
        <w:tc>
          <w:tcPr>
            <w:tcW w:w="300" w:type="dxa"/>
            <w:vAlign w:val="bottom"/>
            <w:shd w:val="clear" w:color="auto" w:fill="DDDDDD"/>
          </w:tcPr>
          <w:p>
            <w:pPr>
              <w:spacing w:after="0"/>
              <w:rPr>
                <w:sz w:val="16"/>
                <w:szCs w:val="16"/>
                <w:color w:val="auto"/>
              </w:rPr>
            </w:pPr>
          </w:p>
        </w:tc>
        <w:tc>
          <w:tcPr>
            <w:tcW w:w="980" w:type="dxa"/>
            <w:vAlign w:val="bottom"/>
            <w:shd w:val="clear" w:color="auto" w:fill="DDDDDD"/>
          </w:tcPr>
          <w:p>
            <w:pPr>
              <w:jc w:val="right"/>
              <w:spacing w:after="0"/>
              <w:rPr>
                <w:sz w:val="20"/>
                <w:szCs w:val="20"/>
                <w:color w:val="auto"/>
              </w:rPr>
            </w:pPr>
            <w:r>
              <w:rPr>
                <w:rFonts w:ascii="Arial" w:cs="Arial" w:eastAsia="Arial" w:hAnsi="Arial"/>
                <w:sz w:val="14"/>
                <w:szCs w:val="14"/>
                <w:color w:val="auto"/>
              </w:rPr>
              <w:t>(4,400)</w:t>
            </w:r>
          </w:p>
        </w:tc>
        <w:tc>
          <w:tcPr>
            <w:tcW w:w="100" w:type="dxa"/>
            <w:vAlign w:val="bottom"/>
            <w:shd w:val="clear" w:color="auto" w:fill="DDDDDD"/>
          </w:tcPr>
          <w:p>
            <w:pPr>
              <w:spacing w:after="0"/>
              <w:rPr>
                <w:sz w:val="16"/>
                <w:szCs w:val="16"/>
                <w:color w:val="auto"/>
              </w:rPr>
            </w:pPr>
          </w:p>
        </w:tc>
        <w:tc>
          <w:tcPr>
            <w:tcW w:w="320" w:type="dxa"/>
            <w:vAlign w:val="bottom"/>
            <w:shd w:val="clear" w:color="auto" w:fill="DDDDDD"/>
          </w:tcPr>
          <w:p>
            <w:pPr>
              <w:spacing w:after="0"/>
              <w:rPr>
                <w:sz w:val="16"/>
                <w:szCs w:val="16"/>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14"/>
                <w:szCs w:val="14"/>
                <w:color w:val="auto"/>
              </w:rPr>
              <w:t>(4,000)</w:t>
            </w:r>
          </w:p>
        </w:tc>
      </w:tr>
      <w:tr>
        <w:trPr>
          <w:trHeight w:val="189"/>
        </w:trPr>
        <w:tc>
          <w:tcPr>
            <w:tcW w:w="7140" w:type="dxa"/>
            <w:vAlign w:val="bottom"/>
          </w:tcPr>
          <w:p>
            <w:pPr>
              <w:ind w:left="220"/>
              <w:spacing w:after="0"/>
              <w:rPr>
                <w:sz w:val="20"/>
                <w:szCs w:val="20"/>
                <w:color w:val="auto"/>
              </w:rPr>
            </w:pPr>
            <w:r>
              <w:rPr>
                <w:rFonts w:ascii="Arial" w:cs="Arial" w:eastAsia="Arial" w:hAnsi="Arial"/>
                <w:sz w:val="14"/>
                <w:szCs w:val="14"/>
                <w:color w:val="auto"/>
              </w:rPr>
              <w:t>Cash dividends paid</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(2,592)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(2,442)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(2,272)</w:t>
            </w:r>
          </w:p>
        </w:tc>
      </w:tr>
      <w:tr>
        <w:trPr>
          <w:trHeight w:val="189"/>
        </w:trPr>
        <w:tc>
          <w:tcPr>
            <w:tcW w:w="7140" w:type="dxa"/>
            <w:vAlign w:val="bottom"/>
            <w:shd w:val="clear" w:color="auto" w:fill="DDDDDD"/>
          </w:tcPr>
          <w:p>
            <w:pPr>
              <w:ind w:left="220"/>
              <w:spacing w:after="0"/>
              <w:rPr>
                <w:sz w:val="20"/>
                <w:szCs w:val="20"/>
                <w:color w:val="auto"/>
              </w:rPr>
            </w:pPr>
            <w:r>
              <w:rPr>
                <w:rFonts w:ascii="Arial" w:cs="Arial" w:eastAsia="Arial" w:hAnsi="Arial"/>
                <w:sz w:val="14"/>
                <w:szCs w:val="14"/>
                <w:color w:val="auto"/>
              </w:rPr>
              <w:t>Pre-separation funding</w:t>
            </w:r>
          </w:p>
        </w:tc>
        <w:tc>
          <w:tcPr>
            <w:tcW w:w="300" w:type="dxa"/>
            <w:vAlign w:val="bottom"/>
            <w:shd w:val="clear" w:color="auto" w:fill="DDDDDD"/>
          </w:tcPr>
          <w:p>
            <w:pPr>
              <w:spacing w:after="0"/>
              <w:rPr>
                <w:sz w:val="16"/>
                <w:szCs w:val="16"/>
                <w:color w:val="auto"/>
              </w:rPr>
            </w:pPr>
          </w:p>
        </w:tc>
        <w:tc>
          <w:tcPr>
            <w:tcW w:w="980" w:type="dxa"/>
            <w:vAlign w:val="bottom"/>
            <w:shd w:val="clear" w:color="auto" w:fill="DDDDDD"/>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DDDDDD"/>
          </w:tcPr>
          <w:p>
            <w:pPr>
              <w:spacing w:after="0"/>
              <w:rPr>
                <w:sz w:val="16"/>
                <w:szCs w:val="16"/>
                <w:color w:val="auto"/>
              </w:rPr>
            </w:pPr>
          </w:p>
        </w:tc>
        <w:tc>
          <w:tcPr>
            <w:tcW w:w="300" w:type="dxa"/>
            <w:vAlign w:val="bottom"/>
            <w:shd w:val="clear" w:color="auto" w:fill="DDDDDD"/>
          </w:tcPr>
          <w:p>
            <w:pPr>
              <w:spacing w:after="0"/>
              <w:rPr>
                <w:sz w:val="16"/>
                <w:szCs w:val="16"/>
                <w:color w:val="auto"/>
              </w:rPr>
            </w:pPr>
          </w:p>
        </w:tc>
        <w:tc>
          <w:tcPr>
            <w:tcW w:w="1080" w:type="dxa"/>
            <w:vAlign w:val="bottom"/>
            <w:gridSpan w:val="2"/>
            <w:shd w:val="clear" w:color="auto" w:fill="DDDDDD"/>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DDDDDD"/>
          </w:tcPr>
          <w:p>
            <w:pPr>
              <w:spacing w:after="0"/>
              <w:rPr>
                <w:sz w:val="16"/>
                <w:szCs w:val="16"/>
                <w:color w:val="auto"/>
              </w:rPr>
            </w:pPr>
          </w:p>
        </w:tc>
        <w:tc>
          <w:tcPr>
            <w:tcW w:w="96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2,801</w:t>
            </w:r>
          </w:p>
        </w:tc>
      </w:tr>
      <w:tr>
        <w:trPr>
          <w:trHeight w:val="189"/>
        </w:trPr>
        <w:tc>
          <w:tcPr>
            <w:tcW w:w="7140" w:type="dxa"/>
            <w:vAlign w:val="bottom"/>
          </w:tcPr>
          <w:p>
            <w:pPr>
              <w:ind w:left="220"/>
              <w:spacing w:after="0"/>
              <w:rPr>
                <w:sz w:val="20"/>
                <w:szCs w:val="20"/>
                <w:color w:val="auto"/>
              </w:rPr>
            </w:pPr>
            <w:r>
              <w:rPr>
                <w:rFonts w:ascii="Arial" w:cs="Arial" w:eastAsia="Arial" w:hAnsi="Arial"/>
                <w:sz w:val="14"/>
                <w:szCs w:val="14"/>
                <w:color w:val="auto"/>
              </w:rPr>
              <w:t>Spin-off cash</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(179)</w:t>
            </w:r>
          </w:p>
        </w:tc>
      </w:tr>
      <w:tr>
        <w:trPr>
          <w:trHeight w:val="189"/>
        </w:trPr>
        <w:tc>
          <w:tcPr>
            <w:tcW w:w="7140" w:type="dxa"/>
            <w:vAlign w:val="bottom"/>
            <w:shd w:val="clear" w:color="auto" w:fill="DDDDDD"/>
          </w:tcPr>
          <w:p>
            <w:pPr>
              <w:ind w:left="220"/>
              <w:spacing w:after="0"/>
              <w:rPr>
                <w:sz w:val="20"/>
                <w:szCs w:val="20"/>
                <w:color w:val="auto"/>
              </w:rPr>
            </w:pPr>
            <w:r>
              <w:rPr>
                <w:rFonts w:ascii="Arial" w:cs="Arial" w:eastAsia="Arial" w:hAnsi="Arial"/>
                <w:sz w:val="14"/>
                <w:szCs w:val="14"/>
                <w:color w:val="auto"/>
              </w:rPr>
              <w:t>Other</w:t>
            </w:r>
          </w:p>
        </w:tc>
        <w:tc>
          <w:tcPr>
            <w:tcW w:w="300" w:type="dxa"/>
            <w:vAlign w:val="bottom"/>
            <w:tcBorders>
              <w:bottom w:val="single" w:sz="8" w:color="auto"/>
            </w:tcBorders>
            <w:shd w:val="clear" w:color="auto" w:fill="DDDDDD"/>
          </w:tcPr>
          <w:p>
            <w:pPr>
              <w:spacing w:after="0"/>
              <w:rPr>
                <w:sz w:val="16"/>
                <w:szCs w:val="16"/>
                <w:color w:val="auto"/>
              </w:rPr>
            </w:pPr>
          </w:p>
        </w:tc>
        <w:tc>
          <w:tcPr>
            <w:tcW w:w="9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(59)</w:t>
            </w:r>
          </w:p>
        </w:tc>
        <w:tc>
          <w:tcPr>
            <w:tcW w:w="100" w:type="dxa"/>
            <w:vAlign w:val="bottom"/>
            <w:shd w:val="clear" w:color="auto" w:fill="DDDDDD"/>
          </w:tcPr>
          <w:p>
            <w:pPr>
              <w:spacing w:after="0"/>
              <w:rPr>
                <w:sz w:val="16"/>
                <w:szCs w:val="16"/>
                <w:color w:val="auto"/>
              </w:rPr>
            </w:pPr>
          </w:p>
        </w:tc>
        <w:tc>
          <w:tcPr>
            <w:tcW w:w="300" w:type="dxa"/>
            <w:vAlign w:val="bottom"/>
            <w:tcBorders>
              <w:bottom w:val="single" w:sz="8" w:color="auto"/>
            </w:tcBorders>
            <w:shd w:val="clear" w:color="auto" w:fill="DDDDDD"/>
          </w:tcPr>
          <w:p>
            <w:pPr>
              <w:spacing w:after="0"/>
              <w:rPr>
                <w:sz w:val="16"/>
                <w:szCs w:val="16"/>
                <w:color w:val="auto"/>
              </w:rPr>
            </w:pPr>
          </w:p>
        </w:tc>
        <w:tc>
          <w:tcPr>
            <w:tcW w:w="9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(79)</w:t>
            </w:r>
          </w:p>
        </w:tc>
        <w:tc>
          <w:tcPr>
            <w:tcW w:w="100" w:type="dxa"/>
            <w:vAlign w:val="bottom"/>
            <w:shd w:val="clear" w:color="auto" w:fill="DDDDDD"/>
          </w:tcPr>
          <w:p>
            <w:pPr>
              <w:spacing w:after="0"/>
              <w:rPr>
                <w:sz w:val="16"/>
                <w:szCs w:val="16"/>
                <w:color w:val="auto"/>
              </w:rPr>
            </w:pPr>
          </w:p>
        </w:tc>
        <w:tc>
          <w:tcPr>
            <w:tcW w:w="320" w:type="dxa"/>
            <w:vAlign w:val="bottom"/>
            <w:tcBorders>
              <w:bottom w:val="single" w:sz="8" w:color="auto"/>
            </w:tcBorders>
            <w:shd w:val="clear" w:color="auto" w:fill="DDDDDD"/>
          </w:tcPr>
          <w:p>
            <w:pPr>
              <w:spacing w:after="0"/>
              <w:rPr>
                <w:sz w:val="16"/>
                <w:szCs w:val="16"/>
                <w:color w:val="auto"/>
              </w:rPr>
            </w:pPr>
          </w:p>
        </w:tc>
        <w:tc>
          <w:tcPr>
            <w:tcW w:w="9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(142)</w:t>
            </w:r>
          </w:p>
        </w:tc>
      </w:tr>
      <w:tr>
        <w:trPr>
          <w:trHeight w:val="182"/>
        </w:trPr>
        <w:tc>
          <w:tcPr>
            <w:tcW w:w="7140" w:type="dxa"/>
            <w:vAlign w:val="bottom"/>
            <w:tcBorders>
              <w:bottom w:val="single" w:sz="8" w:color="DDDDDD"/>
            </w:tcBorders>
          </w:tcPr>
          <w:p>
            <w:pPr>
              <w:ind w:left="980"/>
              <w:spacing w:after="0"/>
              <w:rPr>
                <w:sz w:val="20"/>
                <w:szCs w:val="20"/>
                <w:color w:val="auto"/>
              </w:rPr>
            </w:pPr>
            <w:r>
              <w:rPr>
                <w:rFonts w:ascii="Arial" w:cs="Arial" w:eastAsia="Arial" w:hAnsi="Arial"/>
                <w:sz w:val="14"/>
                <w:szCs w:val="14"/>
                <w:color w:val="auto"/>
              </w:rPr>
              <w:t>Net cash provided by (used for) financing activities</w:t>
            </w: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w:t>
            </w:r>
          </w:p>
        </w:tc>
        <w:tc>
          <w:tcPr>
            <w:tcW w:w="100" w:type="dxa"/>
            <w:vAlign w:val="bottom"/>
            <w:tcBorders>
              <w:bottom w:val="single" w:sz="8" w:color="DDDDDD"/>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(6,600)</w:t>
            </w:r>
          </w:p>
        </w:tc>
        <w:tc>
          <w:tcPr>
            <w:tcW w:w="100" w:type="dxa"/>
            <w:vAlign w:val="bottom"/>
            <w:tcBorders>
              <w:bottom w:val="single" w:sz="8" w:color="DDDDDD"/>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(5,032)</w:t>
            </w:r>
          </w:p>
        </w:tc>
      </w:tr>
      <w:tr>
        <w:trPr>
          <w:trHeight w:val="183"/>
        </w:trPr>
        <w:tc>
          <w:tcPr>
            <w:tcW w:w="7140" w:type="dxa"/>
            <w:vAlign w:val="bottom"/>
            <w:shd w:val="clear" w:color="auto" w:fill="DDDDDD"/>
          </w:tcPr>
          <w:p>
            <w:pPr>
              <w:ind w:left="20"/>
              <w:spacing w:after="0"/>
              <w:rPr>
                <w:sz w:val="20"/>
                <w:szCs w:val="20"/>
                <w:color w:val="auto"/>
              </w:rPr>
            </w:pPr>
            <w:r>
              <w:rPr>
                <w:rFonts w:ascii="Arial" w:cs="Arial" w:eastAsia="Arial" w:hAnsi="Arial"/>
                <w:sz w:val="14"/>
                <w:szCs w:val="14"/>
                <w:color w:val="auto"/>
              </w:rPr>
              <w:t>Effect of foreign exchange rate changes on cash and cash equivalents</w:t>
            </w:r>
          </w:p>
        </w:tc>
        <w:tc>
          <w:tcPr>
            <w:tcW w:w="300" w:type="dxa"/>
            <w:vAlign w:val="bottom"/>
            <w:tcBorders>
              <w:bottom w:val="single" w:sz="8" w:color="auto"/>
            </w:tcBorders>
            <w:shd w:val="clear" w:color="auto" w:fill="DDDDDD"/>
          </w:tcPr>
          <w:p>
            <w:pPr>
              <w:spacing w:after="0"/>
              <w:rPr>
                <w:sz w:val="15"/>
                <w:szCs w:val="15"/>
                <w:color w:val="auto"/>
              </w:rPr>
            </w:pPr>
          </w:p>
        </w:tc>
        <w:tc>
          <w:tcPr>
            <w:tcW w:w="9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68</w:t>
            </w:r>
          </w:p>
        </w:tc>
        <w:tc>
          <w:tcPr>
            <w:tcW w:w="100" w:type="dxa"/>
            <w:vAlign w:val="bottom"/>
            <w:shd w:val="clear" w:color="auto" w:fill="DDDDDD"/>
          </w:tcPr>
          <w:p>
            <w:pPr>
              <w:spacing w:after="0"/>
              <w:rPr>
                <w:sz w:val="15"/>
                <w:szCs w:val="15"/>
                <w:color w:val="auto"/>
              </w:rPr>
            </w:pPr>
          </w:p>
        </w:tc>
        <w:tc>
          <w:tcPr>
            <w:tcW w:w="300" w:type="dxa"/>
            <w:vAlign w:val="bottom"/>
            <w:tcBorders>
              <w:bottom w:val="single" w:sz="8" w:color="auto"/>
            </w:tcBorders>
            <w:shd w:val="clear" w:color="auto" w:fill="DDDDDD"/>
          </w:tcPr>
          <w:p>
            <w:pPr>
              <w:spacing w:after="0"/>
              <w:rPr>
                <w:sz w:val="15"/>
                <w:szCs w:val="15"/>
                <w:color w:val="auto"/>
              </w:rPr>
            </w:pPr>
          </w:p>
        </w:tc>
        <w:tc>
          <w:tcPr>
            <w:tcW w:w="980" w:type="dxa"/>
            <w:vAlign w:val="bottom"/>
            <w:tcBorders>
              <w:bottom w:val="single" w:sz="8" w:color="auto"/>
            </w:tcBorders>
            <w:shd w:val="clear" w:color="auto" w:fill="DDDDDD"/>
          </w:tcPr>
          <w:p>
            <w:pPr>
              <w:jc w:val="right"/>
              <w:ind w:right="8"/>
              <w:spacing w:after="0"/>
              <w:rPr>
                <w:sz w:val="20"/>
                <w:szCs w:val="20"/>
                <w:color w:val="auto"/>
              </w:rPr>
            </w:pPr>
            <w:r>
              <w:rPr>
                <w:rFonts w:ascii="Arial" w:cs="Arial" w:eastAsia="Arial" w:hAnsi="Arial"/>
                <w:sz w:val="14"/>
                <w:szCs w:val="14"/>
                <w:color w:val="auto"/>
              </w:rPr>
              <w:t>16</w:t>
            </w:r>
          </w:p>
        </w:tc>
        <w:tc>
          <w:tcPr>
            <w:tcW w:w="100" w:type="dxa"/>
            <w:vAlign w:val="bottom"/>
            <w:shd w:val="clear" w:color="auto" w:fill="DDDDDD"/>
          </w:tcPr>
          <w:p>
            <w:pPr>
              <w:spacing w:after="0"/>
              <w:rPr>
                <w:sz w:val="15"/>
                <w:szCs w:val="15"/>
                <w:color w:val="auto"/>
              </w:rPr>
            </w:pPr>
          </w:p>
        </w:tc>
        <w:tc>
          <w:tcPr>
            <w:tcW w:w="320" w:type="dxa"/>
            <w:vAlign w:val="bottom"/>
            <w:tcBorders>
              <w:bottom w:val="single" w:sz="8" w:color="auto"/>
            </w:tcBorders>
            <w:shd w:val="clear" w:color="auto" w:fill="DDDDDD"/>
          </w:tcPr>
          <w:p>
            <w:pPr>
              <w:spacing w:after="0"/>
              <w:rPr>
                <w:sz w:val="15"/>
                <w:szCs w:val="15"/>
                <w:color w:val="auto"/>
              </w:rPr>
            </w:pPr>
          </w:p>
        </w:tc>
        <w:tc>
          <w:tcPr>
            <w:tcW w:w="9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(201)</w:t>
            </w:r>
          </w:p>
        </w:tc>
      </w:tr>
      <w:tr>
        <w:trPr>
          <w:trHeight w:val="183"/>
        </w:trPr>
        <w:tc>
          <w:tcPr>
            <w:tcW w:w="7140" w:type="dxa"/>
            <w:vAlign w:val="bottom"/>
          </w:tcPr>
          <w:p>
            <w:pPr>
              <w:ind w:left="20"/>
              <w:spacing w:after="0"/>
              <w:rPr>
                <w:sz w:val="20"/>
                <w:szCs w:val="20"/>
                <w:color w:val="auto"/>
              </w:rPr>
            </w:pPr>
            <w:r>
              <w:rPr>
                <w:rFonts w:ascii="Arial" w:cs="Arial" w:eastAsia="Arial" w:hAnsi="Arial"/>
                <w:sz w:val="14"/>
                <w:szCs w:val="14"/>
                <w:color w:val="auto"/>
              </w:rPr>
              <w:t>Net increase (decrease) in cash and cash equivalents</w:t>
            </w: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5,208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(220)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2,228</w:t>
            </w:r>
          </w:p>
        </w:tc>
      </w:tr>
      <w:tr>
        <w:trPr>
          <w:trHeight w:val="189"/>
        </w:trPr>
        <w:tc>
          <w:tcPr>
            <w:tcW w:w="7140" w:type="dxa"/>
            <w:vAlign w:val="bottom"/>
            <w:shd w:val="clear" w:color="auto" w:fill="DDDDDD"/>
          </w:tcPr>
          <w:p>
            <w:pPr>
              <w:ind w:left="20"/>
              <w:spacing w:after="0"/>
              <w:rPr>
                <w:sz w:val="20"/>
                <w:szCs w:val="20"/>
                <w:color w:val="auto"/>
              </w:rPr>
            </w:pPr>
            <w:r>
              <w:rPr>
                <w:rFonts w:ascii="Arial" w:cs="Arial" w:eastAsia="Arial" w:hAnsi="Arial"/>
                <w:sz w:val="14"/>
                <w:szCs w:val="14"/>
                <w:color w:val="auto"/>
              </w:rPr>
              <w:t>Cash and cash equivalents at beginning of period</w:t>
            </w:r>
          </w:p>
        </w:tc>
        <w:tc>
          <w:tcPr>
            <w:tcW w:w="300" w:type="dxa"/>
            <w:vAlign w:val="bottom"/>
            <w:tcBorders>
              <w:bottom w:val="single" w:sz="8" w:color="auto"/>
            </w:tcBorders>
            <w:shd w:val="clear" w:color="auto" w:fill="DDDDDD"/>
          </w:tcPr>
          <w:p>
            <w:pPr>
              <w:spacing w:after="0"/>
              <w:rPr>
                <w:sz w:val="16"/>
                <w:szCs w:val="16"/>
                <w:color w:val="auto"/>
              </w:rPr>
            </w:pPr>
          </w:p>
        </w:tc>
        <w:tc>
          <w:tcPr>
            <w:tcW w:w="9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9,067</w:t>
            </w:r>
          </w:p>
        </w:tc>
        <w:tc>
          <w:tcPr>
            <w:tcW w:w="100" w:type="dxa"/>
            <w:vAlign w:val="bottom"/>
            <w:shd w:val="clear" w:color="auto" w:fill="DDDDDD"/>
          </w:tcPr>
          <w:p>
            <w:pPr>
              <w:spacing w:after="0"/>
              <w:rPr>
                <w:sz w:val="16"/>
                <w:szCs w:val="16"/>
                <w:color w:val="auto"/>
              </w:rPr>
            </w:pPr>
          </w:p>
        </w:tc>
        <w:tc>
          <w:tcPr>
            <w:tcW w:w="300" w:type="dxa"/>
            <w:vAlign w:val="bottom"/>
            <w:tcBorders>
              <w:bottom w:val="single" w:sz="8" w:color="auto"/>
            </w:tcBorders>
            <w:shd w:val="clear" w:color="auto" w:fill="DDDDDD"/>
          </w:tcPr>
          <w:p>
            <w:pPr>
              <w:spacing w:after="0"/>
              <w:rPr>
                <w:sz w:val="16"/>
                <w:szCs w:val="16"/>
                <w:color w:val="auto"/>
              </w:rPr>
            </w:pPr>
          </w:p>
        </w:tc>
        <w:tc>
          <w:tcPr>
            <w:tcW w:w="980" w:type="dxa"/>
            <w:vAlign w:val="bottom"/>
            <w:tcBorders>
              <w:bottom w:val="single" w:sz="8" w:color="auto"/>
            </w:tcBorders>
            <w:shd w:val="clear" w:color="auto" w:fill="DDDDDD"/>
          </w:tcPr>
          <w:p>
            <w:pPr>
              <w:jc w:val="right"/>
              <w:ind w:right="8"/>
              <w:spacing w:after="0"/>
              <w:rPr>
                <w:sz w:val="20"/>
                <w:szCs w:val="20"/>
                <w:color w:val="auto"/>
              </w:rPr>
            </w:pPr>
            <w:r>
              <w:rPr>
                <w:rFonts w:ascii="Arial" w:cs="Arial" w:eastAsia="Arial" w:hAnsi="Arial"/>
                <w:sz w:val="14"/>
                <w:szCs w:val="14"/>
                <w:color w:val="auto"/>
              </w:rPr>
              <w:t>9,287</w:t>
            </w:r>
          </w:p>
        </w:tc>
        <w:tc>
          <w:tcPr>
            <w:tcW w:w="100" w:type="dxa"/>
            <w:vAlign w:val="bottom"/>
            <w:shd w:val="clear" w:color="auto" w:fill="DDDDDD"/>
          </w:tcPr>
          <w:p>
            <w:pPr>
              <w:spacing w:after="0"/>
              <w:rPr>
                <w:sz w:val="16"/>
                <w:szCs w:val="16"/>
                <w:color w:val="auto"/>
              </w:rPr>
            </w:pPr>
          </w:p>
        </w:tc>
        <w:tc>
          <w:tcPr>
            <w:tcW w:w="320" w:type="dxa"/>
            <w:vAlign w:val="bottom"/>
            <w:tcBorders>
              <w:bottom w:val="single" w:sz="8" w:color="auto"/>
            </w:tcBorders>
            <w:shd w:val="clear" w:color="auto" w:fill="DDDDDD"/>
          </w:tcPr>
          <w:p>
            <w:pPr>
              <w:spacing w:after="0"/>
              <w:rPr>
                <w:sz w:val="16"/>
                <w:szCs w:val="16"/>
                <w:color w:val="auto"/>
              </w:rPr>
            </w:pPr>
          </w:p>
        </w:tc>
        <w:tc>
          <w:tcPr>
            <w:tcW w:w="960" w:type="dxa"/>
            <w:vAlign w:val="bottom"/>
            <w:tcBorders>
              <w:bottom w:val="single" w:sz="8" w:color="auto"/>
            </w:tcBorders>
            <w:shd w:val="clear" w:color="auto" w:fill="DDDDDD"/>
          </w:tcPr>
          <w:p>
            <w:pPr>
              <w:jc w:val="right"/>
              <w:ind w:right="8"/>
              <w:spacing w:after="0"/>
              <w:rPr>
                <w:sz w:val="20"/>
                <w:szCs w:val="20"/>
                <w:color w:val="auto"/>
              </w:rPr>
            </w:pPr>
            <w:r>
              <w:rPr>
                <w:rFonts w:ascii="Arial" w:cs="Arial" w:eastAsia="Arial" w:hAnsi="Arial"/>
                <w:sz w:val="14"/>
                <w:szCs w:val="14"/>
                <w:color w:val="auto"/>
              </w:rPr>
              <w:t>7,059</w:t>
            </w:r>
          </w:p>
        </w:tc>
      </w:tr>
      <w:tr>
        <w:trPr>
          <w:trHeight w:val="183"/>
        </w:trPr>
        <w:tc>
          <w:tcPr>
            <w:tcW w:w="7140" w:type="dxa"/>
            <w:vAlign w:val="bottom"/>
          </w:tcPr>
          <w:p>
            <w:pPr>
              <w:ind w:left="20"/>
              <w:spacing w:after="0"/>
              <w:rPr>
                <w:sz w:val="20"/>
                <w:szCs w:val="20"/>
                <w:color w:val="auto"/>
              </w:rPr>
            </w:pPr>
            <w:r>
              <w:rPr>
                <w:rFonts w:ascii="Arial" w:cs="Arial" w:eastAsia="Arial" w:hAnsi="Arial"/>
                <w:sz w:val="14"/>
                <w:szCs w:val="14"/>
                <w:color w:val="auto"/>
              </w:rPr>
              <w:t>Cash and cash equivalents at end of period</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14,275</w:t>
            </w:r>
          </w:p>
        </w:tc>
        <w:tc>
          <w:tcPr>
            <w:tcW w:w="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9,067</w:t>
            </w:r>
          </w:p>
        </w:tc>
        <w:tc>
          <w:tcPr>
            <w:tcW w:w="100" w:type="dxa"/>
            <w:vAlign w:val="bottom"/>
          </w:tcPr>
          <w:p>
            <w:pPr>
              <w:spacing w:after="0"/>
              <w:rPr>
                <w:sz w:val="15"/>
                <w:szCs w:val="15"/>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9,287</w:t>
            </w:r>
          </w:p>
        </w:tc>
      </w:tr>
      <w:tr>
        <w:trPr>
          <w:trHeight w:val="20"/>
        </w:trPr>
        <w:tc>
          <w:tcPr>
            <w:tcW w:w="7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Notes to Consolidated Financial Statements are an integral part of this statement.</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49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30" w:right="359" w:bottom="1440" w:gutter="0" w:footer="0" w:header="0"/>
        </w:sectPr>
      </w:pPr>
    </w:p>
    <w:bookmarkStart w:id="52" w:name="page53"/>
    <w:bookmarkEnd w:id="52"/>
    <w:p>
      <w:pPr>
        <w:jc w:val="center"/>
        <w:ind w:right="-19"/>
        <w:spacing w:after="0"/>
        <w:rPr>
          <w:sz w:val="20"/>
          <w:szCs w:val="20"/>
          <w:color w:val="auto"/>
        </w:rPr>
      </w:pPr>
      <w:r>
        <w:rPr>
          <w:rFonts w:ascii="Arial" w:cs="Arial" w:eastAsia="Arial" w:hAnsi="Arial"/>
          <w:sz w:val="22"/>
          <w:szCs w:val="22"/>
          <w:b w:val="1"/>
          <w:bCs w:val="1"/>
          <w:color w:val="auto"/>
        </w:rPr>
        <w:t>HONEYWELL INTERNATIONAL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 OF SHAREOWNERS’ EQUITY</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80" w:type="dxa"/>
            <w:vAlign w:val="bottom"/>
          </w:tcPr>
          <w:p>
            <w:pPr>
              <w:spacing w:after="0"/>
              <w:rPr>
                <w:sz w:val="17"/>
                <w:szCs w:val="17"/>
                <w:color w:val="auto"/>
              </w:rPr>
            </w:pPr>
          </w:p>
        </w:tc>
        <w:tc>
          <w:tcPr>
            <w:tcW w:w="1080" w:type="dxa"/>
            <w:vAlign w:val="bottom"/>
            <w:tcBorders>
              <w:bottom w:val="single" w:sz="8" w:color="DC202E"/>
            </w:tcBorders>
          </w:tcPr>
          <w:p>
            <w:pPr>
              <w:spacing w:after="0"/>
              <w:rPr>
                <w:sz w:val="17"/>
                <w:szCs w:val="17"/>
                <w:color w:val="auto"/>
              </w:rPr>
            </w:pPr>
          </w:p>
        </w:tc>
        <w:tc>
          <w:tcPr>
            <w:tcW w:w="120" w:type="dxa"/>
            <w:vAlign w:val="bottom"/>
            <w:tcBorders>
              <w:bottom w:val="single" w:sz="8" w:color="DC202E"/>
            </w:tcBorders>
          </w:tcPr>
          <w:p>
            <w:pPr>
              <w:spacing w:after="0"/>
              <w:rPr>
                <w:sz w:val="17"/>
                <w:szCs w:val="17"/>
                <w:color w:val="auto"/>
              </w:rPr>
            </w:pPr>
          </w:p>
        </w:tc>
        <w:tc>
          <w:tcPr>
            <w:tcW w:w="280" w:type="dxa"/>
            <w:vAlign w:val="bottom"/>
            <w:tcBorders>
              <w:bottom w:val="single" w:sz="8" w:color="DC202E"/>
            </w:tcBorders>
          </w:tcPr>
          <w:p>
            <w:pPr>
              <w:spacing w:after="0"/>
              <w:rPr>
                <w:sz w:val="17"/>
                <w:szCs w:val="17"/>
                <w:color w:val="auto"/>
              </w:rPr>
            </w:pPr>
          </w:p>
        </w:tc>
        <w:tc>
          <w:tcPr>
            <w:tcW w:w="820" w:type="dxa"/>
            <w:vAlign w:val="bottom"/>
            <w:tcBorders>
              <w:bottom w:val="single" w:sz="8" w:color="DC202E"/>
            </w:tcBorders>
          </w:tcPr>
          <w:p>
            <w:pPr>
              <w:spacing w:after="0"/>
              <w:rPr>
                <w:sz w:val="17"/>
                <w:szCs w:val="17"/>
                <w:color w:val="auto"/>
              </w:rPr>
            </w:pPr>
          </w:p>
        </w:tc>
        <w:tc>
          <w:tcPr>
            <w:tcW w:w="100" w:type="dxa"/>
            <w:vAlign w:val="bottom"/>
            <w:tcBorders>
              <w:bottom w:val="single" w:sz="8" w:color="DC202E"/>
            </w:tcBorders>
          </w:tcPr>
          <w:p>
            <w:pPr>
              <w:spacing w:after="0"/>
              <w:rPr>
                <w:sz w:val="17"/>
                <w:szCs w:val="17"/>
                <w:color w:val="auto"/>
              </w:rPr>
            </w:pPr>
          </w:p>
        </w:tc>
        <w:tc>
          <w:tcPr>
            <w:tcW w:w="2620" w:type="dxa"/>
            <w:vAlign w:val="bottom"/>
            <w:tcBorders>
              <w:bottom w:val="single" w:sz="8" w:color="DC202E"/>
            </w:tcBorders>
            <w:gridSpan w:val="6"/>
          </w:tcPr>
          <w:p>
            <w:pPr>
              <w:jc w:val="center"/>
              <w:ind w:right="300"/>
              <w:spacing w:after="0"/>
              <w:rPr>
                <w:sz w:val="20"/>
                <w:szCs w:val="20"/>
                <w:color w:val="auto"/>
              </w:rPr>
            </w:pPr>
            <w:r>
              <w:rPr>
                <w:rFonts w:ascii="Arial" w:cs="Arial" w:eastAsia="Arial" w:hAnsi="Arial"/>
                <w:sz w:val="14"/>
                <w:szCs w:val="14"/>
                <w:b w:val="1"/>
                <w:bCs w:val="1"/>
                <w:color w:val="auto"/>
              </w:rPr>
              <w:t>Years Ended December 31,</w:t>
            </w:r>
          </w:p>
        </w:tc>
        <w:tc>
          <w:tcPr>
            <w:tcW w:w="900" w:type="dxa"/>
            <w:vAlign w:val="bottom"/>
            <w:tcBorders>
              <w:bottom w:val="single" w:sz="8" w:color="DC202E"/>
            </w:tcBorders>
          </w:tcPr>
          <w:p>
            <w:pPr>
              <w:spacing w:after="0"/>
              <w:rPr>
                <w:sz w:val="17"/>
                <w:szCs w:val="17"/>
                <w:color w:val="auto"/>
              </w:rPr>
            </w:pPr>
          </w:p>
        </w:tc>
        <w:tc>
          <w:tcPr>
            <w:tcW w:w="100" w:type="dxa"/>
            <w:vAlign w:val="bottom"/>
            <w:tcBorders>
              <w:bottom w:val="single" w:sz="8" w:color="DC202E"/>
            </w:tcBorders>
          </w:tcPr>
          <w:p>
            <w:pPr>
              <w:spacing w:after="0"/>
              <w:rPr>
                <w:sz w:val="17"/>
                <w:szCs w:val="17"/>
                <w:color w:val="auto"/>
              </w:rPr>
            </w:pPr>
          </w:p>
        </w:tc>
        <w:tc>
          <w:tcPr>
            <w:tcW w:w="300" w:type="dxa"/>
            <w:vAlign w:val="bottom"/>
            <w:tcBorders>
              <w:bottom w:val="single" w:sz="8" w:color="DC202E"/>
            </w:tcBorders>
          </w:tcPr>
          <w:p>
            <w:pPr>
              <w:spacing w:after="0"/>
              <w:rPr>
                <w:sz w:val="17"/>
                <w:szCs w:val="17"/>
                <w:color w:val="auto"/>
              </w:rPr>
            </w:pPr>
          </w:p>
        </w:tc>
        <w:tc>
          <w:tcPr>
            <w:tcW w:w="820" w:type="dxa"/>
            <w:vAlign w:val="bottom"/>
            <w:tcBorders>
              <w:bottom w:val="single" w:sz="8" w:color="DC202E"/>
            </w:tcBorders>
          </w:tcPr>
          <w:p>
            <w:pPr>
              <w:spacing w:after="0"/>
              <w:rPr>
                <w:sz w:val="17"/>
                <w:szCs w:val="17"/>
                <w:color w:val="auto"/>
              </w:rPr>
            </w:pPr>
          </w:p>
        </w:tc>
      </w:tr>
      <w:tr>
        <w:trPr>
          <w:trHeight w:val="196"/>
        </w:trPr>
        <w:tc>
          <w:tcPr>
            <w:tcW w:w="4080" w:type="dxa"/>
            <w:vAlign w:val="bottom"/>
          </w:tcPr>
          <w:p>
            <w:pPr>
              <w:spacing w:after="0"/>
              <w:rPr>
                <w:sz w:val="17"/>
                <w:szCs w:val="17"/>
                <w:color w:val="auto"/>
              </w:rPr>
            </w:pPr>
          </w:p>
        </w:tc>
        <w:tc>
          <w:tcPr>
            <w:tcW w:w="14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2020</w:t>
            </w:r>
          </w:p>
        </w:tc>
        <w:tc>
          <w:tcPr>
            <w:tcW w:w="820" w:type="dxa"/>
            <w:vAlign w:val="bottom"/>
          </w:tcPr>
          <w:p>
            <w:pPr>
              <w:spacing w:after="0"/>
              <w:rPr>
                <w:sz w:val="17"/>
                <w:szCs w:val="17"/>
                <w:color w:val="auto"/>
              </w:rPr>
            </w:pPr>
          </w:p>
        </w:tc>
        <w:tc>
          <w:tcPr>
            <w:tcW w:w="160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rPr>
              <w:t>2019</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2018</w:t>
            </w:r>
          </w:p>
        </w:tc>
        <w:tc>
          <w:tcPr>
            <w:tcW w:w="820" w:type="dxa"/>
            <w:vAlign w:val="bottom"/>
          </w:tcPr>
          <w:p>
            <w:pPr>
              <w:spacing w:after="0"/>
              <w:rPr>
                <w:sz w:val="17"/>
                <w:szCs w:val="17"/>
                <w:color w:val="auto"/>
              </w:rPr>
            </w:pPr>
          </w:p>
        </w:tc>
      </w:tr>
      <w:tr>
        <w:trPr>
          <w:trHeight w:val="196"/>
        </w:trPr>
        <w:tc>
          <w:tcPr>
            <w:tcW w:w="4080" w:type="dxa"/>
            <w:vAlign w:val="bottom"/>
          </w:tcPr>
          <w:p>
            <w:pPr>
              <w:spacing w:after="0"/>
              <w:rPr>
                <w:sz w:val="17"/>
                <w:szCs w:val="17"/>
                <w:color w:val="auto"/>
              </w:rPr>
            </w:pPr>
          </w:p>
        </w:tc>
        <w:tc>
          <w:tcPr>
            <w:tcW w:w="1480" w:type="dxa"/>
            <w:vAlign w:val="bottom"/>
            <w:tcBorders>
              <w:top w:val="single" w:sz="8" w:color="DC202E"/>
              <w:bottom w:val="single" w:sz="8" w:color="DC202E"/>
            </w:tcBorders>
            <w:gridSpan w:val="3"/>
          </w:tcPr>
          <w:p>
            <w:pPr>
              <w:jc w:val="right"/>
              <w:ind w:right="700"/>
              <w:spacing w:after="0"/>
              <w:rPr>
                <w:sz w:val="20"/>
                <w:szCs w:val="20"/>
                <w:color w:val="auto"/>
              </w:rPr>
            </w:pPr>
            <w:r>
              <w:rPr>
                <w:rFonts w:ascii="Arial" w:cs="Arial" w:eastAsia="Arial" w:hAnsi="Arial"/>
                <w:sz w:val="14"/>
                <w:szCs w:val="14"/>
                <w:b w:val="1"/>
                <w:bCs w:val="1"/>
                <w:color w:val="auto"/>
              </w:rPr>
              <w:t>Shares</w:t>
            </w:r>
          </w:p>
        </w:tc>
        <w:tc>
          <w:tcPr>
            <w:tcW w:w="820" w:type="dxa"/>
            <w:vAlign w:val="bottom"/>
            <w:tcBorders>
              <w:top w:val="single" w:sz="8" w:color="DC202E"/>
              <w:bottom w:val="single" w:sz="8" w:color="DC202E"/>
            </w:tcBorders>
          </w:tcPr>
          <w:p>
            <w:pPr>
              <w:jc w:val="right"/>
              <w:ind w:right="44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DC202E"/>
            </w:tcBorders>
          </w:tcPr>
          <w:p>
            <w:pPr>
              <w:spacing w:after="0"/>
              <w:rPr>
                <w:sz w:val="17"/>
                <w:szCs w:val="17"/>
                <w:color w:val="auto"/>
              </w:rPr>
            </w:pPr>
          </w:p>
        </w:tc>
        <w:tc>
          <w:tcPr>
            <w:tcW w:w="1500" w:type="dxa"/>
            <w:vAlign w:val="bottom"/>
            <w:tcBorders>
              <w:top w:val="single" w:sz="8" w:color="DC202E"/>
              <w:bottom w:val="single" w:sz="8" w:color="DC202E"/>
            </w:tcBorders>
            <w:gridSpan w:val="3"/>
          </w:tcPr>
          <w:p>
            <w:pPr>
              <w:jc w:val="right"/>
              <w:ind w:right="700"/>
              <w:spacing w:after="0"/>
              <w:rPr>
                <w:sz w:val="20"/>
                <w:szCs w:val="20"/>
                <w:color w:val="auto"/>
              </w:rPr>
            </w:pPr>
            <w:r>
              <w:rPr>
                <w:rFonts w:ascii="Arial" w:cs="Arial" w:eastAsia="Arial" w:hAnsi="Arial"/>
                <w:sz w:val="14"/>
                <w:szCs w:val="14"/>
                <w:b w:val="1"/>
                <w:bCs w:val="1"/>
                <w:color w:val="auto"/>
              </w:rPr>
              <w:t>Shares</w:t>
            </w:r>
          </w:p>
        </w:tc>
        <w:tc>
          <w:tcPr>
            <w:tcW w:w="820" w:type="dxa"/>
            <w:vAlign w:val="bottom"/>
            <w:tcBorders>
              <w:top w:val="single" w:sz="8" w:color="DC202E"/>
              <w:bottom w:val="single" w:sz="8" w:color="DC202E"/>
            </w:tcBorders>
          </w:tcPr>
          <w:p>
            <w:pPr>
              <w:jc w:val="right"/>
              <w:ind w:right="439"/>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DC202E"/>
            </w:tcBorders>
          </w:tcPr>
          <w:p>
            <w:pPr>
              <w:spacing w:after="0"/>
              <w:rPr>
                <w:sz w:val="17"/>
                <w:szCs w:val="17"/>
                <w:color w:val="auto"/>
              </w:rPr>
            </w:pPr>
          </w:p>
        </w:tc>
        <w:tc>
          <w:tcPr>
            <w:tcW w:w="200" w:type="dxa"/>
            <w:vAlign w:val="bottom"/>
            <w:tcBorders>
              <w:top w:val="single" w:sz="8" w:color="DC202E"/>
              <w:bottom w:val="single" w:sz="8" w:color="DC202E"/>
            </w:tcBorders>
          </w:tcPr>
          <w:p>
            <w:pPr>
              <w:spacing w:after="0"/>
              <w:rPr>
                <w:sz w:val="17"/>
                <w:szCs w:val="17"/>
                <w:color w:val="auto"/>
              </w:rPr>
            </w:pPr>
          </w:p>
        </w:tc>
        <w:tc>
          <w:tcPr>
            <w:tcW w:w="1300" w:type="dxa"/>
            <w:vAlign w:val="bottom"/>
            <w:tcBorders>
              <w:top w:val="single" w:sz="8" w:color="DC202E"/>
              <w:bottom w:val="single" w:sz="8" w:color="DC202E"/>
            </w:tcBorders>
            <w:gridSpan w:val="3"/>
          </w:tcPr>
          <w:p>
            <w:pPr>
              <w:jc w:val="right"/>
              <w:ind w:right="700"/>
              <w:spacing w:after="0"/>
              <w:rPr>
                <w:sz w:val="20"/>
                <w:szCs w:val="20"/>
                <w:color w:val="auto"/>
              </w:rPr>
            </w:pPr>
            <w:r>
              <w:rPr>
                <w:rFonts w:ascii="Arial" w:cs="Arial" w:eastAsia="Arial" w:hAnsi="Arial"/>
                <w:sz w:val="14"/>
                <w:szCs w:val="14"/>
                <w:b w:val="1"/>
                <w:bCs w:val="1"/>
                <w:color w:val="auto"/>
              </w:rPr>
              <w:t>Shares</w:t>
            </w:r>
          </w:p>
        </w:tc>
        <w:tc>
          <w:tcPr>
            <w:tcW w:w="820" w:type="dxa"/>
            <w:vAlign w:val="bottom"/>
            <w:tcBorders>
              <w:top w:val="single" w:sz="8" w:color="DC202E"/>
              <w:bottom w:val="single" w:sz="8" w:color="DC202E"/>
            </w:tcBorders>
          </w:tcPr>
          <w:p>
            <w:pPr>
              <w:jc w:val="right"/>
              <w:ind w:right="439"/>
              <w:spacing w:after="0"/>
              <w:rPr>
                <w:sz w:val="20"/>
                <w:szCs w:val="20"/>
                <w:color w:val="auto"/>
              </w:rPr>
            </w:pPr>
            <w:r>
              <w:rPr>
                <w:rFonts w:ascii="Arial" w:cs="Arial" w:eastAsia="Arial" w:hAnsi="Arial"/>
                <w:sz w:val="14"/>
                <w:szCs w:val="14"/>
                <w:b w:val="1"/>
                <w:bCs w:val="1"/>
                <w:color w:val="auto"/>
              </w:rPr>
              <w:t>$</w:t>
            </w:r>
          </w:p>
        </w:tc>
      </w:tr>
      <w:tr>
        <w:trPr>
          <w:trHeight w:val="189"/>
        </w:trPr>
        <w:tc>
          <w:tcPr>
            <w:tcW w:w="40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540" w:type="dxa"/>
            <w:vAlign w:val="bottom"/>
            <w:gridSpan w:val="8"/>
          </w:tcPr>
          <w:p>
            <w:pPr>
              <w:jc w:val="center"/>
              <w:ind w:left="540"/>
              <w:spacing w:after="0"/>
              <w:rPr>
                <w:sz w:val="20"/>
                <w:szCs w:val="20"/>
                <w:color w:val="auto"/>
              </w:rPr>
            </w:pPr>
            <w:r>
              <w:rPr>
                <w:rFonts w:ascii="Arial" w:cs="Arial" w:eastAsia="Arial" w:hAnsi="Arial"/>
                <w:sz w:val="14"/>
                <w:szCs w:val="14"/>
                <w:b w:val="1"/>
                <w:bCs w:val="1"/>
                <w:color w:val="auto"/>
              </w:rPr>
              <w:t>(in millions, except per share amounts)</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16"/>
        </w:trPr>
        <w:tc>
          <w:tcPr>
            <w:tcW w:w="4080" w:type="dxa"/>
            <w:vAlign w:val="bottom"/>
            <w:shd w:val="clear" w:color="auto" w:fill="DDDDDD"/>
          </w:tcPr>
          <w:p>
            <w:pPr>
              <w:ind w:left="20"/>
              <w:spacing w:after="0"/>
              <w:rPr>
                <w:sz w:val="20"/>
                <w:szCs w:val="20"/>
                <w:color w:val="auto"/>
              </w:rPr>
            </w:pPr>
            <w:r>
              <w:rPr>
                <w:rFonts w:ascii="Arial" w:cs="Arial" w:eastAsia="Arial" w:hAnsi="Arial"/>
                <w:sz w:val="16"/>
                <w:szCs w:val="16"/>
                <w:b w:val="1"/>
                <w:bCs w:val="1"/>
                <w:color w:val="auto"/>
              </w:rPr>
              <w:t>Common stock, par value</w:t>
            </w:r>
          </w:p>
        </w:tc>
        <w:tc>
          <w:tcPr>
            <w:tcW w:w="1080" w:type="dxa"/>
            <w:vAlign w:val="bottom"/>
            <w:shd w:val="clear" w:color="auto" w:fill="DDDDDD"/>
          </w:tcPr>
          <w:p>
            <w:pPr>
              <w:jc w:val="right"/>
              <w:spacing w:after="0"/>
              <w:rPr>
                <w:sz w:val="20"/>
                <w:szCs w:val="20"/>
                <w:color w:val="auto"/>
              </w:rPr>
            </w:pPr>
            <w:r>
              <w:rPr>
                <w:rFonts w:ascii="Arial" w:cs="Arial" w:eastAsia="Arial" w:hAnsi="Arial"/>
                <w:sz w:val="16"/>
                <w:szCs w:val="16"/>
                <w:color w:val="auto"/>
              </w:rPr>
              <w:t>957.6</w:t>
            </w:r>
          </w:p>
        </w:tc>
        <w:tc>
          <w:tcPr>
            <w:tcW w:w="120" w:type="dxa"/>
            <w:vAlign w:val="bottom"/>
            <w:shd w:val="clear" w:color="auto" w:fill="DDDDDD"/>
          </w:tcPr>
          <w:p>
            <w:pPr>
              <w:spacing w:after="0"/>
              <w:rPr>
                <w:sz w:val="18"/>
                <w:szCs w:val="18"/>
                <w:color w:val="auto"/>
              </w:rPr>
            </w:pPr>
          </w:p>
        </w:tc>
        <w:tc>
          <w:tcPr>
            <w:tcW w:w="280" w:type="dxa"/>
            <w:vAlign w:val="bottom"/>
            <w:shd w:val="clear" w:color="auto" w:fill="DDDDDD"/>
          </w:tcPr>
          <w:p>
            <w:pPr>
              <w:spacing w:after="0"/>
              <w:rPr>
                <w:sz w:val="18"/>
                <w:szCs w:val="18"/>
                <w:color w:val="auto"/>
              </w:rPr>
            </w:pPr>
          </w:p>
        </w:tc>
        <w:tc>
          <w:tcPr>
            <w:tcW w:w="820" w:type="dxa"/>
            <w:vAlign w:val="bottom"/>
            <w:shd w:val="clear" w:color="auto" w:fill="DDDDDD"/>
          </w:tcPr>
          <w:p>
            <w:pPr>
              <w:jc w:val="right"/>
              <w:spacing w:after="0"/>
              <w:rPr>
                <w:sz w:val="20"/>
                <w:szCs w:val="20"/>
                <w:color w:val="auto"/>
              </w:rPr>
            </w:pPr>
            <w:r>
              <w:rPr>
                <w:rFonts w:ascii="Arial" w:cs="Arial" w:eastAsia="Arial" w:hAnsi="Arial"/>
                <w:sz w:val="16"/>
                <w:szCs w:val="16"/>
                <w:color w:val="auto"/>
              </w:rPr>
              <w:t>958</w:t>
            </w:r>
          </w:p>
        </w:tc>
        <w:tc>
          <w:tcPr>
            <w:tcW w:w="1200" w:type="dxa"/>
            <w:vAlign w:val="bottom"/>
            <w:gridSpan w:val="2"/>
            <w:shd w:val="clear" w:color="auto" w:fill="DDDDDD"/>
          </w:tcPr>
          <w:p>
            <w:pPr>
              <w:jc w:val="right"/>
              <w:ind w:right="5"/>
              <w:spacing w:after="0"/>
              <w:rPr>
                <w:sz w:val="20"/>
                <w:szCs w:val="20"/>
                <w:color w:val="auto"/>
              </w:rPr>
            </w:pPr>
            <w:r>
              <w:rPr>
                <w:rFonts w:ascii="Arial" w:cs="Arial" w:eastAsia="Arial" w:hAnsi="Arial"/>
                <w:sz w:val="16"/>
                <w:szCs w:val="16"/>
                <w:color w:val="auto"/>
              </w:rPr>
              <w:t>957.6</w:t>
            </w:r>
          </w:p>
        </w:tc>
        <w:tc>
          <w:tcPr>
            <w:tcW w:w="100" w:type="dxa"/>
            <w:vAlign w:val="bottom"/>
            <w:shd w:val="clear" w:color="auto" w:fill="DDDDDD"/>
          </w:tcPr>
          <w:p>
            <w:pPr>
              <w:spacing w:after="0"/>
              <w:rPr>
                <w:sz w:val="18"/>
                <w:szCs w:val="18"/>
                <w:color w:val="auto"/>
              </w:rPr>
            </w:pPr>
          </w:p>
        </w:tc>
        <w:tc>
          <w:tcPr>
            <w:tcW w:w="300" w:type="dxa"/>
            <w:vAlign w:val="bottom"/>
            <w:shd w:val="clear" w:color="auto" w:fill="DDDDDD"/>
          </w:tcPr>
          <w:p>
            <w:pPr>
              <w:spacing w:after="0"/>
              <w:rPr>
                <w:sz w:val="18"/>
                <w:szCs w:val="18"/>
                <w:color w:val="auto"/>
              </w:rPr>
            </w:pPr>
          </w:p>
        </w:tc>
        <w:tc>
          <w:tcPr>
            <w:tcW w:w="820" w:type="dxa"/>
            <w:vAlign w:val="bottom"/>
            <w:shd w:val="clear" w:color="auto" w:fill="DDDDDD"/>
          </w:tcPr>
          <w:p>
            <w:pPr>
              <w:jc w:val="right"/>
              <w:spacing w:after="0"/>
              <w:rPr>
                <w:sz w:val="20"/>
                <w:szCs w:val="20"/>
                <w:color w:val="auto"/>
              </w:rPr>
            </w:pPr>
            <w:r>
              <w:rPr>
                <w:rFonts w:ascii="Arial" w:cs="Arial" w:eastAsia="Arial" w:hAnsi="Arial"/>
                <w:sz w:val="16"/>
                <w:szCs w:val="16"/>
                <w:color w:val="auto"/>
              </w:rPr>
              <w:t>958</w:t>
            </w:r>
          </w:p>
        </w:tc>
        <w:tc>
          <w:tcPr>
            <w:tcW w:w="100" w:type="dxa"/>
            <w:vAlign w:val="bottom"/>
            <w:shd w:val="clear" w:color="auto" w:fill="DDDDDD"/>
          </w:tcPr>
          <w:p>
            <w:pPr>
              <w:spacing w:after="0"/>
              <w:rPr>
                <w:sz w:val="18"/>
                <w:szCs w:val="18"/>
                <w:color w:val="auto"/>
              </w:rPr>
            </w:pPr>
          </w:p>
        </w:tc>
        <w:tc>
          <w:tcPr>
            <w:tcW w:w="200" w:type="dxa"/>
            <w:vAlign w:val="bottom"/>
            <w:shd w:val="clear" w:color="auto" w:fill="DDDDDD"/>
          </w:tcPr>
          <w:p>
            <w:pPr>
              <w:spacing w:after="0"/>
              <w:rPr>
                <w:sz w:val="18"/>
                <w:szCs w:val="18"/>
                <w:color w:val="auto"/>
              </w:rPr>
            </w:pPr>
          </w:p>
        </w:tc>
        <w:tc>
          <w:tcPr>
            <w:tcW w:w="900" w:type="dxa"/>
            <w:vAlign w:val="bottom"/>
            <w:shd w:val="clear" w:color="auto" w:fill="DDDDDD"/>
          </w:tcPr>
          <w:p>
            <w:pPr>
              <w:jc w:val="right"/>
              <w:ind w:right="1"/>
              <w:spacing w:after="0"/>
              <w:rPr>
                <w:sz w:val="20"/>
                <w:szCs w:val="20"/>
                <w:color w:val="auto"/>
              </w:rPr>
            </w:pPr>
            <w:r>
              <w:rPr>
                <w:rFonts w:ascii="Arial" w:cs="Arial" w:eastAsia="Arial" w:hAnsi="Arial"/>
                <w:sz w:val="16"/>
                <w:szCs w:val="16"/>
                <w:color w:val="auto"/>
              </w:rPr>
              <w:t>957.6</w:t>
            </w:r>
          </w:p>
        </w:tc>
        <w:tc>
          <w:tcPr>
            <w:tcW w:w="100" w:type="dxa"/>
            <w:vAlign w:val="bottom"/>
            <w:shd w:val="clear" w:color="auto" w:fill="DDDDDD"/>
          </w:tcPr>
          <w:p>
            <w:pPr>
              <w:spacing w:after="0"/>
              <w:rPr>
                <w:sz w:val="18"/>
                <w:szCs w:val="18"/>
                <w:color w:val="auto"/>
              </w:rPr>
            </w:pPr>
          </w:p>
        </w:tc>
        <w:tc>
          <w:tcPr>
            <w:tcW w:w="300" w:type="dxa"/>
            <w:vAlign w:val="bottom"/>
            <w:shd w:val="clear" w:color="auto" w:fill="DDDDDD"/>
          </w:tcPr>
          <w:p>
            <w:pPr>
              <w:spacing w:after="0"/>
              <w:rPr>
                <w:sz w:val="18"/>
                <w:szCs w:val="18"/>
                <w:color w:val="auto"/>
              </w:rPr>
            </w:pPr>
          </w:p>
        </w:tc>
        <w:tc>
          <w:tcPr>
            <w:tcW w:w="820" w:type="dxa"/>
            <w:vAlign w:val="bottom"/>
            <w:shd w:val="clear" w:color="auto" w:fill="DDDDDD"/>
          </w:tcPr>
          <w:p>
            <w:pPr>
              <w:jc w:val="right"/>
              <w:spacing w:after="0"/>
              <w:rPr>
                <w:sz w:val="20"/>
                <w:szCs w:val="20"/>
                <w:color w:val="auto"/>
              </w:rPr>
            </w:pPr>
            <w:r>
              <w:rPr>
                <w:rFonts w:ascii="Arial" w:cs="Arial" w:eastAsia="Arial" w:hAnsi="Arial"/>
                <w:sz w:val="16"/>
                <w:szCs w:val="16"/>
                <w:color w:val="auto"/>
              </w:rPr>
              <w:t>958</w:t>
            </w:r>
          </w:p>
        </w:tc>
      </w:tr>
      <w:tr>
        <w:trPr>
          <w:trHeight w:val="195"/>
        </w:trPr>
        <w:tc>
          <w:tcPr>
            <w:tcW w:w="4080" w:type="dxa"/>
            <w:vAlign w:val="bottom"/>
          </w:tcPr>
          <w:p>
            <w:pPr>
              <w:ind w:left="20"/>
              <w:spacing w:after="0"/>
              <w:rPr>
                <w:sz w:val="20"/>
                <w:szCs w:val="20"/>
                <w:color w:val="auto"/>
              </w:rPr>
            </w:pPr>
            <w:r>
              <w:rPr>
                <w:rFonts w:ascii="Arial" w:cs="Arial" w:eastAsia="Arial" w:hAnsi="Arial"/>
                <w:sz w:val="16"/>
                <w:szCs w:val="16"/>
                <w:b w:val="1"/>
                <w:bCs w:val="1"/>
                <w:color w:val="auto"/>
              </w:rPr>
              <w:t>Additional paid-in capital</w:t>
            </w:r>
          </w:p>
        </w:tc>
        <w:tc>
          <w:tcPr>
            <w:tcW w:w="1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r>
      <w:tr>
        <w:trPr>
          <w:trHeight w:val="217"/>
        </w:trPr>
        <w:tc>
          <w:tcPr>
            <w:tcW w:w="4080" w:type="dxa"/>
            <w:vAlign w:val="bottom"/>
            <w:shd w:val="clear" w:color="auto" w:fill="DDDDDD"/>
          </w:tcPr>
          <w:p>
            <w:pPr>
              <w:ind w:left="20"/>
              <w:spacing w:after="0"/>
              <w:rPr>
                <w:sz w:val="20"/>
                <w:szCs w:val="20"/>
                <w:color w:val="auto"/>
              </w:rPr>
            </w:pPr>
            <w:r>
              <w:rPr>
                <w:rFonts w:ascii="Arial" w:cs="Arial" w:eastAsia="Arial" w:hAnsi="Arial"/>
                <w:sz w:val="16"/>
                <w:szCs w:val="16"/>
                <w:color w:val="auto"/>
              </w:rPr>
              <w:t>Beginning balance</w:t>
            </w:r>
          </w:p>
        </w:tc>
        <w:tc>
          <w:tcPr>
            <w:tcW w:w="108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280" w:type="dxa"/>
            <w:vAlign w:val="bottom"/>
            <w:shd w:val="clear" w:color="auto" w:fill="DDDDDD"/>
          </w:tcPr>
          <w:p>
            <w:pPr>
              <w:spacing w:after="0"/>
              <w:rPr>
                <w:sz w:val="18"/>
                <w:szCs w:val="18"/>
                <w:color w:val="auto"/>
              </w:rPr>
            </w:pPr>
          </w:p>
        </w:tc>
        <w:tc>
          <w:tcPr>
            <w:tcW w:w="820" w:type="dxa"/>
            <w:vAlign w:val="bottom"/>
            <w:shd w:val="clear" w:color="auto" w:fill="DDDDDD"/>
          </w:tcPr>
          <w:p>
            <w:pPr>
              <w:jc w:val="right"/>
              <w:spacing w:after="0"/>
              <w:rPr>
                <w:sz w:val="20"/>
                <w:szCs w:val="20"/>
                <w:color w:val="auto"/>
              </w:rPr>
            </w:pPr>
            <w:r>
              <w:rPr>
                <w:rFonts w:ascii="Arial" w:cs="Arial" w:eastAsia="Arial" w:hAnsi="Arial"/>
                <w:sz w:val="16"/>
                <w:szCs w:val="16"/>
                <w:color w:val="auto"/>
              </w:rPr>
              <w:t>6,876</w:t>
            </w:r>
          </w:p>
        </w:tc>
        <w:tc>
          <w:tcPr>
            <w:tcW w:w="100" w:type="dxa"/>
            <w:vAlign w:val="bottom"/>
            <w:shd w:val="clear" w:color="auto" w:fill="DDDDDD"/>
          </w:tcPr>
          <w:p>
            <w:pPr>
              <w:spacing w:after="0"/>
              <w:rPr>
                <w:sz w:val="18"/>
                <w:szCs w:val="18"/>
                <w:color w:val="auto"/>
              </w:rPr>
            </w:pPr>
          </w:p>
        </w:tc>
        <w:tc>
          <w:tcPr>
            <w:tcW w:w="110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300" w:type="dxa"/>
            <w:vAlign w:val="bottom"/>
            <w:shd w:val="clear" w:color="auto" w:fill="DDDDDD"/>
          </w:tcPr>
          <w:p>
            <w:pPr>
              <w:spacing w:after="0"/>
              <w:rPr>
                <w:sz w:val="18"/>
                <w:szCs w:val="18"/>
                <w:color w:val="auto"/>
              </w:rPr>
            </w:pPr>
          </w:p>
        </w:tc>
        <w:tc>
          <w:tcPr>
            <w:tcW w:w="820" w:type="dxa"/>
            <w:vAlign w:val="bottom"/>
            <w:shd w:val="clear" w:color="auto" w:fill="DDDDDD"/>
          </w:tcPr>
          <w:p>
            <w:pPr>
              <w:jc w:val="right"/>
              <w:spacing w:after="0"/>
              <w:rPr>
                <w:sz w:val="20"/>
                <w:szCs w:val="20"/>
                <w:color w:val="auto"/>
              </w:rPr>
            </w:pPr>
            <w:r>
              <w:rPr>
                <w:rFonts w:ascii="Arial" w:cs="Arial" w:eastAsia="Arial" w:hAnsi="Arial"/>
                <w:sz w:val="16"/>
                <w:szCs w:val="16"/>
                <w:color w:val="auto"/>
              </w:rPr>
              <w:t>6,452</w:t>
            </w:r>
          </w:p>
        </w:tc>
        <w:tc>
          <w:tcPr>
            <w:tcW w:w="100" w:type="dxa"/>
            <w:vAlign w:val="bottom"/>
            <w:shd w:val="clear" w:color="auto" w:fill="DDDDDD"/>
          </w:tcPr>
          <w:p>
            <w:pPr>
              <w:spacing w:after="0"/>
              <w:rPr>
                <w:sz w:val="18"/>
                <w:szCs w:val="18"/>
                <w:color w:val="auto"/>
              </w:rPr>
            </w:pPr>
          </w:p>
        </w:tc>
        <w:tc>
          <w:tcPr>
            <w:tcW w:w="200" w:type="dxa"/>
            <w:vAlign w:val="bottom"/>
            <w:shd w:val="clear" w:color="auto" w:fill="DDDDDD"/>
          </w:tcPr>
          <w:p>
            <w:pPr>
              <w:spacing w:after="0"/>
              <w:rPr>
                <w:sz w:val="18"/>
                <w:szCs w:val="18"/>
                <w:color w:val="auto"/>
              </w:rPr>
            </w:pPr>
          </w:p>
        </w:tc>
        <w:tc>
          <w:tcPr>
            <w:tcW w:w="90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300" w:type="dxa"/>
            <w:vAlign w:val="bottom"/>
            <w:shd w:val="clear" w:color="auto" w:fill="DDDDDD"/>
          </w:tcPr>
          <w:p>
            <w:pPr>
              <w:spacing w:after="0"/>
              <w:rPr>
                <w:sz w:val="18"/>
                <w:szCs w:val="18"/>
                <w:color w:val="auto"/>
              </w:rPr>
            </w:pPr>
          </w:p>
        </w:tc>
        <w:tc>
          <w:tcPr>
            <w:tcW w:w="820" w:type="dxa"/>
            <w:vAlign w:val="bottom"/>
            <w:shd w:val="clear" w:color="auto" w:fill="DDDDDD"/>
          </w:tcPr>
          <w:p>
            <w:pPr>
              <w:jc w:val="right"/>
              <w:spacing w:after="0"/>
              <w:rPr>
                <w:sz w:val="20"/>
                <w:szCs w:val="20"/>
                <w:color w:val="auto"/>
              </w:rPr>
            </w:pPr>
            <w:r>
              <w:rPr>
                <w:rFonts w:ascii="Arial" w:cs="Arial" w:eastAsia="Arial" w:hAnsi="Arial"/>
                <w:sz w:val="16"/>
                <w:szCs w:val="16"/>
                <w:color w:val="auto"/>
              </w:rPr>
              <w:t>6,212</w:t>
            </w:r>
          </w:p>
        </w:tc>
      </w:tr>
      <w:tr>
        <w:trPr>
          <w:trHeight w:val="213"/>
        </w:trPr>
        <w:tc>
          <w:tcPr>
            <w:tcW w:w="4080" w:type="dxa"/>
            <w:vAlign w:val="bottom"/>
          </w:tcPr>
          <w:p>
            <w:pPr>
              <w:ind w:left="220"/>
              <w:spacing w:after="0"/>
              <w:rPr>
                <w:sz w:val="20"/>
                <w:szCs w:val="20"/>
                <w:color w:val="auto"/>
              </w:rPr>
            </w:pPr>
            <w:r>
              <w:rPr>
                <w:rFonts w:ascii="Arial" w:cs="Arial" w:eastAsia="Arial" w:hAnsi="Arial"/>
                <w:sz w:val="16"/>
                <w:szCs w:val="16"/>
                <w:color w:val="auto"/>
              </w:rPr>
              <w:t>Issued for employee savings and option plans</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248</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271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216"/>
        </w:trPr>
        <w:tc>
          <w:tcPr>
            <w:tcW w:w="4080" w:type="dxa"/>
            <w:vAlign w:val="bottom"/>
            <w:shd w:val="clear" w:color="auto" w:fill="DDDDDD"/>
          </w:tcPr>
          <w:p>
            <w:pPr>
              <w:ind w:left="220"/>
              <w:spacing w:after="0"/>
              <w:rPr>
                <w:sz w:val="20"/>
                <w:szCs w:val="20"/>
                <w:color w:val="auto"/>
              </w:rPr>
            </w:pPr>
            <w:r>
              <w:rPr>
                <w:rFonts w:ascii="Arial" w:cs="Arial" w:eastAsia="Arial" w:hAnsi="Arial"/>
                <w:sz w:val="16"/>
                <w:szCs w:val="16"/>
                <w:color w:val="auto"/>
              </w:rPr>
              <w:t>Stock-based compensation expense</w:t>
            </w:r>
          </w:p>
        </w:tc>
        <w:tc>
          <w:tcPr>
            <w:tcW w:w="108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280" w:type="dxa"/>
            <w:vAlign w:val="bottom"/>
            <w:tcBorders>
              <w:bottom w:val="single" w:sz="8" w:color="auto"/>
            </w:tcBorders>
            <w:shd w:val="clear" w:color="auto" w:fill="DDDDDD"/>
          </w:tcPr>
          <w:p>
            <w:pPr>
              <w:spacing w:after="0"/>
              <w:rPr>
                <w:sz w:val="18"/>
                <w:szCs w:val="18"/>
                <w:color w:val="auto"/>
              </w:rPr>
            </w:pPr>
          </w:p>
        </w:tc>
        <w:tc>
          <w:tcPr>
            <w:tcW w:w="8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auto"/>
              </w:rPr>
              <w:t>168</w:t>
            </w:r>
          </w:p>
        </w:tc>
        <w:tc>
          <w:tcPr>
            <w:tcW w:w="100" w:type="dxa"/>
            <w:vAlign w:val="bottom"/>
            <w:shd w:val="clear" w:color="auto" w:fill="DDDDDD"/>
          </w:tcPr>
          <w:p>
            <w:pPr>
              <w:spacing w:after="0"/>
              <w:rPr>
                <w:sz w:val="18"/>
                <w:szCs w:val="18"/>
                <w:color w:val="auto"/>
              </w:rPr>
            </w:pPr>
          </w:p>
        </w:tc>
        <w:tc>
          <w:tcPr>
            <w:tcW w:w="110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300" w:type="dxa"/>
            <w:vAlign w:val="bottom"/>
            <w:tcBorders>
              <w:bottom w:val="single" w:sz="8" w:color="auto"/>
            </w:tcBorders>
            <w:shd w:val="clear" w:color="auto" w:fill="DDDDDD"/>
          </w:tcPr>
          <w:p>
            <w:pPr>
              <w:spacing w:after="0"/>
              <w:rPr>
                <w:sz w:val="18"/>
                <w:szCs w:val="18"/>
                <w:color w:val="auto"/>
              </w:rPr>
            </w:pPr>
          </w:p>
        </w:tc>
        <w:tc>
          <w:tcPr>
            <w:tcW w:w="8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auto"/>
              </w:rPr>
              <w:t>153</w:t>
            </w:r>
          </w:p>
        </w:tc>
        <w:tc>
          <w:tcPr>
            <w:tcW w:w="100" w:type="dxa"/>
            <w:vAlign w:val="bottom"/>
            <w:shd w:val="clear" w:color="auto" w:fill="DDDDDD"/>
          </w:tcPr>
          <w:p>
            <w:pPr>
              <w:spacing w:after="0"/>
              <w:rPr>
                <w:sz w:val="18"/>
                <w:szCs w:val="18"/>
                <w:color w:val="auto"/>
              </w:rPr>
            </w:pPr>
          </w:p>
        </w:tc>
        <w:tc>
          <w:tcPr>
            <w:tcW w:w="200" w:type="dxa"/>
            <w:vAlign w:val="bottom"/>
            <w:shd w:val="clear" w:color="auto" w:fill="DDDDDD"/>
          </w:tcPr>
          <w:p>
            <w:pPr>
              <w:spacing w:after="0"/>
              <w:rPr>
                <w:sz w:val="18"/>
                <w:szCs w:val="18"/>
                <w:color w:val="auto"/>
              </w:rPr>
            </w:pPr>
          </w:p>
        </w:tc>
        <w:tc>
          <w:tcPr>
            <w:tcW w:w="90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300" w:type="dxa"/>
            <w:vAlign w:val="bottom"/>
            <w:tcBorders>
              <w:bottom w:val="single" w:sz="8" w:color="auto"/>
            </w:tcBorders>
            <w:shd w:val="clear" w:color="auto" w:fill="DDDDDD"/>
          </w:tcPr>
          <w:p>
            <w:pPr>
              <w:spacing w:after="0"/>
              <w:rPr>
                <w:sz w:val="18"/>
                <w:szCs w:val="18"/>
                <w:color w:val="auto"/>
              </w:rPr>
            </w:pPr>
          </w:p>
        </w:tc>
        <w:tc>
          <w:tcPr>
            <w:tcW w:w="8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auto"/>
              </w:rPr>
              <w:t>175</w:t>
            </w:r>
          </w:p>
        </w:tc>
      </w:tr>
      <w:tr>
        <w:trPr>
          <w:trHeight w:val="209"/>
        </w:trPr>
        <w:tc>
          <w:tcPr>
            <w:tcW w:w="4080" w:type="dxa"/>
            <w:vAlign w:val="bottom"/>
            <w:tcBorders>
              <w:bottom w:val="single" w:sz="8" w:color="DDDDDD"/>
            </w:tcBorders>
          </w:tcPr>
          <w:p>
            <w:pPr>
              <w:ind w:left="20"/>
              <w:spacing w:after="0"/>
              <w:rPr>
                <w:sz w:val="20"/>
                <w:szCs w:val="20"/>
                <w:color w:val="auto"/>
              </w:rPr>
            </w:pPr>
            <w:r>
              <w:rPr>
                <w:rFonts w:ascii="Arial" w:cs="Arial" w:eastAsia="Arial" w:hAnsi="Arial"/>
                <w:sz w:val="16"/>
                <w:szCs w:val="16"/>
                <w:color w:val="auto"/>
              </w:rPr>
              <w:t>Ending balance</w:t>
            </w:r>
          </w:p>
        </w:tc>
        <w:tc>
          <w:tcPr>
            <w:tcW w:w="1080" w:type="dxa"/>
            <w:vAlign w:val="bottom"/>
            <w:tcBorders>
              <w:bottom w:val="single" w:sz="8" w:color="DDDDDD"/>
            </w:tcBorders>
          </w:tcPr>
          <w:p>
            <w:pPr>
              <w:spacing w:after="0"/>
              <w:rPr>
                <w:sz w:val="18"/>
                <w:szCs w:val="18"/>
                <w:color w:val="auto"/>
              </w:rPr>
            </w:pPr>
          </w:p>
        </w:tc>
        <w:tc>
          <w:tcPr>
            <w:tcW w:w="120" w:type="dxa"/>
            <w:vAlign w:val="bottom"/>
            <w:tcBorders>
              <w:bottom w:val="single" w:sz="8" w:color="DDDDDD"/>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7,292</w:t>
            </w:r>
          </w:p>
        </w:tc>
        <w:tc>
          <w:tcPr>
            <w:tcW w:w="100" w:type="dxa"/>
            <w:vAlign w:val="bottom"/>
            <w:tcBorders>
              <w:bottom w:val="single" w:sz="8" w:color="DDDDDD"/>
            </w:tcBorders>
          </w:tcPr>
          <w:p>
            <w:pPr>
              <w:spacing w:after="0"/>
              <w:rPr>
                <w:sz w:val="18"/>
                <w:szCs w:val="18"/>
                <w:color w:val="auto"/>
              </w:rPr>
            </w:pPr>
          </w:p>
        </w:tc>
        <w:tc>
          <w:tcPr>
            <w:tcW w:w="1100" w:type="dxa"/>
            <w:vAlign w:val="bottom"/>
            <w:tcBorders>
              <w:bottom w:val="single" w:sz="8" w:color="DDDDDD"/>
            </w:tcBorders>
          </w:tcPr>
          <w:p>
            <w:pPr>
              <w:spacing w:after="0"/>
              <w:rPr>
                <w:sz w:val="18"/>
                <w:szCs w:val="18"/>
                <w:color w:val="auto"/>
              </w:rPr>
            </w:pPr>
          </w:p>
        </w:tc>
        <w:tc>
          <w:tcPr>
            <w:tcW w:w="100" w:type="dxa"/>
            <w:vAlign w:val="bottom"/>
            <w:tcBorders>
              <w:bottom w:val="single" w:sz="8" w:color="DDDDDD"/>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6,876</w:t>
            </w:r>
          </w:p>
        </w:tc>
        <w:tc>
          <w:tcPr>
            <w:tcW w:w="100" w:type="dxa"/>
            <w:vAlign w:val="bottom"/>
            <w:tcBorders>
              <w:bottom w:val="single" w:sz="8" w:color="DDDDDD"/>
            </w:tcBorders>
          </w:tcPr>
          <w:p>
            <w:pPr>
              <w:spacing w:after="0"/>
              <w:rPr>
                <w:sz w:val="18"/>
                <w:szCs w:val="18"/>
                <w:color w:val="auto"/>
              </w:rPr>
            </w:pPr>
          </w:p>
        </w:tc>
        <w:tc>
          <w:tcPr>
            <w:tcW w:w="200" w:type="dxa"/>
            <w:vAlign w:val="bottom"/>
            <w:tcBorders>
              <w:bottom w:val="single" w:sz="8" w:color="DDDDDD"/>
            </w:tcBorders>
          </w:tcPr>
          <w:p>
            <w:pPr>
              <w:spacing w:after="0"/>
              <w:rPr>
                <w:sz w:val="18"/>
                <w:szCs w:val="18"/>
                <w:color w:val="auto"/>
              </w:rPr>
            </w:pPr>
          </w:p>
        </w:tc>
        <w:tc>
          <w:tcPr>
            <w:tcW w:w="900" w:type="dxa"/>
            <w:vAlign w:val="bottom"/>
            <w:tcBorders>
              <w:bottom w:val="single" w:sz="8" w:color="DDDDDD"/>
            </w:tcBorders>
          </w:tcPr>
          <w:p>
            <w:pPr>
              <w:spacing w:after="0"/>
              <w:rPr>
                <w:sz w:val="18"/>
                <w:szCs w:val="18"/>
                <w:color w:val="auto"/>
              </w:rPr>
            </w:pPr>
          </w:p>
        </w:tc>
        <w:tc>
          <w:tcPr>
            <w:tcW w:w="100" w:type="dxa"/>
            <w:vAlign w:val="bottom"/>
            <w:tcBorders>
              <w:bottom w:val="single" w:sz="8" w:color="DDDDDD"/>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6,452</w:t>
            </w:r>
          </w:p>
        </w:tc>
      </w:tr>
      <w:tr>
        <w:trPr>
          <w:trHeight w:val="199"/>
        </w:trPr>
        <w:tc>
          <w:tcPr>
            <w:tcW w:w="4080" w:type="dxa"/>
            <w:vAlign w:val="bottom"/>
            <w:shd w:val="clear" w:color="auto" w:fill="DDDDDD"/>
          </w:tcPr>
          <w:p>
            <w:pPr>
              <w:ind w:left="20"/>
              <w:spacing w:after="0"/>
              <w:rPr>
                <w:sz w:val="20"/>
                <w:szCs w:val="20"/>
                <w:color w:val="auto"/>
              </w:rPr>
            </w:pPr>
            <w:r>
              <w:rPr>
                <w:rFonts w:ascii="Arial" w:cs="Arial" w:eastAsia="Arial" w:hAnsi="Arial"/>
                <w:sz w:val="16"/>
                <w:szCs w:val="16"/>
                <w:b w:val="1"/>
                <w:bCs w:val="1"/>
                <w:color w:val="auto"/>
              </w:rPr>
              <w:t>Treasury stock</w:t>
            </w:r>
          </w:p>
        </w:tc>
        <w:tc>
          <w:tcPr>
            <w:tcW w:w="108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280" w:type="dxa"/>
            <w:vAlign w:val="bottom"/>
            <w:shd w:val="clear" w:color="auto" w:fill="DDDDDD"/>
          </w:tcPr>
          <w:p>
            <w:pPr>
              <w:spacing w:after="0"/>
              <w:rPr>
                <w:sz w:val="17"/>
                <w:szCs w:val="17"/>
                <w:color w:val="auto"/>
              </w:rPr>
            </w:pPr>
          </w:p>
        </w:tc>
        <w:tc>
          <w:tcPr>
            <w:tcW w:w="82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110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300" w:type="dxa"/>
            <w:vAlign w:val="bottom"/>
            <w:shd w:val="clear" w:color="auto" w:fill="DDDDDD"/>
          </w:tcPr>
          <w:p>
            <w:pPr>
              <w:spacing w:after="0"/>
              <w:rPr>
                <w:sz w:val="17"/>
                <w:szCs w:val="17"/>
                <w:color w:val="auto"/>
              </w:rPr>
            </w:pPr>
          </w:p>
        </w:tc>
        <w:tc>
          <w:tcPr>
            <w:tcW w:w="82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200" w:type="dxa"/>
            <w:vAlign w:val="bottom"/>
            <w:shd w:val="clear" w:color="auto" w:fill="DDDDDD"/>
          </w:tcPr>
          <w:p>
            <w:pPr>
              <w:spacing w:after="0"/>
              <w:rPr>
                <w:sz w:val="17"/>
                <w:szCs w:val="17"/>
                <w:color w:val="auto"/>
              </w:rPr>
            </w:pPr>
          </w:p>
        </w:tc>
        <w:tc>
          <w:tcPr>
            <w:tcW w:w="90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300" w:type="dxa"/>
            <w:vAlign w:val="bottom"/>
            <w:shd w:val="clear" w:color="auto" w:fill="DDDDDD"/>
          </w:tcPr>
          <w:p>
            <w:pPr>
              <w:spacing w:after="0"/>
              <w:rPr>
                <w:sz w:val="17"/>
                <w:szCs w:val="17"/>
                <w:color w:val="auto"/>
              </w:rPr>
            </w:pPr>
          </w:p>
        </w:tc>
        <w:tc>
          <w:tcPr>
            <w:tcW w:w="820" w:type="dxa"/>
            <w:vAlign w:val="bottom"/>
            <w:shd w:val="clear" w:color="auto" w:fill="DDDDDD"/>
          </w:tcPr>
          <w:p>
            <w:pPr>
              <w:spacing w:after="0"/>
              <w:rPr>
                <w:sz w:val="17"/>
                <w:szCs w:val="17"/>
                <w:color w:val="auto"/>
              </w:rPr>
            </w:pPr>
          </w:p>
        </w:tc>
      </w:tr>
      <w:tr>
        <w:trPr>
          <w:trHeight w:val="213"/>
        </w:trPr>
        <w:tc>
          <w:tcPr>
            <w:tcW w:w="4080" w:type="dxa"/>
            <w:vAlign w:val="bottom"/>
          </w:tcPr>
          <w:p>
            <w:pPr>
              <w:ind w:left="20"/>
              <w:spacing w:after="0"/>
              <w:rPr>
                <w:sz w:val="20"/>
                <w:szCs w:val="20"/>
                <w:color w:val="auto"/>
              </w:rPr>
            </w:pPr>
            <w:r>
              <w:rPr>
                <w:rFonts w:ascii="Arial" w:cs="Arial" w:eastAsia="Arial" w:hAnsi="Arial"/>
                <w:sz w:val="16"/>
                <w:szCs w:val="16"/>
                <w:color w:val="auto"/>
              </w:rPr>
              <w:t>Beginning balance</w:t>
            </w:r>
          </w:p>
        </w:tc>
        <w:tc>
          <w:tcPr>
            <w:tcW w:w="1080" w:type="dxa"/>
            <w:vAlign w:val="bottom"/>
          </w:tcPr>
          <w:p>
            <w:pPr>
              <w:jc w:val="right"/>
              <w:spacing w:after="0"/>
              <w:rPr>
                <w:sz w:val="20"/>
                <w:szCs w:val="20"/>
                <w:color w:val="auto"/>
              </w:rPr>
            </w:pPr>
            <w:r>
              <w:rPr>
                <w:rFonts w:ascii="Arial" w:cs="Arial" w:eastAsia="Arial" w:hAnsi="Arial"/>
                <w:sz w:val="16"/>
                <w:szCs w:val="16"/>
                <w:color w:val="auto"/>
              </w:rPr>
              <w:t>(246.5)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(23,836)</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(228.0)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(19,771)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(206.7)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(15,914)</w:t>
            </w:r>
          </w:p>
        </w:tc>
      </w:tr>
      <w:tr>
        <w:trPr>
          <w:trHeight w:val="219"/>
        </w:trPr>
        <w:tc>
          <w:tcPr>
            <w:tcW w:w="4080" w:type="dxa"/>
            <w:vAlign w:val="bottom"/>
            <w:shd w:val="clear" w:color="auto" w:fill="DDDDDD"/>
          </w:tcPr>
          <w:p>
            <w:pPr>
              <w:ind w:left="220"/>
              <w:spacing w:after="0"/>
              <w:rPr>
                <w:sz w:val="20"/>
                <w:szCs w:val="20"/>
                <w:color w:val="auto"/>
              </w:rPr>
            </w:pPr>
            <w:r>
              <w:rPr>
                <w:rFonts w:ascii="Arial" w:cs="Arial" w:eastAsia="Arial" w:hAnsi="Arial"/>
                <w:sz w:val="16"/>
                <w:szCs w:val="16"/>
                <w:color w:val="auto"/>
              </w:rPr>
              <w:t>Reacquired stock or repurchases of common stock</w:t>
            </w:r>
          </w:p>
        </w:tc>
        <w:tc>
          <w:tcPr>
            <w:tcW w:w="1080" w:type="dxa"/>
            <w:vAlign w:val="bottom"/>
            <w:shd w:val="clear" w:color="auto" w:fill="DDDDDD"/>
          </w:tcPr>
          <w:p>
            <w:pPr>
              <w:jc w:val="right"/>
              <w:spacing w:after="0"/>
              <w:rPr>
                <w:sz w:val="20"/>
                <w:szCs w:val="20"/>
                <w:color w:val="auto"/>
              </w:rPr>
            </w:pPr>
            <w:r>
              <w:rPr>
                <w:rFonts w:ascii="Arial" w:cs="Arial" w:eastAsia="Arial" w:hAnsi="Arial"/>
                <w:sz w:val="16"/>
                <w:szCs w:val="16"/>
                <w:color w:val="auto"/>
              </w:rPr>
              <w:t>(20.7)</w:t>
            </w:r>
          </w:p>
        </w:tc>
        <w:tc>
          <w:tcPr>
            <w:tcW w:w="120" w:type="dxa"/>
            <w:vAlign w:val="bottom"/>
            <w:shd w:val="clear" w:color="auto" w:fill="DDDDDD"/>
          </w:tcPr>
          <w:p>
            <w:pPr>
              <w:spacing w:after="0"/>
              <w:rPr>
                <w:sz w:val="19"/>
                <w:szCs w:val="19"/>
                <w:color w:val="auto"/>
              </w:rPr>
            </w:pPr>
          </w:p>
        </w:tc>
        <w:tc>
          <w:tcPr>
            <w:tcW w:w="280" w:type="dxa"/>
            <w:vAlign w:val="bottom"/>
            <w:shd w:val="clear" w:color="auto" w:fill="DDDDDD"/>
          </w:tcPr>
          <w:p>
            <w:pPr>
              <w:spacing w:after="0"/>
              <w:rPr>
                <w:sz w:val="19"/>
                <w:szCs w:val="19"/>
                <w:color w:val="auto"/>
              </w:rPr>
            </w:pPr>
          </w:p>
        </w:tc>
        <w:tc>
          <w:tcPr>
            <w:tcW w:w="820" w:type="dxa"/>
            <w:vAlign w:val="bottom"/>
            <w:shd w:val="clear" w:color="auto" w:fill="DDDDDD"/>
          </w:tcPr>
          <w:p>
            <w:pPr>
              <w:jc w:val="right"/>
              <w:spacing w:after="0"/>
              <w:rPr>
                <w:sz w:val="20"/>
                <w:szCs w:val="20"/>
                <w:color w:val="auto"/>
              </w:rPr>
            </w:pPr>
            <w:r>
              <w:rPr>
                <w:rFonts w:ascii="Arial" w:cs="Arial" w:eastAsia="Arial" w:hAnsi="Arial"/>
                <w:sz w:val="16"/>
                <w:szCs w:val="16"/>
                <w:color w:val="auto"/>
              </w:rPr>
              <w:t>(3,714)</w:t>
            </w:r>
          </w:p>
        </w:tc>
        <w:tc>
          <w:tcPr>
            <w:tcW w:w="1200" w:type="dxa"/>
            <w:vAlign w:val="bottom"/>
            <w:gridSpan w:val="2"/>
            <w:shd w:val="clear" w:color="auto" w:fill="DDDDDD"/>
          </w:tcPr>
          <w:p>
            <w:pPr>
              <w:jc w:val="right"/>
              <w:spacing w:after="0"/>
              <w:rPr>
                <w:sz w:val="20"/>
                <w:szCs w:val="20"/>
                <w:color w:val="auto"/>
              </w:rPr>
            </w:pPr>
            <w:r>
              <w:rPr>
                <w:rFonts w:ascii="Arial" w:cs="Arial" w:eastAsia="Arial" w:hAnsi="Arial"/>
                <w:sz w:val="16"/>
                <w:szCs w:val="16"/>
                <w:color w:val="auto"/>
              </w:rPr>
              <w:t>(26.5)</w:t>
            </w:r>
          </w:p>
        </w:tc>
        <w:tc>
          <w:tcPr>
            <w:tcW w:w="100" w:type="dxa"/>
            <w:vAlign w:val="bottom"/>
            <w:shd w:val="clear" w:color="auto" w:fill="DDDDDD"/>
          </w:tcPr>
          <w:p>
            <w:pPr>
              <w:spacing w:after="0"/>
              <w:rPr>
                <w:sz w:val="19"/>
                <w:szCs w:val="19"/>
                <w:color w:val="auto"/>
              </w:rPr>
            </w:pPr>
          </w:p>
        </w:tc>
        <w:tc>
          <w:tcPr>
            <w:tcW w:w="300" w:type="dxa"/>
            <w:vAlign w:val="bottom"/>
            <w:shd w:val="clear" w:color="auto" w:fill="DDDDDD"/>
          </w:tcPr>
          <w:p>
            <w:pPr>
              <w:spacing w:after="0"/>
              <w:rPr>
                <w:sz w:val="19"/>
                <w:szCs w:val="19"/>
                <w:color w:val="auto"/>
              </w:rPr>
            </w:pPr>
          </w:p>
        </w:tc>
        <w:tc>
          <w:tcPr>
            <w:tcW w:w="820" w:type="dxa"/>
            <w:vAlign w:val="bottom"/>
            <w:shd w:val="clear" w:color="auto" w:fill="DDDDDD"/>
          </w:tcPr>
          <w:p>
            <w:pPr>
              <w:jc w:val="right"/>
              <w:spacing w:after="0"/>
              <w:rPr>
                <w:sz w:val="20"/>
                <w:szCs w:val="20"/>
                <w:color w:val="auto"/>
              </w:rPr>
            </w:pPr>
            <w:r>
              <w:rPr>
                <w:rFonts w:ascii="Arial" w:cs="Arial" w:eastAsia="Arial" w:hAnsi="Arial"/>
                <w:sz w:val="16"/>
                <w:szCs w:val="16"/>
                <w:color w:val="auto"/>
              </w:rPr>
              <w:t>(4,400)</w:t>
            </w:r>
          </w:p>
        </w:tc>
        <w:tc>
          <w:tcPr>
            <w:tcW w:w="100" w:type="dxa"/>
            <w:vAlign w:val="bottom"/>
            <w:shd w:val="clear" w:color="auto" w:fill="DDDDDD"/>
          </w:tcPr>
          <w:p>
            <w:pPr>
              <w:spacing w:after="0"/>
              <w:rPr>
                <w:sz w:val="19"/>
                <w:szCs w:val="19"/>
                <w:color w:val="auto"/>
              </w:rPr>
            </w:pPr>
          </w:p>
        </w:tc>
        <w:tc>
          <w:tcPr>
            <w:tcW w:w="200" w:type="dxa"/>
            <w:vAlign w:val="bottom"/>
            <w:shd w:val="clear" w:color="auto" w:fill="DDDDDD"/>
          </w:tcPr>
          <w:p>
            <w:pPr>
              <w:spacing w:after="0"/>
              <w:rPr>
                <w:sz w:val="19"/>
                <w:szCs w:val="19"/>
                <w:color w:val="auto"/>
              </w:rPr>
            </w:pPr>
          </w:p>
        </w:tc>
        <w:tc>
          <w:tcPr>
            <w:tcW w:w="900" w:type="dxa"/>
            <w:vAlign w:val="bottom"/>
            <w:shd w:val="clear" w:color="auto" w:fill="DDDDDD"/>
          </w:tcPr>
          <w:p>
            <w:pPr>
              <w:jc w:val="right"/>
              <w:spacing w:after="0"/>
              <w:rPr>
                <w:sz w:val="20"/>
                <w:szCs w:val="20"/>
                <w:color w:val="auto"/>
              </w:rPr>
            </w:pPr>
            <w:r>
              <w:rPr>
                <w:rFonts w:ascii="Arial" w:cs="Arial" w:eastAsia="Arial" w:hAnsi="Arial"/>
                <w:sz w:val="16"/>
                <w:szCs w:val="16"/>
                <w:color w:val="auto"/>
              </w:rPr>
              <w:t>(26.5)</w:t>
            </w:r>
          </w:p>
        </w:tc>
        <w:tc>
          <w:tcPr>
            <w:tcW w:w="100" w:type="dxa"/>
            <w:vAlign w:val="bottom"/>
            <w:shd w:val="clear" w:color="auto" w:fill="DDDDDD"/>
          </w:tcPr>
          <w:p>
            <w:pPr>
              <w:spacing w:after="0"/>
              <w:rPr>
                <w:sz w:val="19"/>
                <w:szCs w:val="19"/>
                <w:color w:val="auto"/>
              </w:rPr>
            </w:pPr>
          </w:p>
        </w:tc>
        <w:tc>
          <w:tcPr>
            <w:tcW w:w="300" w:type="dxa"/>
            <w:vAlign w:val="bottom"/>
            <w:shd w:val="clear" w:color="auto" w:fill="DDDDDD"/>
          </w:tcPr>
          <w:p>
            <w:pPr>
              <w:spacing w:after="0"/>
              <w:rPr>
                <w:sz w:val="19"/>
                <w:szCs w:val="19"/>
                <w:color w:val="auto"/>
              </w:rPr>
            </w:pPr>
          </w:p>
        </w:tc>
        <w:tc>
          <w:tcPr>
            <w:tcW w:w="820" w:type="dxa"/>
            <w:vAlign w:val="bottom"/>
            <w:shd w:val="clear" w:color="auto" w:fill="DDDDDD"/>
          </w:tcPr>
          <w:p>
            <w:pPr>
              <w:jc w:val="right"/>
              <w:spacing w:after="0"/>
              <w:rPr>
                <w:sz w:val="20"/>
                <w:szCs w:val="20"/>
                <w:color w:val="auto"/>
              </w:rPr>
            </w:pPr>
            <w:r>
              <w:rPr>
                <w:rFonts w:ascii="Arial" w:cs="Arial" w:eastAsia="Arial" w:hAnsi="Arial"/>
                <w:sz w:val="16"/>
                <w:szCs w:val="16"/>
                <w:color w:val="auto"/>
              </w:rPr>
              <w:t>(4,000)</w:t>
            </w:r>
          </w:p>
        </w:tc>
      </w:tr>
      <w:tr>
        <w:trPr>
          <w:trHeight w:val="213"/>
        </w:trPr>
        <w:tc>
          <w:tcPr>
            <w:tcW w:w="4080" w:type="dxa"/>
            <w:vAlign w:val="bottom"/>
            <w:tcBorders>
              <w:bottom w:val="single" w:sz="8" w:color="DDDDDD"/>
            </w:tcBorders>
          </w:tcPr>
          <w:p>
            <w:pPr>
              <w:ind w:left="220"/>
              <w:spacing w:after="0"/>
              <w:rPr>
                <w:sz w:val="20"/>
                <w:szCs w:val="20"/>
                <w:color w:val="auto"/>
              </w:rPr>
            </w:pPr>
            <w:r>
              <w:rPr>
                <w:rFonts w:ascii="Arial" w:cs="Arial" w:eastAsia="Arial" w:hAnsi="Arial"/>
                <w:sz w:val="16"/>
                <w:szCs w:val="16"/>
                <w:color w:val="auto"/>
              </w:rPr>
              <w:t>Issued for employee savings and option plans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w:t>
            </w:r>
          </w:p>
        </w:tc>
        <w:tc>
          <w:tcPr>
            <w:tcW w:w="120" w:type="dxa"/>
            <w:vAlign w:val="bottom"/>
            <w:tcBorders>
              <w:bottom w:val="single" w:sz="8" w:color="DDDDDD"/>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w:t>
            </w:r>
          </w:p>
        </w:tc>
        <w:tc>
          <w:tcPr>
            <w:tcW w:w="100" w:type="dxa"/>
            <w:vAlign w:val="bottom"/>
            <w:tcBorders>
              <w:bottom w:val="single" w:sz="8" w:color="DDDDDD"/>
            </w:tcBorders>
          </w:tcPr>
          <w:p>
            <w:pPr>
              <w:spacing w:after="0"/>
              <w:rPr>
                <w:sz w:val="18"/>
                <w:szCs w:val="18"/>
                <w:color w:val="auto"/>
              </w:rPr>
            </w:pPr>
          </w:p>
        </w:tc>
        <w:tc>
          <w:tcPr>
            <w:tcW w:w="110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8.0</w:t>
            </w:r>
          </w:p>
        </w:tc>
        <w:tc>
          <w:tcPr>
            <w:tcW w:w="100" w:type="dxa"/>
            <w:vAlign w:val="bottom"/>
            <w:tcBorders>
              <w:bottom w:val="single" w:sz="8" w:color="DDDDDD"/>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w:t>
            </w:r>
          </w:p>
        </w:tc>
        <w:tc>
          <w:tcPr>
            <w:tcW w:w="100" w:type="dxa"/>
            <w:vAlign w:val="bottom"/>
            <w:tcBorders>
              <w:bottom w:val="single" w:sz="8" w:color="DDDDDD"/>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DDDDDD"/>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w:t>
            </w:r>
          </w:p>
        </w:tc>
      </w:tr>
      <w:tr>
        <w:trPr>
          <w:trHeight w:val="213"/>
        </w:trPr>
        <w:tc>
          <w:tcPr>
            <w:tcW w:w="4080" w:type="dxa"/>
            <w:vAlign w:val="bottom"/>
            <w:shd w:val="clear" w:color="auto" w:fill="DDDDDD"/>
          </w:tcPr>
          <w:p>
            <w:pPr>
              <w:ind w:left="20"/>
              <w:spacing w:after="0"/>
              <w:rPr>
                <w:sz w:val="20"/>
                <w:szCs w:val="20"/>
                <w:color w:val="auto"/>
              </w:rPr>
            </w:pPr>
            <w:r>
              <w:rPr>
                <w:rFonts w:ascii="Arial" w:cs="Arial" w:eastAsia="Arial" w:hAnsi="Arial"/>
                <w:sz w:val="16"/>
                <w:szCs w:val="16"/>
                <w:color w:val="auto"/>
              </w:rPr>
              <w:t>Ending balance</w:t>
            </w:r>
          </w:p>
        </w:tc>
        <w:tc>
          <w:tcPr>
            <w:tcW w:w="1080" w:type="dxa"/>
            <w:vAlign w:val="bottom"/>
            <w:shd w:val="clear" w:color="auto" w:fill="DDDDDD"/>
          </w:tcPr>
          <w:p>
            <w:pPr>
              <w:jc w:val="right"/>
              <w:spacing w:after="0"/>
              <w:rPr>
                <w:sz w:val="20"/>
                <w:szCs w:val="20"/>
                <w:color w:val="auto"/>
              </w:rPr>
            </w:pPr>
            <w:r>
              <w:rPr>
                <w:rFonts w:ascii="Arial" w:cs="Arial" w:eastAsia="Arial" w:hAnsi="Arial"/>
                <w:sz w:val="16"/>
                <w:szCs w:val="16"/>
                <w:color w:val="auto"/>
              </w:rPr>
              <w:t>(260.8)</w:t>
            </w:r>
          </w:p>
        </w:tc>
        <w:tc>
          <w:tcPr>
            <w:tcW w:w="120" w:type="dxa"/>
            <w:vAlign w:val="bottom"/>
            <w:shd w:val="clear" w:color="auto" w:fill="DDDDDD"/>
          </w:tcPr>
          <w:p>
            <w:pPr>
              <w:spacing w:after="0"/>
              <w:rPr>
                <w:sz w:val="18"/>
                <w:szCs w:val="18"/>
                <w:color w:val="auto"/>
              </w:rPr>
            </w:pPr>
          </w:p>
        </w:tc>
        <w:tc>
          <w:tcPr>
            <w:tcW w:w="280" w:type="dxa"/>
            <w:vAlign w:val="bottom"/>
            <w:shd w:val="clear" w:color="auto" w:fill="DDDDDD"/>
          </w:tcPr>
          <w:p>
            <w:pPr>
              <w:spacing w:after="0"/>
              <w:rPr>
                <w:sz w:val="18"/>
                <w:szCs w:val="18"/>
                <w:color w:val="auto"/>
              </w:rPr>
            </w:pPr>
          </w:p>
        </w:tc>
        <w:tc>
          <w:tcPr>
            <w:tcW w:w="820" w:type="dxa"/>
            <w:vAlign w:val="bottom"/>
            <w:shd w:val="clear" w:color="auto" w:fill="DDDDDD"/>
          </w:tcPr>
          <w:p>
            <w:pPr>
              <w:jc w:val="right"/>
              <w:spacing w:after="0"/>
              <w:rPr>
                <w:sz w:val="20"/>
                <w:szCs w:val="20"/>
                <w:color w:val="auto"/>
              </w:rPr>
            </w:pPr>
            <w:r>
              <w:rPr>
                <w:rFonts w:ascii="Arial" w:cs="Arial" w:eastAsia="Arial" w:hAnsi="Arial"/>
                <w:sz w:val="16"/>
                <w:szCs w:val="16"/>
                <w:color w:val="auto"/>
              </w:rPr>
              <w:t>(27,229)</w:t>
            </w:r>
          </w:p>
        </w:tc>
        <w:tc>
          <w:tcPr>
            <w:tcW w:w="1200" w:type="dxa"/>
            <w:vAlign w:val="bottom"/>
            <w:gridSpan w:val="2"/>
            <w:shd w:val="clear" w:color="auto" w:fill="DDDDDD"/>
          </w:tcPr>
          <w:p>
            <w:pPr>
              <w:jc w:val="right"/>
              <w:spacing w:after="0"/>
              <w:rPr>
                <w:sz w:val="20"/>
                <w:szCs w:val="20"/>
                <w:color w:val="auto"/>
              </w:rPr>
            </w:pPr>
            <w:r>
              <w:rPr>
                <w:rFonts w:ascii="Arial" w:cs="Arial" w:eastAsia="Arial" w:hAnsi="Arial"/>
                <w:sz w:val="16"/>
                <w:szCs w:val="16"/>
                <w:color w:val="auto"/>
              </w:rPr>
              <w:t>(246.5)</w:t>
            </w:r>
          </w:p>
        </w:tc>
        <w:tc>
          <w:tcPr>
            <w:tcW w:w="100" w:type="dxa"/>
            <w:vAlign w:val="bottom"/>
            <w:shd w:val="clear" w:color="auto" w:fill="DDDDDD"/>
          </w:tcPr>
          <w:p>
            <w:pPr>
              <w:spacing w:after="0"/>
              <w:rPr>
                <w:sz w:val="18"/>
                <w:szCs w:val="18"/>
                <w:color w:val="auto"/>
              </w:rPr>
            </w:pPr>
          </w:p>
        </w:tc>
        <w:tc>
          <w:tcPr>
            <w:tcW w:w="300" w:type="dxa"/>
            <w:vAlign w:val="bottom"/>
            <w:shd w:val="clear" w:color="auto" w:fill="DDDDDD"/>
          </w:tcPr>
          <w:p>
            <w:pPr>
              <w:spacing w:after="0"/>
              <w:rPr>
                <w:sz w:val="18"/>
                <w:szCs w:val="18"/>
                <w:color w:val="auto"/>
              </w:rPr>
            </w:pPr>
          </w:p>
        </w:tc>
        <w:tc>
          <w:tcPr>
            <w:tcW w:w="820" w:type="dxa"/>
            <w:vAlign w:val="bottom"/>
            <w:shd w:val="clear" w:color="auto" w:fill="DDDDDD"/>
          </w:tcPr>
          <w:p>
            <w:pPr>
              <w:jc w:val="right"/>
              <w:spacing w:after="0"/>
              <w:rPr>
                <w:sz w:val="20"/>
                <w:szCs w:val="20"/>
                <w:color w:val="auto"/>
              </w:rPr>
            </w:pPr>
            <w:r>
              <w:rPr>
                <w:rFonts w:ascii="Arial" w:cs="Arial" w:eastAsia="Arial" w:hAnsi="Arial"/>
                <w:sz w:val="16"/>
                <w:szCs w:val="16"/>
                <w:color w:val="auto"/>
              </w:rPr>
              <w:t>(23,836)</w:t>
            </w:r>
          </w:p>
        </w:tc>
        <w:tc>
          <w:tcPr>
            <w:tcW w:w="100" w:type="dxa"/>
            <w:vAlign w:val="bottom"/>
            <w:shd w:val="clear" w:color="auto" w:fill="DDDDDD"/>
          </w:tcPr>
          <w:p>
            <w:pPr>
              <w:spacing w:after="0"/>
              <w:rPr>
                <w:sz w:val="18"/>
                <w:szCs w:val="18"/>
                <w:color w:val="auto"/>
              </w:rPr>
            </w:pPr>
          </w:p>
        </w:tc>
        <w:tc>
          <w:tcPr>
            <w:tcW w:w="200" w:type="dxa"/>
            <w:vAlign w:val="bottom"/>
            <w:shd w:val="clear" w:color="auto" w:fill="DDDDDD"/>
          </w:tcPr>
          <w:p>
            <w:pPr>
              <w:spacing w:after="0"/>
              <w:rPr>
                <w:sz w:val="18"/>
                <w:szCs w:val="18"/>
                <w:color w:val="auto"/>
              </w:rPr>
            </w:pPr>
          </w:p>
        </w:tc>
        <w:tc>
          <w:tcPr>
            <w:tcW w:w="900" w:type="dxa"/>
            <w:vAlign w:val="bottom"/>
            <w:shd w:val="clear" w:color="auto" w:fill="DDDDDD"/>
          </w:tcPr>
          <w:p>
            <w:pPr>
              <w:jc w:val="right"/>
              <w:spacing w:after="0"/>
              <w:rPr>
                <w:sz w:val="20"/>
                <w:szCs w:val="20"/>
                <w:color w:val="auto"/>
              </w:rPr>
            </w:pPr>
            <w:r>
              <w:rPr>
                <w:rFonts w:ascii="Arial" w:cs="Arial" w:eastAsia="Arial" w:hAnsi="Arial"/>
                <w:sz w:val="16"/>
                <w:szCs w:val="16"/>
                <w:color w:val="auto"/>
              </w:rPr>
              <w:t>(228.0)</w:t>
            </w:r>
          </w:p>
        </w:tc>
        <w:tc>
          <w:tcPr>
            <w:tcW w:w="100" w:type="dxa"/>
            <w:vAlign w:val="bottom"/>
            <w:shd w:val="clear" w:color="auto" w:fill="DDDDDD"/>
          </w:tcPr>
          <w:p>
            <w:pPr>
              <w:spacing w:after="0"/>
              <w:rPr>
                <w:sz w:val="18"/>
                <w:szCs w:val="18"/>
                <w:color w:val="auto"/>
              </w:rPr>
            </w:pPr>
          </w:p>
        </w:tc>
        <w:tc>
          <w:tcPr>
            <w:tcW w:w="300" w:type="dxa"/>
            <w:vAlign w:val="bottom"/>
            <w:shd w:val="clear" w:color="auto" w:fill="DDDDDD"/>
          </w:tcPr>
          <w:p>
            <w:pPr>
              <w:spacing w:after="0"/>
              <w:rPr>
                <w:sz w:val="18"/>
                <w:szCs w:val="18"/>
                <w:color w:val="auto"/>
              </w:rPr>
            </w:pPr>
          </w:p>
        </w:tc>
        <w:tc>
          <w:tcPr>
            <w:tcW w:w="820" w:type="dxa"/>
            <w:vAlign w:val="bottom"/>
            <w:shd w:val="clear" w:color="auto" w:fill="DDDDDD"/>
          </w:tcPr>
          <w:p>
            <w:pPr>
              <w:jc w:val="right"/>
              <w:spacing w:after="0"/>
              <w:rPr>
                <w:sz w:val="20"/>
                <w:szCs w:val="20"/>
                <w:color w:val="auto"/>
              </w:rPr>
            </w:pPr>
            <w:r>
              <w:rPr>
                <w:rFonts w:ascii="Arial" w:cs="Arial" w:eastAsia="Arial" w:hAnsi="Arial"/>
                <w:sz w:val="16"/>
                <w:szCs w:val="16"/>
                <w:color w:val="auto"/>
              </w:rPr>
              <w:t>(19,771)</w:t>
            </w:r>
          </w:p>
        </w:tc>
      </w:tr>
      <w:tr>
        <w:trPr>
          <w:trHeight w:val="195"/>
        </w:trPr>
        <w:tc>
          <w:tcPr>
            <w:tcW w:w="4080" w:type="dxa"/>
            <w:vAlign w:val="bottom"/>
          </w:tcPr>
          <w:p>
            <w:pPr>
              <w:ind w:left="20"/>
              <w:spacing w:after="0"/>
              <w:rPr>
                <w:sz w:val="20"/>
                <w:szCs w:val="20"/>
                <w:color w:val="auto"/>
              </w:rPr>
            </w:pPr>
            <w:r>
              <w:rPr>
                <w:rFonts w:ascii="Arial" w:cs="Arial" w:eastAsia="Arial" w:hAnsi="Arial"/>
                <w:sz w:val="16"/>
                <w:szCs w:val="16"/>
                <w:b w:val="1"/>
                <w:bCs w:val="1"/>
                <w:color w:val="auto"/>
              </w:rPr>
              <w:t>Retained earnings</w:t>
            </w:r>
          </w:p>
        </w:tc>
        <w:tc>
          <w:tcPr>
            <w:tcW w:w="1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r>
      <w:tr>
        <w:trPr>
          <w:trHeight w:val="217"/>
        </w:trPr>
        <w:tc>
          <w:tcPr>
            <w:tcW w:w="4080" w:type="dxa"/>
            <w:vAlign w:val="bottom"/>
            <w:shd w:val="clear" w:color="auto" w:fill="DDDDDD"/>
          </w:tcPr>
          <w:p>
            <w:pPr>
              <w:ind w:left="20"/>
              <w:spacing w:after="0"/>
              <w:rPr>
                <w:sz w:val="20"/>
                <w:szCs w:val="20"/>
                <w:color w:val="auto"/>
              </w:rPr>
            </w:pPr>
            <w:r>
              <w:rPr>
                <w:rFonts w:ascii="Arial" w:cs="Arial" w:eastAsia="Arial" w:hAnsi="Arial"/>
                <w:sz w:val="16"/>
                <w:szCs w:val="16"/>
                <w:color w:val="auto"/>
              </w:rPr>
              <w:t>Beginning balance</w:t>
            </w:r>
          </w:p>
        </w:tc>
        <w:tc>
          <w:tcPr>
            <w:tcW w:w="108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280" w:type="dxa"/>
            <w:vAlign w:val="bottom"/>
            <w:shd w:val="clear" w:color="auto" w:fill="DDDDDD"/>
          </w:tcPr>
          <w:p>
            <w:pPr>
              <w:spacing w:after="0"/>
              <w:rPr>
                <w:sz w:val="18"/>
                <w:szCs w:val="18"/>
                <w:color w:val="auto"/>
              </w:rPr>
            </w:pPr>
          </w:p>
        </w:tc>
        <w:tc>
          <w:tcPr>
            <w:tcW w:w="820" w:type="dxa"/>
            <w:vAlign w:val="bottom"/>
            <w:shd w:val="clear" w:color="auto" w:fill="DDDDDD"/>
          </w:tcPr>
          <w:p>
            <w:pPr>
              <w:jc w:val="right"/>
              <w:spacing w:after="0"/>
              <w:rPr>
                <w:sz w:val="20"/>
                <w:szCs w:val="20"/>
                <w:color w:val="auto"/>
              </w:rPr>
            </w:pPr>
            <w:r>
              <w:rPr>
                <w:rFonts w:ascii="Arial" w:cs="Arial" w:eastAsia="Arial" w:hAnsi="Arial"/>
                <w:sz w:val="16"/>
                <w:szCs w:val="16"/>
                <w:color w:val="auto"/>
              </w:rPr>
              <w:t>37,693</w:t>
            </w:r>
          </w:p>
        </w:tc>
        <w:tc>
          <w:tcPr>
            <w:tcW w:w="100" w:type="dxa"/>
            <w:vAlign w:val="bottom"/>
            <w:shd w:val="clear" w:color="auto" w:fill="DDDDDD"/>
          </w:tcPr>
          <w:p>
            <w:pPr>
              <w:spacing w:after="0"/>
              <w:rPr>
                <w:sz w:val="18"/>
                <w:szCs w:val="18"/>
                <w:color w:val="auto"/>
              </w:rPr>
            </w:pPr>
          </w:p>
        </w:tc>
        <w:tc>
          <w:tcPr>
            <w:tcW w:w="110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300" w:type="dxa"/>
            <w:vAlign w:val="bottom"/>
            <w:shd w:val="clear" w:color="auto" w:fill="DDDDDD"/>
          </w:tcPr>
          <w:p>
            <w:pPr>
              <w:spacing w:after="0"/>
              <w:rPr>
                <w:sz w:val="18"/>
                <w:szCs w:val="18"/>
                <w:color w:val="auto"/>
              </w:rPr>
            </w:pPr>
          </w:p>
        </w:tc>
        <w:tc>
          <w:tcPr>
            <w:tcW w:w="820" w:type="dxa"/>
            <w:vAlign w:val="bottom"/>
            <w:shd w:val="clear" w:color="auto" w:fill="DDDDDD"/>
          </w:tcPr>
          <w:p>
            <w:pPr>
              <w:jc w:val="right"/>
              <w:spacing w:after="0"/>
              <w:rPr>
                <w:sz w:val="20"/>
                <w:szCs w:val="20"/>
                <w:color w:val="auto"/>
              </w:rPr>
            </w:pPr>
            <w:r>
              <w:rPr>
                <w:rFonts w:ascii="Arial" w:cs="Arial" w:eastAsia="Arial" w:hAnsi="Arial"/>
                <w:sz w:val="16"/>
                <w:szCs w:val="16"/>
                <w:color w:val="auto"/>
              </w:rPr>
              <w:t>33,978</w:t>
            </w:r>
          </w:p>
        </w:tc>
        <w:tc>
          <w:tcPr>
            <w:tcW w:w="100" w:type="dxa"/>
            <w:vAlign w:val="bottom"/>
            <w:shd w:val="clear" w:color="auto" w:fill="DDDDDD"/>
          </w:tcPr>
          <w:p>
            <w:pPr>
              <w:spacing w:after="0"/>
              <w:rPr>
                <w:sz w:val="18"/>
                <w:szCs w:val="18"/>
                <w:color w:val="auto"/>
              </w:rPr>
            </w:pPr>
          </w:p>
        </w:tc>
        <w:tc>
          <w:tcPr>
            <w:tcW w:w="200" w:type="dxa"/>
            <w:vAlign w:val="bottom"/>
            <w:shd w:val="clear" w:color="auto" w:fill="DDDDDD"/>
          </w:tcPr>
          <w:p>
            <w:pPr>
              <w:spacing w:after="0"/>
              <w:rPr>
                <w:sz w:val="18"/>
                <w:szCs w:val="18"/>
                <w:color w:val="auto"/>
              </w:rPr>
            </w:pPr>
          </w:p>
        </w:tc>
        <w:tc>
          <w:tcPr>
            <w:tcW w:w="90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300" w:type="dxa"/>
            <w:vAlign w:val="bottom"/>
            <w:shd w:val="clear" w:color="auto" w:fill="DDDDDD"/>
          </w:tcPr>
          <w:p>
            <w:pPr>
              <w:spacing w:after="0"/>
              <w:rPr>
                <w:sz w:val="18"/>
                <w:szCs w:val="18"/>
                <w:color w:val="auto"/>
              </w:rPr>
            </w:pPr>
          </w:p>
        </w:tc>
        <w:tc>
          <w:tcPr>
            <w:tcW w:w="820" w:type="dxa"/>
            <w:vAlign w:val="bottom"/>
            <w:shd w:val="clear" w:color="auto" w:fill="DDDDDD"/>
          </w:tcPr>
          <w:p>
            <w:pPr>
              <w:jc w:val="right"/>
              <w:spacing w:after="0"/>
              <w:rPr>
                <w:sz w:val="20"/>
                <w:szCs w:val="20"/>
                <w:color w:val="auto"/>
              </w:rPr>
            </w:pPr>
            <w:r>
              <w:rPr>
                <w:rFonts w:ascii="Arial" w:cs="Arial" w:eastAsia="Arial" w:hAnsi="Arial"/>
                <w:sz w:val="16"/>
                <w:szCs w:val="16"/>
                <w:color w:val="auto"/>
              </w:rPr>
              <w:t>27,481</w:t>
            </w:r>
          </w:p>
        </w:tc>
      </w:tr>
      <w:tr>
        <w:trPr>
          <w:trHeight w:val="213"/>
        </w:trPr>
        <w:tc>
          <w:tcPr>
            <w:tcW w:w="4080" w:type="dxa"/>
            <w:vAlign w:val="bottom"/>
          </w:tcPr>
          <w:p>
            <w:pPr>
              <w:ind w:left="220"/>
              <w:spacing w:after="0"/>
              <w:rPr>
                <w:sz w:val="20"/>
                <w:szCs w:val="20"/>
                <w:color w:val="auto"/>
              </w:rPr>
            </w:pPr>
            <w:r>
              <w:rPr>
                <w:rFonts w:ascii="Arial" w:cs="Arial" w:eastAsia="Arial" w:hAnsi="Arial"/>
                <w:sz w:val="16"/>
                <w:szCs w:val="16"/>
                <w:color w:val="auto"/>
              </w:rPr>
              <w:t>Adoption of new accounting standards</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3"/>
          </w:tcPr>
          <w:p>
            <w:pPr>
              <w:jc w:val="right"/>
              <w:ind w:right="380"/>
              <w:spacing w:after="0"/>
              <w:rPr>
                <w:sz w:val="20"/>
                <w:szCs w:val="20"/>
                <w:color w:val="auto"/>
              </w:rPr>
            </w:pPr>
            <w:r>
              <w:rPr>
                <w:rFonts w:ascii="Arial" w:cs="Arial" w:eastAsia="Arial" w:hAnsi="Arial"/>
                <w:sz w:val="16"/>
                <w:szCs w:val="16"/>
                <w:color w:val="auto"/>
              </w:rPr>
              <w:t>—</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264</w:t>
            </w:r>
          </w:p>
        </w:tc>
      </w:tr>
      <w:tr>
        <w:trPr>
          <w:trHeight w:val="219"/>
        </w:trPr>
        <w:tc>
          <w:tcPr>
            <w:tcW w:w="4080" w:type="dxa"/>
            <w:vAlign w:val="bottom"/>
            <w:shd w:val="clear" w:color="auto" w:fill="DDDDDD"/>
          </w:tcPr>
          <w:p>
            <w:pPr>
              <w:ind w:left="220"/>
              <w:spacing w:after="0"/>
              <w:rPr>
                <w:sz w:val="20"/>
                <w:szCs w:val="20"/>
                <w:color w:val="auto"/>
              </w:rPr>
            </w:pPr>
            <w:r>
              <w:rPr>
                <w:rFonts w:ascii="Arial" w:cs="Arial" w:eastAsia="Arial" w:hAnsi="Arial"/>
                <w:sz w:val="16"/>
                <w:szCs w:val="16"/>
                <w:color w:val="auto"/>
              </w:rPr>
              <w:t>Net income attributable to Honeywell</w:t>
            </w:r>
          </w:p>
        </w:tc>
        <w:tc>
          <w:tcPr>
            <w:tcW w:w="108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280" w:type="dxa"/>
            <w:vAlign w:val="bottom"/>
            <w:shd w:val="clear" w:color="auto" w:fill="DDDDDD"/>
          </w:tcPr>
          <w:p>
            <w:pPr>
              <w:spacing w:after="0"/>
              <w:rPr>
                <w:sz w:val="19"/>
                <w:szCs w:val="19"/>
                <w:color w:val="auto"/>
              </w:rPr>
            </w:pPr>
          </w:p>
        </w:tc>
        <w:tc>
          <w:tcPr>
            <w:tcW w:w="820" w:type="dxa"/>
            <w:vAlign w:val="bottom"/>
            <w:shd w:val="clear" w:color="auto" w:fill="DDDDDD"/>
          </w:tcPr>
          <w:p>
            <w:pPr>
              <w:jc w:val="right"/>
              <w:spacing w:after="0"/>
              <w:rPr>
                <w:sz w:val="20"/>
                <w:szCs w:val="20"/>
                <w:color w:val="auto"/>
              </w:rPr>
            </w:pPr>
            <w:r>
              <w:rPr>
                <w:rFonts w:ascii="Arial" w:cs="Arial" w:eastAsia="Arial" w:hAnsi="Arial"/>
                <w:sz w:val="16"/>
                <w:szCs w:val="16"/>
                <w:color w:val="auto"/>
              </w:rPr>
              <w:t>4,779</w:t>
            </w:r>
          </w:p>
        </w:tc>
        <w:tc>
          <w:tcPr>
            <w:tcW w:w="100" w:type="dxa"/>
            <w:vAlign w:val="bottom"/>
            <w:shd w:val="clear" w:color="auto" w:fill="DDDDDD"/>
          </w:tcPr>
          <w:p>
            <w:pPr>
              <w:spacing w:after="0"/>
              <w:rPr>
                <w:sz w:val="19"/>
                <w:szCs w:val="19"/>
                <w:color w:val="auto"/>
              </w:rPr>
            </w:pPr>
          </w:p>
        </w:tc>
        <w:tc>
          <w:tcPr>
            <w:tcW w:w="110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300" w:type="dxa"/>
            <w:vAlign w:val="bottom"/>
            <w:shd w:val="clear" w:color="auto" w:fill="DDDDDD"/>
          </w:tcPr>
          <w:p>
            <w:pPr>
              <w:spacing w:after="0"/>
              <w:rPr>
                <w:sz w:val="19"/>
                <w:szCs w:val="19"/>
                <w:color w:val="auto"/>
              </w:rPr>
            </w:pPr>
          </w:p>
        </w:tc>
        <w:tc>
          <w:tcPr>
            <w:tcW w:w="820" w:type="dxa"/>
            <w:vAlign w:val="bottom"/>
            <w:shd w:val="clear" w:color="auto" w:fill="DDDDDD"/>
          </w:tcPr>
          <w:p>
            <w:pPr>
              <w:jc w:val="right"/>
              <w:spacing w:after="0"/>
              <w:rPr>
                <w:sz w:val="20"/>
                <w:szCs w:val="20"/>
                <w:color w:val="auto"/>
              </w:rPr>
            </w:pPr>
            <w:r>
              <w:rPr>
                <w:rFonts w:ascii="Arial" w:cs="Arial" w:eastAsia="Arial" w:hAnsi="Arial"/>
                <w:sz w:val="16"/>
                <w:szCs w:val="16"/>
                <w:color w:val="auto"/>
              </w:rPr>
              <w:t>6,143</w:t>
            </w:r>
          </w:p>
        </w:tc>
        <w:tc>
          <w:tcPr>
            <w:tcW w:w="100" w:type="dxa"/>
            <w:vAlign w:val="bottom"/>
            <w:shd w:val="clear" w:color="auto" w:fill="DDDDDD"/>
          </w:tcPr>
          <w:p>
            <w:pPr>
              <w:spacing w:after="0"/>
              <w:rPr>
                <w:sz w:val="19"/>
                <w:szCs w:val="19"/>
                <w:color w:val="auto"/>
              </w:rPr>
            </w:pPr>
          </w:p>
        </w:tc>
        <w:tc>
          <w:tcPr>
            <w:tcW w:w="200" w:type="dxa"/>
            <w:vAlign w:val="bottom"/>
            <w:shd w:val="clear" w:color="auto" w:fill="DDDDDD"/>
          </w:tcPr>
          <w:p>
            <w:pPr>
              <w:spacing w:after="0"/>
              <w:rPr>
                <w:sz w:val="19"/>
                <w:szCs w:val="19"/>
                <w:color w:val="auto"/>
              </w:rPr>
            </w:pPr>
          </w:p>
        </w:tc>
        <w:tc>
          <w:tcPr>
            <w:tcW w:w="90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300" w:type="dxa"/>
            <w:vAlign w:val="bottom"/>
            <w:shd w:val="clear" w:color="auto" w:fill="DDDDDD"/>
          </w:tcPr>
          <w:p>
            <w:pPr>
              <w:spacing w:after="0"/>
              <w:rPr>
                <w:sz w:val="19"/>
                <w:szCs w:val="19"/>
                <w:color w:val="auto"/>
              </w:rPr>
            </w:pPr>
          </w:p>
        </w:tc>
        <w:tc>
          <w:tcPr>
            <w:tcW w:w="820" w:type="dxa"/>
            <w:vAlign w:val="bottom"/>
            <w:shd w:val="clear" w:color="auto" w:fill="DDDDDD"/>
          </w:tcPr>
          <w:p>
            <w:pPr>
              <w:jc w:val="right"/>
              <w:spacing w:after="0"/>
              <w:rPr>
                <w:sz w:val="20"/>
                <w:szCs w:val="20"/>
                <w:color w:val="auto"/>
              </w:rPr>
            </w:pPr>
            <w:r>
              <w:rPr>
                <w:rFonts w:ascii="Arial" w:cs="Arial" w:eastAsia="Arial" w:hAnsi="Arial"/>
                <w:sz w:val="16"/>
                <w:szCs w:val="16"/>
                <w:color w:val="auto"/>
              </w:rPr>
              <w:t>6,765</w:t>
            </w:r>
          </w:p>
        </w:tc>
      </w:tr>
      <w:tr>
        <w:trPr>
          <w:trHeight w:val="213"/>
        </w:trPr>
        <w:tc>
          <w:tcPr>
            <w:tcW w:w="4080" w:type="dxa"/>
            <w:vAlign w:val="bottom"/>
          </w:tcPr>
          <w:p>
            <w:pPr>
              <w:ind w:left="220"/>
              <w:spacing w:after="0"/>
              <w:rPr>
                <w:sz w:val="20"/>
                <w:szCs w:val="20"/>
                <w:color w:val="auto"/>
              </w:rPr>
            </w:pPr>
            <w:r>
              <w:rPr>
                <w:rFonts w:ascii="Arial" w:cs="Arial" w:eastAsia="Arial" w:hAnsi="Arial"/>
                <w:sz w:val="16"/>
                <w:szCs w:val="16"/>
                <w:color w:val="auto"/>
              </w:rPr>
              <w:t>Dividends on common stock</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(2,567)</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(2,428)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(2,279)</w:t>
            </w:r>
          </w:p>
        </w:tc>
      </w:tr>
      <w:tr>
        <w:trPr>
          <w:trHeight w:val="219"/>
        </w:trPr>
        <w:tc>
          <w:tcPr>
            <w:tcW w:w="4080" w:type="dxa"/>
            <w:vAlign w:val="bottom"/>
            <w:shd w:val="clear" w:color="auto" w:fill="DDDDDD"/>
          </w:tcPr>
          <w:p>
            <w:pPr>
              <w:ind w:left="220"/>
              <w:spacing w:after="0"/>
              <w:rPr>
                <w:sz w:val="20"/>
                <w:szCs w:val="20"/>
                <w:color w:val="auto"/>
              </w:rPr>
            </w:pPr>
            <w:r>
              <w:rPr>
                <w:rFonts w:ascii="Arial" w:cs="Arial" w:eastAsia="Arial" w:hAnsi="Arial"/>
                <w:sz w:val="16"/>
                <w:szCs w:val="16"/>
                <w:color w:val="auto"/>
              </w:rPr>
              <w:t>Spin-offs</w:t>
            </w:r>
          </w:p>
        </w:tc>
        <w:tc>
          <w:tcPr>
            <w:tcW w:w="108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280" w:type="dxa"/>
            <w:vAlign w:val="bottom"/>
            <w:shd w:val="clear" w:color="auto" w:fill="DDDDDD"/>
          </w:tcPr>
          <w:p>
            <w:pPr>
              <w:spacing w:after="0"/>
              <w:rPr>
                <w:sz w:val="19"/>
                <w:szCs w:val="19"/>
                <w:color w:val="auto"/>
              </w:rPr>
            </w:pPr>
          </w:p>
        </w:tc>
        <w:tc>
          <w:tcPr>
            <w:tcW w:w="820" w:type="dxa"/>
            <w:vAlign w:val="bottom"/>
            <w:shd w:val="clear" w:color="auto" w:fill="DDDDDD"/>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DDDDDD"/>
          </w:tcPr>
          <w:p>
            <w:pPr>
              <w:spacing w:after="0"/>
              <w:rPr>
                <w:sz w:val="19"/>
                <w:szCs w:val="19"/>
                <w:color w:val="auto"/>
              </w:rPr>
            </w:pPr>
          </w:p>
        </w:tc>
        <w:tc>
          <w:tcPr>
            <w:tcW w:w="110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300" w:type="dxa"/>
            <w:vAlign w:val="bottom"/>
            <w:shd w:val="clear" w:color="auto" w:fill="DDDDDD"/>
          </w:tcPr>
          <w:p>
            <w:pPr>
              <w:spacing w:after="0"/>
              <w:rPr>
                <w:sz w:val="19"/>
                <w:szCs w:val="19"/>
                <w:color w:val="auto"/>
              </w:rPr>
            </w:pPr>
          </w:p>
        </w:tc>
        <w:tc>
          <w:tcPr>
            <w:tcW w:w="1120" w:type="dxa"/>
            <w:vAlign w:val="bottom"/>
            <w:gridSpan w:val="3"/>
            <w:shd w:val="clear" w:color="auto" w:fill="DDDDDD"/>
          </w:tcPr>
          <w:p>
            <w:pPr>
              <w:jc w:val="right"/>
              <w:ind w:right="380"/>
              <w:spacing w:after="0"/>
              <w:rPr>
                <w:sz w:val="20"/>
                <w:szCs w:val="20"/>
                <w:color w:val="auto"/>
              </w:rPr>
            </w:pPr>
            <w:r>
              <w:rPr>
                <w:rFonts w:ascii="Arial" w:cs="Arial" w:eastAsia="Arial" w:hAnsi="Arial"/>
                <w:sz w:val="16"/>
                <w:szCs w:val="16"/>
                <w:color w:val="auto"/>
              </w:rPr>
              <w:t>—</w:t>
            </w:r>
          </w:p>
        </w:tc>
        <w:tc>
          <w:tcPr>
            <w:tcW w:w="90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300" w:type="dxa"/>
            <w:vAlign w:val="bottom"/>
            <w:shd w:val="clear" w:color="auto" w:fill="DDDDDD"/>
          </w:tcPr>
          <w:p>
            <w:pPr>
              <w:spacing w:after="0"/>
              <w:rPr>
                <w:sz w:val="19"/>
                <w:szCs w:val="19"/>
                <w:color w:val="auto"/>
              </w:rPr>
            </w:pPr>
          </w:p>
        </w:tc>
        <w:tc>
          <w:tcPr>
            <w:tcW w:w="820" w:type="dxa"/>
            <w:vAlign w:val="bottom"/>
            <w:shd w:val="clear" w:color="auto" w:fill="DDDDDD"/>
          </w:tcPr>
          <w:p>
            <w:pPr>
              <w:jc w:val="right"/>
              <w:spacing w:after="0"/>
              <w:rPr>
                <w:sz w:val="20"/>
                <w:szCs w:val="20"/>
                <w:color w:val="auto"/>
              </w:rPr>
            </w:pPr>
            <w:r>
              <w:rPr>
                <w:rFonts w:ascii="Arial" w:cs="Arial" w:eastAsia="Arial" w:hAnsi="Arial"/>
                <w:sz w:val="16"/>
                <w:szCs w:val="16"/>
                <w:color w:val="auto"/>
              </w:rPr>
              <w:t>1,749</w:t>
            </w:r>
          </w:p>
        </w:tc>
      </w:tr>
      <w:tr>
        <w:trPr>
          <w:trHeight w:val="213"/>
        </w:trPr>
        <w:tc>
          <w:tcPr>
            <w:tcW w:w="4080" w:type="dxa"/>
            <w:vAlign w:val="bottom"/>
          </w:tcPr>
          <w:p>
            <w:pPr>
              <w:ind w:left="220"/>
              <w:spacing w:after="0"/>
              <w:rPr>
                <w:sz w:val="20"/>
                <w:szCs w:val="20"/>
                <w:color w:val="auto"/>
              </w:rPr>
            </w:pPr>
            <w:r>
              <w:rPr>
                <w:rFonts w:ascii="Arial" w:cs="Arial" w:eastAsia="Arial" w:hAnsi="Arial"/>
                <w:sz w:val="16"/>
                <w:szCs w:val="16"/>
                <w:color w:val="auto"/>
              </w:rPr>
              <w:t>Redemption value adjustment</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3"/>
          </w:tcPr>
          <w:p>
            <w:pPr>
              <w:jc w:val="right"/>
              <w:ind w:right="380"/>
              <w:spacing w:after="0"/>
              <w:rPr>
                <w:sz w:val="20"/>
                <w:szCs w:val="20"/>
                <w:color w:val="auto"/>
              </w:rPr>
            </w:pPr>
            <w:r>
              <w:rPr>
                <w:rFonts w:ascii="Arial" w:cs="Arial" w:eastAsia="Arial" w:hAnsi="Arial"/>
                <w:sz w:val="16"/>
                <w:szCs w:val="16"/>
                <w:color w:val="auto"/>
              </w:rPr>
              <w:t>—</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2"/>
        </w:trPr>
        <w:tc>
          <w:tcPr>
            <w:tcW w:w="4080" w:type="dxa"/>
            <w:vAlign w:val="bottom"/>
            <w:tcBorders>
              <w:top w:val="single" w:sz="8" w:color="DDDDDD"/>
            </w:tcBorders>
            <w:shd w:val="clear" w:color="auto" w:fill="DDDDDD"/>
          </w:tcPr>
          <w:p>
            <w:pPr>
              <w:ind w:left="20"/>
              <w:spacing w:after="0"/>
              <w:rPr>
                <w:sz w:val="20"/>
                <w:szCs w:val="20"/>
                <w:color w:val="auto"/>
              </w:rPr>
            </w:pPr>
            <w:r>
              <w:rPr>
                <w:rFonts w:ascii="Arial" w:cs="Arial" w:eastAsia="Arial" w:hAnsi="Arial"/>
                <w:sz w:val="16"/>
                <w:szCs w:val="16"/>
                <w:color w:val="auto"/>
              </w:rPr>
              <w:t>Ending balance</w:t>
            </w:r>
          </w:p>
        </w:tc>
        <w:tc>
          <w:tcPr>
            <w:tcW w:w="1080" w:type="dxa"/>
            <w:vAlign w:val="bottom"/>
            <w:tcBorders>
              <w:top w:val="single" w:sz="8" w:color="DDDDDD"/>
            </w:tcBorders>
            <w:shd w:val="clear" w:color="auto" w:fill="DDDDDD"/>
          </w:tcPr>
          <w:p>
            <w:pPr>
              <w:spacing w:after="0"/>
              <w:rPr>
                <w:sz w:val="18"/>
                <w:szCs w:val="18"/>
                <w:color w:val="auto"/>
              </w:rPr>
            </w:pPr>
          </w:p>
        </w:tc>
        <w:tc>
          <w:tcPr>
            <w:tcW w:w="120" w:type="dxa"/>
            <w:vAlign w:val="bottom"/>
            <w:tcBorders>
              <w:top w:val="single" w:sz="8" w:color="DDDDDD"/>
            </w:tcBorders>
            <w:shd w:val="clear" w:color="auto" w:fill="DDDDDD"/>
          </w:tcPr>
          <w:p>
            <w:pPr>
              <w:spacing w:after="0"/>
              <w:rPr>
                <w:sz w:val="18"/>
                <w:szCs w:val="18"/>
                <w:color w:val="auto"/>
              </w:rPr>
            </w:pPr>
          </w:p>
        </w:tc>
        <w:tc>
          <w:tcPr>
            <w:tcW w:w="280" w:type="dxa"/>
            <w:vAlign w:val="bottom"/>
            <w:tcBorders>
              <w:top w:val="single" w:sz="8" w:color="auto"/>
              <w:bottom w:val="single" w:sz="8" w:color="auto"/>
            </w:tcBorders>
            <w:shd w:val="clear" w:color="auto" w:fill="DDDDDD"/>
          </w:tcPr>
          <w:p>
            <w:pPr>
              <w:spacing w:after="0"/>
              <w:rPr>
                <w:sz w:val="18"/>
                <w:szCs w:val="18"/>
                <w:color w:val="auto"/>
              </w:rPr>
            </w:pPr>
          </w:p>
        </w:tc>
        <w:tc>
          <w:tcPr>
            <w:tcW w:w="82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auto"/>
              </w:rPr>
              <w:t>39,905</w:t>
            </w:r>
          </w:p>
        </w:tc>
        <w:tc>
          <w:tcPr>
            <w:tcW w:w="100" w:type="dxa"/>
            <w:vAlign w:val="bottom"/>
            <w:tcBorders>
              <w:top w:val="single" w:sz="8" w:color="DDDDDD"/>
            </w:tcBorders>
            <w:shd w:val="clear" w:color="auto" w:fill="DDDDDD"/>
          </w:tcPr>
          <w:p>
            <w:pPr>
              <w:spacing w:after="0"/>
              <w:rPr>
                <w:sz w:val="18"/>
                <w:szCs w:val="18"/>
                <w:color w:val="auto"/>
              </w:rPr>
            </w:pPr>
          </w:p>
        </w:tc>
        <w:tc>
          <w:tcPr>
            <w:tcW w:w="1100" w:type="dxa"/>
            <w:vAlign w:val="bottom"/>
            <w:tcBorders>
              <w:top w:val="single" w:sz="8" w:color="DDDDDD"/>
            </w:tcBorders>
            <w:shd w:val="clear" w:color="auto" w:fill="DDDDDD"/>
          </w:tcPr>
          <w:p>
            <w:pPr>
              <w:spacing w:after="0"/>
              <w:rPr>
                <w:sz w:val="18"/>
                <w:szCs w:val="18"/>
                <w:color w:val="auto"/>
              </w:rPr>
            </w:pPr>
          </w:p>
        </w:tc>
        <w:tc>
          <w:tcPr>
            <w:tcW w:w="100" w:type="dxa"/>
            <w:vAlign w:val="bottom"/>
            <w:tcBorders>
              <w:top w:val="single" w:sz="8" w:color="DDDDDD"/>
            </w:tcBorders>
            <w:shd w:val="clear" w:color="auto" w:fill="DDDDDD"/>
          </w:tcPr>
          <w:p>
            <w:pPr>
              <w:spacing w:after="0"/>
              <w:rPr>
                <w:sz w:val="18"/>
                <w:szCs w:val="18"/>
                <w:color w:val="auto"/>
              </w:rPr>
            </w:pPr>
          </w:p>
        </w:tc>
        <w:tc>
          <w:tcPr>
            <w:tcW w:w="300" w:type="dxa"/>
            <w:vAlign w:val="bottom"/>
            <w:tcBorders>
              <w:top w:val="single" w:sz="8" w:color="auto"/>
              <w:bottom w:val="single" w:sz="8" w:color="auto"/>
            </w:tcBorders>
            <w:shd w:val="clear" w:color="auto" w:fill="DDDDDD"/>
          </w:tcPr>
          <w:p>
            <w:pPr>
              <w:spacing w:after="0"/>
              <w:rPr>
                <w:sz w:val="18"/>
                <w:szCs w:val="18"/>
                <w:color w:val="auto"/>
              </w:rPr>
            </w:pPr>
          </w:p>
        </w:tc>
        <w:tc>
          <w:tcPr>
            <w:tcW w:w="82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auto"/>
              </w:rPr>
              <w:t>37,693</w:t>
            </w:r>
          </w:p>
        </w:tc>
        <w:tc>
          <w:tcPr>
            <w:tcW w:w="100" w:type="dxa"/>
            <w:vAlign w:val="bottom"/>
            <w:tcBorders>
              <w:top w:val="single" w:sz="8" w:color="DDDDDD"/>
            </w:tcBorders>
            <w:shd w:val="clear" w:color="auto" w:fill="DDDDDD"/>
          </w:tcPr>
          <w:p>
            <w:pPr>
              <w:spacing w:after="0"/>
              <w:rPr>
                <w:sz w:val="18"/>
                <w:szCs w:val="18"/>
                <w:color w:val="auto"/>
              </w:rPr>
            </w:pPr>
          </w:p>
        </w:tc>
        <w:tc>
          <w:tcPr>
            <w:tcW w:w="200" w:type="dxa"/>
            <w:vAlign w:val="bottom"/>
            <w:tcBorders>
              <w:top w:val="single" w:sz="8" w:color="DDDDDD"/>
            </w:tcBorders>
            <w:shd w:val="clear" w:color="auto" w:fill="DDDDDD"/>
          </w:tcPr>
          <w:p>
            <w:pPr>
              <w:spacing w:after="0"/>
              <w:rPr>
                <w:sz w:val="18"/>
                <w:szCs w:val="18"/>
                <w:color w:val="auto"/>
              </w:rPr>
            </w:pPr>
          </w:p>
        </w:tc>
        <w:tc>
          <w:tcPr>
            <w:tcW w:w="900" w:type="dxa"/>
            <w:vAlign w:val="bottom"/>
            <w:tcBorders>
              <w:top w:val="single" w:sz="8" w:color="DDDDDD"/>
            </w:tcBorders>
            <w:shd w:val="clear" w:color="auto" w:fill="DDDDDD"/>
          </w:tcPr>
          <w:p>
            <w:pPr>
              <w:spacing w:after="0"/>
              <w:rPr>
                <w:sz w:val="18"/>
                <w:szCs w:val="18"/>
                <w:color w:val="auto"/>
              </w:rPr>
            </w:pPr>
          </w:p>
        </w:tc>
        <w:tc>
          <w:tcPr>
            <w:tcW w:w="100" w:type="dxa"/>
            <w:vAlign w:val="bottom"/>
            <w:tcBorders>
              <w:top w:val="single" w:sz="8" w:color="DDDDDD"/>
            </w:tcBorders>
            <w:shd w:val="clear" w:color="auto" w:fill="DDDDDD"/>
          </w:tcPr>
          <w:p>
            <w:pPr>
              <w:spacing w:after="0"/>
              <w:rPr>
                <w:sz w:val="18"/>
                <w:szCs w:val="18"/>
                <w:color w:val="auto"/>
              </w:rPr>
            </w:pPr>
          </w:p>
        </w:tc>
        <w:tc>
          <w:tcPr>
            <w:tcW w:w="300" w:type="dxa"/>
            <w:vAlign w:val="bottom"/>
            <w:tcBorders>
              <w:top w:val="single" w:sz="8" w:color="auto"/>
              <w:bottom w:val="single" w:sz="8" w:color="auto"/>
            </w:tcBorders>
            <w:shd w:val="clear" w:color="auto" w:fill="DDDDDD"/>
          </w:tcPr>
          <w:p>
            <w:pPr>
              <w:spacing w:after="0"/>
              <w:rPr>
                <w:sz w:val="18"/>
                <w:szCs w:val="18"/>
                <w:color w:val="auto"/>
              </w:rPr>
            </w:pPr>
          </w:p>
        </w:tc>
        <w:tc>
          <w:tcPr>
            <w:tcW w:w="82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auto"/>
              </w:rPr>
              <w:t>33,978</w:t>
            </w:r>
          </w:p>
        </w:tc>
      </w:tr>
      <w:tr>
        <w:trPr>
          <w:trHeight w:val="195"/>
        </w:trPr>
        <w:tc>
          <w:tcPr>
            <w:tcW w:w="4080" w:type="dxa"/>
            <w:vAlign w:val="bottom"/>
          </w:tcPr>
          <w:p>
            <w:pPr>
              <w:ind w:left="20"/>
              <w:spacing w:after="0"/>
              <w:rPr>
                <w:sz w:val="20"/>
                <w:szCs w:val="20"/>
                <w:color w:val="auto"/>
              </w:rPr>
            </w:pPr>
            <w:r>
              <w:rPr>
                <w:rFonts w:ascii="Arial" w:cs="Arial" w:eastAsia="Arial" w:hAnsi="Arial"/>
                <w:sz w:val="16"/>
                <w:szCs w:val="16"/>
                <w:b w:val="1"/>
                <w:bCs w:val="1"/>
                <w:color w:val="auto"/>
              </w:rPr>
              <w:t>Accumulated other comprehensive income (loss)</w:t>
            </w: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17"/>
        </w:trPr>
        <w:tc>
          <w:tcPr>
            <w:tcW w:w="4080" w:type="dxa"/>
            <w:vAlign w:val="bottom"/>
            <w:shd w:val="clear" w:color="auto" w:fill="DDDDDD"/>
          </w:tcPr>
          <w:p>
            <w:pPr>
              <w:ind w:left="20"/>
              <w:spacing w:after="0"/>
              <w:rPr>
                <w:sz w:val="20"/>
                <w:szCs w:val="20"/>
                <w:color w:val="auto"/>
              </w:rPr>
            </w:pPr>
            <w:r>
              <w:rPr>
                <w:rFonts w:ascii="Arial" w:cs="Arial" w:eastAsia="Arial" w:hAnsi="Arial"/>
                <w:sz w:val="16"/>
                <w:szCs w:val="16"/>
                <w:color w:val="auto"/>
              </w:rPr>
              <w:t>Beginning balance</w:t>
            </w:r>
          </w:p>
        </w:tc>
        <w:tc>
          <w:tcPr>
            <w:tcW w:w="108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280" w:type="dxa"/>
            <w:vAlign w:val="bottom"/>
            <w:shd w:val="clear" w:color="auto" w:fill="DDDDDD"/>
          </w:tcPr>
          <w:p>
            <w:pPr>
              <w:spacing w:after="0"/>
              <w:rPr>
                <w:sz w:val="18"/>
                <w:szCs w:val="18"/>
                <w:color w:val="auto"/>
              </w:rPr>
            </w:pPr>
          </w:p>
        </w:tc>
        <w:tc>
          <w:tcPr>
            <w:tcW w:w="820" w:type="dxa"/>
            <w:vAlign w:val="bottom"/>
            <w:shd w:val="clear" w:color="auto" w:fill="DDDDDD"/>
          </w:tcPr>
          <w:p>
            <w:pPr>
              <w:jc w:val="right"/>
              <w:spacing w:after="0"/>
              <w:rPr>
                <w:sz w:val="20"/>
                <w:szCs w:val="20"/>
                <w:color w:val="auto"/>
              </w:rPr>
            </w:pPr>
            <w:r>
              <w:rPr>
                <w:rFonts w:ascii="Arial" w:cs="Arial" w:eastAsia="Arial" w:hAnsi="Arial"/>
                <w:sz w:val="16"/>
                <w:szCs w:val="16"/>
                <w:color w:val="auto"/>
              </w:rPr>
              <w:t>(3,197)</w:t>
            </w:r>
          </w:p>
        </w:tc>
        <w:tc>
          <w:tcPr>
            <w:tcW w:w="100" w:type="dxa"/>
            <w:vAlign w:val="bottom"/>
            <w:shd w:val="clear" w:color="auto" w:fill="DDDDDD"/>
          </w:tcPr>
          <w:p>
            <w:pPr>
              <w:spacing w:after="0"/>
              <w:rPr>
                <w:sz w:val="18"/>
                <w:szCs w:val="18"/>
                <w:color w:val="auto"/>
              </w:rPr>
            </w:pPr>
          </w:p>
        </w:tc>
        <w:tc>
          <w:tcPr>
            <w:tcW w:w="110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300" w:type="dxa"/>
            <w:vAlign w:val="bottom"/>
            <w:shd w:val="clear" w:color="auto" w:fill="DDDDDD"/>
          </w:tcPr>
          <w:p>
            <w:pPr>
              <w:spacing w:after="0"/>
              <w:rPr>
                <w:sz w:val="18"/>
                <w:szCs w:val="18"/>
                <w:color w:val="auto"/>
              </w:rPr>
            </w:pPr>
          </w:p>
        </w:tc>
        <w:tc>
          <w:tcPr>
            <w:tcW w:w="820" w:type="dxa"/>
            <w:vAlign w:val="bottom"/>
            <w:shd w:val="clear" w:color="auto" w:fill="DDDDDD"/>
          </w:tcPr>
          <w:p>
            <w:pPr>
              <w:jc w:val="right"/>
              <w:spacing w:after="0"/>
              <w:rPr>
                <w:sz w:val="20"/>
                <w:szCs w:val="20"/>
                <w:color w:val="auto"/>
              </w:rPr>
            </w:pPr>
            <w:r>
              <w:rPr>
                <w:rFonts w:ascii="Arial" w:cs="Arial" w:eastAsia="Arial" w:hAnsi="Arial"/>
                <w:sz w:val="16"/>
                <w:szCs w:val="16"/>
                <w:color w:val="auto"/>
              </w:rPr>
              <w:t>(3,437)</w:t>
            </w:r>
          </w:p>
        </w:tc>
        <w:tc>
          <w:tcPr>
            <w:tcW w:w="100" w:type="dxa"/>
            <w:vAlign w:val="bottom"/>
            <w:shd w:val="clear" w:color="auto" w:fill="DDDDDD"/>
          </w:tcPr>
          <w:p>
            <w:pPr>
              <w:spacing w:after="0"/>
              <w:rPr>
                <w:sz w:val="18"/>
                <w:szCs w:val="18"/>
                <w:color w:val="auto"/>
              </w:rPr>
            </w:pPr>
          </w:p>
        </w:tc>
        <w:tc>
          <w:tcPr>
            <w:tcW w:w="200" w:type="dxa"/>
            <w:vAlign w:val="bottom"/>
            <w:shd w:val="clear" w:color="auto" w:fill="DDDDDD"/>
          </w:tcPr>
          <w:p>
            <w:pPr>
              <w:spacing w:after="0"/>
              <w:rPr>
                <w:sz w:val="18"/>
                <w:szCs w:val="18"/>
                <w:color w:val="auto"/>
              </w:rPr>
            </w:pPr>
          </w:p>
        </w:tc>
        <w:tc>
          <w:tcPr>
            <w:tcW w:w="90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300" w:type="dxa"/>
            <w:vAlign w:val="bottom"/>
            <w:shd w:val="clear" w:color="auto" w:fill="DDDDDD"/>
          </w:tcPr>
          <w:p>
            <w:pPr>
              <w:spacing w:after="0"/>
              <w:rPr>
                <w:sz w:val="18"/>
                <w:szCs w:val="18"/>
                <w:color w:val="auto"/>
              </w:rPr>
            </w:pPr>
          </w:p>
        </w:tc>
        <w:tc>
          <w:tcPr>
            <w:tcW w:w="820" w:type="dxa"/>
            <w:vAlign w:val="bottom"/>
            <w:shd w:val="clear" w:color="auto" w:fill="DDDDDD"/>
          </w:tcPr>
          <w:p>
            <w:pPr>
              <w:jc w:val="right"/>
              <w:spacing w:after="0"/>
              <w:rPr>
                <w:sz w:val="20"/>
                <w:szCs w:val="20"/>
                <w:color w:val="auto"/>
              </w:rPr>
            </w:pPr>
            <w:r>
              <w:rPr>
                <w:rFonts w:ascii="Arial" w:cs="Arial" w:eastAsia="Arial" w:hAnsi="Arial"/>
                <w:sz w:val="16"/>
                <w:szCs w:val="16"/>
                <w:color w:val="auto"/>
              </w:rPr>
              <w:t>(2,235)</w:t>
            </w:r>
          </w:p>
        </w:tc>
      </w:tr>
      <w:tr>
        <w:trPr>
          <w:trHeight w:val="213"/>
        </w:trPr>
        <w:tc>
          <w:tcPr>
            <w:tcW w:w="4080" w:type="dxa"/>
            <w:vAlign w:val="bottom"/>
          </w:tcPr>
          <w:p>
            <w:pPr>
              <w:ind w:left="220"/>
              <w:spacing w:after="0"/>
              <w:rPr>
                <w:sz w:val="20"/>
                <w:szCs w:val="20"/>
                <w:color w:val="auto"/>
              </w:rPr>
            </w:pPr>
            <w:r>
              <w:rPr>
                <w:rFonts w:ascii="Arial" w:cs="Arial" w:eastAsia="Arial" w:hAnsi="Arial"/>
                <w:sz w:val="16"/>
                <w:szCs w:val="16"/>
                <w:color w:val="auto"/>
              </w:rPr>
              <w:t>Foreign exchange translation adjustment</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(214)</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(728)</w:t>
            </w:r>
          </w:p>
        </w:tc>
      </w:tr>
      <w:tr>
        <w:trPr>
          <w:trHeight w:val="180"/>
        </w:trPr>
        <w:tc>
          <w:tcPr>
            <w:tcW w:w="4080" w:type="dxa"/>
            <w:vAlign w:val="bottom"/>
            <w:shd w:val="clear" w:color="auto" w:fill="DDDDDD"/>
          </w:tcPr>
          <w:p>
            <w:pPr>
              <w:ind w:left="220"/>
              <w:spacing w:after="0" w:line="181" w:lineRule="exact"/>
              <w:rPr>
                <w:sz w:val="20"/>
                <w:szCs w:val="20"/>
                <w:color w:val="auto"/>
              </w:rPr>
            </w:pPr>
            <w:r>
              <w:rPr>
                <w:rFonts w:ascii="Arial" w:cs="Arial" w:eastAsia="Arial" w:hAnsi="Arial"/>
                <w:sz w:val="16"/>
                <w:szCs w:val="16"/>
                <w:color w:val="auto"/>
              </w:rPr>
              <w:t>Pensions and other postretirement benefit</w:t>
            </w:r>
          </w:p>
        </w:tc>
        <w:tc>
          <w:tcPr>
            <w:tcW w:w="1080" w:type="dxa"/>
            <w:vAlign w:val="bottom"/>
            <w:shd w:val="clear" w:color="auto" w:fill="DDDDDD"/>
          </w:tcPr>
          <w:p>
            <w:pPr>
              <w:spacing w:after="0"/>
              <w:rPr>
                <w:sz w:val="15"/>
                <w:szCs w:val="15"/>
                <w:color w:val="auto"/>
              </w:rPr>
            </w:pPr>
          </w:p>
        </w:tc>
        <w:tc>
          <w:tcPr>
            <w:tcW w:w="120" w:type="dxa"/>
            <w:vAlign w:val="bottom"/>
            <w:shd w:val="clear" w:color="auto" w:fill="DDDDDD"/>
          </w:tcPr>
          <w:p>
            <w:pPr>
              <w:spacing w:after="0"/>
              <w:rPr>
                <w:sz w:val="15"/>
                <w:szCs w:val="15"/>
                <w:color w:val="auto"/>
              </w:rPr>
            </w:pPr>
          </w:p>
        </w:tc>
        <w:tc>
          <w:tcPr>
            <w:tcW w:w="280" w:type="dxa"/>
            <w:vAlign w:val="bottom"/>
            <w:shd w:val="clear" w:color="auto" w:fill="DDDDDD"/>
          </w:tcPr>
          <w:p>
            <w:pPr>
              <w:spacing w:after="0"/>
              <w:rPr>
                <w:sz w:val="15"/>
                <w:szCs w:val="15"/>
                <w:color w:val="auto"/>
              </w:rPr>
            </w:pPr>
          </w:p>
        </w:tc>
        <w:tc>
          <w:tcPr>
            <w:tcW w:w="820" w:type="dxa"/>
            <w:vAlign w:val="bottom"/>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1100" w:type="dxa"/>
            <w:vAlign w:val="bottom"/>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300" w:type="dxa"/>
            <w:vAlign w:val="bottom"/>
            <w:shd w:val="clear" w:color="auto" w:fill="DDDDDD"/>
          </w:tcPr>
          <w:p>
            <w:pPr>
              <w:spacing w:after="0"/>
              <w:rPr>
                <w:sz w:val="15"/>
                <w:szCs w:val="15"/>
                <w:color w:val="auto"/>
              </w:rPr>
            </w:pPr>
          </w:p>
        </w:tc>
        <w:tc>
          <w:tcPr>
            <w:tcW w:w="820" w:type="dxa"/>
            <w:vAlign w:val="bottom"/>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200" w:type="dxa"/>
            <w:vAlign w:val="bottom"/>
            <w:shd w:val="clear" w:color="auto" w:fill="DDDDDD"/>
          </w:tcPr>
          <w:p>
            <w:pPr>
              <w:spacing w:after="0"/>
              <w:rPr>
                <w:sz w:val="15"/>
                <w:szCs w:val="15"/>
                <w:color w:val="auto"/>
              </w:rPr>
            </w:pPr>
          </w:p>
        </w:tc>
        <w:tc>
          <w:tcPr>
            <w:tcW w:w="900" w:type="dxa"/>
            <w:vAlign w:val="bottom"/>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300" w:type="dxa"/>
            <w:vAlign w:val="bottom"/>
            <w:shd w:val="clear" w:color="auto" w:fill="DDDDDD"/>
          </w:tcPr>
          <w:p>
            <w:pPr>
              <w:spacing w:after="0"/>
              <w:rPr>
                <w:sz w:val="15"/>
                <w:szCs w:val="15"/>
                <w:color w:val="auto"/>
              </w:rPr>
            </w:pPr>
          </w:p>
        </w:tc>
        <w:tc>
          <w:tcPr>
            <w:tcW w:w="820" w:type="dxa"/>
            <w:vAlign w:val="bottom"/>
            <w:shd w:val="clear" w:color="auto" w:fill="DDDDDD"/>
          </w:tcPr>
          <w:p>
            <w:pPr>
              <w:spacing w:after="0"/>
              <w:rPr>
                <w:sz w:val="15"/>
                <w:szCs w:val="15"/>
                <w:color w:val="auto"/>
              </w:rPr>
            </w:pPr>
          </w:p>
        </w:tc>
      </w:tr>
      <w:tr>
        <w:trPr>
          <w:trHeight w:val="201"/>
        </w:trPr>
        <w:tc>
          <w:tcPr>
            <w:tcW w:w="4080" w:type="dxa"/>
            <w:vAlign w:val="bottom"/>
            <w:shd w:val="clear" w:color="auto" w:fill="DDDDDD"/>
          </w:tcPr>
          <w:p>
            <w:pPr>
              <w:ind w:left="220"/>
              <w:spacing w:after="0"/>
              <w:rPr>
                <w:sz w:val="20"/>
                <w:szCs w:val="20"/>
                <w:color w:val="auto"/>
              </w:rPr>
            </w:pPr>
            <w:r>
              <w:rPr>
                <w:rFonts w:ascii="Arial" w:cs="Arial" w:eastAsia="Arial" w:hAnsi="Arial"/>
                <w:sz w:val="16"/>
                <w:szCs w:val="16"/>
                <w:color w:val="auto"/>
              </w:rPr>
              <w:t>adjustments</w:t>
            </w:r>
          </w:p>
        </w:tc>
        <w:tc>
          <w:tcPr>
            <w:tcW w:w="108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280" w:type="dxa"/>
            <w:vAlign w:val="bottom"/>
            <w:shd w:val="clear" w:color="auto" w:fill="DDDDDD"/>
          </w:tcPr>
          <w:p>
            <w:pPr>
              <w:spacing w:after="0"/>
              <w:rPr>
                <w:sz w:val="17"/>
                <w:szCs w:val="17"/>
                <w:color w:val="auto"/>
              </w:rPr>
            </w:pPr>
          </w:p>
        </w:tc>
        <w:tc>
          <w:tcPr>
            <w:tcW w:w="820" w:type="dxa"/>
            <w:vAlign w:val="bottom"/>
            <w:shd w:val="clear" w:color="auto" w:fill="DDDDDD"/>
          </w:tcPr>
          <w:p>
            <w:pPr>
              <w:jc w:val="right"/>
              <w:spacing w:after="0"/>
              <w:rPr>
                <w:sz w:val="20"/>
                <w:szCs w:val="20"/>
                <w:color w:val="auto"/>
              </w:rPr>
            </w:pPr>
            <w:r>
              <w:rPr>
                <w:rFonts w:ascii="Arial" w:cs="Arial" w:eastAsia="Arial" w:hAnsi="Arial"/>
                <w:sz w:val="16"/>
                <w:szCs w:val="16"/>
                <w:color w:val="auto"/>
              </w:rPr>
              <w:t>74</w:t>
            </w:r>
          </w:p>
        </w:tc>
        <w:tc>
          <w:tcPr>
            <w:tcW w:w="100" w:type="dxa"/>
            <w:vAlign w:val="bottom"/>
            <w:shd w:val="clear" w:color="auto" w:fill="DDDDDD"/>
          </w:tcPr>
          <w:p>
            <w:pPr>
              <w:spacing w:after="0"/>
              <w:rPr>
                <w:sz w:val="17"/>
                <w:szCs w:val="17"/>
                <w:color w:val="auto"/>
              </w:rPr>
            </w:pPr>
          </w:p>
        </w:tc>
        <w:tc>
          <w:tcPr>
            <w:tcW w:w="110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300" w:type="dxa"/>
            <w:vAlign w:val="bottom"/>
            <w:shd w:val="clear" w:color="auto" w:fill="DDDDDD"/>
          </w:tcPr>
          <w:p>
            <w:pPr>
              <w:spacing w:after="0"/>
              <w:rPr>
                <w:sz w:val="17"/>
                <w:szCs w:val="17"/>
                <w:color w:val="auto"/>
              </w:rPr>
            </w:pPr>
          </w:p>
        </w:tc>
        <w:tc>
          <w:tcPr>
            <w:tcW w:w="820" w:type="dxa"/>
            <w:vAlign w:val="bottom"/>
            <w:shd w:val="clear" w:color="auto" w:fill="DDDDDD"/>
          </w:tcPr>
          <w:p>
            <w:pPr>
              <w:jc w:val="right"/>
              <w:spacing w:after="0"/>
              <w:rPr>
                <w:sz w:val="20"/>
                <w:szCs w:val="20"/>
                <w:color w:val="auto"/>
              </w:rPr>
            </w:pPr>
            <w:r>
              <w:rPr>
                <w:rFonts w:ascii="Arial" w:cs="Arial" w:eastAsia="Arial" w:hAnsi="Arial"/>
                <w:sz w:val="16"/>
                <w:szCs w:val="16"/>
                <w:color w:val="auto"/>
              </w:rPr>
              <w:t>86</w:t>
            </w:r>
          </w:p>
        </w:tc>
        <w:tc>
          <w:tcPr>
            <w:tcW w:w="100" w:type="dxa"/>
            <w:vAlign w:val="bottom"/>
            <w:shd w:val="clear" w:color="auto" w:fill="DDDDDD"/>
          </w:tcPr>
          <w:p>
            <w:pPr>
              <w:spacing w:after="0"/>
              <w:rPr>
                <w:sz w:val="17"/>
                <w:szCs w:val="17"/>
                <w:color w:val="auto"/>
              </w:rPr>
            </w:pPr>
          </w:p>
        </w:tc>
        <w:tc>
          <w:tcPr>
            <w:tcW w:w="200" w:type="dxa"/>
            <w:vAlign w:val="bottom"/>
            <w:shd w:val="clear" w:color="auto" w:fill="DDDDDD"/>
          </w:tcPr>
          <w:p>
            <w:pPr>
              <w:spacing w:after="0"/>
              <w:rPr>
                <w:sz w:val="17"/>
                <w:szCs w:val="17"/>
                <w:color w:val="auto"/>
              </w:rPr>
            </w:pPr>
          </w:p>
        </w:tc>
        <w:tc>
          <w:tcPr>
            <w:tcW w:w="90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300" w:type="dxa"/>
            <w:vAlign w:val="bottom"/>
            <w:shd w:val="clear" w:color="auto" w:fill="DDDDDD"/>
          </w:tcPr>
          <w:p>
            <w:pPr>
              <w:spacing w:after="0"/>
              <w:rPr>
                <w:sz w:val="17"/>
                <w:szCs w:val="17"/>
                <w:color w:val="auto"/>
              </w:rPr>
            </w:pPr>
          </w:p>
        </w:tc>
        <w:tc>
          <w:tcPr>
            <w:tcW w:w="820" w:type="dxa"/>
            <w:vAlign w:val="bottom"/>
            <w:shd w:val="clear" w:color="auto" w:fill="DDDDDD"/>
          </w:tcPr>
          <w:p>
            <w:pPr>
              <w:jc w:val="right"/>
              <w:spacing w:after="0"/>
              <w:rPr>
                <w:sz w:val="20"/>
                <w:szCs w:val="20"/>
                <w:color w:val="auto"/>
              </w:rPr>
            </w:pPr>
            <w:r>
              <w:rPr>
                <w:rFonts w:ascii="Arial" w:cs="Arial" w:eastAsia="Arial" w:hAnsi="Arial"/>
                <w:sz w:val="16"/>
                <w:szCs w:val="16"/>
                <w:color w:val="auto"/>
              </w:rPr>
              <w:t>(559)</w:t>
            </w:r>
          </w:p>
        </w:tc>
      </w:tr>
      <w:tr>
        <w:trPr>
          <w:trHeight w:val="177"/>
        </w:trPr>
        <w:tc>
          <w:tcPr>
            <w:tcW w:w="4080" w:type="dxa"/>
            <w:vAlign w:val="bottom"/>
          </w:tcPr>
          <w:p>
            <w:pPr>
              <w:ind w:left="220"/>
              <w:spacing w:after="0" w:line="178" w:lineRule="exact"/>
              <w:rPr>
                <w:sz w:val="20"/>
                <w:szCs w:val="20"/>
                <w:color w:val="auto"/>
              </w:rPr>
            </w:pPr>
            <w:r>
              <w:rPr>
                <w:rFonts w:ascii="Arial" w:cs="Arial" w:eastAsia="Arial" w:hAnsi="Arial"/>
                <w:sz w:val="16"/>
                <w:szCs w:val="16"/>
                <w:color w:val="auto"/>
              </w:rPr>
              <w:t>Changes in fair value of available for sale</w:t>
            </w: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98"/>
        </w:trPr>
        <w:tc>
          <w:tcPr>
            <w:tcW w:w="4080" w:type="dxa"/>
            <w:vAlign w:val="bottom"/>
          </w:tcPr>
          <w:p>
            <w:pPr>
              <w:ind w:left="220"/>
              <w:spacing w:after="0"/>
              <w:rPr>
                <w:sz w:val="20"/>
                <w:szCs w:val="20"/>
                <w:color w:val="auto"/>
              </w:rPr>
            </w:pPr>
            <w:r>
              <w:rPr>
                <w:rFonts w:ascii="Arial" w:cs="Arial" w:eastAsia="Arial" w:hAnsi="Arial"/>
                <w:sz w:val="16"/>
                <w:szCs w:val="16"/>
                <w:color w:val="auto"/>
              </w:rPr>
              <w:t>investments</w:t>
            </w: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3"/>
          </w:tcPr>
          <w:p>
            <w:pPr>
              <w:jc w:val="right"/>
              <w:ind w:right="380"/>
              <w:spacing w:after="0"/>
              <w:rPr>
                <w:sz w:val="20"/>
                <w:szCs w:val="20"/>
                <w:color w:val="auto"/>
              </w:rPr>
            </w:pPr>
            <w:r>
              <w:rPr>
                <w:rFonts w:ascii="Arial" w:cs="Arial" w:eastAsia="Arial" w:hAnsi="Arial"/>
                <w:sz w:val="16"/>
                <w:szCs w:val="16"/>
                <w:color w:val="auto"/>
              </w:rPr>
              <w:t>—</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4080" w:type="dxa"/>
            <w:vAlign w:val="bottom"/>
            <w:shd w:val="clear" w:color="auto" w:fill="DDDDDD"/>
          </w:tcPr>
          <w:p>
            <w:pPr>
              <w:ind w:left="220"/>
              <w:spacing w:after="0"/>
              <w:rPr>
                <w:sz w:val="20"/>
                <w:szCs w:val="20"/>
                <w:color w:val="auto"/>
              </w:rPr>
            </w:pPr>
            <w:r>
              <w:rPr>
                <w:rFonts w:ascii="Arial" w:cs="Arial" w:eastAsia="Arial" w:hAnsi="Arial"/>
                <w:sz w:val="16"/>
                <w:szCs w:val="16"/>
                <w:color w:val="auto"/>
              </w:rPr>
              <w:t>Changes in fair value of cash flow hedges</w:t>
            </w:r>
          </w:p>
        </w:tc>
        <w:tc>
          <w:tcPr>
            <w:tcW w:w="108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280" w:type="dxa"/>
            <w:vAlign w:val="bottom"/>
            <w:tcBorders>
              <w:bottom w:val="single" w:sz="8" w:color="auto"/>
            </w:tcBorders>
            <w:shd w:val="clear" w:color="auto" w:fill="DDDDDD"/>
          </w:tcPr>
          <w:p>
            <w:pPr>
              <w:spacing w:after="0"/>
              <w:rPr>
                <w:sz w:val="18"/>
                <w:szCs w:val="18"/>
                <w:color w:val="auto"/>
              </w:rPr>
            </w:pPr>
          </w:p>
        </w:tc>
        <w:tc>
          <w:tcPr>
            <w:tcW w:w="8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auto"/>
              </w:rPr>
              <w:t>(44)</w:t>
            </w:r>
          </w:p>
        </w:tc>
        <w:tc>
          <w:tcPr>
            <w:tcW w:w="100" w:type="dxa"/>
            <w:vAlign w:val="bottom"/>
            <w:shd w:val="clear" w:color="auto" w:fill="DDDDDD"/>
          </w:tcPr>
          <w:p>
            <w:pPr>
              <w:spacing w:after="0"/>
              <w:rPr>
                <w:sz w:val="18"/>
                <w:szCs w:val="18"/>
                <w:color w:val="auto"/>
              </w:rPr>
            </w:pPr>
          </w:p>
        </w:tc>
        <w:tc>
          <w:tcPr>
            <w:tcW w:w="110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300" w:type="dxa"/>
            <w:vAlign w:val="bottom"/>
            <w:tcBorders>
              <w:bottom w:val="single" w:sz="8" w:color="auto"/>
            </w:tcBorders>
            <w:shd w:val="clear" w:color="auto" w:fill="DDDDDD"/>
          </w:tcPr>
          <w:p>
            <w:pPr>
              <w:spacing w:after="0"/>
              <w:rPr>
                <w:sz w:val="18"/>
                <w:szCs w:val="18"/>
                <w:color w:val="auto"/>
              </w:rPr>
            </w:pPr>
          </w:p>
        </w:tc>
        <w:tc>
          <w:tcPr>
            <w:tcW w:w="8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DDDDDD"/>
          </w:tcPr>
          <w:p>
            <w:pPr>
              <w:spacing w:after="0"/>
              <w:rPr>
                <w:sz w:val="18"/>
                <w:szCs w:val="18"/>
                <w:color w:val="auto"/>
              </w:rPr>
            </w:pPr>
          </w:p>
        </w:tc>
        <w:tc>
          <w:tcPr>
            <w:tcW w:w="200" w:type="dxa"/>
            <w:vAlign w:val="bottom"/>
            <w:shd w:val="clear" w:color="auto" w:fill="DDDDDD"/>
          </w:tcPr>
          <w:p>
            <w:pPr>
              <w:spacing w:after="0"/>
              <w:rPr>
                <w:sz w:val="18"/>
                <w:szCs w:val="18"/>
                <w:color w:val="auto"/>
              </w:rPr>
            </w:pPr>
          </w:p>
        </w:tc>
        <w:tc>
          <w:tcPr>
            <w:tcW w:w="90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300" w:type="dxa"/>
            <w:vAlign w:val="bottom"/>
            <w:tcBorders>
              <w:bottom w:val="single" w:sz="8" w:color="auto"/>
            </w:tcBorders>
            <w:shd w:val="clear" w:color="auto" w:fill="DDDDDD"/>
          </w:tcPr>
          <w:p>
            <w:pPr>
              <w:spacing w:after="0"/>
              <w:rPr>
                <w:sz w:val="18"/>
                <w:szCs w:val="18"/>
                <w:color w:val="auto"/>
              </w:rPr>
            </w:pPr>
          </w:p>
        </w:tc>
        <w:tc>
          <w:tcPr>
            <w:tcW w:w="8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auto"/>
              </w:rPr>
              <w:t>85</w:t>
            </w:r>
          </w:p>
        </w:tc>
      </w:tr>
      <w:tr>
        <w:trPr>
          <w:trHeight w:val="209"/>
        </w:trPr>
        <w:tc>
          <w:tcPr>
            <w:tcW w:w="4080" w:type="dxa"/>
            <w:vAlign w:val="bottom"/>
            <w:tcBorders>
              <w:bottom w:val="single" w:sz="8" w:color="DDDDDD"/>
            </w:tcBorders>
          </w:tcPr>
          <w:p>
            <w:pPr>
              <w:ind w:left="20"/>
              <w:spacing w:after="0"/>
              <w:rPr>
                <w:sz w:val="20"/>
                <w:szCs w:val="20"/>
                <w:color w:val="auto"/>
              </w:rPr>
            </w:pPr>
            <w:r>
              <w:rPr>
                <w:rFonts w:ascii="Arial" w:cs="Arial" w:eastAsia="Arial" w:hAnsi="Arial"/>
                <w:sz w:val="16"/>
                <w:szCs w:val="16"/>
                <w:color w:val="auto"/>
              </w:rPr>
              <w:t>Ending balance</w:t>
            </w:r>
          </w:p>
        </w:tc>
        <w:tc>
          <w:tcPr>
            <w:tcW w:w="1080" w:type="dxa"/>
            <w:vAlign w:val="bottom"/>
            <w:tcBorders>
              <w:bottom w:val="single" w:sz="8" w:color="DDDDDD"/>
            </w:tcBorders>
          </w:tcPr>
          <w:p>
            <w:pPr>
              <w:spacing w:after="0"/>
              <w:rPr>
                <w:sz w:val="18"/>
                <w:szCs w:val="18"/>
                <w:color w:val="auto"/>
              </w:rPr>
            </w:pPr>
          </w:p>
        </w:tc>
        <w:tc>
          <w:tcPr>
            <w:tcW w:w="120" w:type="dxa"/>
            <w:vAlign w:val="bottom"/>
            <w:tcBorders>
              <w:bottom w:val="single" w:sz="8" w:color="DDDDDD"/>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(3,377)</w:t>
            </w:r>
          </w:p>
        </w:tc>
        <w:tc>
          <w:tcPr>
            <w:tcW w:w="100" w:type="dxa"/>
            <w:vAlign w:val="bottom"/>
            <w:tcBorders>
              <w:bottom w:val="single" w:sz="8" w:color="DDDDDD"/>
            </w:tcBorders>
          </w:tcPr>
          <w:p>
            <w:pPr>
              <w:spacing w:after="0"/>
              <w:rPr>
                <w:sz w:val="18"/>
                <w:szCs w:val="18"/>
                <w:color w:val="auto"/>
              </w:rPr>
            </w:pPr>
          </w:p>
        </w:tc>
        <w:tc>
          <w:tcPr>
            <w:tcW w:w="1100" w:type="dxa"/>
            <w:vAlign w:val="bottom"/>
            <w:tcBorders>
              <w:bottom w:val="single" w:sz="8" w:color="DDDDDD"/>
            </w:tcBorders>
          </w:tcPr>
          <w:p>
            <w:pPr>
              <w:spacing w:after="0"/>
              <w:rPr>
                <w:sz w:val="18"/>
                <w:szCs w:val="18"/>
                <w:color w:val="auto"/>
              </w:rPr>
            </w:pPr>
          </w:p>
        </w:tc>
        <w:tc>
          <w:tcPr>
            <w:tcW w:w="100" w:type="dxa"/>
            <w:vAlign w:val="bottom"/>
            <w:tcBorders>
              <w:bottom w:val="single" w:sz="8" w:color="DDDDDD"/>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(3,197)</w:t>
            </w:r>
          </w:p>
        </w:tc>
        <w:tc>
          <w:tcPr>
            <w:tcW w:w="100" w:type="dxa"/>
            <w:vAlign w:val="bottom"/>
            <w:tcBorders>
              <w:bottom w:val="single" w:sz="8" w:color="DDDDDD"/>
            </w:tcBorders>
          </w:tcPr>
          <w:p>
            <w:pPr>
              <w:spacing w:after="0"/>
              <w:rPr>
                <w:sz w:val="18"/>
                <w:szCs w:val="18"/>
                <w:color w:val="auto"/>
              </w:rPr>
            </w:pPr>
          </w:p>
        </w:tc>
        <w:tc>
          <w:tcPr>
            <w:tcW w:w="200" w:type="dxa"/>
            <w:vAlign w:val="bottom"/>
            <w:tcBorders>
              <w:bottom w:val="single" w:sz="8" w:color="DDDDDD"/>
            </w:tcBorders>
          </w:tcPr>
          <w:p>
            <w:pPr>
              <w:spacing w:after="0"/>
              <w:rPr>
                <w:sz w:val="18"/>
                <w:szCs w:val="18"/>
                <w:color w:val="auto"/>
              </w:rPr>
            </w:pPr>
          </w:p>
        </w:tc>
        <w:tc>
          <w:tcPr>
            <w:tcW w:w="900" w:type="dxa"/>
            <w:vAlign w:val="bottom"/>
            <w:tcBorders>
              <w:bottom w:val="single" w:sz="8" w:color="DDDDDD"/>
            </w:tcBorders>
          </w:tcPr>
          <w:p>
            <w:pPr>
              <w:spacing w:after="0"/>
              <w:rPr>
                <w:sz w:val="18"/>
                <w:szCs w:val="18"/>
                <w:color w:val="auto"/>
              </w:rPr>
            </w:pPr>
          </w:p>
        </w:tc>
        <w:tc>
          <w:tcPr>
            <w:tcW w:w="100" w:type="dxa"/>
            <w:vAlign w:val="bottom"/>
            <w:tcBorders>
              <w:bottom w:val="single" w:sz="8" w:color="DDDDDD"/>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(3,437)</w:t>
            </w:r>
          </w:p>
        </w:tc>
      </w:tr>
      <w:tr>
        <w:trPr>
          <w:trHeight w:val="199"/>
        </w:trPr>
        <w:tc>
          <w:tcPr>
            <w:tcW w:w="4080" w:type="dxa"/>
            <w:vAlign w:val="bottom"/>
            <w:shd w:val="clear" w:color="auto" w:fill="DDDDDD"/>
          </w:tcPr>
          <w:p>
            <w:pPr>
              <w:ind w:left="20"/>
              <w:spacing w:after="0"/>
              <w:rPr>
                <w:sz w:val="20"/>
                <w:szCs w:val="20"/>
                <w:color w:val="auto"/>
              </w:rPr>
            </w:pPr>
            <w:r>
              <w:rPr>
                <w:rFonts w:ascii="Arial" w:cs="Arial" w:eastAsia="Arial" w:hAnsi="Arial"/>
                <w:sz w:val="16"/>
                <w:szCs w:val="16"/>
                <w:b w:val="1"/>
                <w:bCs w:val="1"/>
                <w:color w:val="auto"/>
              </w:rPr>
              <w:t>Noncontrolling interest</w:t>
            </w:r>
          </w:p>
        </w:tc>
        <w:tc>
          <w:tcPr>
            <w:tcW w:w="108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280" w:type="dxa"/>
            <w:vAlign w:val="bottom"/>
            <w:shd w:val="clear" w:color="auto" w:fill="DDDDDD"/>
          </w:tcPr>
          <w:p>
            <w:pPr>
              <w:spacing w:after="0"/>
              <w:rPr>
                <w:sz w:val="17"/>
                <w:szCs w:val="17"/>
                <w:color w:val="auto"/>
              </w:rPr>
            </w:pPr>
          </w:p>
        </w:tc>
        <w:tc>
          <w:tcPr>
            <w:tcW w:w="82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110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300" w:type="dxa"/>
            <w:vAlign w:val="bottom"/>
            <w:shd w:val="clear" w:color="auto" w:fill="DDDDDD"/>
          </w:tcPr>
          <w:p>
            <w:pPr>
              <w:spacing w:after="0"/>
              <w:rPr>
                <w:sz w:val="17"/>
                <w:szCs w:val="17"/>
                <w:color w:val="auto"/>
              </w:rPr>
            </w:pPr>
          </w:p>
        </w:tc>
        <w:tc>
          <w:tcPr>
            <w:tcW w:w="82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200" w:type="dxa"/>
            <w:vAlign w:val="bottom"/>
            <w:shd w:val="clear" w:color="auto" w:fill="DDDDDD"/>
          </w:tcPr>
          <w:p>
            <w:pPr>
              <w:spacing w:after="0"/>
              <w:rPr>
                <w:sz w:val="17"/>
                <w:szCs w:val="17"/>
                <w:color w:val="auto"/>
              </w:rPr>
            </w:pPr>
          </w:p>
        </w:tc>
        <w:tc>
          <w:tcPr>
            <w:tcW w:w="90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300" w:type="dxa"/>
            <w:vAlign w:val="bottom"/>
            <w:shd w:val="clear" w:color="auto" w:fill="DDDDDD"/>
          </w:tcPr>
          <w:p>
            <w:pPr>
              <w:spacing w:after="0"/>
              <w:rPr>
                <w:sz w:val="17"/>
                <w:szCs w:val="17"/>
                <w:color w:val="auto"/>
              </w:rPr>
            </w:pPr>
          </w:p>
        </w:tc>
        <w:tc>
          <w:tcPr>
            <w:tcW w:w="820" w:type="dxa"/>
            <w:vAlign w:val="bottom"/>
            <w:shd w:val="clear" w:color="auto" w:fill="DDDDDD"/>
          </w:tcPr>
          <w:p>
            <w:pPr>
              <w:spacing w:after="0"/>
              <w:rPr>
                <w:sz w:val="17"/>
                <w:szCs w:val="17"/>
                <w:color w:val="auto"/>
              </w:rPr>
            </w:pPr>
          </w:p>
        </w:tc>
      </w:tr>
      <w:tr>
        <w:trPr>
          <w:trHeight w:val="213"/>
        </w:trPr>
        <w:tc>
          <w:tcPr>
            <w:tcW w:w="4080" w:type="dxa"/>
            <w:vAlign w:val="bottom"/>
          </w:tcPr>
          <w:p>
            <w:pPr>
              <w:ind w:left="20"/>
              <w:spacing w:after="0"/>
              <w:rPr>
                <w:sz w:val="20"/>
                <w:szCs w:val="20"/>
                <w:color w:val="auto"/>
              </w:rPr>
            </w:pPr>
            <w:r>
              <w:rPr>
                <w:rFonts w:ascii="Arial" w:cs="Arial" w:eastAsia="Arial" w:hAnsi="Arial"/>
                <w:sz w:val="16"/>
                <w:szCs w:val="16"/>
                <w:color w:val="auto"/>
              </w:rPr>
              <w:t>Beginning balance</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212</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163</w:t>
            </w:r>
          </w:p>
        </w:tc>
      </w:tr>
      <w:tr>
        <w:trPr>
          <w:trHeight w:val="219"/>
        </w:trPr>
        <w:tc>
          <w:tcPr>
            <w:tcW w:w="4080" w:type="dxa"/>
            <w:vAlign w:val="bottom"/>
            <w:shd w:val="clear" w:color="auto" w:fill="DDDDDD"/>
          </w:tcPr>
          <w:p>
            <w:pPr>
              <w:ind w:left="220"/>
              <w:spacing w:after="0"/>
              <w:rPr>
                <w:sz w:val="20"/>
                <w:szCs w:val="20"/>
                <w:color w:val="auto"/>
              </w:rPr>
            </w:pPr>
            <w:r>
              <w:rPr>
                <w:rFonts w:ascii="Arial" w:cs="Arial" w:eastAsia="Arial" w:hAnsi="Arial"/>
                <w:sz w:val="16"/>
                <w:szCs w:val="16"/>
                <w:color w:val="auto"/>
              </w:rPr>
              <w:t>Acquisitions, divestitures, and other</w:t>
            </w:r>
          </w:p>
        </w:tc>
        <w:tc>
          <w:tcPr>
            <w:tcW w:w="108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280" w:type="dxa"/>
            <w:vAlign w:val="bottom"/>
            <w:shd w:val="clear" w:color="auto" w:fill="DDDDDD"/>
          </w:tcPr>
          <w:p>
            <w:pPr>
              <w:spacing w:after="0"/>
              <w:rPr>
                <w:sz w:val="19"/>
                <w:szCs w:val="19"/>
                <w:color w:val="auto"/>
              </w:rPr>
            </w:pPr>
          </w:p>
        </w:tc>
        <w:tc>
          <w:tcPr>
            <w:tcW w:w="820" w:type="dxa"/>
            <w:vAlign w:val="bottom"/>
            <w:shd w:val="clear" w:color="auto" w:fill="DDDDDD"/>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DDDDDD"/>
          </w:tcPr>
          <w:p>
            <w:pPr>
              <w:spacing w:after="0"/>
              <w:rPr>
                <w:sz w:val="19"/>
                <w:szCs w:val="19"/>
                <w:color w:val="auto"/>
              </w:rPr>
            </w:pPr>
          </w:p>
        </w:tc>
        <w:tc>
          <w:tcPr>
            <w:tcW w:w="110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300" w:type="dxa"/>
            <w:vAlign w:val="bottom"/>
            <w:shd w:val="clear" w:color="auto" w:fill="DDDDDD"/>
          </w:tcPr>
          <w:p>
            <w:pPr>
              <w:spacing w:after="0"/>
              <w:rPr>
                <w:sz w:val="19"/>
                <w:szCs w:val="19"/>
                <w:color w:val="auto"/>
              </w:rPr>
            </w:pPr>
          </w:p>
        </w:tc>
        <w:tc>
          <w:tcPr>
            <w:tcW w:w="820" w:type="dxa"/>
            <w:vAlign w:val="bottom"/>
            <w:shd w:val="clear" w:color="auto" w:fill="DDDDDD"/>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DDDDDD"/>
          </w:tcPr>
          <w:p>
            <w:pPr>
              <w:spacing w:after="0"/>
              <w:rPr>
                <w:sz w:val="19"/>
                <w:szCs w:val="19"/>
                <w:color w:val="auto"/>
              </w:rPr>
            </w:pPr>
          </w:p>
        </w:tc>
        <w:tc>
          <w:tcPr>
            <w:tcW w:w="200" w:type="dxa"/>
            <w:vAlign w:val="bottom"/>
            <w:shd w:val="clear" w:color="auto" w:fill="DDDDDD"/>
          </w:tcPr>
          <w:p>
            <w:pPr>
              <w:spacing w:after="0"/>
              <w:rPr>
                <w:sz w:val="19"/>
                <w:szCs w:val="19"/>
                <w:color w:val="auto"/>
              </w:rPr>
            </w:pPr>
          </w:p>
        </w:tc>
        <w:tc>
          <w:tcPr>
            <w:tcW w:w="90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300" w:type="dxa"/>
            <w:vAlign w:val="bottom"/>
            <w:shd w:val="clear" w:color="auto" w:fill="DDDDDD"/>
          </w:tcPr>
          <w:p>
            <w:pPr>
              <w:spacing w:after="0"/>
              <w:rPr>
                <w:sz w:val="19"/>
                <w:szCs w:val="19"/>
                <w:color w:val="auto"/>
              </w:rPr>
            </w:pPr>
          </w:p>
        </w:tc>
        <w:tc>
          <w:tcPr>
            <w:tcW w:w="820" w:type="dxa"/>
            <w:vAlign w:val="bottom"/>
            <w:shd w:val="clear" w:color="auto" w:fill="DDDDDD"/>
          </w:tcPr>
          <w:p>
            <w:pPr>
              <w:jc w:val="right"/>
              <w:spacing w:after="0"/>
              <w:rPr>
                <w:sz w:val="20"/>
                <w:szCs w:val="20"/>
                <w:color w:val="auto"/>
              </w:rPr>
            </w:pPr>
            <w:r>
              <w:rPr>
                <w:rFonts w:ascii="Arial" w:cs="Arial" w:eastAsia="Arial" w:hAnsi="Arial"/>
                <w:sz w:val="16"/>
                <w:szCs w:val="16"/>
                <w:color w:val="auto"/>
              </w:rPr>
              <w:t>(12)</w:t>
            </w:r>
          </w:p>
        </w:tc>
      </w:tr>
      <w:tr>
        <w:trPr>
          <w:trHeight w:val="213"/>
        </w:trPr>
        <w:tc>
          <w:tcPr>
            <w:tcW w:w="4080" w:type="dxa"/>
            <w:vAlign w:val="bottom"/>
          </w:tcPr>
          <w:p>
            <w:pPr>
              <w:ind w:left="220"/>
              <w:spacing w:after="0"/>
              <w:rPr>
                <w:sz w:val="20"/>
                <w:szCs w:val="20"/>
                <w:color w:val="auto"/>
              </w:rPr>
            </w:pPr>
            <w:r>
              <w:rPr>
                <w:rFonts w:ascii="Arial" w:cs="Arial" w:eastAsia="Arial" w:hAnsi="Arial"/>
                <w:sz w:val="16"/>
                <w:szCs w:val="16"/>
                <w:color w:val="auto"/>
              </w:rPr>
              <w:t>Net income attributable to noncontrolling interest</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63</w:t>
            </w:r>
          </w:p>
        </w:tc>
      </w:tr>
      <w:tr>
        <w:trPr>
          <w:trHeight w:val="219"/>
        </w:trPr>
        <w:tc>
          <w:tcPr>
            <w:tcW w:w="4080" w:type="dxa"/>
            <w:vAlign w:val="bottom"/>
            <w:shd w:val="clear" w:color="auto" w:fill="DDDDDD"/>
          </w:tcPr>
          <w:p>
            <w:pPr>
              <w:ind w:left="220"/>
              <w:spacing w:after="0"/>
              <w:rPr>
                <w:sz w:val="20"/>
                <w:szCs w:val="20"/>
                <w:color w:val="auto"/>
              </w:rPr>
            </w:pPr>
            <w:r>
              <w:rPr>
                <w:rFonts w:ascii="Arial" w:cs="Arial" w:eastAsia="Arial" w:hAnsi="Arial"/>
                <w:sz w:val="16"/>
                <w:szCs w:val="16"/>
                <w:color w:val="auto"/>
              </w:rPr>
              <w:t>Foreign exchange translation adjustment</w:t>
            </w:r>
          </w:p>
        </w:tc>
        <w:tc>
          <w:tcPr>
            <w:tcW w:w="108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280" w:type="dxa"/>
            <w:vAlign w:val="bottom"/>
            <w:shd w:val="clear" w:color="auto" w:fill="DDDDDD"/>
          </w:tcPr>
          <w:p>
            <w:pPr>
              <w:spacing w:after="0"/>
              <w:rPr>
                <w:sz w:val="19"/>
                <w:szCs w:val="19"/>
                <w:color w:val="auto"/>
              </w:rPr>
            </w:pPr>
          </w:p>
        </w:tc>
        <w:tc>
          <w:tcPr>
            <w:tcW w:w="820" w:type="dxa"/>
            <w:vAlign w:val="bottom"/>
            <w:shd w:val="clear" w:color="auto" w:fill="DDDDDD"/>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DDDDDD"/>
          </w:tcPr>
          <w:p>
            <w:pPr>
              <w:spacing w:after="0"/>
              <w:rPr>
                <w:sz w:val="19"/>
                <w:szCs w:val="19"/>
                <w:color w:val="auto"/>
              </w:rPr>
            </w:pPr>
          </w:p>
        </w:tc>
        <w:tc>
          <w:tcPr>
            <w:tcW w:w="110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300" w:type="dxa"/>
            <w:vAlign w:val="bottom"/>
            <w:shd w:val="clear" w:color="auto" w:fill="DDDDDD"/>
          </w:tcPr>
          <w:p>
            <w:pPr>
              <w:spacing w:after="0"/>
              <w:rPr>
                <w:sz w:val="19"/>
                <w:szCs w:val="19"/>
                <w:color w:val="auto"/>
              </w:rPr>
            </w:pPr>
          </w:p>
        </w:tc>
        <w:tc>
          <w:tcPr>
            <w:tcW w:w="820" w:type="dxa"/>
            <w:vAlign w:val="bottom"/>
            <w:shd w:val="clear" w:color="auto" w:fill="DDDDDD"/>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DDDDDD"/>
          </w:tcPr>
          <w:p>
            <w:pPr>
              <w:spacing w:after="0"/>
              <w:rPr>
                <w:sz w:val="19"/>
                <w:szCs w:val="19"/>
                <w:color w:val="auto"/>
              </w:rPr>
            </w:pPr>
          </w:p>
        </w:tc>
        <w:tc>
          <w:tcPr>
            <w:tcW w:w="200" w:type="dxa"/>
            <w:vAlign w:val="bottom"/>
            <w:shd w:val="clear" w:color="auto" w:fill="DDDDDD"/>
          </w:tcPr>
          <w:p>
            <w:pPr>
              <w:spacing w:after="0"/>
              <w:rPr>
                <w:sz w:val="19"/>
                <w:szCs w:val="19"/>
                <w:color w:val="auto"/>
              </w:rPr>
            </w:pPr>
          </w:p>
        </w:tc>
        <w:tc>
          <w:tcPr>
            <w:tcW w:w="90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300" w:type="dxa"/>
            <w:vAlign w:val="bottom"/>
            <w:shd w:val="clear" w:color="auto" w:fill="DDDDDD"/>
          </w:tcPr>
          <w:p>
            <w:pPr>
              <w:spacing w:after="0"/>
              <w:rPr>
                <w:sz w:val="19"/>
                <w:szCs w:val="19"/>
                <w:color w:val="auto"/>
              </w:rPr>
            </w:pPr>
          </w:p>
        </w:tc>
        <w:tc>
          <w:tcPr>
            <w:tcW w:w="820" w:type="dxa"/>
            <w:vAlign w:val="bottom"/>
            <w:shd w:val="clear" w:color="auto" w:fill="DDDDDD"/>
          </w:tcPr>
          <w:p>
            <w:pPr>
              <w:jc w:val="right"/>
              <w:spacing w:after="0"/>
              <w:rPr>
                <w:sz w:val="20"/>
                <w:szCs w:val="20"/>
                <w:color w:val="auto"/>
              </w:rPr>
            </w:pPr>
            <w:r>
              <w:rPr>
                <w:rFonts w:ascii="Arial" w:cs="Arial" w:eastAsia="Arial" w:hAnsi="Arial"/>
                <w:sz w:val="16"/>
                <w:szCs w:val="16"/>
                <w:color w:val="auto"/>
              </w:rPr>
              <w:t>(10)</w:t>
            </w:r>
          </w:p>
        </w:tc>
      </w:tr>
      <w:tr>
        <w:trPr>
          <w:trHeight w:val="213"/>
        </w:trPr>
        <w:tc>
          <w:tcPr>
            <w:tcW w:w="4080" w:type="dxa"/>
            <w:vAlign w:val="bottom"/>
            <w:tcBorders>
              <w:bottom w:val="single" w:sz="8" w:color="DDDDDD"/>
            </w:tcBorders>
          </w:tcPr>
          <w:p>
            <w:pPr>
              <w:ind w:left="220"/>
              <w:spacing w:after="0"/>
              <w:rPr>
                <w:sz w:val="20"/>
                <w:szCs w:val="20"/>
                <w:color w:val="auto"/>
              </w:rPr>
            </w:pPr>
            <w:r>
              <w:rPr>
                <w:rFonts w:ascii="Arial" w:cs="Arial" w:eastAsia="Arial" w:hAnsi="Arial"/>
                <w:sz w:val="16"/>
                <w:szCs w:val="16"/>
                <w:color w:val="auto"/>
              </w:rPr>
              <w:t>Dividends paid</w:t>
            </w:r>
          </w:p>
        </w:tc>
        <w:tc>
          <w:tcPr>
            <w:tcW w:w="1080" w:type="dxa"/>
            <w:vAlign w:val="bottom"/>
            <w:tcBorders>
              <w:bottom w:val="single" w:sz="8" w:color="DDDDDD"/>
            </w:tcBorders>
          </w:tcPr>
          <w:p>
            <w:pPr>
              <w:spacing w:after="0"/>
              <w:rPr>
                <w:sz w:val="18"/>
                <w:szCs w:val="18"/>
                <w:color w:val="auto"/>
              </w:rPr>
            </w:pPr>
          </w:p>
        </w:tc>
        <w:tc>
          <w:tcPr>
            <w:tcW w:w="120" w:type="dxa"/>
            <w:vAlign w:val="bottom"/>
            <w:tcBorders>
              <w:bottom w:val="single" w:sz="8" w:color="DDDDDD"/>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w:t>
            </w:r>
          </w:p>
        </w:tc>
        <w:tc>
          <w:tcPr>
            <w:tcW w:w="100" w:type="dxa"/>
            <w:vAlign w:val="bottom"/>
            <w:tcBorders>
              <w:bottom w:val="single" w:sz="8" w:color="DDDDDD"/>
            </w:tcBorders>
          </w:tcPr>
          <w:p>
            <w:pPr>
              <w:spacing w:after="0"/>
              <w:rPr>
                <w:sz w:val="18"/>
                <w:szCs w:val="18"/>
                <w:color w:val="auto"/>
              </w:rPr>
            </w:pPr>
          </w:p>
        </w:tc>
        <w:tc>
          <w:tcPr>
            <w:tcW w:w="1100" w:type="dxa"/>
            <w:vAlign w:val="bottom"/>
            <w:tcBorders>
              <w:bottom w:val="single" w:sz="8" w:color="DDDDDD"/>
            </w:tcBorders>
          </w:tcPr>
          <w:p>
            <w:pPr>
              <w:spacing w:after="0"/>
              <w:rPr>
                <w:sz w:val="18"/>
                <w:szCs w:val="18"/>
                <w:color w:val="auto"/>
              </w:rPr>
            </w:pPr>
          </w:p>
        </w:tc>
        <w:tc>
          <w:tcPr>
            <w:tcW w:w="100" w:type="dxa"/>
            <w:vAlign w:val="bottom"/>
            <w:tcBorders>
              <w:bottom w:val="single" w:sz="8" w:color="DDDDDD"/>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DDDDDD"/>
            </w:tcBorders>
          </w:tcPr>
          <w:p>
            <w:pPr>
              <w:spacing w:after="0"/>
              <w:rPr>
                <w:sz w:val="18"/>
                <w:szCs w:val="18"/>
                <w:color w:val="auto"/>
              </w:rPr>
            </w:pPr>
          </w:p>
        </w:tc>
        <w:tc>
          <w:tcPr>
            <w:tcW w:w="200" w:type="dxa"/>
            <w:vAlign w:val="bottom"/>
            <w:tcBorders>
              <w:bottom w:val="single" w:sz="8" w:color="DDDDDD"/>
            </w:tcBorders>
          </w:tcPr>
          <w:p>
            <w:pPr>
              <w:spacing w:after="0"/>
              <w:rPr>
                <w:sz w:val="18"/>
                <w:szCs w:val="18"/>
                <w:color w:val="auto"/>
              </w:rPr>
            </w:pPr>
          </w:p>
        </w:tc>
        <w:tc>
          <w:tcPr>
            <w:tcW w:w="900" w:type="dxa"/>
            <w:vAlign w:val="bottom"/>
            <w:tcBorders>
              <w:bottom w:val="single" w:sz="8" w:color="DDDDDD"/>
            </w:tcBorders>
          </w:tcPr>
          <w:p>
            <w:pPr>
              <w:spacing w:after="0"/>
              <w:rPr>
                <w:sz w:val="18"/>
                <w:szCs w:val="18"/>
                <w:color w:val="auto"/>
              </w:rPr>
            </w:pPr>
          </w:p>
        </w:tc>
        <w:tc>
          <w:tcPr>
            <w:tcW w:w="100" w:type="dxa"/>
            <w:vAlign w:val="bottom"/>
            <w:tcBorders>
              <w:bottom w:val="single" w:sz="8" w:color="DDDDDD"/>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r>
      <w:tr>
        <w:trPr>
          <w:trHeight w:val="210"/>
        </w:trPr>
        <w:tc>
          <w:tcPr>
            <w:tcW w:w="4080" w:type="dxa"/>
            <w:vAlign w:val="bottom"/>
            <w:shd w:val="clear" w:color="auto" w:fill="DDDDDD"/>
          </w:tcPr>
          <w:p>
            <w:pPr>
              <w:ind w:left="20"/>
              <w:spacing w:after="0"/>
              <w:rPr>
                <w:sz w:val="20"/>
                <w:szCs w:val="20"/>
                <w:color w:val="auto"/>
              </w:rPr>
            </w:pPr>
            <w:r>
              <w:rPr>
                <w:rFonts w:ascii="Arial" w:cs="Arial" w:eastAsia="Arial" w:hAnsi="Arial"/>
                <w:sz w:val="16"/>
                <w:szCs w:val="16"/>
                <w:color w:val="auto"/>
              </w:rPr>
              <w:t>Ending balance</w:t>
            </w:r>
          </w:p>
        </w:tc>
        <w:tc>
          <w:tcPr>
            <w:tcW w:w="1080" w:type="dxa"/>
            <w:vAlign w:val="bottom"/>
            <w:tcBorders>
              <w:bottom w:val="single" w:sz="8" w:color="auto"/>
            </w:tcBorders>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280" w:type="dxa"/>
            <w:vAlign w:val="bottom"/>
            <w:tcBorders>
              <w:bottom w:val="single" w:sz="8" w:color="auto"/>
            </w:tcBorders>
            <w:shd w:val="clear" w:color="auto" w:fill="DDDDDD"/>
          </w:tcPr>
          <w:p>
            <w:pPr>
              <w:spacing w:after="0"/>
              <w:rPr>
                <w:sz w:val="18"/>
                <w:szCs w:val="18"/>
                <w:color w:val="auto"/>
              </w:rPr>
            </w:pPr>
          </w:p>
        </w:tc>
        <w:tc>
          <w:tcPr>
            <w:tcW w:w="8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auto"/>
              </w:rPr>
              <w:t>241</w:t>
            </w:r>
          </w:p>
        </w:tc>
        <w:tc>
          <w:tcPr>
            <w:tcW w:w="100" w:type="dxa"/>
            <w:vAlign w:val="bottom"/>
            <w:shd w:val="clear" w:color="auto" w:fill="DDDDDD"/>
          </w:tcPr>
          <w:p>
            <w:pPr>
              <w:spacing w:after="0"/>
              <w:rPr>
                <w:sz w:val="18"/>
                <w:szCs w:val="18"/>
                <w:color w:val="auto"/>
              </w:rPr>
            </w:pPr>
          </w:p>
        </w:tc>
        <w:tc>
          <w:tcPr>
            <w:tcW w:w="1100" w:type="dxa"/>
            <w:vAlign w:val="bottom"/>
            <w:tcBorders>
              <w:bottom w:val="single" w:sz="8" w:color="auto"/>
            </w:tcBorders>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300" w:type="dxa"/>
            <w:vAlign w:val="bottom"/>
            <w:tcBorders>
              <w:bottom w:val="single" w:sz="8" w:color="auto"/>
            </w:tcBorders>
            <w:shd w:val="clear" w:color="auto" w:fill="DDDDDD"/>
          </w:tcPr>
          <w:p>
            <w:pPr>
              <w:spacing w:after="0"/>
              <w:rPr>
                <w:sz w:val="18"/>
                <w:szCs w:val="18"/>
                <w:color w:val="auto"/>
              </w:rPr>
            </w:pPr>
          </w:p>
        </w:tc>
        <w:tc>
          <w:tcPr>
            <w:tcW w:w="8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auto"/>
              </w:rPr>
              <w:t>212</w:t>
            </w:r>
          </w:p>
        </w:tc>
        <w:tc>
          <w:tcPr>
            <w:tcW w:w="100" w:type="dxa"/>
            <w:vAlign w:val="bottom"/>
            <w:shd w:val="clear" w:color="auto" w:fill="DDDDDD"/>
          </w:tcPr>
          <w:p>
            <w:pPr>
              <w:spacing w:after="0"/>
              <w:rPr>
                <w:sz w:val="18"/>
                <w:szCs w:val="18"/>
                <w:color w:val="auto"/>
              </w:rPr>
            </w:pPr>
          </w:p>
        </w:tc>
        <w:tc>
          <w:tcPr>
            <w:tcW w:w="200" w:type="dxa"/>
            <w:vAlign w:val="bottom"/>
            <w:tcBorders>
              <w:bottom w:val="single" w:sz="8" w:color="auto"/>
            </w:tcBorders>
            <w:shd w:val="clear" w:color="auto" w:fill="DDDDDD"/>
          </w:tcPr>
          <w:p>
            <w:pPr>
              <w:spacing w:after="0"/>
              <w:rPr>
                <w:sz w:val="18"/>
                <w:szCs w:val="18"/>
                <w:color w:val="auto"/>
              </w:rPr>
            </w:pPr>
          </w:p>
        </w:tc>
        <w:tc>
          <w:tcPr>
            <w:tcW w:w="900" w:type="dxa"/>
            <w:vAlign w:val="bottom"/>
            <w:tcBorders>
              <w:bottom w:val="single" w:sz="8" w:color="auto"/>
            </w:tcBorders>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300" w:type="dxa"/>
            <w:vAlign w:val="bottom"/>
            <w:tcBorders>
              <w:bottom w:val="single" w:sz="8" w:color="auto"/>
            </w:tcBorders>
            <w:shd w:val="clear" w:color="auto" w:fill="DDDDDD"/>
          </w:tcPr>
          <w:p>
            <w:pPr>
              <w:spacing w:after="0"/>
              <w:rPr>
                <w:sz w:val="18"/>
                <w:szCs w:val="18"/>
                <w:color w:val="auto"/>
              </w:rPr>
            </w:pPr>
          </w:p>
        </w:tc>
        <w:tc>
          <w:tcPr>
            <w:tcW w:w="8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auto"/>
              </w:rPr>
              <w:t>178</w:t>
            </w:r>
          </w:p>
        </w:tc>
      </w:tr>
      <w:tr>
        <w:trPr>
          <w:trHeight w:val="213"/>
        </w:trPr>
        <w:tc>
          <w:tcPr>
            <w:tcW w:w="4080" w:type="dxa"/>
            <w:vAlign w:val="bottom"/>
          </w:tcPr>
          <w:p>
            <w:pPr>
              <w:ind w:left="20"/>
              <w:spacing w:after="0"/>
              <w:rPr>
                <w:sz w:val="20"/>
                <w:szCs w:val="20"/>
                <w:color w:val="auto"/>
              </w:rPr>
            </w:pPr>
            <w:r>
              <w:rPr>
                <w:rFonts w:ascii="Arial" w:cs="Arial" w:eastAsia="Arial" w:hAnsi="Arial"/>
                <w:sz w:val="16"/>
                <w:szCs w:val="16"/>
                <w:b w:val="1"/>
                <w:bCs w:val="1"/>
                <w:color w:val="auto"/>
              </w:rPr>
              <w:t>Total shareowners’ equity</w:t>
            </w:r>
          </w:p>
        </w:tc>
        <w:tc>
          <w:tcPr>
            <w:tcW w:w="1080" w:type="dxa"/>
            <w:vAlign w:val="bottom"/>
          </w:tcPr>
          <w:p>
            <w:pPr>
              <w:jc w:val="right"/>
              <w:spacing w:after="0"/>
              <w:rPr>
                <w:sz w:val="20"/>
                <w:szCs w:val="20"/>
                <w:color w:val="auto"/>
              </w:rPr>
            </w:pPr>
            <w:r>
              <w:rPr>
                <w:rFonts w:ascii="Arial" w:cs="Arial" w:eastAsia="Arial" w:hAnsi="Arial"/>
                <w:sz w:val="16"/>
                <w:szCs w:val="16"/>
                <w:color w:val="auto"/>
              </w:rPr>
              <w:t>696.8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17,790</w:t>
            </w:r>
          </w:p>
        </w:tc>
        <w:tc>
          <w:tcPr>
            <w:tcW w:w="1200" w:type="dxa"/>
            <w:vAlign w:val="bottom"/>
            <w:gridSpan w:val="2"/>
          </w:tcPr>
          <w:p>
            <w:pPr>
              <w:jc w:val="right"/>
              <w:ind w:right="5"/>
              <w:spacing w:after="0"/>
              <w:rPr>
                <w:sz w:val="20"/>
                <w:szCs w:val="20"/>
                <w:color w:val="auto"/>
              </w:rPr>
            </w:pPr>
            <w:r>
              <w:rPr>
                <w:rFonts w:ascii="Arial" w:cs="Arial" w:eastAsia="Arial" w:hAnsi="Arial"/>
                <w:sz w:val="16"/>
                <w:szCs w:val="16"/>
                <w:color w:val="auto"/>
              </w:rPr>
              <w:t>711.1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18,706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729.6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18,358</w:t>
            </w:r>
          </w:p>
        </w:tc>
      </w:tr>
      <w:tr>
        <w:trPr>
          <w:trHeight w:val="20"/>
        </w:trPr>
        <w:tc>
          <w:tcPr>
            <w:tcW w:w="4080" w:type="dxa"/>
            <w:vAlign w:val="bottom"/>
            <w:tcBorders>
              <w:bottom w:val="single" w:sz="8" w:color="DDDDDD"/>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DDDDDD"/>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DDDDD"/>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DDDDD"/>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DDDDD"/>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DDDDD"/>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230"/>
        </w:trPr>
        <w:tc>
          <w:tcPr>
            <w:tcW w:w="4080" w:type="dxa"/>
            <w:vAlign w:val="bottom"/>
            <w:shd w:val="clear" w:color="auto" w:fill="DDDDDD"/>
          </w:tcPr>
          <w:p>
            <w:pPr>
              <w:ind w:left="20"/>
              <w:spacing w:after="0"/>
              <w:rPr>
                <w:sz w:val="20"/>
                <w:szCs w:val="20"/>
                <w:color w:val="auto"/>
              </w:rPr>
            </w:pPr>
            <w:r>
              <w:rPr>
                <w:rFonts w:ascii="Arial" w:cs="Arial" w:eastAsia="Arial" w:hAnsi="Arial"/>
                <w:sz w:val="16"/>
                <w:szCs w:val="16"/>
                <w:color w:val="auto"/>
              </w:rPr>
              <w:t>Cash dividends per share of common stock</w:t>
            </w:r>
          </w:p>
        </w:tc>
        <w:tc>
          <w:tcPr>
            <w:tcW w:w="1480" w:type="dxa"/>
            <w:vAlign w:val="bottom"/>
            <w:gridSpan w:val="3"/>
            <w:shd w:val="clear" w:color="auto" w:fill="DDDDDD"/>
          </w:tcPr>
          <w:p>
            <w:pPr>
              <w:jc w:val="right"/>
              <w:ind w:right="180"/>
              <w:spacing w:after="0"/>
              <w:rPr>
                <w:sz w:val="20"/>
                <w:szCs w:val="20"/>
                <w:color w:val="auto"/>
              </w:rPr>
            </w:pPr>
            <w:r>
              <w:rPr>
                <w:rFonts w:ascii="Arial" w:cs="Arial" w:eastAsia="Arial" w:hAnsi="Arial"/>
                <w:sz w:val="16"/>
                <w:szCs w:val="16"/>
                <w:color w:val="auto"/>
              </w:rPr>
              <w:t>$</w:t>
            </w:r>
          </w:p>
        </w:tc>
        <w:tc>
          <w:tcPr>
            <w:tcW w:w="820" w:type="dxa"/>
            <w:vAlign w:val="bottom"/>
            <w:shd w:val="clear" w:color="auto" w:fill="DDDDDD"/>
          </w:tcPr>
          <w:p>
            <w:pPr>
              <w:jc w:val="right"/>
              <w:spacing w:after="0"/>
              <w:rPr>
                <w:sz w:val="20"/>
                <w:szCs w:val="20"/>
                <w:color w:val="auto"/>
              </w:rPr>
            </w:pPr>
            <w:r>
              <w:rPr>
                <w:rFonts w:ascii="Arial" w:cs="Arial" w:eastAsia="Arial" w:hAnsi="Arial"/>
                <w:sz w:val="16"/>
                <w:szCs w:val="16"/>
                <w:color w:val="auto"/>
              </w:rPr>
              <w:t>3.630</w:t>
            </w:r>
          </w:p>
        </w:tc>
        <w:tc>
          <w:tcPr>
            <w:tcW w:w="1600" w:type="dxa"/>
            <w:vAlign w:val="bottom"/>
            <w:gridSpan w:val="4"/>
            <w:shd w:val="clear" w:color="auto" w:fill="DDDDDD"/>
          </w:tcPr>
          <w:p>
            <w:pPr>
              <w:jc w:val="right"/>
              <w:ind w:right="180"/>
              <w:spacing w:after="0"/>
              <w:rPr>
                <w:sz w:val="20"/>
                <w:szCs w:val="20"/>
                <w:color w:val="auto"/>
              </w:rPr>
            </w:pPr>
            <w:r>
              <w:rPr>
                <w:rFonts w:ascii="Arial" w:cs="Arial" w:eastAsia="Arial" w:hAnsi="Arial"/>
                <w:sz w:val="16"/>
                <w:szCs w:val="16"/>
                <w:color w:val="auto"/>
              </w:rPr>
              <w:t>$</w:t>
            </w:r>
          </w:p>
        </w:tc>
        <w:tc>
          <w:tcPr>
            <w:tcW w:w="820" w:type="dxa"/>
            <w:vAlign w:val="bottom"/>
            <w:shd w:val="clear" w:color="auto" w:fill="DDDDDD"/>
          </w:tcPr>
          <w:p>
            <w:pPr>
              <w:jc w:val="right"/>
              <w:spacing w:after="0"/>
              <w:rPr>
                <w:sz w:val="20"/>
                <w:szCs w:val="20"/>
                <w:color w:val="auto"/>
              </w:rPr>
            </w:pPr>
            <w:r>
              <w:rPr>
                <w:rFonts w:ascii="Arial" w:cs="Arial" w:eastAsia="Arial" w:hAnsi="Arial"/>
                <w:sz w:val="16"/>
                <w:szCs w:val="16"/>
                <w:color w:val="auto"/>
              </w:rPr>
              <w:t>3.360</w:t>
            </w:r>
          </w:p>
        </w:tc>
        <w:tc>
          <w:tcPr>
            <w:tcW w:w="100" w:type="dxa"/>
            <w:vAlign w:val="bottom"/>
            <w:shd w:val="clear" w:color="auto" w:fill="DDDDDD"/>
          </w:tcPr>
          <w:p>
            <w:pPr>
              <w:spacing w:after="0"/>
              <w:rPr>
                <w:sz w:val="20"/>
                <w:szCs w:val="20"/>
                <w:color w:val="auto"/>
              </w:rPr>
            </w:pPr>
          </w:p>
        </w:tc>
        <w:tc>
          <w:tcPr>
            <w:tcW w:w="200" w:type="dxa"/>
            <w:vAlign w:val="bottom"/>
            <w:shd w:val="clear" w:color="auto" w:fill="DDDDDD"/>
          </w:tcPr>
          <w:p>
            <w:pPr>
              <w:spacing w:after="0"/>
              <w:rPr>
                <w:sz w:val="20"/>
                <w:szCs w:val="20"/>
                <w:color w:val="auto"/>
              </w:rPr>
            </w:pPr>
          </w:p>
        </w:tc>
        <w:tc>
          <w:tcPr>
            <w:tcW w:w="1300" w:type="dxa"/>
            <w:vAlign w:val="bottom"/>
            <w:gridSpan w:val="3"/>
            <w:shd w:val="clear" w:color="auto" w:fill="DDDDDD"/>
          </w:tcPr>
          <w:p>
            <w:pPr>
              <w:jc w:val="right"/>
              <w:ind w:right="180"/>
              <w:spacing w:after="0"/>
              <w:rPr>
                <w:sz w:val="20"/>
                <w:szCs w:val="20"/>
                <w:color w:val="auto"/>
              </w:rPr>
            </w:pPr>
            <w:r>
              <w:rPr>
                <w:rFonts w:ascii="Arial" w:cs="Arial" w:eastAsia="Arial" w:hAnsi="Arial"/>
                <w:sz w:val="16"/>
                <w:szCs w:val="16"/>
                <w:color w:val="auto"/>
              </w:rPr>
              <w:t>$</w:t>
            </w:r>
          </w:p>
        </w:tc>
        <w:tc>
          <w:tcPr>
            <w:tcW w:w="820" w:type="dxa"/>
            <w:vAlign w:val="bottom"/>
            <w:shd w:val="clear" w:color="auto" w:fill="DDDDDD"/>
          </w:tcPr>
          <w:p>
            <w:pPr>
              <w:jc w:val="right"/>
              <w:spacing w:after="0"/>
              <w:rPr>
                <w:sz w:val="20"/>
                <w:szCs w:val="20"/>
                <w:color w:val="auto"/>
              </w:rPr>
            </w:pPr>
            <w:r>
              <w:rPr>
                <w:rFonts w:ascii="Arial" w:cs="Arial" w:eastAsia="Arial" w:hAnsi="Arial"/>
                <w:sz w:val="16"/>
                <w:szCs w:val="16"/>
                <w:color w:val="auto"/>
              </w:rPr>
              <w:t>3.055</w:t>
            </w:r>
          </w:p>
        </w:tc>
      </w:tr>
      <w:tr>
        <w:trPr>
          <w:trHeight w:val="20"/>
        </w:trPr>
        <w:tc>
          <w:tcPr>
            <w:tcW w:w="4080" w:type="dxa"/>
            <w:vAlign w:val="bottom"/>
            <w:tcBorders>
              <w:top w:val="single" w:sz="8" w:color="DDDDDD"/>
            </w:tcBorders>
          </w:tcPr>
          <w:p>
            <w:pPr>
              <w:spacing w:after="0" w:line="20" w:lineRule="exact"/>
              <w:rPr>
                <w:sz w:val="1"/>
                <w:szCs w:val="1"/>
                <w:color w:val="auto"/>
              </w:rPr>
            </w:pPr>
          </w:p>
        </w:tc>
        <w:tc>
          <w:tcPr>
            <w:tcW w:w="1080" w:type="dxa"/>
            <w:vAlign w:val="bottom"/>
            <w:tcBorders>
              <w:top w:val="single" w:sz="8" w:color="DDDDDD"/>
            </w:tcBorders>
          </w:tcPr>
          <w:p>
            <w:pPr>
              <w:spacing w:after="0" w:line="20" w:lineRule="exact"/>
              <w:rPr>
                <w:sz w:val="1"/>
                <w:szCs w:val="1"/>
                <w:color w:val="auto"/>
              </w:rPr>
            </w:pPr>
          </w:p>
        </w:tc>
        <w:tc>
          <w:tcPr>
            <w:tcW w:w="120" w:type="dxa"/>
            <w:vAlign w:val="bottom"/>
            <w:tcBorders>
              <w:top w:val="single" w:sz="8" w:color="DDDDDD"/>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1100" w:type="dxa"/>
            <w:vAlign w:val="bottom"/>
            <w:tcBorders>
              <w:top w:val="single" w:sz="8" w:color="DDDDDD"/>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200" w:type="dxa"/>
            <w:vAlign w:val="bottom"/>
            <w:tcBorders>
              <w:top w:val="single" w:sz="8" w:color="DDDDDD"/>
            </w:tcBorders>
          </w:tcPr>
          <w:p>
            <w:pPr>
              <w:spacing w:after="0" w:line="20" w:lineRule="exact"/>
              <w:rPr>
                <w:sz w:val="1"/>
                <w:szCs w:val="1"/>
                <w:color w:val="auto"/>
              </w:rPr>
            </w:pPr>
          </w:p>
        </w:tc>
        <w:tc>
          <w:tcPr>
            <w:tcW w:w="900" w:type="dxa"/>
            <w:vAlign w:val="bottom"/>
            <w:tcBorders>
              <w:top w:val="single" w:sz="8" w:color="DDDDDD"/>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Notes to Consolidated Financial Statements are an integral part of this statement.</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50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30" w:right="359" w:bottom="1440" w:gutter="0" w:footer="0" w:header="0"/>
        </w:sectPr>
      </w:pPr>
    </w:p>
    <w:bookmarkStart w:id="53" w:name="page54"/>
    <w:bookmarkEnd w:id="53"/>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9"/>
          <w:szCs w:val="29"/>
          <w:b w:val="1"/>
          <w:bCs w:val="1"/>
          <w:color w:val="DC202E"/>
        </w:rPr>
        <w:t>NOTE 1. SUMMARY OF SIGNIFICANT ACCOUNTING POLICIES</w:t>
      </w:r>
    </w:p>
    <w:p>
      <w:pPr>
        <w:spacing w:after="0" w:line="3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ACCOUNTING PRINCIPLES</w:t>
      </w:r>
    </w:p>
    <w:p>
      <w:pPr>
        <w:spacing w:after="0" w:line="13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financial statements and accompanying notes are prepared in accordance with accounting principles generally accepted in the United States of America. The following is a description of Honeywell’s significant accounting policies.</w:t>
      </w: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PRINCIPLES OF CONSOLIDATION</w:t>
      </w:r>
    </w:p>
    <w:p>
      <w:pPr>
        <w:spacing w:after="0" w:line="13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Consolidated Financial Statements include the accounts of Honeywell International Inc. and all of its subsidiaries and entities in which a controlling interest is maintained. Our consolidation policy requires equity investments that we exercise significant influence over but do not control the investee and are not the primary beneficiary of the investee’s activities to be accounted for using the equity method. Investments through which we are not able to exercise significant influence over the investee and which we do not have readily determinable fair values are accounted for under the cost method. All intercompany transactions and balances are eliminated in consolidation.</w:t>
      </w:r>
    </w:p>
    <w:p>
      <w:pPr>
        <w:spacing w:after="0" w:line="2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RECLASSIFICATIONS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Certain prior year amounts have been reclassified to conform to the current year presentation.</w:t>
      </w:r>
    </w:p>
    <w:p>
      <w:pPr>
        <w:spacing w:after="0" w:line="3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ACCOUNTING PRONOUNCEMENTS</w:t>
      </w:r>
    </w:p>
    <w:p>
      <w:pPr>
        <w:spacing w:after="0" w:line="13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considers the applicability and impact of all Accounting Standards Updates (ASUs) issued by the Financial Accounting Standards Board (FASB). ASUs not listed below were assessed and determined to be either not applicable or are expected to have minimal impact on our consolidated statement of operations, balance sheet and cash flows (Consolidated Financial Statements).</w:t>
      </w:r>
    </w:p>
    <w:p>
      <w:pPr>
        <w:spacing w:after="0" w:line="9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December 2019, the FASB issued an ASU to simplify the accounting for income taxes. The standard’s amendments include changes in various subtopics of accounting for income taxes including, but not limited to, accounting for “hybrid” tax regimes, tax basis step-up in goodwill obtained in a transaction that is not a business combination, intraperiod tax allocation exception to incremental approach, ownership changes in investments, interim-period accounting for enacted changes in tax law, and year-to-date loss limitation in interim-period tax accounting. Effective January 1, 2021, the Company adopted this standard. The adoption of this standard does not have a material impact on the Company's Consolidated Financial Statements.</w:t>
      </w:r>
    </w:p>
    <w:p>
      <w:pPr>
        <w:spacing w:after="0" w:line="10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March 2020, the FASB issued guidance that provides optional expedients and exceptions for applying generally accepted accounted principles to contracts, hedging relationships, and other transactions affected by the transition away from reference rates expected to be discontinued to alternative reference rates. The guidance was effective upon issuance and may be applied prospectively to contract modifications made and hedging relationships entered into on or before December 31, 2022. The Company is currently evaluating the impacts of this guidance on the Company’s Consolidated Financial Statements. The Company does not expect the adoption of this standard to have a material impact on the Company’s Consolidated Financial Statements.</w:t>
      </w:r>
    </w:p>
    <w:p>
      <w:pPr>
        <w:spacing w:after="0" w:line="2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RESEARCH AND DEVELOPMENT</w:t>
      </w:r>
    </w:p>
    <w:p>
      <w:pPr>
        <w:spacing w:after="0" w:line="13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Research and development costs for projects are expensed as incurred, unless these costs relate to contracts with customers where we receive reimbursements. Amounts expensed as incurred for Company-sponsored research and development projects are included in Cost of products and services sold and were $1,334 million, $1,556 million and $1,809 million for the years ended December 31, 2020, 2019 and 2018. Costs related to contracts with customers for customer-sponsored research and development projects are included as a contract cost and included in Cost of products and services sold when revenue from such contracts is recognized, consistent with our sales recognition policies. This revenue was $1,200 million, $1,079 million and $1,069 million for the years ended December 31, 2020, 2019 and 2018.</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51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4" w:name="page55"/>
    <w:bookmarkEnd w:id="54"/>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CASH AND CASH EQUIVALENTS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include cash on hand and highly liquid investments having an original maturity of three months or less.</w:t>
      </w:r>
    </w:p>
    <w:p>
      <w:pPr>
        <w:spacing w:after="0" w:line="3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PROPERTY, PLANT AND EQUIPMENT</w:t>
      </w:r>
    </w:p>
    <w:p>
      <w:pPr>
        <w:spacing w:after="0" w:line="13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Property, plant and equipment are recorded at cost, including any asset retirement obligations, less accumulated depreciation. For financial reporting, the straight-line method of depreciation is used over the estimated useful lives of 10 to 50 years for buildings and improvements and 2 to 16 years for machinery and equipment. Recognition of the fair value of obligations associated with the retirement of tangible long-lived assets is required when there is a legal obligation to incur such costs. Upon initial recognition of a liability, the cost is capitalized as part of the related long-lived asset and depreciated over the corresponding asset’s useful life.</w:t>
      </w:r>
    </w:p>
    <w:p>
      <w:pPr>
        <w:spacing w:after="0" w:line="2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GOODWILL AND INDEFINITE-LIVED INTANGIBLE ASSETS</w:t>
      </w:r>
    </w:p>
    <w:p>
      <w:pPr>
        <w:spacing w:after="0" w:line="13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Goodwill and indefinite-lived intangible assets are subject to impairment testing annually as of March 31, and whenever events or changes in circumstances indicate that the carrying amount may not be fully recoverable. This testing compares carrying values to fair values and, when appropriate, the carrying value of these assets is reduced to fair value. We completed our annual goodwill impairment test as of March 31, 2020 and determined that there was no impairment as of that date. In addition, due to the economic impact of COVID-19, we updated our assessment as of June 30, 2020, and determined there was no impairment. We are not aware of any additional triggering events.</w:t>
      </w:r>
    </w:p>
    <w:p>
      <w:pPr>
        <w:spacing w:after="0" w:line="2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FINITE-LIVED INTANGIBLE ASSETS</w:t>
      </w:r>
    </w:p>
    <w:p>
      <w:pPr>
        <w:spacing w:after="0" w:line="13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Other intangible assets with determinable lives consist of customer lists, technology, patents and trademarks and other intangibles and are amortized over their estimated useful lives, ranging from 2 to 24 years.</w:t>
      </w: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FOREIGN CURRENCY TRANSLATION</w:t>
      </w:r>
    </w:p>
    <w:p>
      <w:pPr>
        <w:spacing w:after="0" w:line="13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Assets and liabilities of subsidiaries operating outside the United States with a functional currency other than U.S. Dollars are translated into U.S. Dollars using year-end exchange rates. Sales, costs and expenses are translated at the average exchange rates in effect during the year. Foreign currency translation gains and losses are included as a component of Accumulated other comprehensive income (loss). For subsidiaries operating in highly inflationary environments, inventories and property, plant and equipment, including related expenses, are remeasured at the exchange rate in effect on the date the assets were acquired, while monetary assets and liabilities are remeasured at year-end exchange rates. Remeasurement adjustments for these subsidiaries are included in earnings.</w:t>
      </w:r>
    </w:p>
    <w:p>
      <w:pPr>
        <w:spacing w:after="0" w:line="2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DERIVATIVE FINANCIAL INSTRUMENTS</w:t>
      </w:r>
    </w:p>
    <w:p>
      <w:pPr>
        <w:spacing w:after="0" w:line="13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All derivative financial instruments are recorded on the balance sheet as assets or liabilities and measured at fair value. For derivatives designated as hedges of the fair value of assets or liabilities, the changes in fair values of both the derivatives and the hedged items are recorded in current earnings. For derivatives designated as cash flow hedges, the changes in fair value of the derivatives are recorded in Accumulated other comprehensive income (loss) and subsequently recognized in earnings when the hedged items impact earnings.</w:t>
      </w:r>
    </w:p>
    <w:p>
      <w:pPr>
        <w:spacing w:after="0" w:line="9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Derivative financial instruments designated as hedges must be designated and effective as a hedge of the identified risk exposure at the inception of the contract. Changes in fair value of the derivative contract must be highly correlated with changes in fair value of the underlying hedged item at inception and over the life of the hedge contract. Cash flows of such derivative financial instruments are classified consistent with the underlying hedged item. We elected to exclude the time value of the derivatives (i.e., the forward points) from the assessment of hedge effectiveness and recognize the initial value of the excluded component in earnings using the amortization approach. For derivative instruments that are designated and qualify as a net investment hedge, the gain or loss is reported as a component of Other comprehensive income (loss) and recorded in Accumulated other comprehensive income (loss). The gain or loss will be subsequently reclassified into net earnings when the hedged net investment is either sold or substantially liquidated.</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52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5" w:name="page56"/>
    <w:bookmarkEnd w:id="55"/>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LEASES</w:t>
      </w:r>
    </w:p>
    <w:p>
      <w:pPr>
        <w:spacing w:after="0" w:line="13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At the inception of a contract, the Company assesses whether the contract is, or contains, a lease. The assessment is based on (1) whether the contract involves the use of a distinct identified asset, (2) whether the Company obtains the right to substantially all the economic benefit from the use of the asset throughout the period, and (3) whether the Company has the right to direct the use of the asset.</w:t>
      </w:r>
    </w:p>
    <w:p>
      <w:pPr>
        <w:spacing w:after="0" w:line="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All significant lease arrangements are generally recognized at lease commencement. Operating lease right-of-use (ROU) assets and lease liabilities are recognized at commencement. An ROU asset and corresponding lease liability are not recorded for leases with an initial term of 12 months or less (short-term leases), and we recognize lease expense for these leases as incurred over the lease term.</w:t>
      </w:r>
    </w:p>
    <w:p>
      <w:pPr>
        <w:spacing w:after="0" w:line="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ROU assets represent our right to use an underlying asset during the reasonably certain lease term, and lease liabilities represent our obligation to make lease payments arising from the lease. Our lease terms may include options to extend or terminate the lease when it is reasonably certain that we will exercise that option.</w:t>
      </w:r>
    </w:p>
    <w:p>
      <w:pPr>
        <w:spacing w:after="0" w:line="9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Operating lease ROU assets and liabilities are recognized at commencement date based on the present value of lease payments over the lease term. Lease payments may be fixed or variable, however, only fixed payments or in-substance fixed payments are included in determining the lease liability. Variable lease payments are recognized in operating expenses in the period in which the obligation for those payments are incurred. The operating lease ROU asset also includes any lease payments related to initial direct cost and prepayments and excludes lease incentives. Lease expense is recognized on a straight-line basis over the lease term. We have lease agreements with lease and non-lease components, which are generally accounted for separately.</w:t>
      </w:r>
    </w:p>
    <w:p>
      <w:pPr>
        <w:spacing w:after="0" w:line="10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primarily uses our incremental borrowing rate, which is based on the information available at the lease commencement date, in determining the present value of the lease payments. In determining the borrowing rate, we consider the lease term, secured incremental borrowing rate, and for leases denominated in a currency different than U.S. dollar, the collateralized borrowing rate in the foreign currency using the U.S. dollar and foreign currency swap spread, when availab</w:t>
      </w:r>
      <w:r>
        <w:rPr>
          <w:rFonts w:ascii="Arial" w:cs="Arial" w:eastAsia="Arial" w:hAnsi="Arial"/>
          <w:sz w:val="19"/>
          <w:szCs w:val="19"/>
          <w:color w:val="auto"/>
        </w:rPr>
        <w:t>le.</w:t>
      </w: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PENSION BENEFITS</w:t>
      </w:r>
    </w:p>
    <w:p>
      <w:pPr>
        <w:spacing w:after="0" w:line="13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presents net periodic pensions costs by disaggregating the service cost component of such costs and reports those costs in the same line item or items in the Consolidated Statement of Operations as other compensation costs arising from services rendered by the pertinent employees during the period. The other non-service components of such costs are required to be presented separately from the service cost component.</w:t>
      </w:r>
    </w:p>
    <w:p>
      <w:pPr>
        <w:spacing w:after="0" w:line="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records the service cost component of Pension ongoing (income) expense in Costs of products and services sold and Selling, general and administrative expenses. The remaining components of costs within Pension ongoing (income) expense, primarily interest costs and assumed return on plan assets, are recorded in Other (income) expense. We recognize net actuarial gains or losses in excess of 10% of the greater of the fair value of plan assets or the plan's projected benefit obligation (the corridor) annually in the fourth quarter each year (MTM Adjustment). The MTM Adjustment is also reported in Other (income) expense.</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53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6" w:name="page57"/>
    <w:bookmarkEnd w:id="56"/>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SALES RECOGNITION</w:t>
      </w:r>
    </w:p>
    <w:p>
      <w:pPr>
        <w:spacing w:after="0" w:line="13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Product and service sales are recognized when or as the Company transfers control of the promised products or services to its customers. Revenue is measured as the amount of consideration we expect to receive in exchange for transferring goods or providing services. Service sales, principally representing repair, maintenance and engineering activities, are recognized over the contractual period or as services are rendered. Sales under long-term contracts with performance obligations satisfied over time are recognized using either an input or output method. We recognize revenue over time as we perform on these contracts because of the continuous transfer of control to the customer. With control transferring over time, revenue is recognized based on the extent of progress towards completion of the performance obligation. We generally use the cost-to-cost input method of progress for our contracts because it best depicts the transfer of control to the customer that occurs as we incur costs. Under the cost-to-cost method, the extent of progress towards completion is measured based on the proportion of costs incurred to date to the total estimated costs at completion of the performance obligation. We review our cost estimates on significant contracts on a periodic basis, or when circumstances change and warrant a modification to a previous estimate. Cost estimates are largely based on negotiated or estimated purchase contract terms, historical performance trends and other economic projections. Significant factors that influence these estimates include inflationary trends, technical and schedule risk, internal and subcontractor performance trends, business volume assumptions, asset utilization, and anticipated labor agreements. Provisions for anticipated losses on long-term contracts are recorded in full when such losses become evident, to the extent required.</w:t>
      </w:r>
    </w:p>
    <w:p>
      <w:pPr>
        <w:spacing w:after="0" w:line="10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customer funding for costs incurred for nonrecurring engineering and development activities of our products under agreements with commercial customers is deferred and subsequently recognized as revenue as products are delivered to the customers. Additionally, expenses incurred, up to the customer agreed funded amount, are deferred as an asset and recognized as cost of sales when products are delivered to the customer. The deferred customer funding and costs result in recognition of deferred costs (asset) and deferred revenue (liability) on our Consolidated Balance Sheet. Capitalized contract fulfillment costs were approximately $1.3 billion and $1 billion as of December 31, 2020 and 2019. The amounts recognized as Cost of products and services sold were approximately $0.1 billion for the years ended December 31, 2020, 2019 and 2018.</w:t>
      </w:r>
    </w:p>
    <w:p>
      <w:pPr>
        <w:spacing w:after="0" w:line="9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Revenues for our mechanical service programs are recognized as performance obligations that are satisfied over time, with recognition reflecting a series of distinct services using the output method.</w:t>
      </w:r>
    </w:p>
    <w:p>
      <w:pPr>
        <w:spacing w:after="0" w:line="9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terms of a contract or the historical business practice can give rise to variable consideration due to, but not limited to, cash-based incentives, rebates, performance awards, or credits. We estimate variable consideration at the most likely amount we will receive from customers. We include estimated amounts in the transaction price to the extent it is probable that a significant reversal of cumulative revenue recognized for such transaction will not occur, or when the uncertainty associated with the variable consideration is resolved. Our estimates of variable consideration and determination of whether to include estimated amounts in the transaction price are based largely on an assessment of our anticipated performance and all information (historical, current and forecasted) that is reasonably available to us.</w:t>
      </w:r>
    </w:p>
    <w:p>
      <w:pPr>
        <w:spacing w:after="0" w:line="2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STOCK-BASED COMPENSATION PLANS</w:t>
      </w:r>
    </w:p>
    <w:p>
      <w:pPr>
        <w:spacing w:after="0" w:line="13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principal awards issued under our stock-based compensation plans, which are described in Note 16 Stock-Based Compensation Plans, are non-qualified stock options and restricted stock units. The cost for such awards is measured at the grant date based on the fair value of the award. The value of the portion of the award that is ultimately expected to vest is recognized as expense over the requisite service periods (generally the vesting period of the equity award) and is included in Selling, general and administrative expenses. Forfeitures are estimated at the time of grant to recognize expense for those awards that are expected to vest and are based on our historical forfeiture rates.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54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7" w:name="page58"/>
    <w:bookmarkEnd w:id="57"/>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INCOME TAXES</w:t>
      </w:r>
    </w:p>
    <w:p>
      <w:pPr>
        <w:spacing w:after="0" w:line="13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Significant judgment is required in evaluating tax positions. We establish reserves for income taxes when, despite the belief that tax positions are fully supportable, there remain certain positions that do not meet the minimum recognition threshold. The approach for evaluating certain and uncertain tax positions is defined by the authoritative guidance which determines when a tax position is more likely than not to be sustained upon examination by the applicable taxing authority. In the normal course of business, the Company and its subsidiaries are examined by various federal, state and foreign tax authorities. We regularly assess the potential outcomes of these examinations and any future examinations for the current or prior years in determining the adequacy of our provision for income taxes. We continually assess the likelihood and amount of potential adjustments and adjust the income tax provision, the current tax liability and deferred taxes in the period in which the facts that give rise to a change in estimate become known. During 2020, the Company revised the disclosure of deferred tax assets and deferred tax liabilities in Note 5 Income Taxes as of December 31, 2019, to present separately the deferred tax liability for Right-of-use assets of $159 million and the deferred tax asset for Lease liabilities of $167 million, which were previously reported net within the deferred tax liability for Property, plant and equipment. This had no other impact to our Consolidated Financial Statements. For additional information, see Note 5 Income Taxes.</w:t>
      </w:r>
    </w:p>
    <w:p>
      <w:pPr>
        <w:spacing w:after="0" w:line="3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EARNINGS PER SHARE</w:t>
      </w:r>
    </w:p>
    <w:p>
      <w:pPr>
        <w:spacing w:after="0" w:line="13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Basic earnings per share is based on the weighted average number of common shares outstanding. Diluted earnings per share is based on the weighted average number of common shares outstanding and all dilutive potential common shares outstanding.</w:t>
      </w: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ENVIRONMENTAL</w:t>
      </w:r>
    </w:p>
    <w:p>
      <w:pPr>
        <w:spacing w:after="0" w:line="13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accrues costs related to environmental matters when it is probable that it has incurred a liability related to a contaminated site and the amount can be reasonably estimated. For additional information, see Note 20 Commitments and Contingencies.</w:t>
      </w: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ASBESTOS RELATED LIABILITIES AND INSURANCE RECOVERIES</w:t>
      </w:r>
    </w:p>
    <w:p>
      <w:pPr>
        <w:spacing w:after="0" w:line="13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recognizes a liability for any asbestos related contingency that is probable of occurrence and reasonably estimable. In connection with the recognition of liabilities for asbestos related matters, we record asbestos related insurance recoveries that are deemed probable. For additional information, see Note 20 Commitments and Contingencies.</w:t>
      </w: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REIMBURSEMENT RECEIVABLES</w:t>
      </w:r>
    </w:p>
    <w:p>
      <w:pPr>
        <w:spacing w:after="0" w:line="13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conjunction with the Garrett and Resideo spin-offs, the Company entered into reimbursement agreements under which Honeywell receives cash payments as reimbursement primarily for asbestos related liability payments related to the Bendix business in the U.S. (Garrett) and for net spending for environmental matters at certain sites as defined in the agreement (Resideo). Accordingly, the Company recorded receivables based on estimates of the underlying reimbursable Honeywell asbestos and environmental spend, and we monitor the recoverability of such receivables, which are subject to the terms of applicable credit agreements and general ability to pay. For Garrett, the Company established an allowance based on the developments associated with Garrett's Chapter 11 bankruptcy filing. See Note 20 Commitments and Contingencies for a discussion of the recognition and measurement of our reimbursement receivables, including the allowance established for Garrett.</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55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8" w:name="page59"/>
    <w:bookmarkEnd w:id="58"/>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9"/>
          <w:szCs w:val="29"/>
          <w:b w:val="1"/>
          <w:bCs w:val="1"/>
          <w:color w:val="DC202E"/>
        </w:rPr>
        <w:t>NOTE 2. ACQUISITIONS AND DIVESTITURES</w:t>
      </w:r>
    </w:p>
    <w:p>
      <w:pPr>
        <w:spacing w:after="0" w:line="15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During 2020, the Company acquired businesses for an aggregate cost (net of cash and debt assumed) of approximately $261 million, which included the October 2020 acquisition of Rocky Research and the December 2020 acquisition of Sine Group. Rocky Research is a technology leader specializing in thermal, energy and power management solutions and is included within our Aerospace segment. Sine Group offers a Software-as-a-Service (SaaS) that handles visitor management, workplace and supply chain solutions and is included in the Honeywell Building Technologies segment. The preliminary determination of the assets and liabilities acquired with Rocky Research and Sine Group is included in the Consolidated Balance Sheet as of December 31, 2020, including $167 million allocated to goodwill, which is non-deductible for tax purposes. There were no significant divestitures during 2020.</w:t>
      </w:r>
    </w:p>
    <w:p>
      <w:pPr>
        <w:spacing w:after="0" w:line="9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December 22, 2020, the Company agreed to acquire 100% of the outstanding stock of Sparta Systems from New Mountain Capital in an all-cash transaction for $1.3 billion. Sparta Systems is a leading provider of enterprise quality management software for the life sciences industry and is expected to further strengthen the Company's leadership in industrial automation, digital transformation solutions, and enterprise performance management software. The transaction is subject to regulatory review and approval and customary closing conditions. The transaction is expected to close in the first quarter of 2021 and the business will be reported within the Performance Materials and Technologies segment.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During 2019, there were no significant acquisitions or divestitures individually or in the aggregate.</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2018, the Company acquired businesses for an aggregate cost (net of cash and debt assumed) of approximately $535 million, mainly due to the November 2018 acquisition of Transnorm, a global leader in high-performance conveyor and warehouse solutions, including approximately $380 million allocated to goodwill. Transnorm is part of Safety and Productivity Solutions. The goodwill is non-deductible for tax purposes.</w:t>
      </w:r>
    </w:p>
    <w:p>
      <w:pPr>
        <w:spacing w:after="0" w:line="9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October 1, 2018, the Company completed the tax-free spin-off to Honeywell shareowners of its Transportation Systems business, part of Aerospace, into a standalone publicly-traded company, Garrett. On October 29, 2018, the Company completed the tax-free spin-off to Honeywell shareowners of its Homes and Global Distribution business, part of Home and Building Technologies (renamed Honeywell Building Technologies following the spin-off), into a standalone publicly-traded company, Resideo. The assets of approximately $5.5 billion, including approximately $2.8 billion of goodwill and net of recorded receivables, and liabilities of approximately $7.2 billion, associated with the spin-off entities were removed through Retained Earnings from the Company’s Consolidated Balance Sheet as of the effective date of the spin-off. The results of operations and cash flows are included in the Consolidated Statement of Operations and Consolidated Statement of Cash Flows through the effective date of the spin-off. The Income before taxes attributable to the spin-off businesses were $0.4 billion for 2018.</w:t>
      </w:r>
    </w:p>
    <w:p>
      <w:pPr>
        <w:spacing w:after="0" w:line="1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Honeywell shareowners of record as of the close of business on October 16, 2018 received one share of Resideo common stock for every 6 shares of Honeywell common stock. Immediately prior to the effective date of the spin-off, Resideo incurred debt of $1.2 billion to make a cash distribution to the Company.</w:t>
      </w:r>
    </w:p>
    <w:p>
      <w:pPr>
        <w:spacing w:after="0" w:line="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Honeywell shareowners of record as of the close of business on September 18, 2018 received one share of Garrett common stock for every 10 shares of Honeywell common stock. Immediately prior to the effective date of the spin-off, Garrett incurred debt of $1.6 billion to make a cash distribution to the Company.</w:t>
      </w:r>
    </w:p>
    <w:p>
      <w:pPr>
        <w:spacing w:after="0" w:line="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2018, in connection with the spin-off, the Company entered into certain agreements with Resideo and Garrett to effect our legal and structural separation, including transition services agreements to provide certain administrative and other services for a limited time, and tax matters and indemnification and reimbursement agreements. For additional information, see Note 20 Commitments and Contingencies.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56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9" w:name="page60"/>
    <w:bookmarkEnd w:id="59"/>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9"/>
          <w:szCs w:val="29"/>
          <w:b w:val="1"/>
          <w:bCs w:val="1"/>
          <w:color w:val="DC202E"/>
        </w:rPr>
        <w:t>NOTE 3. REVENUE RECOGNITION AND CONTRACTS WITH CUSTOMERS</w:t>
      </w:r>
    </w:p>
    <w:p>
      <w:pPr>
        <w:spacing w:after="0" w:line="15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Company has a comprehensive offering of products and services, including software and technologies, that are sold to a variety of customers in multiple end markets. See the following disaggregated revenue table and related discussions by operating segment for details.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 w:type="dxa"/>
            <w:vAlign w:val="bottom"/>
            <w:tcBorders>
              <w:bottom w:val="single" w:sz="8" w:color="DC202E"/>
            </w:tcBorders>
          </w:tcPr>
          <w:p>
            <w:pPr>
              <w:spacing w:after="0"/>
              <w:rPr>
                <w:sz w:val="17"/>
                <w:szCs w:val="17"/>
                <w:color w:val="auto"/>
              </w:rPr>
            </w:pPr>
          </w:p>
        </w:tc>
        <w:tc>
          <w:tcPr>
            <w:tcW w:w="3100" w:type="dxa"/>
            <w:vAlign w:val="bottom"/>
            <w:tcBorders>
              <w:bottom w:val="single" w:sz="8" w:color="DC202E"/>
            </w:tcBorders>
            <w:gridSpan w:val="6"/>
          </w:tcPr>
          <w:p>
            <w:pPr>
              <w:jc w:val="right"/>
              <w:ind w:right="170"/>
              <w:spacing w:after="0"/>
              <w:rPr>
                <w:sz w:val="20"/>
                <w:szCs w:val="20"/>
                <w:color w:val="auto"/>
              </w:rPr>
            </w:pPr>
            <w:r>
              <w:rPr>
                <w:rFonts w:ascii="Arial" w:cs="Arial" w:eastAsia="Arial" w:hAnsi="Arial"/>
                <w:sz w:val="14"/>
                <w:szCs w:val="14"/>
                <w:b w:val="1"/>
                <w:bCs w:val="1"/>
                <w:color w:val="auto"/>
              </w:rPr>
              <w:t>Years Ended December 31,</w:t>
            </w:r>
          </w:p>
        </w:tc>
        <w:tc>
          <w:tcPr>
            <w:tcW w:w="1100" w:type="dxa"/>
            <w:vAlign w:val="bottom"/>
            <w:tcBorders>
              <w:bottom w:val="single" w:sz="8" w:color="DC202E"/>
            </w:tcBorders>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 w:type="dxa"/>
            <w:vAlign w:val="bottom"/>
            <w:tcBorders>
              <w:bottom w:val="single" w:sz="8" w:color="DC202E"/>
            </w:tcBorders>
          </w:tcPr>
          <w:p>
            <w:pPr>
              <w:spacing w:after="0"/>
              <w:rPr>
                <w:sz w:val="17"/>
                <w:szCs w:val="17"/>
                <w:color w:val="auto"/>
              </w:rPr>
            </w:pPr>
          </w:p>
        </w:tc>
        <w:tc>
          <w:tcPr>
            <w:tcW w:w="1100" w:type="dxa"/>
            <w:vAlign w:val="bottom"/>
            <w:tcBorders>
              <w:bottom w:val="single" w:sz="8" w:color="DC202E"/>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340" w:type="dxa"/>
            <w:vAlign w:val="bottom"/>
            <w:tcBorders>
              <w:bottom w:val="single" w:sz="8" w:color="DC202E"/>
            </w:tcBorders>
          </w:tcPr>
          <w:p>
            <w:pPr>
              <w:spacing w:after="0"/>
              <w:rPr>
                <w:sz w:val="17"/>
                <w:szCs w:val="17"/>
                <w:color w:val="auto"/>
              </w:rPr>
            </w:pPr>
          </w:p>
        </w:tc>
        <w:tc>
          <w:tcPr>
            <w:tcW w:w="1100" w:type="dxa"/>
            <w:vAlign w:val="bottom"/>
            <w:tcBorders>
              <w:bottom w:val="single" w:sz="8" w:color="DC202E"/>
            </w:tcBorders>
          </w:tcPr>
          <w:p>
            <w:pPr>
              <w:jc w:val="right"/>
              <w:ind w:right="47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340" w:type="dxa"/>
            <w:vAlign w:val="bottom"/>
            <w:tcBorders>
              <w:bottom w:val="single" w:sz="8" w:color="DC202E"/>
            </w:tcBorders>
          </w:tcPr>
          <w:p>
            <w:pPr>
              <w:spacing w:after="0"/>
              <w:rPr>
                <w:sz w:val="17"/>
                <w:szCs w:val="17"/>
                <w:color w:val="auto"/>
              </w:rPr>
            </w:pPr>
          </w:p>
        </w:tc>
        <w:tc>
          <w:tcPr>
            <w:tcW w:w="1100" w:type="dxa"/>
            <w:vAlign w:val="bottom"/>
            <w:tcBorders>
              <w:bottom w:val="single" w:sz="8" w:color="DC202E"/>
            </w:tcBorders>
          </w:tcPr>
          <w:p>
            <w:pPr>
              <w:jc w:val="right"/>
              <w:ind w:right="471"/>
              <w:spacing w:after="0"/>
              <w:rPr>
                <w:sz w:val="20"/>
                <w:szCs w:val="20"/>
                <w:color w:val="auto"/>
              </w:rPr>
            </w:pPr>
            <w:r>
              <w:rPr>
                <w:rFonts w:ascii="Arial" w:cs="Arial" w:eastAsia="Arial" w:hAnsi="Arial"/>
                <w:sz w:val="14"/>
                <w:szCs w:val="14"/>
                <w:b w:val="1"/>
                <w:bCs w:val="1"/>
                <w:color w:val="auto"/>
              </w:rPr>
              <w:t>2018</w:t>
            </w:r>
          </w:p>
        </w:tc>
      </w:tr>
      <w:tr>
        <w:trPr>
          <w:trHeight w:val="189"/>
        </w:trPr>
        <w:tc>
          <w:tcPr>
            <w:tcW w:w="20" w:type="dxa"/>
            <w:vAlign w:val="bottom"/>
          </w:tcPr>
          <w:p>
            <w:pPr>
              <w:spacing w:after="0"/>
              <w:rPr>
                <w:sz w:val="16"/>
                <w:szCs w:val="16"/>
                <w:color w:val="auto"/>
              </w:rPr>
            </w:pPr>
          </w:p>
        </w:tc>
        <w:tc>
          <w:tcPr>
            <w:tcW w:w="6680" w:type="dxa"/>
            <w:vAlign w:val="bottom"/>
            <w:gridSpan w:val="5"/>
          </w:tcPr>
          <w:p>
            <w:pPr>
              <w:spacing w:after="0" w:line="189" w:lineRule="exact"/>
              <w:rPr>
                <w:sz w:val="20"/>
                <w:szCs w:val="20"/>
                <w:color w:val="auto"/>
              </w:rPr>
            </w:pPr>
            <w:r>
              <w:rPr>
                <w:rFonts w:ascii="Arial" w:cs="Arial" w:eastAsia="Arial" w:hAnsi="Arial"/>
                <w:sz w:val="18"/>
                <w:szCs w:val="18"/>
                <w:color w:val="auto"/>
              </w:rPr>
              <w:t>Aerospace</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30"/>
        </w:trPr>
        <w:tc>
          <w:tcPr>
            <w:tcW w:w="20" w:type="dxa"/>
            <w:vAlign w:val="bottom"/>
            <w:shd w:val="clear" w:color="auto" w:fill="DDDDDD"/>
          </w:tcPr>
          <w:p>
            <w:pPr>
              <w:spacing w:after="0"/>
              <w:rPr>
                <w:sz w:val="19"/>
                <w:szCs w:val="19"/>
                <w:color w:val="auto"/>
              </w:rPr>
            </w:pPr>
          </w:p>
        </w:tc>
        <w:tc>
          <w:tcPr>
            <w:tcW w:w="6680" w:type="dxa"/>
            <w:vAlign w:val="bottom"/>
            <w:gridSpan w:val="5"/>
            <w:shd w:val="clear" w:color="auto" w:fill="DDDDDD"/>
          </w:tcPr>
          <w:p>
            <w:pPr>
              <w:spacing w:after="0"/>
              <w:rPr>
                <w:sz w:val="20"/>
                <w:szCs w:val="20"/>
                <w:color w:val="auto"/>
              </w:rPr>
            </w:pPr>
            <w:r>
              <w:rPr>
                <w:rFonts w:ascii="Arial" w:cs="Arial" w:eastAsia="Arial" w:hAnsi="Arial"/>
                <w:sz w:val="18"/>
                <w:szCs w:val="18"/>
                <w:color w:val="auto"/>
              </w:rPr>
              <w:t>Commercial Aviation Original Equipment</w:t>
            </w:r>
          </w:p>
        </w:tc>
        <w:tc>
          <w:tcPr>
            <w:tcW w:w="34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1,932</w:t>
            </w:r>
          </w:p>
        </w:tc>
        <w:tc>
          <w:tcPr>
            <w:tcW w:w="100" w:type="dxa"/>
            <w:vAlign w:val="bottom"/>
            <w:shd w:val="clear" w:color="auto" w:fill="DDDDDD"/>
          </w:tcPr>
          <w:p>
            <w:pPr>
              <w:spacing w:after="0"/>
              <w:rPr>
                <w:sz w:val="19"/>
                <w:szCs w:val="19"/>
                <w:color w:val="auto"/>
              </w:rPr>
            </w:pPr>
          </w:p>
        </w:tc>
        <w:tc>
          <w:tcPr>
            <w:tcW w:w="3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2,997</w:t>
            </w:r>
          </w:p>
        </w:tc>
        <w:tc>
          <w:tcPr>
            <w:tcW w:w="120" w:type="dxa"/>
            <w:vAlign w:val="bottom"/>
            <w:shd w:val="clear" w:color="auto" w:fill="DDDDDD"/>
          </w:tcPr>
          <w:p>
            <w:pPr>
              <w:spacing w:after="0"/>
              <w:rPr>
                <w:sz w:val="19"/>
                <w:szCs w:val="19"/>
                <w:color w:val="auto"/>
              </w:rPr>
            </w:pPr>
          </w:p>
        </w:tc>
        <w:tc>
          <w:tcPr>
            <w:tcW w:w="3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2,833</w:t>
            </w:r>
          </w:p>
        </w:tc>
      </w:tr>
      <w:tr>
        <w:trPr>
          <w:trHeight w:val="229"/>
        </w:trPr>
        <w:tc>
          <w:tcPr>
            <w:tcW w:w="20" w:type="dxa"/>
            <w:vAlign w:val="bottom"/>
          </w:tcPr>
          <w:p>
            <w:pPr>
              <w:spacing w:after="0"/>
              <w:rPr>
                <w:sz w:val="19"/>
                <w:szCs w:val="19"/>
                <w:color w:val="auto"/>
              </w:rPr>
            </w:pPr>
          </w:p>
        </w:tc>
        <w:tc>
          <w:tcPr>
            <w:tcW w:w="6680" w:type="dxa"/>
            <w:vAlign w:val="bottom"/>
            <w:gridSpan w:val="5"/>
          </w:tcPr>
          <w:p>
            <w:pPr>
              <w:spacing w:after="0"/>
              <w:rPr>
                <w:sz w:val="20"/>
                <w:szCs w:val="20"/>
                <w:color w:val="auto"/>
              </w:rPr>
            </w:pPr>
            <w:r>
              <w:rPr>
                <w:rFonts w:ascii="Arial" w:cs="Arial" w:eastAsia="Arial" w:hAnsi="Arial"/>
                <w:sz w:val="18"/>
                <w:szCs w:val="18"/>
                <w:color w:val="auto"/>
              </w:rPr>
              <w:t>Commercial Aviation Aftermarket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5,731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5,373</w:t>
            </w:r>
          </w:p>
        </w:tc>
      </w:tr>
      <w:tr>
        <w:trPr>
          <w:trHeight w:val="229"/>
        </w:trPr>
        <w:tc>
          <w:tcPr>
            <w:tcW w:w="20" w:type="dxa"/>
            <w:vAlign w:val="bottom"/>
            <w:shd w:val="clear" w:color="auto" w:fill="DDDDDD"/>
          </w:tcPr>
          <w:p>
            <w:pPr>
              <w:spacing w:after="0"/>
              <w:rPr>
                <w:sz w:val="19"/>
                <w:szCs w:val="19"/>
                <w:color w:val="auto"/>
              </w:rPr>
            </w:pPr>
          </w:p>
        </w:tc>
        <w:tc>
          <w:tcPr>
            <w:tcW w:w="6680" w:type="dxa"/>
            <w:vAlign w:val="bottom"/>
            <w:gridSpan w:val="5"/>
            <w:shd w:val="clear" w:color="auto" w:fill="DDDDDD"/>
          </w:tcPr>
          <w:p>
            <w:pPr>
              <w:spacing w:after="0"/>
              <w:rPr>
                <w:sz w:val="20"/>
                <w:szCs w:val="20"/>
                <w:color w:val="auto"/>
              </w:rPr>
            </w:pPr>
            <w:r>
              <w:rPr>
                <w:rFonts w:ascii="Arial" w:cs="Arial" w:eastAsia="Arial" w:hAnsi="Arial"/>
                <w:sz w:val="18"/>
                <w:szCs w:val="18"/>
                <w:color w:val="auto"/>
              </w:rPr>
              <w:t>Defense and Space</w:t>
            </w: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5,826</w:t>
            </w:r>
          </w:p>
        </w:tc>
        <w:tc>
          <w:tcPr>
            <w:tcW w:w="10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5,326</w:t>
            </w:r>
          </w:p>
        </w:tc>
        <w:tc>
          <w:tcPr>
            <w:tcW w:w="12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4,665</w:t>
            </w:r>
          </w:p>
        </w:tc>
      </w:tr>
      <w:tr>
        <w:trPr>
          <w:trHeight w:val="230"/>
        </w:trPr>
        <w:tc>
          <w:tcPr>
            <w:tcW w:w="20" w:type="dxa"/>
            <w:vAlign w:val="bottom"/>
          </w:tcPr>
          <w:p>
            <w:pPr>
              <w:spacing w:after="0"/>
              <w:rPr>
                <w:sz w:val="19"/>
                <w:szCs w:val="19"/>
                <w:color w:val="auto"/>
              </w:rPr>
            </w:pPr>
          </w:p>
        </w:tc>
        <w:tc>
          <w:tcPr>
            <w:tcW w:w="6680" w:type="dxa"/>
            <w:vAlign w:val="bottom"/>
            <w:gridSpan w:val="5"/>
          </w:tcPr>
          <w:p>
            <w:pPr>
              <w:spacing w:after="0"/>
              <w:rPr>
                <w:sz w:val="20"/>
                <w:szCs w:val="20"/>
                <w:color w:val="auto"/>
              </w:rPr>
            </w:pPr>
            <w:r>
              <w:rPr>
                <w:rFonts w:ascii="Arial" w:cs="Arial" w:eastAsia="Arial" w:hAnsi="Arial"/>
                <w:sz w:val="18"/>
                <w:szCs w:val="18"/>
                <w:color w:val="auto"/>
              </w:rPr>
              <w:t>Transportation Systems</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2,622</w:t>
            </w:r>
          </w:p>
        </w:tc>
      </w:tr>
      <w:tr>
        <w:trPr>
          <w:trHeight w:val="223"/>
        </w:trPr>
        <w:tc>
          <w:tcPr>
            <w:tcW w:w="20" w:type="dxa"/>
            <w:vAlign w:val="bottom"/>
            <w:tcBorders>
              <w:top w:val="single" w:sz="8" w:color="DDDDDD"/>
            </w:tcBorders>
            <w:shd w:val="clear" w:color="auto" w:fill="DDDDDD"/>
          </w:tcPr>
          <w:p>
            <w:pPr>
              <w:spacing w:after="0"/>
              <w:rPr>
                <w:sz w:val="19"/>
                <w:szCs w:val="19"/>
                <w:color w:val="auto"/>
              </w:rPr>
            </w:pPr>
          </w:p>
        </w:tc>
        <w:tc>
          <w:tcPr>
            <w:tcW w:w="860" w:type="dxa"/>
            <w:vAlign w:val="bottom"/>
            <w:tcBorders>
              <w:top w:val="single" w:sz="8" w:color="DDDDDD"/>
            </w:tcBorders>
            <w:shd w:val="clear" w:color="auto" w:fill="DDDDDD"/>
          </w:tcPr>
          <w:p>
            <w:pPr>
              <w:spacing w:after="0"/>
              <w:rPr>
                <w:sz w:val="19"/>
                <w:szCs w:val="19"/>
                <w:color w:val="auto"/>
              </w:rPr>
            </w:pPr>
          </w:p>
        </w:tc>
        <w:tc>
          <w:tcPr>
            <w:tcW w:w="1760" w:type="dxa"/>
            <w:vAlign w:val="bottom"/>
            <w:tcBorders>
              <w:top w:val="single" w:sz="8" w:color="DDDDDD"/>
            </w:tcBorders>
            <w:shd w:val="clear" w:color="auto" w:fill="DDDDDD"/>
          </w:tcPr>
          <w:p>
            <w:pPr>
              <w:spacing w:after="0"/>
              <w:rPr>
                <w:sz w:val="19"/>
                <w:szCs w:val="19"/>
                <w:color w:val="auto"/>
              </w:rPr>
            </w:pPr>
          </w:p>
        </w:tc>
        <w:tc>
          <w:tcPr>
            <w:tcW w:w="20" w:type="dxa"/>
            <w:vAlign w:val="bottom"/>
            <w:tcBorders>
              <w:top w:val="single" w:sz="8" w:color="DDDDDD"/>
            </w:tcBorders>
            <w:shd w:val="clear" w:color="auto" w:fill="DDDDDD"/>
          </w:tcPr>
          <w:p>
            <w:pPr>
              <w:spacing w:after="0"/>
              <w:rPr>
                <w:sz w:val="19"/>
                <w:szCs w:val="19"/>
                <w:color w:val="auto"/>
              </w:rPr>
            </w:pPr>
          </w:p>
        </w:tc>
        <w:tc>
          <w:tcPr>
            <w:tcW w:w="620" w:type="dxa"/>
            <w:vAlign w:val="bottom"/>
            <w:tcBorders>
              <w:top w:val="single" w:sz="8" w:color="DDDDDD"/>
            </w:tcBorders>
            <w:shd w:val="clear" w:color="auto" w:fill="DDDDDD"/>
          </w:tcPr>
          <w:p>
            <w:pPr>
              <w:spacing w:after="0"/>
              <w:rPr>
                <w:sz w:val="19"/>
                <w:szCs w:val="19"/>
                <w:color w:val="auto"/>
              </w:rPr>
            </w:pPr>
          </w:p>
        </w:tc>
        <w:tc>
          <w:tcPr>
            <w:tcW w:w="3420" w:type="dxa"/>
            <w:vAlign w:val="bottom"/>
            <w:tcBorders>
              <w:top w:val="single" w:sz="8" w:color="DDDDDD"/>
            </w:tcBorders>
            <w:shd w:val="clear" w:color="auto" w:fill="DDDDDD"/>
          </w:tcPr>
          <w:p>
            <w:pPr>
              <w:spacing w:after="0"/>
              <w:rPr>
                <w:sz w:val="19"/>
                <w:szCs w:val="19"/>
                <w:color w:val="auto"/>
              </w:rPr>
            </w:pPr>
          </w:p>
        </w:tc>
        <w:tc>
          <w:tcPr>
            <w:tcW w:w="340" w:type="dxa"/>
            <w:vAlign w:val="bottom"/>
            <w:tcBorders>
              <w:top w:val="single" w:sz="8" w:color="auto"/>
              <w:bottom w:val="single" w:sz="8" w:color="auto"/>
            </w:tcBorders>
            <w:shd w:val="clear" w:color="auto" w:fill="DDDDDD"/>
          </w:tcPr>
          <w:p>
            <w:pPr>
              <w:spacing w:after="0"/>
              <w:rPr>
                <w:sz w:val="19"/>
                <w:szCs w:val="19"/>
                <w:color w:val="auto"/>
              </w:rPr>
            </w:pPr>
          </w:p>
        </w:tc>
        <w:tc>
          <w:tcPr>
            <w:tcW w:w="110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11,544</w:t>
            </w:r>
          </w:p>
        </w:tc>
        <w:tc>
          <w:tcPr>
            <w:tcW w:w="100" w:type="dxa"/>
            <w:vAlign w:val="bottom"/>
            <w:tcBorders>
              <w:top w:val="single" w:sz="8" w:color="DDDDDD"/>
            </w:tcBorders>
            <w:shd w:val="clear" w:color="auto" w:fill="DDDDDD"/>
          </w:tcPr>
          <w:p>
            <w:pPr>
              <w:spacing w:after="0"/>
              <w:rPr>
                <w:sz w:val="19"/>
                <w:szCs w:val="19"/>
                <w:color w:val="auto"/>
              </w:rPr>
            </w:pPr>
          </w:p>
        </w:tc>
        <w:tc>
          <w:tcPr>
            <w:tcW w:w="340" w:type="dxa"/>
            <w:vAlign w:val="bottom"/>
            <w:tcBorders>
              <w:top w:val="single" w:sz="8" w:color="auto"/>
              <w:bottom w:val="single" w:sz="8" w:color="auto"/>
            </w:tcBorders>
            <w:shd w:val="clear" w:color="auto" w:fill="DDDDDD"/>
          </w:tcPr>
          <w:p>
            <w:pPr>
              <w:spacing w:after="0"/>
              <w:rPr>
                <w:sz w:val="19"/>
                <w:szCs w:val="19"/>
                <w:color w:val="auto"/>
              </w:rPr>
            </w:pPr>
          </w:p>
        </w:tc>
        <w:tc>
          <w:tcPr>
            <w:tcW w:w="110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14,054</w:t>
            </w:r>
          </w:p>
        </w:tc>
        <w:tc>
          <w:tcPr>
            <w:tcW w:w="120" w:type="dxa"/>
            <w:vAlign w:val="bottom"/>
            <w:tcBorders>
              <w:top w:val="single" w:sz="8" w:color="DDDDDD"/>
            </w:tcBorders>
            <w:shd w:val="clear" w:color="auto" w:fill="DDDDDD"/>
          </w:tcPr>
          <w:p>
            <w:pPr>
              <w:spacing w:after="0"/>
              <w:rPr>
                <w:sz w:val="19"/>
                <w:szCs w:val="19"/>
                <w:color w:val="auto"/>
              </w:rPr>
            </w:pPr>
          </w:p>
        </w:tc>
        <w:tc>
          <w:tcPr>
            <w:tcW w:w="340" w:type="dxa"/>
            <w:vAlign w:val="bottom"/>
            <w:tcBorders>
              <w:top w:val="single" w:sz="8" w:color="auto"/>
              <w:bottom w:val="single" w:sz="8" w:color="auto"/>
            </w:tcBorders>
            <w:shd w:val="clear" w:color="auto" w:fill="DDDDDD"/>
          </w:tcPr>
          <w:p>
            <w:pPr>
              <w:spacing w:after="0"/>
              <w:rPr>
                <w:sz w:val="19"/>
                <w:szCs w:val="19"/>
                <w:color w:val="auto"/>
              </w:rPr>
            </w:pPr>
          </w:p>
        </w:tc>
        <w:tc>
          <w:tcPr>
            <w:tcW w:w="110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15,493</w:t>
            </w:r>
          </w:p>
        </w:tc>
      </w:tr>
      <w:tr>
        <w:trPr>
          <w:trHeight w:val="169"/>
        </w:trPr>
        <w:tc>
          <w:tcPr>
            <w:tcW w:w="20" w:type="dxa"/>
            <w:vAlign w:val="bottom"/>
          </w:tcPr>
          <w:p>
            <w:pPr>
              <w:spacing w:after="0"/>
              <w:rPr>
                <w:sz w:val="14"/>
                <w:szCs w:val="14"/>
                <w:color w:val="auto"/>
              </w:rPr>
            </w:pPr>
          </w:p>
        </w:tc>
        <w:tc>
          <w:tcPr>
            <w:tcW w:w="6680" w:type="dxa"/>
            <w:vAlign w:val="bottom"/>
            <w:gridSpan w:val="5"/>
          </w:tcPr>
          <w:p>
            <w:pPr>
              <w:spacing w:after="0" w:line="169" w:lineRule="exact"/>
              <w:rPr>
                <w:sz w:val="20"/>
                <w:szCs w:val="20"/>
                <w:color w:val="auto"/>
              </w:rPr>
            </w:pPr>
            <w:r>
              <w:rPr>
                <w:rFonts w:ascii="Arial" w:cs="Arial" w:eastAsia="Arial" w:hAnsi="Arial"/>
                <w:sz w:val="18"/>
                <w:szCs w:val="18"/>
                <w:color w:val="auto"/>
              </w:rPr>
              <w:t>Honeywell Building Technologies</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17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29"/>
        </w:trPr>
        <w:tc>
          <w:tcPr>
            <w:tcW w:w="20" w:type="dxa"/>
            <w:vAlign w:val="bottom"/>
            <w:shd w:val="clear" w:color="auto" w:fill="DDDDDD"/>
          </w:tcPr>
          <w:p>
            <w:pPr>
              <w:spacing w:after="0"/>
              <w:rPr>
                <w:sz w:val="19"/>
                <w:szCs w:val="19"/>
                <w:color w:val="auto"/>
              </w:rPr>
            </w:pPr>
          </w:p>
        </w:tc>
        <w:tc>
          <w:tcPr>
            <w:tcW w:w="6680" w:type="dxa"/>
            <w:vAlign w:val="bottom"/>
            <w:gridSpan w:val="5"/>
            <w:shd w:val="clear" w:color="auto" w:fill="DDDDDD"/>
          </w:tcPr>
          <w:p>
            <w:pPr>
              <w:spacing w:after="0"/>
              <w:rPr>
                <w:sz w:val="20"/>
                <w:szCs w:val="20"/>
                <w:color w:val="auto"/>
              </w:rPr>
            </w:pPr>
            <w:r>
              <w:rPr>
                <w:rFonts w:ascii="Arial" w:cs="Arial" w:eastAsia="Arial" w:hAnsi="Arial"/>
                <w:sz w:val="18"/>
                <w:szCs w:val="18"/>
                <w:color w:val="auto"/>
              </w:rPr>
              <w:t>Homes Products and Software</w:t>
            </w:r>
          </w:p>
        </w:tc>
        <w:tc>
          <w:tcPr>
            <w:tcW w:w="340" w:type="dxa"/>
            <w:vAlign w:val="bottom"/>
            <w:shd w:val="clear" w:color="auto" w:fill="DDDDDD"/>
          </w:tcPr>
          <w:p>
            <w:pPr>
              <w:spacing w:after="0"/>
              <w:rPr>
                <w:sz w:val="19"/>
                <w:szCs w:val="19"/>
                <w:color w:val="auto"/>
              </w:rPr>
            </w:pPr>
          </w:p>
        </w:tc>
        <w:tc>
          <w:tcPr>
            <w:tcW w:w="1200" w:type="dxa"/>
            <w:vAlign w:val="bottom"/>
            <w:gridSpan w:val="2"/>
            <w:shd w:val="clear" w:color="auto" w:fill="DDDDDD"/>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DDDDDD"/>
          </w:tcPr>
          <w:p>
            <w:pPr>
              <w:spacing w:after="0"/>
              <w:rPr>
                <w:sz w:val="19"/>
                <w:szCs w:val="19"/>
                <w:color w:val="auto"/>
              </w:rPr>
            </w:pPr>
          </w:p>
        </w:tc>
        <w:tc>
          <w:tcPr>
            <w:tcW w:w="1220" w:type="dxa"/>
            <w:vAlign w:val="bottom"/>
            <w:gridSpan w:val="2"/>
            <w:shd w:val="clear" w:color="auto" w:fill="DDDDDD"/>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1,732</w:t>
            </w:r>
          </w:p>
        </w:tc>
      </w:tr>
      <w:tr>
        <w:trPr>
          <w:trHeight w:val="230"/>
        </w:trPr>
        <w:tc>
          <w:tcPr>
            <w:tcW w:w="20" w:type="dxa"/>
            <w:vAlign w:val="bottom"/>
          </w:tcPr>
          <w:p>
            <w:pPr>
              <w:spacing w:after="0"/>
              <w:rPr>
                <w:sz w:val="19"/>
                <w:szCs w:val="19"/>
                <w:color w:val="auto"/>
              </w:rPr>
            </w:pPr>
          </w:p>
        </w:tc>
        <w:tc>
          <w:tcPr>
            <w:tcW w:w="6680" w:type="dxa"/>
            <w:vAlign w:val="bottom"/>
            <w:gridSpan w:val="5"/>
          </w:tcPr>
          <w:p>
            <w:pPr>
              <w:spacing w:after="0"/>
              <w:rPr>
                <w:sz w:val="20"/>
                <w:szCs w:val="20"/>
                <w:color w:val="auto"/>
              </w:rPr>
            </w:pPr>
            <w:r>
              <w:rPr>
                <w:rFonts w:ascii="Arial" w:cs="Arial" w:eastAsia="Arial" w:hAnsi="Arial"/>
                <w:sz w:val="18"/>
                <w:szCs w:val="18"/>
                <w:color w:val="auto"/>
              </w:rPr>
              <w:t>Distribution (ADI)</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2,196</w:t>
            </w:r>
          </w:p>
        </w:tc>
      </w:tr>
      <w:tr>
        <w:trPr>
          <w:trHeight w:val="229"/>
        </w:trPr>
        <w:tc>
          <w:tcPr>
            <w:tcW w:w="20" w:type="dxa"/>
            <w:vAlign w:val="bottom"/>
            <w:shd w:val="clear" w:color="auto" w:fill="DDDDDD"/>
          </w:tcPr>
          <w:p>
            <w:pPr>
              <w:spacing w:after="0"/>
              <w:rPr>
                <w:sz w:val="19"/>
                <w:szCs w:val="19"/>
                <w:color w:val="auto"/>
              </w:rPr>
            </w:pPr>
          </w:p>
        </w:tc>
        <w:tc>
          <w:tcPr>
            <w:tcW w:w="6680" w:type="dxa"/>
            <w:vAlign w:val="bottom"/>
            <w:gridSpan w:val="5"/>
            <w:shd w:val="clear" w:color="auto" w:fill="DDDDDD"/>
          </w:tcPr>
          <w:p>
            <w:pPr>
              <w:spacing w:after="0"/>
              <w:rPr>
                <w:sz w:val="20"/>
                <w:szCs w:val="20"/>
                <w:color w:val="auto"/>
              </w:rPr>
            </w:pPr>
            <w:r>
              <w:rPr>
                <w:rFonts w:ascii="Arial" w:cs="Arial" w:eastAsia="Arial" w:hAnsi="Arial"/>
                <w:sz w:val="18"/>
                <w:szCs w:val="18"/>
                <w:color w:val="auto"/>
              </w:rPr>
              <w:t>Products</w:t>
            </w: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2,995</w:t>
            </w:r>
          </w:p>
        </w:tc>
        <w:tc>
          <w:tcPr>
            <w:tcW w:w="10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3,314</w:t>
            </w:r>
          </w:p>
        </w:tc>
        <w:tc>
          <w:tcPr>
            <w:tcW w:w="12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2,953</w:t>
            </w:r>
          </w:p>
        </w:tc>
      </w:tr>
      <w:tr>
        <w:trPr>
          <w:trHeight w:val="229"/>
        </w:trPr>
        <w:tc>
          <w:tcPr>
            <w:tcW w:w="20" w:type="dxa"/>
            <w:vAlign w:val="bottom"/>
            <w:tcBorders>
              <w:bottom w:val="single" w:sz="8" w:color="DDDDDD"/>
            </w:tcBorders>
          </w:tcPr>
          <w:p>
            <w:pPr>
              <w:spacing w:after="0"/>
              <w:rPr>
                <w:sz w:val="19"/>
                <w:szCs w:val="19"/>
                <w:color w:val="auto"/>
              </w:rPr>
            </w:pPr>
          </w:p>
        </w:tc>
        <w:tc>
          <w:tcPr>
            <w:tcW w:w="6680" w:type="dxa"/>
            <w:vAlign w:val="bottom"/>
            <w:tcBorders>
              <w:bottom w:val="single" w:sz="8" w:color="DDDDDD"/>
            </w:tcBorders>
            <w:gridSpan w:val="5"/>
          </w:tcPr>
          <w:p>
            <w:pPr>
              <w:spacing w:after="0"/>
              <w:rPr>
                <w:sz w:val="20"/>
                <w:szCs w:val="20"/>
                <w:color w:val="auto"/>
              </w:rPr>
            </w:pPr>
            <w:r>
              <w:rPr>
                <w:rFonts w:ascii="Arial" w:cs="Arial" w:eastAsia="Arial" w:hAnsi="Arial"/>
                <w:sz w:val="18"/>
                <w:szCs w:val="18"/>
                <w:color w:val="auto"/>
              </w:rPr>
              <w:t>Building Solutions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2,194</w:t>
            </w:r>
          </w:p>
        </w:tc>
        <w:tc>
          <w:tcPr>
            <w:tcW w:w="100" w:type="dxa"/>
            <w:vAlign w:val="bottom"/>
            <w:tcBorders>
              <w:bottom w:val="single" w:sz="8" w:color="DDDDDD"/>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2,403</w:t>
            </w:r>
          </w:p>
        </w:tc>
        <w:tc>
          <w:tcPr>
            <w:tcW w:w="120" w:type="dxa"/>
            <w:vAlign w:val="bottom"/>
            <w:tcBorders>
              <w:bottom w:val="single" w:sz="8" w:color="DDDDDD"/>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2,417</w:t>
            </w:r>
          </w:p>
        </w:tc>
      </w:tr>
      <w:tr>
        <w:trPr>
          <w:trHeight w:val="223"/>
        </w:trPr>
        <w:tc>
          <w:tcPr>
            <w:tcW w:w="20" w:type="dxa"/>
            <w:vAlign w:val="bottom"/>
            <w:shd w:val="clear" w:color="auto" w:fill="DDDDDD"/>
          </w:tcPr>
          <w:p>
            <w:pPr>
              <w:spacing w:after="0"/>
              <w:rPr>
                <w:sz w:val="19"/>
                <w:szCs w:val="19"/>
                <w:color w:val="auto"/>
              </w:rPr>
            </w:pPr>
          </w:p>
        </w:tc>
        <w:tc>
          <w:tcPr>
            <w:tcW w:w="860" w:type="dxa"/>
            <w:vAlign w:val="bottom"/>
            <w:shd w:val="clear" w:color="auto" w:fill="DDDDDD"/>
          </w:tcPr>
          <w:p>
            <w:pPr>
              <w:spacing w:after="0"/>
              <w:rPr>
                <w:sz w:val="19"/>
                <w:szCs w:val="19"/>
                <w:color w:val="auto"/>
              </w:rPr>
            </w:pPr>
          </w:p>
        </w:tc>
        <w:tc>
          <w:tcPr>
            <w:tcW w:w="176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620" w:type="dxa"/>
            <w:vAlign w:val="bottom"/>
            <w:shd w:val="clear" w:color="auto" w:fill="DDDDDD"/>
          </w:tcPr>
          <w:p>
            <w:pPr>
              <w:spacing w:after="0"/>
              <w:rPr>
                <w:sz w:val="19"/>
                <w:szCs w:val="19"/>
                <w:color w:val="auto"/>
              </w:rPr>
            </w:pPr>
          </w:p>
        </w:tc>
        <w:tc>
          <w:tcPr>
            <w:tcW w:w="3420" w:type="dxa"/>
            <w:vAlign w:val="bottom"/>
            <w:shd w:val="clear" w:color="auto" w:fill="DDDDDD"/>
          </w:tcPr>
          <w:p>
            <w:pPr>
              <w:spacing w:after="0"/>
              <w:rPr>
                <w:sz w:val="19"/>
                <w:szCs w:val="19"/>
                <w:color w:val="auto"/>
              </w:rPr>
            </w:pPr>
          </w:p>
        </w:tc>
        <w:tc>
          <w:tcPr>
            <w:tcW w:w="340" w:type="dxa"/>
            <w:vAlign w:val="bottom"/>
            <w:tcBorders>
              <w:bottom w:val="single" w:sz="8" w:color="auto"/>
            </w:tcBorders>
            <w:shd w:val="clear" w:color="auto" w:fill="DDDDDD"/>
          </w:tcPr>
          <w:p>
            <w:pPr>
              <w:spacing w:after="0"/>
              <w:rPr>
                <w:sz w:val="19"/>
                <w:szCs w:val="19"/>
                <w:color w:val="auto"/>
              </w:rPr>
            </w:pPr>
          </w:p>
        </w:tc>
        <w:tc>
          <w:tcPr>
            <w:tcW w:w="11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5,189</w:t>
            </w:r>
          </w:p>
        </w:tc>
        <w:tc>
          <w:tcPr>
            <w:tcW w:w="100" w:type="dxa"/>
            <w:vAlign w:val="bottom"/>
            <w:shd w:val="clear" w:color="auto" w:fill="DDDDDD"/>
          </w:tcPr>
          <w:p>
            <w:pPr>
              <w:spacing w:after="0"/>
              <w:rPr>
                <w:sz w:val="19"/>
                <w:szCs w:val="19"/>
                <w:color w:val="auto"/>
              </w:rPr>
            </w:pPr>
          </w:p>
        </w:tc>
        <w:tc>
          <w:tcPr>
            <w:tcW w:w="340" w:type="dxa"/>
            <w:vAlign w:val="bottom"/>
            <w:tcBorders>
              <w:bottom w:val="single" w:sz="8" w:color="auto"/>
            </w:tcBorders>
            <w:shd w:val="clear" w:color="auto" w:fill="DDDDDD"/>
          </w:tcPr>
          <w:p>
            <w:pPr>
              <w:spacing w:after="0"/>
              <w:rPr>
                <w:sz w:val="19"/>
                <w:szCs w:val="19"/>
                <w:color w:val="auto"/>
              </w:rPr>
            </w:pPr>
          </w:p>
        </w:tc>
        <w:tc>
          <w:tcPr>
            <w:tcW w:w="11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5,717</w:t>
            </w:r>
          </w:p>
        </w:tc>
        <w:tc>
          <w:tcPr>
            <w:tcW w:w="120" w:type="dxa"/>
            <w:vAlign w:val="bottom"/>
            <w:shd w:val="clear" w:color="auto" w:fill="DDDDDD"/>
          </w:tcPr>
          <w:p>
            <w:pPr>
              <w:spacing w:after="0"/>
              <w:rPr>
                <w:sz w:val="19"/>
                <w:szCs w:val="19"/>
                <w:color w:val="auto"/>
              </w:rPr>
            </w:pPr>
          </w:p>
        </w:tc>
        <w:tc>
          <w:tcPr>
            <w:tcW w:w="340" w:type="dxa"/>
            <w:vAlign w:val="bottom"/>
            <w:tcBorders>
              <w:bottom w:val="single" w:sz="8" w:color="auto"/>
            </w:tcBorders>
            <w:shd w:val="clear" w:color="auto" w:fill="DDDDDD"/>
          </w:tcPr>
          <w:p>
            <w:pPr>
              <w:spacing w:after="0"/>
              <w:rPr>
                <w:sz w:val="19"/>
                <w:szCs w:val="19"/>
                <w:color w:val="auto"/>
              </w:rPr>
            </w:pPr>
          </w:p>
        </w:tc>
        <w:tc>
          <w:tcPr>
            <w:tcW w:w="11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9,298</w:t>
            </w:r>
          </w:p>
        </w:tc>
      </w:tr>
      <w:tr>
        <w:trPr>
          <w:trHeight w:val="169"/>
        </w:trPr>
        <w:tc>
          <w:tcPr>
            <w:tcW w:w="20" w:type="dxa"/>
            <w:vAlign w:val="bottom"/>
          </w:tcPr>
          <w:p>
            <w:pPr>
              <w:spacing w:after="0"/>
              <w:rPr>
                <w:sz w:val="14"/>
                <w:szCs w:val="14"/>
                <w:color w:val="auto"/>
              </w:rPr>
            </w:pPr>
          </w:p>
        </w:tc>
        <w:tc>
          <w:tcPr>
            <w:tcW w:w="6680" w:type="dxa"/>
            <w:vAlign w:val="bottom"/>
            <w:gridSpan w:val="5"/>
          </w:tcPr>
          <w:p>
            <w:pPr>
              <w:spacing w:after="0" w:line="169" w:lineRule="exact"/>
              <w:rPr>
                <w:sz w:val="20"/>
                <w:szCs w:val="20"/>
                <w:color w:val="auto"/>
              </w:rPr>
            </w:pPr>
            <w:r>
              <w:rPr>
                <w:rFonts w:ascii="Arial" w:cs="Arial" w:eastAsia="Arial" w:hAnsi="Arial"/>
                <w:sz w:val="18"/>
                <w:szCs w:val="18"/>
                <w:color w:val="auto"/>
              </w:rPr>
              <w:t>Performance Materials and Technologies</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17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30"/>
        </w:trPr>
        <w:tc>
          <w:tcPr>
            <w:tcW w:w="20" w:type="dxa"/>
            <w:vAlign w:val="bottom"/>
            <w:shd w:val="clear" w:color="auto" w:fill="DDDDDD"/>
          </w:tcPr>
          <w:p>
            <w:pPr>
              <w:spacing w:after="0"/>
              <w:rPr>
                <w:sz w:val="19"/>
                <w:szCs w:val="19"/>
                <w:color w:val="auto"/>
              </w:rPr>
            </w:pPr>
          </w:p>
        </w:tc>
        <w:tc>
          <w:tcPr>
            <w:tcW w:w="6680" w:type="dxa"/>
            <w:vAlign w:val="bottom"/>
            <w:gridSpan w:val="5"/>
            <w:shd w:val="clear" w:color="auto" w:fill="DDDDDD"/>
          </w:tcPr>
          <w:p>
            <w:pPr>
              <w:spacing w:after="0"/>
              <w:rPr>
                <w:sz w:val="20"/>
                <w:szCs w:val="20"/>
                <w:color w:val="auto"/>
              </w:rPr>
            </w:pPr>
            <w:r>
              <w:rPr>
                <w:rFonts w:ascii="Arial" w:cs="Arial" w:eastAsia="Arial" w:hAnsi="Arial"/>
                <w:sz w:val="18"/>
                <w:szCs w:val="18"/>
                <w:color w:val="auto"/>
              </w:rPr>
              <w:t>UOP</w:t>
            </w: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2,177</w:t>
            </w:r>
          </w:p>
        </w:tc>
        <w:tc>
          <w:tcPr>
            <w:tcW w:w="10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2,890</w:t>
            </w:r>
          </w:p>
        </w:tc>
        <w:tc>
          <w:tcPr>
            <w:tcW w:w="12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2,845</w:t>
            </w:r>
          </w:p>
        </w:tc>
      </w:tr>
      <w:tr>
        <w:trPr>
          <w:trHeight w:val="229"/>
        </w:trPr>
        <w:tc>
          <w:tcPr>
            <w:tcW w:w="20" w:type="dxa"/>
            <w:vAlign w:val="bottom"/>
          </w:tcPr>
          <w:p>
            <w:pPr>
              <w:spacing w:after="0"/>
              <w:rPr>
                <w:sz w:val="19"/>
                <w:szCs w:val="19"/>
                <w:color w:val="auto"/>
              </w:rPr>
            </w:pPr>
          </w:p>
        </w:tc>
        <w:tc>
          <w:tcPr>
            <w:tcW w:w="6680" w:type="dxa"/>
            <w:vAlign w:val="bottom"/>
            <w:gridSpan w:val="5"/>
          </w:tcPr>
          <w:p>
            <w:pPr>
              <w:spacing w:after="0"/>
              <w:rPr>
                <w:sz w:val="20"/>
                <w:szCs w:val="20"/>
                <w:color w:val="auto"/>
              </w:rPr>
            </w:pPr>
            <w:r>
              <w:rPr>
                <w:rFonts w:ascii="Arial" w:cs="Arial" w:eastAsia="Arial" w:hAnsi="Arial"/>
                <w:sz w:val="18"/>
                <w:szCs w:val="18"/>
                <w:color w:val="auto"/>
              </w:rPr>
              <w:t>Process Solutions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5,146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4,981</w:t>
            </w:r>
          </w:p>
        </w:tc>
      </w:tr>
      <w:tr>
        <w:trPr>
          <w:trHeight w:val="230"/>
        </w:trPr>
        <w:tc>
          <w:tcPr>
            <w:tcW w:w="20" w:type="dxa"/>
            <w:vAlign w:val="bottom"/>
            <w:shd w:val="clear" w:color="auto" w:fill="DDDDDD"/>
          </w:tcPr>
          <w:p>
            <w:pPr>
              <w:spacing w:after="0"/>
              <w:rPr>
                <w:sz w:val="19"/>
                <w:szCs w:val="19"/>
                <w:color w:val="auto"/>
              </w:rPr>
            </w:pPr>
          </w:p>
        </w:tc>
        <w:tc>
          <w:tcPr>
            <w:tcW w:w="6680" w:type="dxa"/>
            <w:vAlign w:val="bottom"/>
            <w:gridSpan w:val="5"/>
            <w:shd w:val="clear" w:color="auto" w:fill="DDDDDD"/>
          </w:tcPr>
          <w:p>
            <w:pPr>
              <w:spacing w:after="0"/>
              <w:rPr>
                <w:sz w:val="20"/>
                <w:szCs w:val="20"/>
                <w:color w:val="auto"/>
              </w:rPr>
            </w:pPr>
            <w:r>
              <w:rPr>
                <w:rFonts w:ascii="Arial" w:cs="Arial" w:eastAsia="Arial" w:hAnsi="Arial"/>
                <w:sz w:val="18"/>
                <w:szCs w:val="18"/>
                <w:color w:val="auto"/>
              </w:rPr>
              <w:t>Specialty Products</w:t>
            </w: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1,075</w:t>
            </w:r>
          </w:p>
        </w:tc>
        <w:tc>
          <w:tcPr>
            <w:tcW w:w="10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1,062</w:t>
            </w:r>
          </w:p>
        </w:tc>
        <w:tc>
          <w:tcPr>
            <w:tcW w:w="12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1,134</w:t>
            </w:r>
          </w:p>
        </w:tc>
      </w:tr>
      <w:tr>
        <w:trPr>
          <w:trHeight w:val="230"/>
        </w:trPr>
        <w:tc>
          <w:tcPr>
            <w:tcW w:w="20" w:type="dxa"/>
            <w:vAlign w:val="bottom"/>
            <w:tcBorders>
              <w:bottom w:val="single" w:sz="8" w:color="DDDDDD"/>
            </w:tcBorders>
          </w:tcPr>
          <w:p>
            <w:pPr>
              <w:spacing w:after="0"/>
              <w:rPr>
                <w:sz w:val="19"/>
                <w:szCs w:val="19"/>
                <w:color w:val="auto"/>
              </w:rPr>
            </w:pPr>
          </w:p>
        </w:tc>
        <w:tc>
          <w:tcPr>
            <w:tcW w:w="6680" w:type="dxa"/>
            <w:vAlign w:val="bottom"/>
            <w:tcBorders>
              <w:bottom w:val="single" w:sz="8" w:color="DDDDDD"/>
            </w:tcBorders>
            <w:gridSpan w:val="5"/>
          </w:tcPr>
          <w:p>
            <w:pPr>
              <w:spacing w:after="0"/>
              <w:rPr>
                <w:sz w:val="20"/>
                <w:szCs w:val="20"/>
                <w:color w:val="auto"/>
              </w:rPr>
            </w:pPr>
            <w:r>
              <w:rPr>
                <w:rFonts w:ascii="Arial" w:cs="Arial" w:eastAsia="Arial" w:hAnsi="Arial"/>
                <w:sz w:val="18"/>
                <w:szCs w:val="18"/>
                <w:color w:val="auto"/>
              </w:rPr>
              <w:t>Fluorine Products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1,581</w:t>
            </w:r>
          </w:p>
        </w:tc>
        <w:tc>
          <w:tcPr>
            <w:tcW w:w="100" w:type="dxa"/>
            <w:vAlign w:val="bottom"/>
            <w:tcBorders>
              <w:bottom w:val="single" w:sz="8" w:color="DDDDDD"/>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1,736</w:t>
            </w:r>
          </w:p>
        </w:tc>
        <w:tc>
          <w:tcPr>
            <w:tcW w:w="120" w:type="dxa"/>
            <w:vAlign w:val="bottom"/>
            <w:tcBorders>
              <w:bottom w:val="single" w:sz="8" w:color="DDDDDD"/>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1,714</w:t>
            </w:r>
          </w:p>
        </w:tc>
      </w:tr>
      <w:tr>
        <w:trPr>
          <w:trHeight w:val="223"/>
        </w:trPr>
        <w:tc>
          <w:tcPr>
            <w:tcW w:w="20" w:type="dxa"/>
            <w:vAlign w:val="bottom"/>
            <w:shd w:val="clear" w:color="auto" w:fill="DDDDDD"/>
          </w:tcPr>
          <w:p>
            <w:pPr>
              <w:spacing w:after="0"/>
              <w:rPr>
                <w:sz w:val="19"/>
                <w:szCs w:val="19"/>
                <w:color w:val="auto"/>
              </w:rPr>
            </w:pPr>
          </w:p>
        </w:tc>
        <w:tc>
          <w:tcPr>
            <w:tcW w:w="860" w:type="dxa"/>
            <w:vAlign w:val="bottom"/>
            <w:shd w:val="clear" w:color="auto" w:fill="DDDDDD"/>
          </w:tcPr>
          <w:p>
            <w:pPr>
              <w:spacing w:after="0"/>
              <w:rPr>
                <w:sz w:val="19"/>
                <w:szCs w:val="19"/>
                <w:color w:val="auto"/>
              </w:rPr>
            </w:pPr>
          </w:p>
        </w:tc>
        <w:tc>
          <w:tcPr>
            <w:tcW w:w="176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620" w:type="dxa"/>
            <w:vAlign w:val="bottom"/>
            <w:shd w:val="clear" w:color="auto" w:fill="DDDDDD"/>
          </w:tcPr>
          <w:p>
            <w:pPr>
              <w:spacing w:after="0"/>
              <w:rPr>
                <w:sz w:val="19"/>
                <w:szCs w:val="19"/>
                <w:color w:val="auto"/>
              </w:rPr>
            </w:pPr>
          </w:p>
        </w:tc>
        <w:tc>
          <w:tcPr>
            <w:tcW w:w="3420" w:type="dxa"/>
            <w:vAlign w:val="bottom"/>
            <w:shd w:val="clear" w:color="auto" w:fill="DDDDDD"/>
          </w:tcPr>
          <w:p>
            <w:pPr>
              <w:spacing w:after="0"/>
              <w:rPr>
                <w:sz w:val="19"/>
                <w:szCs w:val="19"/>
                <w:color w:val="auto"/>
              </w:rPr>
            </w:pPr>
          </w:p>
        </w:tc>
        <w:tc>
          <w:tcPr>
            <w:tcW w:w="340" w:type="dxa"/>
            <w:vAlign w:val="bottom"/>
            <w:tcBorders>
              <w:bottom w:val="single" w:sz="8" w:color="auto"/>
            </w:tcBorders>
            <w:shd w:val="clear" w:color="auto" w:fill="DDDDDD"/>
          </w:tcPr>
          <w:p>
            <w:pPr>
              <w:spacing w:after="0"/>
              <w:rPr>
                <w:sz w:val="19"/>
                <w:szCs w:val="19"/>
                <w:color w:val="auto"/>
              </w:rPr>
            </w:pPr>
          </w:p>
        </w:tc>
        <w:tc>
          <w:tcPr>
            <w:tcW w:w="11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9,423</w:t>
            </w:r>
          </w:p>
        </w:tc>
        <w:tc>
          <w:tcPr>
            <w:tcW w:w="100" w:type="dxa"/>
            <w:vAlign w:val="bottom"/>
            <w:shd w:val="clear" w:color="auto" w:fill="DDDDDD"/>
          </w:tcPr>
          <w:p>
            <w:pPr>
              <w:spacing w:after="0"/>
              <w:rPr>
                <w:sz w:val="19"/>
                <w:szCs w:val="19"/>
                <w:color w:val="auto"/>
              </w:rPr>
            </w:pPr>
          </w:p>
        </w:tc>
        <w:tc>
          <w:tcPr>
            <w:tcW w:w="340" w:type="dxa"/>
            <w:vAlign w:val="bottom"/>
            <w:tcBorders>
              <w:bottom w:val="single" w:sz="8" w:color="auto"/>
            </w:tcBorders>
            <w:shd w:val="clear" w:color="auto" w:fill="DDDDDD"/>
          </w:tcPr>
          <w:p>
            <w:pPr>
              <w:spacing w:after="0"/>
              <w:rPr>
                <w:sz w:val="19"/>
                <w:szCs w:val="19"/>
                <w:color w:val="auto"/>
              </w:rPr>
            </w:pPr>
          </w:p>
        </w:tc>
        <w:tc>
          <w:tcPr>
            <w:tcW w:w="11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10,834</w:t>
            </w:r>
          </w:p>
        </w:tc>
        <w:tc>
          <w:tcPr>
            <w:tcW w:w="120" w:type="dxa"/>
            <w:vAlign w:val="bottom"/>
            <w:shd w:val="clear" w:color="auto" w:fill="DDDDDD"/>
          </w:tcPr>
          <w:p>
            <w:pPr>
              <w:spacing w:after="0"/>
              <w:rPr>
                <w:sz w:val="19"/>
                <w:szCs w:val="19"/>
                <w:color w:val="auto"/>
              </w:rPr>
            </w:pPr>
          </w:p>
        </w:tc>
        <w:tc>
          <w:tcPr>
            <w:tcW w:w="340" w:type="dxa"/>
            <w:vAlign w:val="bottom"/>
            <w:tcBorders>
              <w:bottom w:val="single" w:sz="8" w:color="auto"/>
            </w:tcBorders>
            <w:shd w:val="clear" w:color="auto" w:fill="DDDDDD"/>
          </w:tcPr>
          <w:p>
            <w:pPr>
              <w:spacing w:after="0"/>
              <w:rPr>
                <w:sz w:val="19"/>
                <w:szCs w:val="19"/>
                <w:color w:val="auto"/>
              </w:rPr>
            </w:pPr>
          </w:p>
        </w:tc>
        <w:tc>
          <w:tcPr>
            <w:tcW w:w="11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10,674</w:t>
            </w:r>
          </w:p>
        </w:tc>
      </w:tr>
      <w:tr>
        <w:trPr>
          <w:trHeight w:val="169"/>
        </w:trPr>
        <w:tc>
          <w:tcPr>
            <w:tcW w:w="20" w:type="dxa"/>
            <w:vAlign w:val="bottom"/>
          </w:tcPr>
          <w:p>
            <w:pPr>
              <w:spacing w:after="0"/>
              <w:rPr>
                <w:sz w:val="14"/>
                <w:szCs w:val="14"/>
                <w:color w:val="auto"/>
              </w:rPr>
            </w:pPr>
          </w:p>
        </w:tc>
        <w:tc>
          <w:tcPr>
            <w:tcW w:w="6680" w:type="dxa"/>
            <w:vAlign w:val="bottom"/>
            <w:gridSpan w:val="5"/>
          </w:tcPr>
          <w:p>
            <w:pPr>
              <w:spacing w:after="0" w:line="169" w:lineRule="exact"/>
              <w:rPr>
                <w:sz w:val="20"/>
                <w:szCs w:val="20"/>
                <w:color w:val="auto"/>
              </w:rPr>
            </w:pPr>
            <w:r>
              <w:rPr>
                <w:rFonts w:ascii="Arial" w:cs="Arial" w:eastAsia="Arial" w:hAnsi="Arial"/>
                <w:sz w:val="18"/>
                <w:szCs w:val="18"/>
                <w:color w:val="auto"/>
              </w:rPr>
              <w:t>Safety and Productivity Solutions</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17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30"/>
        </w:trPr>
        <w:tc>
          <w:tcPr>
            <w:tcW w:w="20" w:type="dxa"/>
            <w:vAlign w:val="bottom"/>
            <w:shd w:val="clear" w:color="auto" w:fill="DDDDDD"/>
          </w:tcPr>
          <w:p>
            <w:pPr>
              <w:spacing w:after="0"/>
              <w:rPr>
                <w:sz w:val="19"/>
                <w:szCs w:val="19"/>
                <w:color w:val="auto"/>
              </w:rPr>
            </w:pPr>
          </w:p>
        </w:tc>
        <w:tc>
          <w:tcPr>
            <w:tcW w:w="6680" w:type="dxa"/>
            <w:vAlign w:val="bottom"/>
            <w:gridSpan w:val="5"/>
            <w:shd w:val="clear" w:color="auto" w:fill="DDDDDD"/>
          </w:tcPr>
          <w:p>
            <w:pPr>
              <w:spacing w:after="0"/>
              <w:rPr>
                <w:sz w:val="20"/>
                <w:szCs w:val="20"/>
                <w:color w:val="auto"/>
              </w:rPr>
            </w:pPr>
            <w:r>
              <w:rPr>
                <w:rFonts w:ascii="Arial" w:cs="Arial" w:eastAsia="Arial" w:hAnsi="Arial"/>
                <w:sz w:val="18"/>
                <w:szCs w:val="18"/>
                <w:color w:val="auto"/>
              </w:rPr>
              <w:t>Safety and Retail</w:t>
            </w: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2,414</w:t>
            </w:r>
          </w:p>
        </w:tc>
        <w:tc>
          <w:tcPr>
            <w:tcW w:w="10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2,215</w:t>
            </w:r>
          </w:p>
        </w:tc>
        <w:tc>
          <w:tcPr>
            <w:tcW w:w="12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2,278</w:t>
            </w:r>
          </w:p>
        </w:tc>
      </w:tr>
      <w:tr>
        <w:trPr>
          <w:trHeight w:val="230"/>
        </w:trPr>
        <w:tc>
          <w:tcPr>
            <w:tcW w:w="20" w:type="dxa"/>
            <w:vAlign w:val="bottom"/>
          </w:tcPr>
          <w:p>
            <w:pPr>
              <w:spacing w:after="0"/>
              <w:rPr>
                <w:sz w:val="19"/>
                <w:szCs w:val="19"/>
                <w:color w:val="auto"/>
              </w:rPr>
            </w:pPr>
          </w:p>
        </w:tc>
        <w:tc>
          <w:tcPr>
            <w:tcW w:w="6680" w:type="dxa"/>
            <w:vAlign w:val="bottom"/>
            <w:gridSpan w:val="5"/>
          </w:tcPr>
          <w:p>
            <w:pPr>
              <w:spacing w:after="0"/>
              <w:rPr>
                <w:sz w:val="20"/>
                <w:szCs w:val="20"/>
                <w:color w:val="auto"/>
              </w:rPr>
            </w:pPr>
            <w:r>
              <w:rPr>
                <w:rFonts w:ascii="Arial" w:cs="Arial" w:eastAsia="Arial" w:hAnsi="Arial"/>
                <w:sz w:val="18"/>
                <w:szCs w:val="18"/>
                <w:color w:val="auto"/>
              </w:rPr>
              <w:t>Productivity Solutions and Services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1,270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1,540</w:t>
            </w:r>
          </w:p>
        </w:tc>
      </w:tr>
      <w:tr>
        <w:trPr>
          <w:trHeight w:val="230"/>
        </w:trPr>
        <w:tc>
          <w:tcPr>
            <w:tcW w:w="20" w:type="dxa"/>
            <w:vAlign w:val="bottom"/>
            <w:shd w:val="clear" w:color="auto" w:fill="DDDDDD"/>
          </w:tcPr>
          <w:p>
            <w:pPr>
              <w:spacing w:after="0"/>
              <w:rPr>
                <w:sz w:val="19"/>
                <w:szCs w:val="19"/>
                <w:color w:val="auto"/>
              </w:rPr>
            </w:pPr>
          </w:p>
        </w:tc>
        <w:tc>
          <w:tcPr>
            <w:tcW w:w="6680" w:type="dxa"/>
            <w:vAlign w:val="bottom"/>
            <w:gridSpan w:val="5"/>
            <w:shd w:val="clear" w:color="auto" w:fill="DDDDDD"/>
          </w:tcPr>
          <w:p>
            <w:pPr>
              <w:spacing w:after="0"/>
              <w:rPr>
                <w:sz w:val="20"/>
                <w:szCs w:val="20"/>
                <w:color w:val="auto"/>
              </w:rPr>
            </w:pPr>
            <w:r>
              <w:rPr>
                <w:rFonts w:ascii="Arial" w:cs="Arial" w:eastAsia="Arial" w:hAnsi="Arial"/>
                <w:sz w:val="18"/>
                <w:szCs w:val="18"/>
                <w:color w:val="auto"/>
              </w:rPr>
              <w:t>Warehouse and Workflow Solutions</w:t>
            </w: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2,018</w:t>
            </w:r>
          </w:p>
        </w:tc>
        <w:tc>
          <w:tcPr>
            <w:tcW w:w="10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1,771</w:t>
            </w:r>
          </w:p>
        </w:tc>
        <w:tc>
          <w:tcPr>
            <w:tcW w:w="12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1,662</w:t>
            </w:r>
          </w:p>
        </w:tc>
      </w:tr>
      <w:tr>
        <w:trPr>
          <w:trHeight w:val="230"/>
        </w:trPr>
        <w:tc>
          <w:tcPr>
            <w:tcW w:w="20" w:type="dxa"/>
            <w:vAlign w:val="bottom"/>
            <w:tcBorders>
              <w:bottom w:val="single" w:sz="8" w:color="DDDDDD"/>
            </w:tcBorders>
          </w:tcPr>
          <w:p>
            <w:pPr>
              <w:spacing w:after="0"/>
              <w:rPr>
                <w:sz w:val="19"/>
                <w:szCs w:val="19"/>
                <w:color w:val="auto"/>
              </w:rPr>
            </w:pPr>
          </w:p>
        </w:tc>
        <w:tc>
          <w:tcPr>
            <w:tcW w:w="6680" w:type="dxa"/>
            <w:vAlign w:val="bottom"/>
            <w:tcBorders>
              <w:bottom w:val="single" w:sz="8" w:color="DDDDDD"/>
            </w:tcBorders>
            <w:gridSpan w:val="5"/>
          </w:tcPr>
          <w:p>
            <w:pPr>
              <w:spacing w:after="0"/>
              <w:rPr>
                <w:sz w:val="20"/>
                <w:szCs w:val="20"/>
                <w:color w:val="auto"/>
              </w:rPr>
            </w:pPr>
            <w:r>
              <w:rPr>
                <w:rFonts w:ascii="Arial" w:cs="Arial" w:eastAsia="Arial" w:hAnsi="Arial"/>
                <w:sz w:val="18"/>
                <w:szCs w:val="18"/>
                <w:color w:val="auto"/>
              </w:rPr>
              <w:t>Sensing &amp; Internet-of-Things (IoT)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w:t>
            </w:r>
          </w:p>
        </w:tc>
        <w:tc>
          <w:tcPr>
            <w:tcW w:w="100" w:type="dxa"/>
            <w:vAlign w:val="bottom"/>
            <w:tcBorders>
              <w:bottom w:val="single" w:sz="8" w:color="DDDDDD"/>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w:t>
            </w:r>
          </w:p>
        </w:tc>
        <w:tc>
          <w:tcPr>
            <w:tcW w:w="120" w:type="dxa"/>
            <w:vAlign w:val="bottom"/>
            <w:tcBorders>
              <w:bottom w:val="single" w:sz="8" w:color="DDDDDD"/>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w:t>
            </w:r>
          </w:p>
        </w:tc>
      </w:tr>
      <w:tr>
        <w:trPr>
          <w:trHeight w:val="223"/>
        </w:trPr>
        <w:tc>
          <w:tcPr>
            <w:tcW w:w="20" w:type="dxa"/>
            <w:vAlign w:val="bottom"/>
            <w:shd w:val="clear" w:color="auto" w:fill="DDDDDD"/>
          </w:tcPr>
          <w:p>
            <w:pPr>
              <w:spacing w:after="0"/>
              <w:rPr>
                <w:sz w:val="19"/>
                <w:szCs w:val="19"/>
                <w:color w:val="auto"/>
              </w:rPr>
            </w:pPr>
          </w:p>
        </w:tc>
        <w:tc>
          <w:tcPr>
            <w:tcW w:w="860" w:type="dxa"/>
            <w:vAlign w:val="bottom"/>
            <w:shd w:val="clear" w:color="auto" w:fill="DDDDDD"/>
          </w:tcPr>
          <w:p>
            <w:pPr>
              <w:spacing w:after="0"/>
              <w:rPr>
                <w:sz w:val="19"/>
                <w:szCs w:val="19"/>
                <w:color w:val="auto"/>
              </w:rPr>
            </w:pPr>
          </w:p>
        </w:tc>
        <w:tc>
          <w:tcPr>
            <w:tcW w:w="176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620" w:type="dxa"/>
            <w:vAlign w:val="bottom"/>
            <w:shd w:val="clear" w:color="auto" w:fill="DDDDDD"/>
          </w:tcPr>
          <w:p>
            <w:pPr>
              <w:spacing w:after="0"/>
              <w:rPr>
                <w:sz w:val="19"/>
                <w:szCs w:val="19"/>
                <w:color w:val="auto"/>
              </w:rPr>
            </w:pPr>
          </w:p>
        </w:tc>
        <w:tc>
          <w:tcPr>
            <w:tcW w:w="3420" w:type="dxa"/>
            <w:vAlign w:val="bottom"/>
            <w:shd w:val="clear" w:color="auto" w:fill="DDDDDD"/>
          </w:tcPr>
          <w:p>
            <w:pPr>
              <w:spacing w:after="0"/>
              <w:rPr>
                <w:sz w:val="19"/>
                <w:szCs w:val="19"/>
                <w:color w:val="auto"/>
              </w:rPr>
            </w:pPr>
          </w:p>
        </w:tc>
        <w:tc>
          <w:tcPr>
            <w:tcW w:w="340" w:type="dxa"/>
            <w:vAlign w:val="bottom"/>
            <w:tcBorders>
              <w:bottom w:val="single" w:sz="8" w:color="auto"/>
            </w:tcBorders>
            <w:shd w:val="clear" w:color="auto" w:fill="DDDDDD"/>
          </w:tcPr>
          <w:p>
            <w:pPr>
              <w:spacing w:after="0"/>
              <w:rPr>
                <w:sz w:val="19"/>
                <w:szCs w:val="19"/>
                <w:color w:val="auto"/>
              </w:rPr>
            </w:pPr>
          </w:p>
        </w:tc>
        <w:tc>
          <w:tcPr>
            <w:tcW w:w="11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6,481</w:t>
            </w:r>
          </w:p>
        </w:tc>
        <w:tc>
          <w:tcPr>
            <w:tcW w:w="100" w:type="dxa"/>
            <w:vAlign w:val="bottom"/>
            <w:shd w:val="clear" w:color="auto" w:fill="DDDDDD"/>
          </w:tcPr>
          <w:p>
            <w:pPr>
              <w:spacing w:after="0"/>
              <w:rPr>
                <w:sz w:val="19"/>
                <w:szCs w:val="19"/>
                <w:color w:val="auto"/>
              </w:rPr>
            </w:pPr>
          </w:p>
        </w:tc>
        <w:tc>
          <w:tcPr>
            <w:tcW w:w="340" w:type="dxa"/>
            <w:vAlign w:val="bottom"/>
            <w:tcBorders>
              <w:bottom w:val="single" w:sz="8" w:color="auto"/>
            </w:tcBorders>
            <w:shd w:val="clear" w:color="auto" w:fill="DDDDDD"/>
          </w:tcPr>
          <w:p>
            <w:pPr>
              <w:spacing w:after="0"/>
              <w:rPr>
                <w:sz w:val="19"/>
                <w:szCs w:val="19"/>
                <w:color w:val="auto"/>
              </w:rPr>
            </w:pPr>
          </w:p>
        </w:tc>
        <w:tc>
          <w:tcPr>
            <w:tcW w:w="11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6,104</w:t>
            </w:r>
          </w:p>
        </w:tc>
        <w:tc>
          <w:tcPr>
            <w:tcW w:w="120" w:type="dxa"/>
            <w:vAlign w:val="bottom"/>
            <w:shd w:val="clear" w:color="auto" w:fill="DDDDDD"/>
          </w:tcPr>
          <w:p>
            <w:pPr>
              <w:spacing w:after="0"/>
              <w:rPr>
                <w:sz w:val="19"/>
                <w:szCs w:val="19"/>
                <w:color w:val="auto"/>
              </w:rPr>
            </w:pPr>
          </w:p>
        </w:tc>
        <w:tc>
          <w:tcPr>
            <w:tcW w:w="340" w:type="dxa"/>
            <w:vAlign w:val="bottom"/>
            <w:tcBorders>
              <w:bottom w:val="single" w:sz="8" w:color="auto"/>
            </w:tcBorders>
            <w:shd w:val="clear" w:color="auto" w:fill="DDDDDD"/>
          </w:tcPr>
          <w:p>
            <w:pPr>
              <w:spacing w:after="0"/>
              <w:rPr>
                <w:sz w:val="19"/>
                <w:szCs w:val="19"/>
                <w:color w:val="auto"/>
              </w:rPr>
            </w:pPr>
          </w:p>
        </w:tc>
        <w:tc>
          <w:tcPr>
            <w:tcW w:w="11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6,337</w:t>
            </w:r>
          </w:p>
        </w:tc>
      </w:tr>
      <w:tr>
        <w:trPr>
          <w:trHeight w:val="223"/>
        </w:trPr>
        <w:tc>
          <w:tcPr>
            <w:tcW w:w="20" w:type="dxa"/>
            <w:vAlign w:val="bottom"/>
          </w:tcPr>
          <w:p>
            <w:pPr>
              <w:spacing w:after="0"/>
              <w:rPr>
                <w:sz w:val="19"/>
                <w:szCs w:val="19"/>
                <w:color w:val="auto"/>
              </w:rPr>
            </w:pPr>
          </w:p>
        </w:tc>
        <w:tc>
          <w:tcPr>
            <w:tcW w:w="6680" w:type="dxa"/>
            <w:vAlign w:val="bottom"/>
            <w:gridSpan w:val="5"/>
          </w:tcPr>
          <w:p>
            <w:pPr>
              <w:spacing w:after="0"/>
              <w:rPr>
                <w:sz w:val="20"/>
                <w:szCs w:val="20"/>
                <w:color w:val="auto"/>
              </w:rPr>
            </w:pPr>
            <w:r>
              <w:rPr>
                <w:rFonts w:ascii="Arial" w:cs="Arial" w:eastAsia="Arial" w:hAnsi="Arial"/>
                <w:sz w:val="18"/>
                <w:szCs w:val="18"/>
                <w:color w:val="auto"/>
              </w:rPr>
              <w:t>Net sales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32,637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36,709</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41,802</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Aerospace </w:t>
      </w:r>
      <w:r>
        <w:rPr>
          <w:rFonts w:ascii="Arial" w:cs="Arial" w:eastAsia="Arial" w:hAnsi="Arial"/>
          <w:sz w:val="18"/>
          <w:szCs w:val="18"/>
          <w:color w:val="auto"/>
        </w:rPr>
        <w:t>– A global supplier of products, software and services for aircrafts that it sells to OEM and other customers in a variety of end</w:t>
      </w:r>
      <w:r>
        <w:rPr>
          <w:rFonts w:ascii="Arial" w:cs="Arial" w:eastAsia="Arial" w:hAnsi="Arial"/>
          <w:sz w:val="18"/>
          <w:szCs w:val="18"/>
          <w:b w:val="1"/>
          <w:bCs w:val="1"/>
          <w:color w:val="auto"/>
        </w:rPr>
        <w:t xml:space="preserve"> </w:t>
      </w:r>
      <w:r>
        <w:rPr>
          <w:rFonts w:ascii="Arial" w:cs="Arial" w:eastAsia="Arial" w:hAnsi="Arial"/>
          <w:sz w:val="18"/>
          <w:szCs w:val="18"/>
          <w:color w:val="auto"/>
        </w:rPr>
        <w:t>markets including: air transport, regional, business and general aviation aircraft, airlines, aircraft operators and defense and space contractors. Aerospace products and services include auxiliary power units, propulsion engines, environmental control systems, integrated avionics, wireless connectivity services, electric power systems, engine controls, flight safety, communications, navigation hardware, data and software applications, radar and surveillance systems, aircraft lighting, management and technical services, advanced systems and instruments, satellite and space components, aircraft wheels and brakes, repair and overhaul services and thermal systems. Aerospace also provides spare parts, repair, overhaul and maintenance services (principally to aircraft operators) for the aftermarket. Honeywell Forge solutions are leveraged by our customers as tools to turn data into predictive maintenance and predictive analytics to enable better fleet management and make flight operations more efficient.</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57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0" w:name="page61"/>
    <w:bookmarkEnd w:id="60"/>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3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b w:val="1"/>
          <w:bCs w:val="1"/>
          <w:color w:val="auto"/>
        </w:rPr>
        <w:t xml:space="preserve">Honeywell Building Technologies </w:t>
      </w:r>
      <w:r>
        <w:rPr>
          <w:rFonts w:ascii="Arial" w:cs="Arial" w:eastAsia="Arial" w:hAnsi="Arial"/>
          <w:sz w:val="18"/>
          <w:szCs w:val="18"/>
          <w:color w:val="auto"/>
        </w:rPr>
        <w:t>– A global provider of products, software, solutions and technologies that enable building owners and</w:t>
      </w:r>
      <w:r>
        <w:rPr>
          <w:rFonts w:ascii="Arial" w:cs="Arial" w:eastAsia="Arial" w:hAnsi="Arial"/>
          <w:sz w:val="18"/>
          <w:szCs w:val="18"/>
          <w:b w:val="1"/>
          <w:bCs w:val="1"/>
          <w:color w:val="auto"/>
        </w:rPr>
        <w:t xml:space="preserve"> </w:t>
      </w:r>
      <w:r>
        <w:rPr>
          <w:rFonts w:ascii="Arial" w:cs="Arial" w:eastAsia="Arial" w:hAnsi="Arial"/>
          <w:sz w:val="18"/>
          <w:szCs w:val="18"/>
          <w:color w:val="auto"/>
        </w:rPr>
        <w:t>occupants to ensure their facilities are safe, energy efficient, sustainable and productive. Honeywell Building Technologies products and services include advanced software applications for building control and optimization; sensors, switches, control systems and instruments for energy management; access control; video surveillance; fire products; remote patient monitoring systems; and installation, maintenance and upgrades of systems. Honeywell Forge solutions enable our customers to digitally manage buildings, connecting data from different assets to enable smart maintenance, improve building performance and even protect from incoming security threats.</w:t>
      </w:r>
    </w:p>
    <w:p>
      <w:pPr>
        <w:spacing w:after="0" w:line="74"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b w:val="1"/>
          <w:bCs w:val="1"/>
          <w:color w:val="auto"/>
        </w:rPr>
        <w:t xml:space="preserve">Performance Materials and Technologies </w:t>
      </w:r>
      <w:r>
        <w:rPr>
          <w:rFonts w:ascii="Arial" w:cs="Arial" w:eastAsia="Arial" w:hAnsi="Arial"/>
          <w:sz w:val="18"/>
          <w:szCs w:val="18"/>
          <w:color w:val="auto"/>
        </w:rPr>
        <w:t>– A global provider in developing and manufacturing high-quality performance chemicals and</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materials, process technologies and automation solutions. The segment is comprised of Process Solutions, UOP and Advanced Materials. Process Solutions provides automation control, instrumentation, advanced software and related services for the oil and gas, refining, pulp and paper, industrial power generation, chemicals and petrochemicals, biofuels, life sciences, and metals, minerals and mining industries.</w:t>
      </w:r>
    </w:p>
    <w:p>
      <w:pPr>
        <w:spacing w:after="0" w:line="3"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Through its smart energy products, Process Solutions enables utilities and distribution companies to deploy advanced capabilities to improve operations, reliability and environmental sustainability. UOP provides process technology, products, including catalysts and adsorbents, equipment, and consulting services that enable customers to efficiently produce gasoline, diesel, jet fuel, petrochemicals and renewable fuels for the petroleum refining, gas processing, petrochemical, and other industries. Advanced Materials manufactures a wide variety of high-performance products, including materials used to manufacture end products such as bullet-resistant armor, nylon, computer chips and pharmaceutical packaging, and provides reduced and low global-warming-potential materials based on hydrofluoro-olefin technology. In the industrial environment, Honeywell Forge solutions enable integration and connectivity to provide a holistic view of operations and turn data into clear actions to maximize productivity and efficiency. Honeywell Forge's cybersecurity capabilities help identify risks and act on cyber-related incidents, together enabling improved operations and protecting processes, people and assets.</w:t>
      </w:r>
    </w:p>
    <w:p>
      <w:pPr>
        <w:spacing w:after="0" w:line="8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color w:val="auto"/>
        </w:rPr>
        <w:t xml:space="preserve">Safety and Productivity Solutions </w:t>
      </w:r>
      <w:r>
        <w:rPr>
          <w:rFonts w:ascii="Arial" w:cs="Arial" w:eastAsia="Arial" w:hAnsi="Arial"/>
          <w:sz w:val="18"/>
          <w:szCs w:val="18"/>
          <w:color w:val="auto"/>
        </w:rPr>
        <w:t>– A global provider of products and software that improve productivity, workplace safety and asset</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to customers around the globe. Safety products include PPE, apparel, gear, and footwear designed for work, play and outdoor activities; gas detection technology; and cloud-based notification and emergency messaging. Productivity Solutions products and services include mobile devices and software for computing, data collection and thermal printing; supply chain and warehouse automation equipment, software and solutions; custom-engineered sensors, switches and controls for sensing and productivity solutions; and software-based data and asset management productivity solutions. Honeywell Forge solutions digitally automate processes to improve efficiency while reducing downtime and safety costs.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For a summary by disaggregated product and services sales for each segment, refer to Note 23 Segment Financial Data.</w:t>
      </w:r>
    </w:p>
    <w:p>
      <w:pPr>
        <w:spacing w:after="0" w:line="11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Company recognizes revenue arising from performance obligations outlined in contracts with its customers that are satisfied at a point in time and over time. The disaggregation of our revenue based off timing of recognition is as follows:</w:t>
      </w:r>
    </w:p>
    <w:p>
      <w:pPr>
        <w:spacing w:after="0" w:line="10" w:lineRule="exact"/>
        <w:rPr>
          <w:sz w:val="20"/>
          <w:szCs w:val="20"/>
          <w:color w:val="auto"/>
        </w:rPr>
      </w:pPr>
    </w:p>
    <w:p>
      <w:pPr>
        <w:ind w:left="7900"/>
        <w:spacing w:after="0"/>
        <w:rPr>
          <w:sz w:val="20"/>
          <w:szCs w:val="20"/>
          <w:color w:val="auto"/>
        </w:rPr>
      </w:pPr>
      <w:r>
        <w:rPr>
          <w:rFonts w:ascii="Arial" w:cs="Arial" w:eastAsia="Arial" w:hAnsi="Arial"/>
          <w:sz w:val="14"/>
          <w:szCs w:val="14"/>
          <w:b w:val="1"/>
          <w:bCs w:val="1"/>
          <w:color w:val="auto"/>
        </w:rPr>
        <w:t>Years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00" w:type="dxa"/>
            <w:vAlign w:val="bottom"/>
            <w:tcBorders>
              <w:bottom w:val="single" w:sz="8" w:color="DDDDDD"/>
            </w:tcBorders>
          </w:tcPr>
          <w:p>
            <w:pPr>
              <w:spacing w:after="0"/>
              <w:rPr>
                <w:sz w:val="17"/>
                <w:szCs w:val="17"/>
                <w:color w:val="auto"/>
              </w:rPr>
            </w:pPr>
          </w:p>
        </w:tc>
        <w:tc>
          <w:tcPr>
            <w:tcW w:w="980" w:type="dxa"/>
            <w:vAlign w:val="bottom"/>
            <w:tcBorders>
              <w:top w:val="single" w:sz="8" w:color="DC202E"/>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top w:val="single" w:sz="8" w:color="DC202E"/>
              <w:bottom w:val="single" w:sz="8" w:color="DC202E"/>
            </w:tcBorders>
          </w:tcPr>
          <w:p>
            <w:pPr>
              <w:spacing w:after="0"/>
              <w:rPr>
                <w:sz w:val="17"/>
                <w:szCs w:val="17"/>
                <w:color w:val="auto"/>
              </w:rPr>
            </w:pPr>
          </w:p>
        </w:tc>
        <w:tc>
          <w:tcPr>
            <w:tcW w:w="120" w:type="dxa"/>
            <w:vAlign w:val="bottom"/>
            <w:tcBorders>
              <w:top w:val="single" w:sz="8" w:color="DC202E"/>
              <w:bottom w:val="single" w:sz="8" w:color="DDDDDD"/>
            </w:tcBorders>
          </w:tcPr>
          <w:p>
            <w:pPr>
              <w:spacing w:after="0"/>
              <w:rPr>
                <w:sz w:val="17"/>
                <w:szCs w:val="17"/>
                <w:color w:val="auto"/>
              </w:rPr>
            </w:pPr>
          </w:p>
        </w:tc>
        <w:tc>
          <w:tcPr>
            <w:tcW w:w="960" w:type="dxa"/>
            <w:vAlign w:val="bottom"/>
            <w:tcBorders>
              <w:top w:val="single" w:sz="8" w:color="DC202E"/>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top w:val="single" w:sz="8" w:color="DC202E"/>
              <w:bottom w:val="single" w:sz="8" w:color="DC202E"/>
            </w:tcBorders>
          </w:tcPr>
          <w:p>
            <w:pPr>
              <w:spacing w:after="0"/>
              <w:rPr>
                <w:sz w:val="17"/>
                <w:szCs w:val="17"/>
                <w:color w:val="auto"/>
              </w:rPr>
            </w:pPr>
          </w:p>
        </w:tc>
        <w:tc>
          <w:tcPr>
            <w:tcW w:w="100" w:type="dxa"/>
            <w:vAlign w:val="bottom"/>
            <w:tcBorders>
              <w:top w:val="single" w:sz="8" w:color="DC202E"/>
              <w:bottom w:val="single" w:sz="8" w:color="DDDDDD"/>
            </w:tcBorders>
          </w:tcPr>
          <w:p>
            <w:pPr>
              <w:spacing w:after="0"/>
              <w:rPr>
                <w:sz w:val="17"/>
                <w:szCs w:val="17"/>
                <w:color w:val="auto"/>
              </w:rPr>
            </w:pPr>
          </w:p>
        </w:tc>
        <w:tc>
          <w:tcPr>
            <w:tcW w:w="1540" w:type="dxa"/>
            <w:vAlign w:val="bottom"/>
            <w:tcBorders>
              <w:top w:val="single" w:sz="8" w:color="DC202E"/>
              <w:bottom w:val="single" w:sz="8" w:color="DC202E"/>
            </w:tcBorders>
          </w:tcPr>
          <w:p>
            <w:pPr>
              <w:jc w:val="right"/>
              <w:ind w:right="512"/>
              <w:spacing w:after="0"/>
              <w:rPr>
                <w:sz w:val="20"/>
                <w:szCs w:val="20"/>
                <w:color w:val="auto"/>
              </w:rPr>
            </w:pPr>
            <w:r>
              <w:rPr>
                <w:rFonts w:ascii="Arial" w:cs="Arial" w:eastAsia="Arial" w:hAnsi="Arial"/>
                <w:sz w:val="14"/>
                <w:szCs w:val="14"/>
                <w:b w:val="1"/>
                <w:bCs w:val="1"/>
                <w:color w:val="auto"/>
              </w:rPr>
              <w:t>2018</w:t>
            </w:r>
          </w:p>
        </w:tc>
      </w:tr>
      <w:tr>
        <w:trPr>
          <w:trHeight w:val="230"/>
        </w:trPr>
        <w:tc>
          <w:tcPr>
            <w:tcW w:w="7380" w:type="dxa"/>
            <w:vAlign w:val="bottom"/>
            <w:gridSpan w:val="2"/>
            <w:shd w:val="clear" w:color="auto" w:fill="DDDDDD"/>
          </w:tcPr>
          <w:p>
            <w:pPr>
              <w:ind w:left="20"/>
              <w:spacing w:after="0"/>
              <w:rPr>
                <w:sz w:val="20"/>
                <w:szCs w:val="20"/>
                <w:color w:val="auto"/>
              </w:rPr>
            </w:pPr>
            <w:r>
              <w:rPr>
                <w:rFonts w:ascii="Arial" w:cs="Arial" w:eastAsia="Arial" w:hAnsi="Arial"/>
                <w:sz w:val="18"/>
                <w:szCs w:val="18"/>
                <w:color w:val="auto"/>
              </w:rPr>
              <w:t>Products, transferred point in time</w:t>
            </w:r>
          </w:p>
        </w:tc>
        <w:tc>
          <w:tcPr>
            <w:tcW w:w="5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61 %</w:t>
            </w:r>
          </w:p>
        </w:tc>
        <w:tc>
          <w:tcPr>
            <w:tcW w:w="120" w:type="dxa"/>
            <w:vAlign w:val="bottom"/>
            <w:shd w:val="clear" w:color="auto" w:fill="DDDDDD"/>
          </w:tcPr>
          <w:p>
            <w:pPr>
              <w:spacing w:after="0"/>
              <w:rPr>
                <w:sz w:val="19"/>
                <w:szCs w:val="19"/>
                <w:color w:val="auto"/>
              </w:rPr>
            </w:pPr>
          </w:p>
        </w:tc>
        <w:tc>
          <w:tcPr>
            <w:tcW w:w="960" w:type="dxa"/>
            <w:vAlign w:val="bottom"/>
            <w:shd w:val="clear" w:color="auto" w:fill="DDDDDD"/>
          </w:tcPr>
          <w:p>
            <w:pPr>
              <w:spacing w:after="0"/>
              <w:rPr>
                <w:sz w:val="19"/>
                <w:szCs w:val="19"/>
                <w:color w:val="auto"/>
              </w:rPr>
            </w:pPr>
          </w:p>
        </w:tc>
        <w:tc>
          <w:tcPr>
            <w:tcW w:w="5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61 %</w:t>
            </w:r>
          </w:p>
        </w:tc>
        <w:tc>
          <w:tcPr>
            <w:tcW w:w="100" w:type="dxa"/>
            <w:vAlign w:val="bottom"/>
            <w:shd w:val="clear" w:color="auto" w:fill="DDDDDD"/>
          </w:tcPr>
          <w:p>
            <w:pPr>
              <w:spacing w:after="0"/>
              <w:rPr>
                <w:sz w:val="19"/>
                <w:szCs w:val="19"/>
                <w:color w:val="auto"/>
              </w:rPr>
            </w:pPr>
          </w:p>
        </w:tc>
        <w:tc>
          <w:tcPr>
            <w:tcW w:w="15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67 %</w:t>
            </w:r>
          </w:p>
        </w:tc>
      </w:tr>
      <w:tr>
        <w:trPr>
          <w:trHeight w:val="229"/>
        </w:trPr>
        <w:tc>
          <w:tcPr>
            <w:tcW w:w="6400" w:type="dxa"/>
            <w:vAlign w:val="bottom"/>
            <w:tcBorders>
              <w:bottom w:val="single" w:sz="8" w:color="DDDDDD"/>
            </w:tcBorders>
          </w:tcPr>
          <w:p>
            <w:pPr>
              <w:ind w:left="20"/>
              <w:spacing w:after="0"/>
              <w:rPr>
                <w:sz w:val="20"/>
                <w:szCs w:val="20"/>
                <w:color w:val="auto"/>
              </w:rPr>
            </w:pPr>
            <w:r>
              <w:rPr>
                <w:rFonts w:ascii="Arial" w:cs="Arial" w:eastAsia="Arial" w:hAnsi="Arial"/>
                <w:sz w:val="18"/>
                <w:szCs w:val="18"/>
                <w:color w:val="auto"/>
              </w:rPr>
              <w:t>Products, transferred over time</w:t>
            </w:r>
          </w:p>
        </w:tc>
        <w:tc>
          <w:tcPr>
            <w:tcW w:w="9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DDDDDD"/>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DDDDDD"/>
            </w:tcBorders>
          </w:tcPr>
          <w:p>
            <w:pPr>
              <w:spacing w:after="0"/>
              <w:rPr>
                <w:sz w:val="19"/>
                <w:szCs w:val="19"/>
                <w:color w:val="auto"/>
              </w:rPr>
            </w:pPr>
          </w:p>
        </w:tc>
        <w:tc>
          <w:tcPr>
            <w:tcW w:w="15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12</w:t>
            </w:r>
          </w:p>
        </w:tc>
      </w:tr>
      <w:tr>
        <w:trPr>
          <w:trHeight w:val="223"/>
        </w:trPr>
        <w:tc>
          <w:tcPr>
            <w:tcW w:w="7380" w:type="dxa"/>
            <w:vAlign w:val="bottom"/>
            <w:gridSpan w:val="2"/>
            <w:shd w:val="clear" w:color="auto" w:fill="DDDDDD"/>
          </w:tcPr>
          <w:p>
            <w:pPr>
              <w:ind w:left="140"/>
              <w:spacing w:after="0"/>
              <w:rPr>
                <w:sz w:val="20"/>
                <w:szCs w:val="20"/>
                <w:color w:val="auto"/>
              </w:rPr>
            </w:pPr>
            <w:r>
              <w:rPr>
                <w:rFonts w:ascii="Arial" w:cs="Arial" w:eastAsia="Arial" w:hAnsi="Arial"/>
                <w:sz w:val="18"/>
                <w:szCs w:val="18"/>
                <w:color w:val="auto"/>
              </w:rPr>
              <w:t>Net product sales</w:t>
            </w:r>
          </w:p>
        </w:tc>
        <w:tc>
          <w:tcPr>
            <w:tcW w:w="56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76</w:t>
            </w:r>
          </w:p>
        </w:tc>
        <w:tc>
          <w:tcPr>
            <w:tcW w:w="120" w:type="dxa"/>
            <w:vAlign w:val="bottom"/>
            <w:shd w:val="clear" w:color="auto" w:fill="DDDDDD"/>
          </w:tcPr>
          <w:p>
            <w:pPr>
              <w:spacing w:after="0"/>
              <w:rPr>
                <w:sz w:val="19"/>
                <w:szCs w:val="19"/>
                <w:color w:val="auto"/>
              </w:rPr>
            </w:pPr>
          </w:p>
        </w:tc>
        <w:tc>
          <w:tcPr>
            <w:tcW w:w="960" w:type="dxa"/>
            <w:vAlign w:val="bottom"/>
            <w:shd w:val="clear" w:color="auto" w:fill="DDDDDD"/>
          </w:tcPr>
          <w:p>
            <w:pPr>
              <w:spacing w:after="0"/>
              <w:rPr>
                <w:sz w:val="19"/>
                <w:szCs w:val="19"/>
                <w:color w:val="auto"/>
              </w:rPr>
            </w:pPr>
          </w:p>
        </w:tc>
        <w:tc>
          <w:tcPr>
            <w:tcW w:w="58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75</w:t>
            </w:r>
          </w:p>
        </w:tc>
        <w:tc>
          <w:tcPr>
            <w:tcW w:w="100" w:type="dxa"/>
            <w:vAlign w:val="bottom"/>
            <w:shd w:val="clear" w:color="auto" w:fill="DDDDDD"/>
          </w:tcPr>
          <w:p>
            <w:pPr>
              <w:spacing w:after="0"/>
              <w:rPr>
                <w:sz w:val="19"/>
                <w:szCs w:val="19"/>
                <w:color w:val="auto"/>
              </w:rPr>
            </w:pPr>
          </w:p>
        </w:tc>
        <w:tc>
          <w:tcPr>
            <w:tcW w:w="1540" w:type="dxa"/>
            <w:vAlign w:val="bottom"/>
            <w:shd w:val="clear" w:color="auto" w:fill="DDDDDD"/>
          </w:tcPr>
          <w:p>
            <w:pPr>
              <w:jc w:val="right"/>
              <w:ind w:right="152"/>
              <w:spacing w:after="0"/>
              <w:rPr>
                <w:sz w:val="20"/>
                <w:szCs w:val="20"/>
                <w:color w:val="auto"/>
              </w:rPr>
            </w:pPr>
            <w:r>
              <w:rPr>
                <w:rFonts w:ascii="Arial" w:cs="Arial" w:eastAsia="Arial" w:hAnsi="Arial"/>
                <w:sz w:val="18"/>
                <w:szCs w:val="18"/>
                <w:color w:val="auto"/>
              </w:rPr>
              <w:t>79</w:t>
            </w:r>
          </w:p>
        </w:tc>
      </w:tr>
      <w:tr>
        <w:trPr>
          <w:trHeight w:val="229"/>
        </w:trPr>
        <w:tc>
          <w:tcPr>
            <w:tcW w:w="7380" w:type="dxa"/>
            <w:vAlign w:val="bottom"/>
            <w:gridSpan w:val="2"/>
          </w:tcPr>
          <w:p>
            <w:pPr>
              <w:ind w:left="20"/>
              <w:spacing w:after="0"/>
              <w:rPr>
                <w:sz w:val="20"/>
                <w:szCs w:val="20"/>
                <w:color w:val="auto"/>
              </w:rPr>
            </w:pPr>
            <w:r>
              <w:rPr>
                <w:rFonts w:ascii="Arial" w:cs="Arial" w:eastAsia="Arial" w:hAnsi="Arial"/>
                <w:sz w:val="18"/>
                <w:szCs w:val="18"/>
                <w:color w:val="auto"/>
              </w:rPr>
              <w:t>Services, transferred point in time</w:t>
            </w:r>
          </w:p>
        </w:tc>
        <w:tc>
          <w:tcPr>
            <w:tcW w:w="560" w:type="dxa"/>
            <w:vAlign w:val="bottom"/>
          </w:tcPr>
          <w:p>
            <w:pPr>
              <w:jc w:val="right"/>
              <w:ind w:right="15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ind w:right="15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540" w:type="dxa"/>
            <w:vAlign w:val="bottom"/>
          </w:tcPr>
          <w:p>
            <w:pPr>
              <w:jc w:val="right"/>
              <w:ind w:right="152"/>
              <w:spacing w:after="0"/>
              <w:rPr>
                <w:sz w:val="20"/>
                <w:szCs w:val="20"/>
                <w:color w:val="auto"/>
              </w:rPr>
            </w:pPr>
            <w:r>
              <w:rPr>
                <w:rFonts w:ascii="Arial" w:cs="Arial" w:eastAsia="Arial" w:hAnsi="Arial"/>
                <w:sz w:val="18"/>
                <w:szCs w:val="18"/>
                <w:color w:val="auto"/>
              </w:rPr>
              <w:t>7</w:t>
            </w:r>
          </w:p>
        </w:tc>
      </w:tr>
      <w:tr>
        <w:trPr>
          <w:trHeight w:val="230"/>
        </w:trPr>
        <w:tc>
          <w:tcPr>
            <w:tcW w:w="6400" w:type="dxa"/>
            <w:vAlign w:val="bottom"/>
            <w:shd w:val="clear" w:color="auto" w:fill="DDDDDD"/>
          </w:tcPr>
          <w:p>
            <w:pPr>
              <w:ind w:left="20"/>
              <w:spacing w:after="0"/>
              <w:rPr>
                <w:sz w:val="20"/>
                <w:szCs w:val="20"/>
                <w:color w:val="auto"/>
              </w:rPr>
            </w:pPr>
            <w:r>
              <w:rPr>
                <w:rFonts w:ascii="Arial" w:cs="Arial" w:eastAsia="Arial" w:hAnsi="Arial"/>
                <w:sz w:val="18"/>
                <w:szCs w:val="18"/>
                <w:color w:val="auto"/>
              </w:rPr>
              <w:t>Services, transferred over time</w:t>
            </w:r>
          </w:p>
        </w:tc>
        <w:tc>
          <w:tcPr>
            <w:tcW w:w="980" w:type="dxa"/>
            <w:vAlign w:val="bottom"/>
            <w:tcBorders>
              <w:bottom w:val="single" w:sz="8" w:color="auto"/>
            </w:tcBorders>
            <w:shd w:val="clear" w:color="auto" w:fill="DDDDDD"/>
          </w:tcPr>
          <w:p>
            <w:pPr>
              <w:spacing w:after="0"/>
              <w:rPr>
                <w:sz w:val="19"/>
                <w:szCs w:val="19"/>
                <w:color w:val="auto"/>
              </w:rPr>
            </w:pPr>
          </w:p>
        </w:tc>
        <w:tc>
          <w:tcPr>
            <w:tcW w:w="560" w:type="dxa"/>
            <w:vAlign w:val="bottom"/>
            <w:tcBorders>
              <w:bottom w:val="single" w:sz="8" w:color="auto"/>
            </w:tcBorders>
            <w:shd w:val="clear" w:color="auto" w:fill="DDDDDD"/>
          </w:tcPr>
          <w:p>
            <w:pPr>
              <w:jc w:val="right"/>
              <w:ind w:right="15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DDDDDD"/>
          </w:tcPr>
          <w:p>
            <w:pPr>
              <w:spacing w:after="0"/>
              <w:rPr>
                <w:sz w:val="19"/>
                <w:szCs w:val="19"/>
                <w:color w:val="auto"/>
              </w:rPr>
            </w:pPr>
          </w:p>
        </w:tc>
        <w:tc>
          <w:tcPr>
            <w:tcW w:w="960" w:type="dxa"/>
            <w:vAlign w:val="bottom"/>
            <w:tcBorders>
              <w:bottom w:val="single" w:sz="8" w:color="auto"/>
            </w:tcBorders>
            <w:shd w:val="clear" w:color="auto" w:fill="DDDDDD"/>
          </w:tcPr>
          <w:p>
            <w:pPr>
              <w:spacing w:after="0"/>
              <w:rPr>
                <w:sz w:val="19"/>
                <w:szCs w:val="19"/>
                <w:color w:val="auto"/>
              </w:rPr>
            </w:pPr>
          </w:p>
        </w:tc>
        <w:tc>
          <w:tcPr>
            <w:tcW w:w="580" w:type="dxa"/>
            <w:vAlign w:val="bottom"/>
            <w:tcBorders>
              <w:bottom w:val="single" w:sz="8" w:color="auto"/>
            </w:tcBorders>
            <w:shd w:val="clear" w:color="auto" w:fill="DDDDDD"/>
          </w:tcPr>
          <w:p>
            <w:pPr>
              <w:jc w:val="right"/>
              <w:ind w:right="15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DDDDDD"/>
          </w:tcPr>
          <w:p>
            <w:pPr>
              <w:spacing w:after="0"/>
              <w:rPr>
                <w:sz w:val="19"/>
                <w:szCs w:val="19"/>
                <w:color w:val="auto"/>
              </w:rPr>
            </w:pPr>
          </w:p>
        </w:tc>
        <w:tc>
          <w:tcPr>
            <w:tcW w:w="1540" w:type="dxa"/>
            <w:vAlign w:val="bottom"/>
            <w:tcBorders>
              <w:bottom w:val="single" w:sz="8" w:color="auto"/>
            </w:tcBorders>
            <w:shd w:val="clear" w:color="auto" w:fill="DDDDDD"/>
          </w:tcPr>
          <w:p>
            <w:pPr>
              <w:jc w:val="right"/>
              <w:ind w:right="152"/>
              <w:spacing w:after="0"/>
              <w:rPr>
                <w:sz w:val="20"/>
                <w:szCs w:val="20"/>
                <w:color w:val="auto"/>
              </w:rPr>
            </w:pPr>
            <w:r>
              <w:rPr>
                <w:rFonts w:ascii="Arial" w:cs="Arial" w:eastAsia="Arial" w:hAnsi="Arial"/>
                <w:sz w:val="18"/>
                <w:szCs w:val="18"/>
                <w:color w:val="auto"/>
              </w:rPr>
              <w:t>14</w:t>
            </w:r>
          </w:p>
        </w:tc>
      </w:tr>
      <w:tr>
        <w:trPr>
          <w:trHeight w:val="223"/>
        </w:trPr>
        <w:tc>
          <w:tcPr>
            <w:tcW w:w="6400" w:type="dxa"/>
            <w:vAlign w:val="bottom"/>
            <w:tcBorders>
              <w:bottom w:val="single" w:sz="8" w:color="DDDDDD"/>
            </w:tcBorders>
          </w:tcPr>
          <w:p>
            <w:pPr>
              <w:ind w:left="140"/>
              <w:spacing w:after="0"/>
              <w:rPr>
                <w:sz w:val="20"/>
                <w:szCs w:val="20"/>
                <w:color w:val="auto"/>
              </w:rPr>
            </w:pPr>
            <w:r>
              <w:rPr>
                <w:rFonts w:ascii="Arial" w:cs="Arial" w:eastAsia="Arial" w:hAnsi="Arial"/>
                <w:sz w:val="18"/>
                <w:szCs w:val="18"/>
                <w:color w:val="auto"/>
              </w:rPr>
              <w:t>Net service sales</w:t>
            </w:r>
          </w:p>
        </w:tc>
        <w:tc>
          <w:tcPr>
            <w:tcW w:w="9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DDDDDD"/>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DDDDDD"/>
            </w:tcBorders>
          </w:tcPr>
          <w:p>
            <w:pPr>
              <w:spacing w:after="0"/>
              <w:rPr>
                <w:sz w:val="19"/>
                <w:szCs w:val="19"/>
                <w:color w:val="auto"/>
              </w:rPr>
            </w:pPr>
          </w:p>
        </w:tc>
        <w:tc>
          <w:tcPr>
            <w:tcW w:w="15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21</w:t>
            </w:r>
          </w:p>
        </w:tc>
      </w:tr>
      <w:tr>
        <w:trPr>
          <w:trHeight w:val="243"/>
        </w:trPr>
        <w:tc>
          <w:tcPr>
            <w:tcW w:w="7380" w:type="dxa"/>
            <w:vAlign w:val="bottom"/>
            <w:gridSpan w:val="2"/>
            <w:shd w:val="clear" w:color="auto" w:fill="DDDDDD"/>
          </w:tcPr>
          <w:p>
            <w:pPr>
              <w:ind w:left="140"/>
              <w:spacing w:after="0"/>
              <w:rPr>
                <w:sz w:val="20"/>
                <w:szCs w:val="20"/>
                <w:color w:val="auto"/>
              </w:rPr>
            </w:pPr>
            <w:r>
              <w:rPr>
                <w:rFonts w:ascii="Arial" w:cs="Arial" w:eastAsia="Arial" w:hAnsi="Arial"/>
                <w:sz w:val="18"/>
                <w:szCs w:val="18"/>
                <w:color w:val="auto"/>
              </w:rPr>
              <w:t>Net sales</w:t>
            </w:r>
          </w:p>
        </w:tc>
        <w:tc>
          <w:tcPr>
            <w:tcW w:w="5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100 %</w:t>
            </w:r>
          </w:p>
        </w:tc>
        <w:tc>
          <w:tcPr>
            <w:tcW w:w="120" w:type="dxa"/>
            <w:vAlign w:val="bottom"/>
            <w:shd w:val="clear" w:color="auto" w:fill="DDDDDD"/>
          </w:tcPr>
          <w:p>
            <w:pPr>
              <w:spacing w:after="0"/>
              <w:rPr>
                <w:sz w:val="21"/>
                <w:szCs w:val="21"/>
                <w:color w:val="auto"/>
              </w:rPr>
            </w:pPr>
          </w:p>
        </w:tc>
        <w:tc>
          <w:tcPr>
            <w:tcW w:w="960" w:type="dxa"/>
            <w:vAlign w:val="bottom"/>
            <w:shd w:val="clear" w:color="auto" w:fill="DDDDDD"/>
          </w:tcPr>
          <w:p>
            <w:pPr>
              <w:spacing w:after="0"/>
              <w:rPr>
                <w:sz w:val="21"/>
                <w:szCs w:val="21"/>
                <w:color w:val="auto"/>
              </w:rPr>
            </w:pPr>
          </w:p>
        </w:tc>
        <w:tc>
          <w:tcPr>
            <w:tcW w:w="5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DDDDDD"/>
          </w:tcPr>
          <w:p>
            <w:pPr>
              <w:spacing w:after="0"/>
              <w:rPr>
                <w:sz w:val="21"/>
                <w:szCs w:val="21"/>
                <w:color w:val="auto"/>
              </w:rPr>
            </w:pPr>
          </w:p>
        </w:tc>
        <w:tc>
          <w:tcPr>
            <w:tcW w:w="15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6400" w:type="dxa"/>
            <w:vAlign w:val="bottom"/>
            <w:tcBorders>
              <w:top w:val="single" w:sz="8" w:color="DDDDDD"/>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DDDDD"/>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58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1" w:name="page62"/>
    <w:bookmarkEnd w:id="61"/>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CONTRACT BALANCES</w:t>
      </w:r>
    </w:p>
    <w:p>
      <w:pPr>
        <w:spacing w:after="0" w:line="13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Company records progress on satisfying performance obligations under contracts with customers and the related billings and cash collections are recorded on the Consolidated Balance Sheet in Accounts receivable—net and Other assets (unbilled receivables (contract assets) and billed receivables) and Accrued liabilities and Other liabilities (customer advances and deposits (contract liabilities)). Unbilled receivables (contract assets) arise when the timing of cash collected from customers differs from the timing of revenue recognition, such as when contract provisions require specific milestones to be met before a customer can be billed. Those assets are recognized when the revenue associated with the contract is recognized prior to billing and derecognized when billed in accordance with the terms of the contract. Contract liabilities are recorded when customers remit contractual cash payments in advance of us satisfying performance obligations under contractual arrangements, including those with performance obligations to be satisfied over a period of time. Contract liabilities are derecognized when revenue is recorded, either when a milestone is met triggering the contractual right to bill or when the performance obligation is satisfied.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Contract balances are classified as assets or liabilities on a contract-by-contract basis at the end of each reporting period.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contract assets and liabilities balances: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240" w:type="dxa"/>
            <w:vAlign w:val="bottom"/>
            <w:tcBorders>
              <w:bottom w:val="single" w:sz="8" w:color="DDDDDD"/>
            </w:tcBorders>
          </w:tcPr>
          <w:p>
            <w:pPr>
              <w:spacing w:after="0"/>
              <w:rPr>
                <w:sz w:val="17"/>
                <w:szCs w:val="17"/>
                <w:color w:val="auto"/>
              </w:rPr>
            </w:pPr>
          </w:p>
        </w:tc>
        <w:tc>
          <w:tcPr>
            <w:tcW w:w="340" w:type="dxa"/>
            <w:vAlign w:val="bottom"/>
            <w:tcBorders>
              <w:bottom w:val="single" w:sz="8" w:color="DC202E"/>
            </w:tcBorders>
          </w:tcPr>
          <w:p>
            <w:pPr>
              <w:spacing w:after="0"/>
              <w:rPr>
                <w:sz w:val="17"/>
                <w:szCs w:val="17"/>
                <w:color w:val="auto"/>
              </w:rPr>
            </w:pPr>
          </w:p>
        </w:tc>
        <w:tc>
          <w:tcPr>
            <w:tcW w:w="1100" w:type="dxa"/>
            <w:vAlign w:val="bottom"/>
            <w:tcBorders>
              <w:bottom w:val="single" w:sz="8" w:color="DC202E"/>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DDDDDD"/>
            </w:tcBorders>
          </w:tcPr>
          <w:p>
            <w:pPr>
              <w:spacing w:after="0"/>
              <w:rPr>
                <w:sz w:val="17"/>
                <w:szCs w:val="17"/>
                <w:color w:val="auto"/>
              </w:rPr>
            </w:pPr>
          </w:p>
        </w:tc>
        <w:tc>
          <w:tcPr>
            <w:tcW w:w="340" w:type="dxa"/>
            <w:vAlign w:val="bottom"/>
            <w:tcBorders>
              <w:bottom w:val="single" w:sz="8" w:color="DC202E"/>
            </w:tcBorders>
          </w:tcPr>
          <w:p>
            <w:pPr>
              <w:spacing w:after="0"/>
              <w:rPr>
                <w:sz w:val="17"/>
                <w:szCs w:val="17"/>
                <w:color w:val="auto"/>
              </w:rPr>
            </w:pPr>
          </w:p>
        </w:tc>
        <w:tc>
          <w:tcPr>
            <w:tcW w:w="1100" w:type="dxa"/>
            <w:vAlign w:val="bottom"/>
            <w:tcBorders>
              <w:bottom w:val="single" w:sz="8" w:color="DC202E"/>
            </w:tcBorders>
          </w:tcPr>
          <w:p>
            <w:pPr>
              <w:jc w:val="right"/>
              <w:ind w:right="472"/>
              <w:spacing w:after="0"/>
              <w:rPr>
                <w:sz w:val="20"/>
                <w:szCs w:val="20"/>
                <w:color w:val="auto"/>
              </w:rPr>
            </w:pPr>
            <w:r>
              <w:rPr>
                <w:rFonts w:ascii="Arial" w:cs="Arial" w:eastAsia="Arial" w:hAnsi="Arial"/>
                <w:sz w:val="14"/>
                <w:szCs w:val="14"/>
                <w:b w:val="1"/>
                <w:bCs w:val="1"/>
                <w:color w:val="auto"/>
              </w:rPr>
              <w:t>2019</w:t>
            </w:r>
          </w:p>
        </w:tc>
      </w:tr>
      <w:tr>
        <w:trPr>
          <w:trHeight w:val="229"/>
        </w:trPr>
        <w:tc>
          <w:tcPr>
            <w:tcW w:w="8240" w:type="dxa"/>
            <w:vAlign w:val="bottom"/>
            <w:shd w:val="clear" w:color="auto" w:fill="DDDDDD"/>
          </w:tcPr>
          <w:p>
            <w:pPr>
              <w:ind w:left="20"/>
              <w:spacing w:after="0"/>
              <w:rPr>
                <w:sz w:val="20"/>
                <w:szCs w:val="20"/>
                <w:color w:val="auto"/>
              </w:rPr>
            </w:pPr>
            <w:r>
              <w:rPr>
                <w:rFonts w:ascii="Arial" w:cs="Arial" w:eastAsia="Arial" w:hAnsi="Arial"/>
                <w:sz w:val="18"/>
                <w:szCs w:val="18"/>
                <w:color w:val="auto"/>
              </w:rPr>
              <w:t>Contract assets—January 1</w:t>
            </w:r>
          </w:p>
        </w:tc>
        <w:tc>
          <w:tcPr>
            <w:tcW w:w="3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1,602</w:t>
            </w:r>
          </w:p>
        </w:tc>
        <w:tc>
          <w:tcPr>
            <w:tcW w:w="120" w:type="dxa"/>
            <w:vAlign w:val="bottom"/>
            <w:shd w:val="clear" w:color="auto" w:fill="DDDDDD"/>
          </w:tcPr>
          <w:p>
            <w:pPr>
              <w:spacing w:after="0"/>
              <w:rPr>
                <w:sz w:val="19"/>
                <w:szCs w:val="19"/>
                <w:color w:val="auto"/>
              </w:rPr>
            </w:pPr>
          </w:p>
        </w:tc>
        <w:tc>
          <w:tcPr>
            <w:tcW w:w="3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1,548</w:t>
            </w:r>
          </w:p>
        </w:tc>
      </w:tr>
      <w:tr>
        <w:trPr>
          <w:trHeight w:val="230"/>
        </w:trPr>
        <w:tc>
          <w:tcPr>
            <w:tcW w:w="8240" w:type="dxa"/>
            <w:vAlign w:val="bottom"/>
            <w:tcBorders>
              <w:bottom w:val="single" w:sz="8" w:color="DDDDDD"/>
            </w:tcBorders>
          </w:tcPr>
          <w:p>
            <w:pPr>
              <w:ind w:left="20"/>
              <w:spacing w:after="0"/>
              <w:rPr>
                <w:sz w:val="20"/>
                <w:szCs w:val="20"/>
                <w:color w:val="auto"/>
              </w:rPr>
            </w:pPr>
            <w:r>
              <w:rPr>
                <w:rFonts w:ascii="Arial" w:cs="Arial" w:eastAsia="Arial" w:hAnsi="Arial"/>
                <w:sz w:val="18"/>
                <w:szCs w:val="18"/>
                <w:color w:val="auto"/>
              </w:rPr>
              <w:t>Contract assets—December 31</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1,618</w:t>
            </w:r>
          </w:p>
        </w:tc>
        <w:tc>
          <w:tcPr>
            <w:tcW w:w="120" w:type="dxa"/>
            <w:vAlign w:val="bottom"/>
            <w:tcBorders>
              <w:bottom w:val="single" w:sz="8" w:color="DDDDDD"/>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1,602</w:t>
            </w:r>
          </w:p>
        </w:tc>
      </w:tr>
      <w:tr>
        <w:trPr>
          <w:trHeight w:val="248"/>
        </w:trPr>
        <w:tc>
          <w:tcPr>
            <w:tcW w:w="824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8"/>
                <w:szCs w:val="18"/>
                <w:color w:val="auto"/>
              </w:rPr>
              <w:t>Change in contract assets—increase (decrease)</w:t>
            </w:r>
          </w:p>
        </w:tc>
        <w:tc>
          <w:tcPr>
            <w:tcW w:w="340" w:type="dxa"/>
            <w:vAlign w:val="bottom"/>
            <w:tcBorders>
              <w:bottom w:val="single" w:sz="8" w:color="auto"/>
            </w:tcBorders>
            <w:shd w:val="clear" w:color="auto" w:fill="DDDDDD"/>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DDDDDD"/>
            </w:tcBorders>
            <w:shd w:val="clear" w:color="auto" w:fill="DDDDDD"/>
          </w:tcPr>
          <w:p>
            <w:pPr>
              <w:spacing w:after="0"/>
              <w:rPr>
                <w:sz w:val="21"/>
                <w:szCs w:val="21"/>
                <w:color w:val="auto"/>
              </w:rPr>
            </w:pPr>
          </w:p>
        </w:tc>
        <w:tc>
          <w:tcPr>
            <w:tcW w:w="340" w:type="dxa"/>
            <w:vAlign w:val="bottom"/>
            <w:tcBorders>
              <w:bottom w:val="single" w:sz="8" w:color="auto"/>
            </w:tcBorders>
            <w:shd w:val="clear" w:color="auto" w:fill="DDDDDD"/>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54</w:t>
            </w:r>
          </w:p>
        </w:tc>
      </w:tr>
      <w:tr>
        <w:trPr>
          <w:trHeight w:val="20"/>
        </w:trPr>
        <w:tc>
          <w:tcPr>
            <w:tcW w:w="8240" w:type="dxa"/>
            <w:vAlign w:val="bottom"/>
            <w:tcBorders>
              <w:top w:val="single" w:sz="8" w:color="DDDDDD"/>
            </w:tcBorders>
          </w:tcPr>
          <w:p>
            <w:pPr>
              <w:spacing w:after="0" w:line="20" w:lineRule="exact"/>
              <w:rPr>
                <w:sz w:val="1"/>
                <w:szCs w:val="1"/>
                <w:color w:val="auto"/>
              </w:rPr>
            </w:pPr>
          </w:p>
        </w:tc>
        <w:tc>
          <w:tcPr>
            <w:tcW w:w="340" w:type="dxa"/>
            <w:vAlign w:val="bottom"/>
            <w:tcBorders>
              <w:top w:val="single" w:sz="8" w:color="DDDDDD"/>
              <w:bottom w:val="single" w:sz="8" w:color="auto"/>
            </w:tcBorders>
          </w:tcPr>
          <w:p>
            <w:pPr>
              <w:spacing w:after="0" w:line="20" w:lineRule="exact"/>
              <w:rPr>
                <w:sz w:val="1"/>
                <w:szCs w:val="1"/>
                <w:color w:val="auto"/>
              </w:rPr>
            </w:pPr>
          </w:p>
        </w:tc>
        <w:tc>
          <w:tcPr>
            <w:tcW w:w="1100" w:type="dxa"/>
            <w:vAlign w:val="bottom"/>
            <w:tcBorders>
              <w:top w:val="single" w:sz="8" w:color="DDDDDD"/>
              <w:bottom w:val="single" w:sz="8" w:color="auto"/>
            </w:tcBorders>
          </w:tcPr>
          <w:p>
            <w:pPr>
              <w:spacing w:after="0" w:line="20" w:lineRule="exact"/>
              <w:rPr>
                <w:sz w:val="1"/>
                <w:szCs w:val="1"/>
                <w:color w:val="auto"/>
              </w:rPr>
            </w:pPr>
          </w:p>
        </w:tc>
        <w:tc>
          <w:tcPr>
            <w:tcW w:w="120" w:type="dxa"/>
            <w:vAlign w:val="bottom"/>
            <w:tcBorders>
              <w:top w:val="single" w:sz="8" w:color="DDDDDD"/>
            </w:tcBorders>
          </w:tcPr>
          <w:p>
            <w:pPr>
              <w:spacing w:after="0" w:line="20" w:lineRule="exact"/>
              <w:rPr>
                <w:sz w:val="1"/>
                <w:szCs w:val="1"/>
                <w:color w:val="auto"/>
              </w:rPr>
            </w:pPr>
          </w:p>
        </w:tc>
        <w:tc>
          <w:tcPr>
            <w:tcW w:w="340" w:type="dxa"/>
            <w:vAlign w:val="bottom"/>
            <w:tcBorders>
              <w:top w:val="single" w:sz="8" w:color="DDDDDD"/>
              <w:bottom w:val="single" w:sz="8" w:color="auto"/>
            </w:tcBorders>
          </w:tcPr>
          <w:p>
            <w:pPr>
              <w:spacing w:after="0" w:line="20" w:lineRule="exact"/>
              <w:rPr>
                <w:sz w:val="1"/>
                <w:szCs w:val="1"/>
                <w:color w:val="auto"/>
              </w:rPr>
            </w:pPr>
          </w:p>
        </w:tc>
        <w:tc>
          <w:tcPr>
            <w:tcW w:w="1100" w:type="dxa"/>
            <w:vAlign w:val="bottom"/>
            <w:tcBorders>
              <w:top w:val="single" w:sz="8" w:color="DDDDDD"/>
              <w:bottom w:val="single" w:sz="8" w:color="auto"/>
            </w:tcBorders>
          </w:tcPr>
          <w:p>
            <w:pPr>
              <w:spacing w:after="0" w:line="20" w:lineRule="exact"/>
              <w:rPr>
                <w:sz w:val="1"/>
                <w:szCs w:val="1"/>
                <w:color w:val="auto"/>
              </w:rPr>
            </w:pPr>
          </w:p>
        </w:tc>
      </w:tr>
      <w:tr>
        <w:trPr>
          <w:trHeight w:val="204"/>
        </w:trPr>
        <w:tc>
          <w:tcPr>
            <w:tcW w:w="8240" w:type="dxa"/>
            <w:vAlign w:val="bottom"/>
          </w:tcPr>
          <w:p>
            <w:pPr>
              <w:ind w:left="20"/>
              <w:spacing w:after="0" w:line="203" w:lineRule="exact"/>
              <w:rPr>
                <w:sz w:val="20"/>
                <w:szCs w:val="20"/>
                <w:color w:val="auto"/>
              </w:rPr>
            </w:pPr>
            <w:r>
              <w:rPr>
                <w:rFonts w:ascii="Arial" w:cs="Arial" w:eastAsia="Arial" w:hAnsi="Arial"/>
                <w:sz w:val="18"/>
                <w:szCs w:val="18"/>
                <w:color w:val="auto"/>
              </w:rPr>
              <w:t>Contract liabilities—January 1</w:t>
            </w:r>
          </w:p>
        </w:tc>
        <w:tc>
          <w:tcPr>
            <w:tcW w:w="340" w:type="dxa"/>
            <w:vAlign w:val="bottom"/>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line="203" w:lineRule="exact"/>
              <w:rPr>
                <w:sz w:val="20"/>
                <w:szCs w:val="20"/>
                <w:color w:val="auto"/>
              </w:rPr>
            </w:pPr>
            <w:r>
              <w:rPr>
                <w:rFonts w:ascii="Arial" w:cs="Arial" w:eastAsia="Arial" w:hAnsi="Arial"/>
                <w:sz w:val="18"/>
                <w:szCs w:val="18"/>
                <w:color w:val="auto"/>
              </w:rPr>
              <w:t>(3,501)</w:t>
            </w:r>
          </w:p>
        </w:tc>
        <w:tc>
          <w:tcPr>
            <w:tcW w:w="120" w:type="dxa"/>
            <w:vAlign w:val="bottom"/>
          </w:tcPr>
          <w:p>
            <w:pPr>
              <w:spacing w:after="0"/>
              <w:rPr>
                <w:sz w:val="17"/>
                <w:szCs w:val="17"/>
                <w:color w:val="auto"/>
              </w:rPr>
            </w:pPr>
          </w:p>
        </w:tc>
        <w:tc>
          <w:tcPr>
            <w:tcW w:w="340" w:type="dxa"/>
            <w:vAlign w:val="bottom"/>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line="203" w:lineRule="exact"/>
              <w:rPr>
                <w:sz w:val="20"/>
                <w:szCs w:val="20"/>
                <w:color w:val="auto"/>
              </w:rPr>
            </w:pPr>
            <w:r>
              <w:rPr>
                <w:rFonts w:ascii="Arial" w:cs="Arial" w:eastAsia="Arial" w:hAnsi="Arial"/>
                <w:sz w:val="18"/>
                <w:szCs w:val="18"/>
                <w:color w:val="auto"/>
              </w:rPr>
              <w:t>(3,378)</w:t>
            </w:r>
          </w:p>
        </w:tc>
      </w:tr>
      <w:tr>
        <w:trPr>
          <w:trHeight w:val="229"/>
        </w:trPr>
        <w:tc>
          <w:tcPr>
            <w:tcW w:w="8240" w:type="dxa"/>
            <w:vAlign w:val="bottom"/>
            <w:shd w:val="clear" w:color="auto" w:fill="DDDDDD"/>
          </w:tcPr>
          <w:p>
            <w:pPr>
              <w:ind w:left="20"/>
              <w:spacing w:after="0"/>
              <w:rPr>
                <w:sz w:val="20"/>
                <w:szCs w:val="20"/>
                <w:color w:val="auto"/>
              </w:rPr>
            </w:pPr>
            <w:r>
              <w:rPr>
                <w:rFonts w:ascii="Arial" w:cs="Arial" w:eastAsia="Arial" w:hAnsi="Arial"/>
                <w:sz w:val="18"/>
                <w:szCs w:val="18"/>
                <w:color w:val="auto"/>
              </w:rPr>
              <w:t>Contract liabilities—December 31</w:t>
            </w:r>
          </w:p>
        </w:tc>
        <w:tc>
          <w:tcPr>
            <w:tcW w:w="340" w:type="dxa"/>
            <w:vAlign w:val="bottom"/>
            <w:tcBorders>
              <w:bottom w:val="single" w:sz="8" w:color="auto"/>
            </w:tcBorders>
            <w:shd w:val="clear" w:color="auto" w:fill="DDDDDD"/>
          </w:tcPr>
          <w:p>
            <w:pPr>
              <w:spacing w:after="0"/>
              <w:rPr>
                <w:sz w:val="19"/>
                <w:szCs w:val="19"/>
                <w:color w:val="auto"/>
              </w:rPr>
            </w:pPr>
          </w:p>
        </w:tc>
        <w:tc>
          <w:tcPr>
            <w:tcW w:w="11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(4,033)</w:t>
            </w:r>
          </w:p>
        </w:tc>
        <w:tc>
          <w:tcPr>
            <w:tcW w:w="120" w:type="dxa"/>
            <w:vAlign w:val="bottom"/>
            <w:shd w:val="clear" w:color="auto" w:fill="DDDDDD"/>
          </w:tcPr>
          <w:p>
            <w:pPr>
              <w:spacing w:after="0"/>
              <w:rPr>
                <w:sz w:val="19"/>
                <w:szCs w:val="19"/>
                <w:color w:val="auto"/>
              </w:rPr>
            </w:pPr>
          </w:p>
        </w:tc>
        <w:tc>
          <w:tcPr>
            <w:tcW w:w="340" w:type="dxa"/>
            <w:vAlign w:val="bottom"/>
            <w:tcBorders>
              <w:bottom w:val="single" w:sz="8" w:color="auto"/>
            </w:tcBorders>
            <w:shd w:val="clear" w:color="auto" w:fill="DDDDDD"/>
          </w:tcPr>
          <w:p>
            <w:pPr>
              <w:spacing w:after="0"/>
              <w:rPr>
                <w:sz w:val="19"/>
                <w:szCs w:val="19"/>
                <w:color w:val="auto"/>
              </w:rPr>
            </w:pPr>
          </w:p>
        </w:tc>
        <w:tc>
          <w:tcPr>
            <w:tcW w:w="11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(3,501)</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Change in contract liabilities—(increase) decrease</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r>
      <w:tr>
        <w:trPr>
          <w:trHeight w:val="20"/>
        </w:trPr>
        <w:tc>
          <w:tcPr>
            <w:tcW w:w="8240" w:type="dxa"/>
            <w:vAlign w:val="bottom"/>
            <w:tcBorders>
              <w:bottom w:val="single" w:sz="8" w:color="DDDDDD"/>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DDDDD"/>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8"/>
        </w:trPr>
        <w:tc>
          <w:tcPr>
            <w:tcW w:w="824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8"/>
                <w:szCs w:val="18"/>
                <w:color w:val="auto"/>
              </w:rPr>
              <w:t>Net change</w:t>
            </w:r>
          </w:p>
        </w:tc>
        <w:tc>
          <w:tcPr>
            <w:tcW w:w="340" w:type="dxa"/>
            <w:vAlign w:val="bottom"/>
            <w:tcBorders>
              <w:bottom w:val="single" w:sz="8" w:color="auto"/>
            </w:tcBorders>
            <w:shd w:val="clear" w:color="auto" w:fill="DDDDDD"/>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(516)</w:t>
            </w:r>
          </w:p>
        </w:tc>
        <w:tc>
          <w:tcPr>
            <w:tcW w:w="120" w:type="dxa"/>
            <w:vAlign w:val="bottom"/>
            <w:tcBorders>
              <w:bottom w:val="single" w:sz="8" w:color="DDDDDD"/>
            </w:tcBorders>
            <w:shd w:val="clear" w:color="auto" w:fill="DDDDDD"/>
          </w:tcPr>
          <w:p>
            <w:pPr>
              <w:spacing w:after="0"/>
              <w:rPr>
                <w:sz w:val="21"/>
                <w:szCs w:val="21"/>
                <w:color w:val="auto"/>
              </w:rPr>
            </w:pPr>
          </w:p>
        </w:tc>
        <w:tc>
          <w:tcPr>
            <w:tcW w:w="340" w:type="dxa"/>
            <w:vAlign w:val="bottom"/>
            <w:tcBorders>
              <w:bottom w:val="single" w:sz="8" w:color="auto"/>
            </w:tcBorders>
            <w:shd w:val="clear" w:color="auto" w:fill="DDDDDD"/>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(69)</w:t>
            </w:r>
          </w:p>
        </w:tc>
      </w:tr>
      <w:tr>
        <w:trPr>
          <w:trHeight w:val="20"/>
        </w:trPr>
        <w:tc>
          <w:tcPr>
            <w:tcW w:w="8240" w:type="dxa"/>
            <w:vAlign w:val="bottom"/>
            <w:tcBorders>
              <w:top w:val="single" w:sz="8" w:color="DDDDDD"/>
            </w:tcBorders>
          </w:tcPr>
          <w:p>
            <w:pPr>
              <w:spacing w:after="0" w:line="20" w:lineRule="exact"/>
              <w:rPr>
                <w:sz w:val="1"/>
                <w:szCs w:val="1"/>
                <w:color w:val="auto"/>
              </w:rPr>
            </w:pPr>
          </w:p>
        </w:tc>
        <w:tc>
          <w:tcPr>
            <w:tcW w:w="340" w:type="dxa"/>
            <w:vAlign w:val="bottom"/>
            <w:tcBorders>
              <w:top w:val="single" w:sz="8" w:color="DDDDDD"/>
              <w:bottom w:val="single" w:sz="8" w:color="auto"/>
            </w:tcBorders>
          </w:tcPr>
          <w:p>
            <w:pPr>
              <w:spacing w:after="0" w:line="20" w:lineRule="exact"/>
              <w:rPr>
                <w:sz w:val="1"/>
                <w:szCs w:val="1"/>
                <w:color w:val="auto"/>
              </w:rPr>
            </w:pPr>
          </w:p>
        </w:tc>
        <w:tc>
          <w:tcPr>
            <w:tcW w:w="1100" w:type="dxa"/>
            <w:vAlign w:val="bottom"/>
            <w:tcBorders>
              <w:top w:val="single" w:sz="8" w:color="DDDDDD"/>
              <w:bottom w:val="single" w:sz="8" w:color="auto"/>
            </w:tcBorders>
          </w:tcPr>
          <w:p>
            <w:pPr>
              <w:spacing w:after="0" w:line="20" w:lineRule="exact"/>
              <w:rPr>
                <w:sz w:val="1"/>
                <w:szCs w:val="1"/>
                <w:color w:val="auto"/>
              </w:rPr>
            </w:pPr>
          </w:p>
        </w:tc>
        <w:tc>
          <w:tcPr>
            <w:tcW w:w="120" w:type="dxa"/>
            <w:vAlign w:val="bottom"/>
            <w:tcBorders>
              <w:top w:val="single" w:sz="8" w:color="DDDDDD"/>
            </w:tcBorders>
          </w:tcPr>
          <w:p>
            <w:pPr>
              <w:spacing w:after="0" w:line="20" w:lineRule="exact"/>
              <w:rPr>
                <w:sz w:val="1"/>
                <w:szCs w:val="1"/>
                <w:color w:val="auto"/>
              </w:rPr>
            </w:pPr>
          </w:p>
        </w:tc>
        <w:tc>
          <w:tcPr>
            <w:tcW w:w="340" w:type="dxa"/>
            <w:vAlign w:val="bottom"/>
            <w:tcBorders>
              <w:top w:val="single" w:sz="8" w:color="DDDDDD"/>
              <w:bottom w:val="single" w:sz="8" w:color="auto"/>
            </w:tcBorders>
          </w:tcPr>
          <w:p>
            <w:pPr>
              <w:spacing w:after="0" w:line="20" w:lineRule="exact"/>
              <w:rPr>
                <w:sz w:val="1"/>
                <w:szCs w:val="1"/>
                <w:color w:val="auto"/>
              </w:rPr>
            </w:pPr>
          </w:p>
        </w:tc>
        <w:tc>
          <w:tcPr>
            <w:tcW w:w="1100" w:type="dxa"/>
            <w:vAlign w:val="bottom"/>
            <w:tcBorders>
              <w:top w:val="single" w:sz="8" w:color="DDDDDD"/>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net change in 2020 and 2019 was primarily driven by the receipt of advance payments from customers exceeding recognition of revenue as performance obligations were satisfied prior to billing. For the years ended December 31, 2020 and 2019, the Company recognized revenue of $1,709 million and $1,543 million that was previously included in the beginning balance of contract liabilities.</w:t>
      </w:r>
    </w:p>
    <w:p>
      <w:pPr>
        <w:spacing w:after="0" w:line="9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When contracts are modified to account for changes in contract specifications and requirements, the Company considers whether the modification either creates new or changes the existing enforceable rights and obligations. Contract modifications for goods or services and not distinct from the existing contract, due to the significant integration with the original good or service provided, are accounted for as if they were part of that existing contract. The effect of a contract modification on the transaction price and our measure of progress for the performance obligation to which it relates, is recognized as an adjustment to revenue (either as an increase in or a reduction of revenue) on a cumulative catch-up basis. When the modifications include additional performance obligations that are distinct and at relative stand-alone selling price, they are accounted for as a new contract and performance obligation, which are recognized prospectively.</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59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2" w:name="page63"/>
    <w:bookmarkEnd w:id="62"/>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PERFORMANCE OBLIGATIONS</w:t>
      </w:r>
    </w:p>
    <w:p>
      <w:pPr>
        <w:spacing w:after="0" w:line="13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 performance obligation is a promise in a contract to transfer a distinct good or service to the customer, and is defined as the unit of account. A contract’s transaction price is allocated to each distinct performance obligation and recognized as revenue when, or as, the performance obligation is satisfied. When our contracts with customers require highly complex integration or manufacturing services that are not separately identifiable from other promises in the contracts and, therefore, not distinct, then the entire contract is accounted for as a single performance obligation. In situations when our contract includes distinct goods or services that are substantially the same and have the same pattern of transfer to the customer over time, they are recognized as a series of distinct goods or services. For any contracts with multiple performance obligations, we allocate the contract’s transaction price to each performance obligation based on the estimated relative standalone selling price of each distinct good or service in the contract. For product sales, each product sold to a customer typically represents a distinct performance obligation. In such cases, the observable standalone sales are used to determine the stand alone selling price.</w:t>
      </w:r>
    </w:p>
    <w:p>
      <w:pPr>
        <w:spacing w:after="0" w:line="10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Performance obligations are satisfied as of a point in time or over time. Performance obligations are supported by contracts with customers, providing a framework for the nature of the distinct goods, services or bundle of goods and services. The timing of satisfying the performance obligation is typically indicated by the terms of the contract.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outlines the Company's remaining performance obligations disaggregated by segment:</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800" w:type="dxa"/>
            <w:vAlign w:val="bottom"/>
            <w:tcBorders>
              <w:bottom w:val="single" w:sz="8" w:color="DDDDDD"/>
            </w:tcBorders>
          </w:tcPr>
          <w:p>
            <w:pPr>
              <w:spacing w:after="0"/>
              <w:rPr>
                <w:sz w:val="17"/>
                <w:szCs w:val="17"/>
                <w:color w:val="auto"/>
              </w:rPr>
            </w:pPr>
          </w:p>
        </w:tc>
        <w:tc>
          <w:tcPr>
            <w:tcW w:w="1440" w:type="dxa"/>
            <w:vAlign w:val="bottom"/>
            <w:tcBorders>
              <w:bottom w:val="single" w:sz="8" w:color="DC202E"/>
            </w:tcBorders>
            <w:gridSpan w:val="2"/>
          </w:tcPr>
          <w:p>
            <w:pPr>
              <w:jc w:val="right"/>
              <w:spacing w:after="0"/>
              <w:rPr>
                <w:sz w:val="20"/>
                <w:szCs w:val="20"/>
                <w:color w:val="auto"/>
              </w:rPr>
            </w:pPr>
            <w:r>
              <w:rPr>
                <w:rFonts w:ascii="Arial" w:cs="Arial" w:eastAsia="Arial" w:hAnsi="Arial"/>
                <w:sz w:val="14"/>
                <w:szCs w:val="14"/>
                <w:b w:val="1"/>
                <w:bCs w:val="1"/>
                <w:color w:val="auto"/>
              </w:rPr>
              <w:t>December 31, 2020</w:t>
            </w:r>
          </w:p>
        </w:tc>
      </w:tr>
      <w:tr>
        <w:trPr>
          <w:trHeight w:val="229"/>
        </w:trPr>
        <w:tc>
          <w:tcPr>
            <w:tcW w:w="9800" w:type="dxa"/>
            <w:vAlign w:val="bottom"/>
            <w:shd w:val="clear" w:color="auto" w:fill="DDDDDD"/>
          </w:tcPr>
          <w:p>
            <w:pPr>
              <w:ind w:left="20"/>
              <w:spacing w:after="0"/>
              <w:rPr>
                <w:sz w:val="20"/>
                <w:szCs w:val="20"/>
                <w:color w:val="auto"/>
              </w:rPr>
            </w:pPr>
            <w:r>
              <w:rPr>
                <w:rFonts w:ascii="Arial" w:cs="Arial" w:eastAsia="Arial" w:hAnsi="Arial"/>
                <w:sz w:val="18"/>
                <w:szCs w:val="18"/>
                <w:color w:val="auto"/>
              </w:rPr>
              <w:t>Aerospace</w:t>
            </w:r>
          </w:p>
        </w:tc>
        <w:tc>
          <w:tcPr>
            <w:tcW w:w="460" w:type="dxa"/>
            <w:vAlign w:val="bottom"/>
            <w:shd w:val="clear" w:color="auto" w:fill="DDDDDD"/>
          </w:tcPr>
          <w:p>
            <w:pPr>
              <w:jc w:val="right"/>
              <w:ind w:right="256"/>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9,493</w:t>
            </w:r>
          </w:p>
        </w:tc>
      </w:tr>
      <w:tr>
        <w:trPr>
          <w:trHeight w:val="230"/>
        </w:trPr>
        <w:tc>
          <w:tcPr>
            <w:tcW w:w="9800" w:type="dxa"/>
            <w:vAlign w:val="bottom"/>
          </w:tcPr>
          <w:p>
            <w:pPr>
              <w:ind w:left="20"/>
              <w:spacing w:after="0"/>
              <w:rPr>
                <w:sz w:val="20"/>
                <w:szCs w:val="20"/>
                <w:color w:val="auto"/>
              </w:rPr>
            </w:pPr>
            <w:r>
              <w:rPr>
                <w:rFonts w:ascii="Arial" w:cs="Arial" w:eastAsia="Arial" w:hAnsi="Arial"/>
                <w:sz w:val="18"/>
                <w:szCs w:val="18"/>
                <w:color w:val="auto"/>
              </w:rPr>
              <w:t>Honeywell Building Technologies</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5,924</w:t>
            </w:r>
          </w:p>
        </w:tc>
      </w:tr>
      <w:tr>
        <w:trPr>
          <w:trHeight w:val="229"/>
        </w:trPr>
        <w:tc>
          <w:tcPr>
            <w:tcW w:w="9800" w:type="dxa"/>
            <w:vAlign w:val="bottom"/>
            <w:shd w:val="clear" w:color="auto" w:fill="DDDDDD"/>
          </w:tcPr>
          <w:p>
            <w:pPr>
              <w:ind w:left="20"/>
              <w:spacing w:after="0"/>
              <w:rPr>
                <w:sz w:val="20"/>
                <w:szCs w:val="20"/>
                <w:color w:val="auto"/>
              </w:rPr>
            </w:pPr>
            <w:r>
              <w:rPr>
                <w:rFonts w:ascii="Arial" w:cs="Arial" w:eastAsia="Arial" w:hAnsi="Arial"/>
                <w:sz w:val="18"/>
                <w:szCs w:val="18"/>
                <w:color w:val="auto"/>
              </w:rPr>
              <w:t>Performance Materials and Technologies</w:t>
            </w:r>
          </w:p>
        </w:tc>
        <w:tc>
          <w:tcPr>
            <w:tcW w:w="460" w:type="dxa"/>
            <w:vAlign w:val="bottom"/>
            <w:shd w:val="clear" w:color="auto" w:fill="DDDDDD"/>
          </w:tcPr>
          <w:p>
            <w:pPr>
              <w:spacing w:after="0"/>
              <w:rPr>
                <w:sz w:val="19"/>
                <w:szCs w:val="19"/>
                <w:color w:val="auto"/>
              </w:rPr>
            </w:pPr>
          </w:p>
        </w:tc>
        <w:tc>
          <w:tcPr>
            <w:tcW w:w="9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6,704</w:t>
            </w:r>
          </w:p>
        </w:tc>
      </w:tr>
      <w:tr>
        <w:trPr>
          <w:trHeight w:val="230"/>
        </w:trPr>
        <w:tc>
          <w:tcPr>
            <w:tcW w:w="9800" w:type="dxa"/>
            <w:vAlign w:val="bottom"/>
            <w:tcBorders>
              <w:bottom w:val="single" w:sz="8" w:color="DDDDDD"/>
            </w:tcBorders>
          </w:tcPr>
          <w:p>
            <w:pPr>
              <w:ind w:left="20"/>
              <w:spacing w:after="0"/>
              <w:rPr>
                <w:sz w:val="20"/>
                <w:szCs w:val="20"/>
                <w:color w:val="auto"/>
              </w:rPr>
            </w:pPr>
            <w:r>
              <w:rPr>
                <w:rFonts w:ascii="Arial" w:cs="Arial" w:eastAsia="Arial" w:hAnsi="Arial"/>
                <w:sz w:val="18"/>
                <w:szCs w:val="18"/>
                <w:color w:val="auto"/>
              </w:rPr>
              <w:t>Safety and Productivity Solutions</w:t>
            </w: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4,255</w:t>
            </w:r>
          </w:p>
        </w:tc>
      </w:tr>
      <w:tr>
        <w:trPr>
          <w:trHeight w:val="248"/>
        </w:trPr>
        <w:tc>
          <w:tcPr>
            <w:tcW w:w="9800" w:type="dxa"/>
            <w:vAlign w:val="bottom"/>
            <w:tcBorders>
              <w:bottom w:val="single" w:sz="8" w:color="DDDDDD"/>
            </w:tcBorders>
            <w:shd w:val="clear" w:color="auto" w:fill="DDDDDD"/>
          </w:tcPr>
          <w:p>
            <w:pPr>
              <w:spacing w:after="0"/>
              <w:rPr>
                <w:sz w:val="21"/>
                <w:szCs w:val="21"/>
                <w:color w:val="auto"/>
              </w:rPr>
            </w:pPr>
          </w:p>
        </w:tc>
        <w:tc>
          <w:tcPr>
            <w:tcW w:w="460" w:type="dxa"/>
            <w:vAlign w:val="bottom"/>
            <w:tcBorders>
              <w:bottom w:val="single" w:sz="8" w:color="auto"/>
            </w:tcBorders>
            <w:shd w:val="clear" w:color="auto" w:fill="DDDDDD"/>
          </w:tcPr>
          <w:p>
            <w:pPr>
              <w:jc w:val="right"/>
              <w:ind w:right="256"/>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26,376</w:t>
            </w:r>
          </w:p>
        </w:tc>
      </w:tr>
      <w:tr>
        <w:trPr>
          <w:trHeight w:val="20"/>
        </w:trPr>
        <w:tc>
          <w:tcPr>
            <w:tcW w:w="9800" w:type="dxa"/>
            <w:vAlign w:val="bottom"/>
            <w:tcBorders>
              <w:top w:val="single" w:sz="8" w:color="DDDDDD"/>
            </w:tcBorders>
          </w:tcPr>
          <w:p>
            <w:pPr>
              <w:spacing w:after="0" w:line="20" w:lineRule="exact"/>
              <w:rPr>
                <w:sz w:val="1"/>
                <w:szCs w:val="1"/>
                <w:color w:val="auto"/>
              </w:rPr>
            </w:pPr>
          </w:p>
        </w:tc>
        <w:tc>
          <w:tcPr>
            <w:tcW w:w="460" w:type="dxa"/>
            <w:vAlign w:val="bottom"/>
            <w:tcBorders>
              <w:top w:val="single" w:sz="8" w:color="DDDDDD"/>
              <w:bottom w:val="single" w:sz="8" w:color="auto"/>
            </w:tcBorders>
          </w:tcPr>
          <w:p>
            <w:pPr>
              <w:spacing w:after="0" w:line="20" w:lineRule="exact"/>
              <w:rPr>
                <w:sz w:val="1"/>
                <w:szCs w:val="1"/>
                <w:color w:val="auto"/>
              </w:rPr>
            </w:pPr>
          </w:p>
        </w:tc>
        <w:tc>
          <w:tcPr>
            <w:tcW w:w="980" w:type="dxa"/>
            <w:vAlign w:val="bottom"/>
            <w:tcBorders>
              <w:top w:val="single" w:sz="8" w:color="DDDDDD"/>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Performance obligations recognized as of December 31, 2020 will be satisfied over the course of future periods. Our disclosure of the timing for satisfying the performance obligation is based on the requirements of contracts with customers. However, from time to time, these contracts may be subject to modifications, impacting the timing of satisfying the performance obligations. Performance obligations expected to be satisfied within one year and greater than one year are 55% and 45%, respectively.</w:t>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timing of satisfaction of the Company's performance obligations does not significantly vary from the typical timing of payment. Typical payment terms of our fixed-price over time contracts include progress payments based on specified events or milestones, or based on project progress. For some contracts we may be entitled to receive an advance payment.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applied the practical expedient for certain revenue streams to exclude the value of remaining performance obligations for</w:t>
      </w:r>
    </w:p>
    <w:p>
      <w:pPr>
        <w:spacing w:after="0" w:line="9" w:lineRule="exact"/>
        <w:rPr>
          <w:sz w:val="20"/>
          <w:szCs w:val="20"/>
          <w:color w:val="auto"/>
        </w:rPr>
      </w:pPr>
    </w:p>
    <w:p>
      <w:pPr>
        <w:ind w:firstLine="8"/>
        <w:spacing w:after="0" w:line="261" w:lineRule="auto"/>
        <w:tabs>
          <w:tab w:leader="none" w:pos="21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contracts with an original expected term of one year or less or (ii) contracts for which we recognize revenue in proportion to the amount we have the right to invoice for services performed.</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60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3" w:name="page64"/>
    <w:bookmarkEnd w:id="63"/>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9"/>
          <w:szCs w:val="29"/>
          <w:b w:val="1"/>
          <w:bCs w:val="1"/>
          <w:color w:val="DC202E"/>
        </w:rPr>
        <w:t>NOTE 4. REPOSITIONING AND OTHER CHARGES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repositioning and other charges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20" w:type="dxa"/>
            <w:vAlign w:val="bottom"/>
          </w:tcPr>
          <w:p>
            <w:pPr>
              <w:spacing w:after="0"/>
              <w:rPr>
                <w:sz w:val="17"/>
                <w:szCs w:val="17"/>
                <w:color w:val="auto"/>
              </w:rPr>
            </w:pPr>
          </w:p>
        </w:tc>
        <w:tc>
          <w:tcPr>
            <w:tcW w:w="960" w:type="dxa"/>
            <w:vAlign w:val="bottom"/>
            <w:tcBorders>
              <w:bottom w:val="single" w:sz="8" w:color="DC202E"/>
            </w:tcBorders>
          </w:tcPr>
          <w:p>
            <w:pPr>
              <w:spacing w:after="0"/>
              <w:rPr>
                <w:sz w:val="17"/>
                <w:szCs w:val="17"/>
                <w:color w:val="auto"/>
              </w:rPr>
            </w:pPr>
          </w:p>
        </w:tc>
        <w:tc>
          <w:tcPr>
            <w:tcW w:w="2460" w:type="dxa"/>
            <w:vAlign w:val="bottom"/>
            <w:tcBorders>
              <w:bottom w:val="single" w:sz="8" w:color="DC202E"/>
            </w:tcBorders>
            <w:gridSpan w:val="6"/>
          </w:tcPr>
          <w:p>
            <w:pPr>
              <w:jc w:val="center"/>
              <w:ind w:left="52"/>
              <w:spacing w:after="0"/>
              <w:rPr>
                <w:sz w:val="20"/>
                <w:szCs w:val="20"/>
                <w:color w:val="auto"/>
              </w:rPr>
            </w:pPr>
            <w:r>
              <w:rPr>
                <w:rFonts w:ascii="Arial" w:cs="Arial" w:eastAsia="Arial" w:hAnsi="Arial"/>
                <w:sz w:val="14"/>
                <w:szCs w:val="14"/>
                <w:b w:val="1"/>
                <w:bCs w:val="1"/>
                <w:color w:val="auto"/>
              </w:rPr>
              <w:t>Years Ended December 31,</w:t>
            </w:r>
          </w:p>
        </w:tc>
        <w:tc>
          <w:tcPr>
            <w:tcW w:w="1100" w:type="dxa"/>
            <w:vAlign w:val="bottom"/>
            <w:tcBorders>
              <w:bottom w:val="single" w:sz="8" w:color="DC202E"/>
            </w:tcBorders>
          </w:tcPr>
          <w:p>
            <w:pPr>
              <w:spacing w:after="0"/>
              <w:rPr>
                <w:sz w:val="17"/>
                <w:szCs w:val="17"/>
                <w:color w:val="auto"/>
              </w:rPr>
            </w:pPr>
          </w:p>
        </w:tc>
      </w:tr>
      <w:tr>
        <w:trPr>
          <w:trHeight w:val="236"/>
        </w:trPr>
        <w:tc>
          <w:tcPr>
            <w:tcW w:w="6720" w:type="dxa"/>
            <w:vAlign w:val="bottom"/>
            <w:tcBorders>
              <w:bottom w:val="single" w:sz="8" w:color="DDDDDD"/>
            </w:tcBorders>
          </w:tcPr>
          <w:p>
            <w:pPr>
              <w:spacing w:after="0"/>
              <w:rPr>
                <w:sz w:val="20"/>
                <w:szCs w:val="20"/>
                <w:color w:val="auto"/>
              </w:rPr>
            </w:pPr>
          </w:p>
        </w:tc>
        <w:tc>
          <w:tcPr>
            <w:tcW w:w="96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DC202E"/>
            </w:tcBorders>
          </w:tcPr>
          <w:p>
            <w:pPr>
              <w:spacing w:after="0"/>
              <w:rPr>
                <w:sz w:val="20"/>
                <w:szCs w:val="20"/>
                <w:color w:val="auto"/>
              </w:rPr>
            </w:pPr>
          </w:p>
        </w:tc>
        <w:tc>
          <w:tcPr>
            <w:tcW w:w="120" w:type="dxa"/>
            <w:vAlign w:val="bottom"/>
            <w:tcBorders>
              <w:bottom w:val="single" w:sz="8" w:color="DDDDDD"/>
            </w:tcBorders>
          </w:tcPr>
          <w:p>
            <w:pPr>
              <w:spacing w:after="0"/>
              <w:rPr>
                <w:sz w:val="20"/>
                <w:szCs w:val="20"/>
                <w:color w:val="auto"/>
              </w:rPr>
            </w:pPr>
          </w:p>
        </w:tc>
        <w:tc>
          <w:tcPr>
            <w:tcW w:w="980" w:type="dxa"/>
            <w:vAlign w:val="bottom"/>
            <w:tcBorders>
              <w:bottom w:val="single" w:sz="8" w:color="DC202E"/>
            </w:tcBorders>
          </w:tcPr>
          <w:p>
            <w:pPr>
              <w:jc w:val="center"/>
              <w:ind w:left="376"/>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DC202E"/>
            </w:tcBorders>
          </w:tcPr>
          <w:p>
            <w:pPr>
              <w:spacing w:after="0"/>
              <w:rPr>
                <w:sz w:val="20"/>
                <w:szCs w:val="20"/>
                <w:color w:val="auto"/>
              </w:rPr>
            </w:pPr>
          </w:p>
        </w:tc>
        <w:tc>
          <w:tcPr>
            <w:tcW w:w="120" w:type="dxa"/>
            <w:vAlign w:val="bottom"/>
            <w:tcBorders>
              <w:bottom w:val="single" w:sz="8" w:color="DDDDDD"/>
            </w:tcBorders>
          </w:tcPr>
          <w:p>
            <w:pPr>
              <w:spacing w:after="0"/>
              <w:rPr>
                <w:sz w:val="20"/>
                <w:szCs w:val="20"/>
                <w:color w:val="auto"/>
              </w:rPr>
            </w:pPr>
          </w:p>
        </w:tc>
        <w:tc>
          <w:tcPr>
            <w:tcW w:w="340" w:type="dxa"/>
            <w:vAlign w:val="bottom"/>
            <w:tcBorders>
              <w:bottom w:val="single" w:sz="8" w:color="DC202E"/>
            </w:tcBorders>
          </w:tcPr>
          <w:p>
            <w:pPr>
              <w:spacing w:after="0"/>
              <w:rPr>
                <w:sz w:val="20"/>
                <w:szCs w:val="20"/>
                <w:color w:val="auto"/>
              </w:rPr>
            </w:pPr>
          </w:p>
        </w:tc>
        <w:tc>
          <w:tcPr>
            <w:tcW w:w="1100" w:type="dxa"/>
            <w:vAlign w:val="bottom"/>
            <w:tcBorders>
              <w:bottom w:val="single" w:sz="8" w:color="DC202E"/>
            </w:tcBorders>
          </w:tcPr>
          <w:p>
            <w:pPr>
              <w:jc w:val="right"/>
              <w:ind w:right="472"/>
              <w:spacing w:after="0"/>
              <w:rPr>
                <w:sz w:val="20"/>
                <w:szCs w:val="20"/>
                <w:color w:val="auto"/>
              </w:rPr>
            </w:pPr>
            <w:r>
              <w:rPr>
                <w:rFonts w:ascii="Arial" w:cs="Arial" w:eastAsia="Arial" w:hAnsi="Arial"/>
                <w:sz w:val="14"/>
                <w:szCs w:val="14"/>
                <w:b w:val="1"/>
                <w:bCs w:val="1"/>
                <w:color w:val="auto"/>
              </w:rPr>
              <w:t>2018</w:t>
            </w:r>
          </w:p>
        </w:tc>
      </w:tr>
      <w:tr>
        <w:trPr>
          <w:trHeight w:val="230"/>
        </w:trPr>
        <w:tc>
          <w:tcPr>
            <w:tcW w:w="6720" w:type="dxa"/>
            <w:vAlign w:val="bottom"/>
            <w:shd w:val="clear" w:color="auto" w:fill="DDDDDD"/>
          </w:tcPr>
          <w:p>
            <w:pPr>
              <w:ind w:left="20"/>
              <w:spacing w:after="0"/>
              <w:rPr>
                <w:sz w:val="20"/>
                <w:szCs w:val="20"/>
                <w:color w:val="auto"/>
              </w:rPr>
            </w:pPr>
            <w:r>
              <w:rPr>
                <w:rFonts w:ascii="Arial" w:cs="Arial" w:eastAsia="Arial" w:hAnsi="Arial"/>
                <w:sz w:val="18"/>
                <w:szCs w:val="18"/>
                <w:color w:val="auto"/>
              </w:rPr>
              <w:t>Severance</w:t>
            </w:r>
          </w:p>
        </w:tc>
        <w:tc>
          <w:tcPr>
            <w:tcW w:w="960" w:type="dxa"/>
            <w:vAlign w:val="bottom"/>
            <w:shd w:val="clear" w:color="auto" w:fill="DDDDDD"/>
          </w:tcPr>
          <w:p>
            <w:pPr>
              <w:jc w:val="right"/>
              <w:ind w:right="756"/>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475</w:t>
            </w:r>
          </w:p>
        </w:tc>
        <w:tc>
          <w:tcPr>
            <w:tcW w:w="120" w:type="dxa"/>
            <w:vAlign w:val="bottom"/>
            <w:shd w:val="clear" w:color="auto" w:fill="DDDDDD"/>
          </w:tcPr>
          <w:p>
            <w:pPr>
              <w:spacing w:after="0"/>
              <w:rPr>
                <w:sz w:val="19"/>
                <w:szCs w:val="19"/>
                <w:color w:val="auto"/>
              </w:rPr>
            </w:pPr>
          </w:p>
        </w:tc>
        <w:tc>
          <w:tcPr>
            <w:tcW w:w="980" w:type="dxa"/>
            <w:vAlign w:val="bottom"/>
            <w:shd w:val="clear" w:color="auto" w:fill="DDDDDD"/>
          </w:tcPr>
          <w:p>
            <w:pPr>
              <w:jc w:val="right"/>
              <w:ind w:right="776"/>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260</w:t>
            </w:r>
          </w:p>
        </w:tc>
        <w:tc>
          <w:tcPr>
            <w:tcW w:w="120" w:type="dxa"/>
            <w:vAlign w:val="bottom"/>
            <w:shd w:val="clear" w:color="auto" w:fill="DDDDDD"/>
          </w:tcPr>
          <w:p>
            <w:pPr>
              <w:spacing w:after="0"/>
              <w:rPr>
                <w:sz w:val="19"/>
                <w:szCs w:val="19"/>
                <w:color w:val="auto"/>
              </w:rPr>
            </w:pPr>
          </w:p>
        </w:tc>
        <w:tc>
          <w:tcPr>
            <w:tcW w:w="3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289</w:t>
            </w:r>
          </w:p>
        </w:tc>
      </w:tr>
      <w:tr>
        <w:trPr>
          <w:trHeight w:val="229"/>
        </w:trPr>
        <w:tc>
          <w:tcPr>
            <w:tcW w:w="6720" w:type="dxa"/>
            <w:vAlign w:val="bottom"/>
          </w:tcPr>
          <w:p>
            <w:pPr>
              <w:ind w:left="20"/>
              <w:spacing w:after="0"/>
              <w:rPr>
                <w:sz w:val="20"/>
                <w:szCs w:val="20"/>
                <w:color w:val="auto"/>
              </w:rPr>
            </w:pPr>
            <w:r>
              <w:rPr>
                <w:rFonts w:ascii="Arial" w:cs="Arial" w:eastAsia="Arial" w:hAnsi="Arial"/>
                <w:sz w:val="18"/>
                <w:szCs w:val="18"/>
                <w:color w:val="auto"/>
              </w:rPr>
              <w:t>Asset impairments</w:t>
            </w: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29"/>
        </w:trPr>
        <w:tc>
          <w:tcPr>
            <w:tcW w:w="6720" w:type="dxa"/>
            <w:vAlign w:val="bottom"/>
            <w:shd w:val="clear" w:color="auto" w:fill="DDDDDD"/>
          </w:tcPr>
          <w:p>
            <w:pPr>
              <w:ind w:left="20"/>
              <w:spacing w:after="0"/>
              <w:rPr>
                <w:sz w:val="20"/>
                <w:szCs w:val="20"/>
                <w:color w:val="auto"/>
              </w:rPr>
            </w:pPr>
            <w:r>
              <w:rPr>
                <w:rFonts w:ascii="Arial" w:cs="Arial" w:eastAsia="Arial" w:hAnsi="Arial"/>
                <w:sz w:val="18"/>
                <w:szCs w:val="18"/>
                <w:color w:val="auto"/>
              </w:rPr>
              <w:t>Exit costs</w:t>
            </w:r>
          </w:p>
        </w:tc>
        <w:tc>
          <w:tcPr>
            <w:tcW w:w="960" w:type="dxa"/>
            <w:vAlign w:val="bottom"/>
            <w:shd w:val="clear" w:color="auto" w:fill="DDDDDD"/>
          </w:tcPr>
          <w:p>
            <w:pPr>
              <w:spacing w:after="0"/>
              <w:rPr>
                <w:sz w:val="19"/>
                <w:szCs w:val="19"/>
                <w:color w:val="auto"/>
              </w:rPr>
            </w:pPr>
          </w:p>
        </w:tc>
        <w:tc>
          <w:tcPr>
            <w:tcW w:w="4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69</w:t>
            </w:r>
          </w:p>
        </w:tc>
        <w:tc>
          <w:tcPr>
            <w:tcW w:w="120" w:type="dxa"/>
            <w:vAlign w:val="bottom"/>
            <w:shd w:val="clear" w:color="auto" w:fill="DDDDDD"/>
          </w:tcPr>
          <w:p>
            <w:pPr>
              <w:spacing w:after="0"/>
              <w:rPr>
                <w:sz w:val="19"/>
                <w:szCs w:val="19"/>
                <w:color w:val="auto"/>
              </w:rPr>
            </w:pPr>
          </w:p>
        </w:tc>
        <w:tc>
          <w:tcPr>
            <w:tcW w:w="980" w:type="dxa"/>
            <w:vAlign w:val="bottom"/>
            <w:shd w:val="clear" w:color="auto" w:fill="DDDDDD"/>
          </w:tcPr>
          <w:p>
            <w:pPr>
              <w:spacing w:after="0"/>
              <w:rPr>
                <w:sz w:val="19"/>
                <w:szCs w:val="19"/>
                <w:color w:val="auto"/>
              </w:rPr>
            </w:pPr>
          </w:p>
        </w:tc>
        <w:tc>
          <w:tcPr>
            <w:tcW w:w="4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83</w:t>
            </w:r>
          </w:p>
        </w:tc>
        <w:tc>
          <w:tcPr>
            <w:tcW w:w="12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79</w:t>
            </w:r>
          </w:p>
        </w:tc>
      </w:tr>
      <w:tr>
        <w:trPr>
          <w:trHeight w:val="230"/>
        </w:trPr>
        <w:tc>
          <w:tcPr>
            <w:tcW w:w="6720" w:type="dxa"/>
            <w:vAlign w:val="bottom"/>
            <w:tcBorders>
              <w:bottom w:val="single" w:sz="8" w:color="DDDDDD"/>
            </w:tcBorders>
          </w:tcPr>
          <w:p>
            <w:pPr>
              <w:ind w:left="20"/>
              <w:spacing w:after="0"/>
              <w:rPr>
                <w:sz w:val="20"/>
                <w:szCs w:val="20"/>
                <w:color w:val="auto"/>
              </w:rPr>
            </w:pPr>
            <w:r>
              <w:rPr>
                <w:rFonts w:ascii="Arial" w:cs="Arial" w:eastAsia="Arial" w:hAnsi="Arial"/>
                <w:sz w:val="18"/>
                <w:szCs w:val="18"/>
                <w:color w:val="auto"/>
              </w:rPr>
              <w:t>Reserve adjustments</w:t>
            </w:r>
          </w:p>
        </w:tc>
        <w:tc>
          <w:tcPr>
            <w:tcW w:w="9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DDDDDD"/>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DDDDDD"/>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6720" w:type="dxa"/>
            <w:vAlign w:val="bottom"/>
            <w:shd w:val="clear" w:color="auto" w:fill="DDDDDD"/>
          </w:tcPr>
          <w:p>
            <w:pPr>
              <w:ind w:left="360"/>
              <w:spacing w:after="0"/>
              <w:rPr>
                <w:sz w:val="20"/>
                <w:szCs w:val="20"/>
                <w:color w:val="auto"/>
              </w:rPr>
            </w:pPr>
            <w:r>
              <w:rPr>
                <w:rFonts w:ascii="Arial" w:cs="Arial" w:eastAsia="Arial" w:hAnsi="Arial"/>
                <w:sz w:val="18"/>
                <w:szCs w:val="18"/>
                <w:color w:val="auto"/>
              </w:rPr>
              <w:t>Total net repositioning charge</w:t>
            </w:r>
          </w:p>
        </w:tc>
        <w:tc>
          <w:tcPr>
            <w:tcW w:w="960" w:type="dxa"/>
            <w:vAlign w:val="bottom"/>
            <w:tcBorders>
              <w:bottom w:val="single" w:sz="8" w:color="auto"/>
            </w:tcBorders>
            <w:shd w:val="clear" w:color="auto" w:fill="DDDDDD"/>
          </w:tcPr>
          <w:p>
            <w:pPr>
              <w:spacing w:after="0"/>
              <w:rPr>
                <w:sz w:val="19"/>
                <w:szCs w:val="19"/>
                <w:color w:val="auto"/>
              </w:rPr>
            </w:pPr>
          </w:p>
        </w:tc>
        <w:tc>
          <w:tcPr>
            <w:tcW w:w="4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518</w:t>
            </w:r>
          </w:p>
        </w:tc>
        <w:tc>
          <w:tcPr>
            <w:tcW w:w="120" w:type="dxa"/>
            <w:vAlign w:val="bottom"/>
            <w:shd w:val="clear" w:color="auto" w:fill="DDDDDD"/>
          </w:tcPr>
          <w:p>
            <w:pPr>
              <w:spacing w:after="0"/>
              <w:rPr>
                <w:sz w:val="19"/>
                <w:szCs w:val="19"/>
                <w:color w:val="auto"/>
              </w:rPr>
            </w:pPr>
          </w:p>
        </w:tc>
        <w:tc>
          <w:tcPr>
            <w:tcW w:w="980" w:type="dxa"/>
            <w:vAlign w:val="bottom"/>
            <w:tcBorders>
              <w:bottom w:val="single" w:sz="8" w:color="auto"/>
            </w:tcBorders>
            <w:shd w:val="clear" w:color="auto" w:fill="DDDDDD"/>
          </w:tcPr>
          <w:p>
            <w:pPr>
              <w:spacing w:after="0"/>
              <w:rPr>
                <w:sz w:val="19"/>
                <w:szCs w:val="19"/>
                <w:color w:val="auto"/>
              </w:rPr>
            </w:pPr>
          </w:p>
        </w:tc>
        <w:tc>
          <w:tcPr>
            <w:tcW w:w="4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433</w:t>
            </w:r>
          </w:p>
        </w:tc>
        <w:tc>
          <w:tcPr>
            <w:tcW w:w="120" w:type="dxa"/>
            <w:vAlign w:val="bottom"/>
            <w:shd w:val="clear" w:color="auto" w:fill="DDDDDD"/>
          </w:tcPr>
          <w:p>
            <w:pPr>
              <w:spacing w:after="0"/>
              <w:rPr>
                <w:sz w:val="19"/>
                <w:szCs w:val="19"/>
                <w:color w:val="auto"/>
              </w:rPr>
            </w:pPr>
          </w:p>
        </w:tc>
        <w:tc>
          <w:tcPr>
            <w:tcW w:w="340" w:type="dxa"/>
            <w:vAlign w:val="bottom"/>
            <w:tcBorders>
              <w:bottom w:val="single" w:sz="8" w:color="auto"/>
            </w:tcBorders>
            <w:shd w:val="clear" w:color="auto" w:fill="DDDDDD"/>
          </w:tcPr>
          <w:p>
            <w:pPr>
              <w:spacing w:after="0"/>
              <w:rPr>
                <w:sz w:val="19"/>
                <w:szCs w:val="19"/>
                <w:color w:val="auto"/>
              </w:rPr>
            </w:pPr>
          </w:p>
        </w:tc>
        <w:tc>
          <w:tcPr>
            <w:tcW w:w="11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520</w:t>
            </w:r>
          </w:p>
        </w:tc>
      </w:tr>
      <w:tr>
        <w:trPr>
          <w:trHeight w:val="223"/>
        </w:trPr>
        <w:tc>
          <w:tcPr>
            <w:tcW w:w="6720" w:type="dxa"/>
            <w:vAlign w:val="bottom"/>
          </w:tcPr>
          <w:p>
            <w:pPr>
              <w:ind w:left="20"/>
              <w:spacing w:after="0"/>
              <w:rPr>
                <w:sz w:val="20"/>
                <w:szCs w:val="20"/>
                <w:color w:val="auto"/>
              </w:rPr>
            </w:pPr>
            <w:r>
              <w:rPr>
                <w:rFonts w:ascii="Arial" w:cs="Arial" w:eastAsia="Arial" w:hAnsi="Arial"/>
                <w:sz w:val="18"/>
                <w:szCs w:val="18"/>
                <w:color w:val="auto"/>
              </w:rPr>
              <w:t>Asbestos related litigation charges, net of insurance and reimbursements</w:t>
            </w: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163</w:t>
            </w:r>
          </w:p>
        </w:tc>
      </w:tr>
      <w:tr>
        <w:trPr>
          <w:trHeight w:val="229"/>
        </w:trPr>
        <w:tc>
          <w:tcPr>
            <w:tcW w:w="6720" w:type="dxa"/>
            <w:vAlign w:val="bottom"/>
            <w:shd w:val="clear" w:color="auto" w:fill="DDDDDD"/>
          </w:tcPr>
          <w:p>
            <w:pPr>
              <w:ind w:left="20"/>
              <w:spacing w:after="0"/>
              <w:rPr>
                <w:sz w:val="20"/>
                <w:szCs w:val="20"/>
                <w:color w:val="auto"/>
              </w:rPr>
            </w:pPr>
            <w:r>
              <w:rPr>
                <w:rFonts w:ascii="Arial" w:cs="Arial" w:eastAsia="Arial" w:hAnsi="Arial"/>
                <w:sz w:val="18"/>
                <w:szCs w:val="18"/>
                <w:color w:val="auto"/>
              </w:rPr>
              <w:t>Probable and reasonably estimable environmental liabilities, net of reimbursements</w:t>
            </w:r>
          </w:p>
        </w:tc>
        <w:tc>
          <w:tcPr>
            <w:tcW w:w="960" w:type="dxa"/>
            <w:vAlign w:val="bottom"/>
            <w:shd w:val="clear" w:color="auto" w:fill="DDDDDD"/>
          </w:tcPr>
          <w:p>
            <w:pPr>
              <w:spacing w:after="0"/>
              <w:rPr>
                <w:sz w:val="19"/>
                <w:szCs w:val="19"/>
                <w:color w:val="auto"/>
              </w:rPr>
            </w:pPr>
          </w:p>
        </w:tc>
        <w:tc>
          <w:tcPr>
            <w:tcW w:w="4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DDDDDD"/>
          </w:tcPr>
          <w:p>
            <w:pPr>
              <w:spacing w:after="0"/>
              <w:rPr>
                <w:sz w:val="19"/>
                <w:szCs w:val="19"/>
                <w:color w:val="auto"/>
              </w:rPr>
            </w:pPr>
          </w:p>
        </w:tc>
        <w:tc>
          <w:tcPr>
            <w:tcW w:w="980" w:type="dxa"/>
            <w:vAlign w:val="bottom"/>
            <w:shd w:val="clear" w:color="auto" w:fill="DDDDDD"/>
          </w:tcPr>
          <w:p>
            <w:pPr>
              <w:spacing w:after="0"/>
              <w:rPr>
                <w:sz w:val="19"/>
                <w:szCs w:val="19"/>
                <w:color w:val="auto"/>
              </w:rPr>
            </w:pPr>
          </w:p>
        </w:tc>
        <w:tc>
          <w:tcPr>
            <w:tcW w:w="4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345</w:t>
            </w:r>
          </w:p>
        </w:tc>
      </w:tr>
      <w:tr>
        <w:trPr>
          <w:trHeight w:val="230"/>
        </w:trPr>
        <w:tc>
          <w:tcPr>
            <w:tcW w:w="6720" w:type="dxa"/>
            <w:vAlign w:val="bottom"/>
            <w:tcBorders>
              <w:bottom w:val="single" w:sz="8" w:color="DDDDDD"/>
            </w:tcBorders>
          </w:tcPr>
          <w:p>
            <w:pPr>
              <w:ind w:left="20"/>
              <w:spacing w:after="0"/>
              <w:rPr>
                <w:sz w:val="20"/>
                <w:szCs w:val="20"/>
                <w:color w:val="auto"/>
              </w:rPr>
            </w:pPr>
            <w:r>
              <w:rPr>
                <w:rFonts w:ascii="Arial" w:cs="Arial" w:eastAsia="Arial" w:hAnsi="Arial"/>
                <w:sz w:val="18"/>
                <w:szCs w:val="18"/>
                <w:color w:val="auto"/>
              </w:rPr>
              <w:t>Other</w:t>
            </w:r>
          </w:p>
        </w:tc>
        <w:tc>
          <w:tcPr>
            <w:tcW w:w="9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DDDDDD"/>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DDDDDD"/>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r>
      <w:tr>
        <w:trPr>
          <w:trHeight w:val="248"/>
        </w:trPr>
        <w:tc>
          <w:tcPr>
            <w:tcW w:w="6720" w:type="dxa"/>
            <w:vAlign w:val="bottom"/>
            <w:tcBorders>
              <w:bottom w:val="single" w:sz="8" w:color="DDDDDD"/>
            </w:tcBorders>
            <w:shd w:val="clear" w:color="auto" w:fill="DDDDDD"/>
          </w:tcPr>
          <w:p>
            <w:pPr>
              <w:ind w:left="360"/>
              <w:spacing w:after="0"/>
              <w:rPr>
                <w:sz w:val="20"/>
                <w:szCs w:val="20"/>
                <w:color w:val="auto"/>
              </w:rPr>
            </w:pPr>
            <w:r>
              <w:rPr>
                <w:rFonts w:ascii="Arial" w:cs="Arial" w:eastAsia="Arial" w:hAnsi="Arial"/>
                <w:sz w:val="18"/>
                <w:szCs w:val="18"/>
                <w:color w:val="auto"/>
              </w:rPr>
              <w:t>Total net repositioning and other charges</w:t>
            </w:r>
          </w:p>
        </w:tc>
        <w:tc>
          <w:tcPr>
            <w:tcW w:w="960" w:type="dxa"/>
            <w:vAlign w:val="bottom"/>
            <w:tcBorders>
              <w:bottom w:val="single" w:sz="8" w:color="auto"/>
            </w:tcBorders>
            <w:shd w:val="clear" w:color="auto" w:fill="DDDDDD"/>
          </w:tcPr>
          <w:p>
            <w:pPr>
              <w:jc w:val="right"/>
              <w:ind w:right="75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575</w:t>
            </w:r>
          </w:p>
        </w:tc>
        <w:tc>
          <w:tcPr>
            <w:tcW w:w="120" w:type="dxa"/>
            <w:vAlign w:val="bottom"/>
            <w:tcBorders>
              <w:bottom w:val="single" w:sz="8" w:color="DDDDDD"/>
            </w:tcBorders>
            <w:shd w:val="clear" w:color="auto" w:fill="DDDDDD"/>
          </w:tcPr>
          <w:p>
            <w:pPr>
              <w:spacing w:after="0"/>
              <w:rPr>
                <w:sz w:val="21"/>
                <w:szCs w:val="21"/>
                <w:color w:val="auto"/>
              </w:rPr>
            </w:pPr>
          </w:p>
        </w:tc>
        <w:tc>
          <w:tcPr>
            <w:tcW w:w="980" w:type="dxa"/>
            <w:vAlign w:val="bottom"/>
            <w:tcBorders>
              <w:bottom w:val="single" w:sz="8" w:color="auto"/>
            </w:tcBorders>
            <w:shd w:val="clear" w:color="auto" w:fill="DDDDDD"/>
          </w:tcPr>
          <w:p>
            <w:pPr>
              <w:jc w:val="right"/>
              <w:ind w:right="77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546</w:t>
            </w:r>
          </w:p>
        </w:tc>
        <w:tc>
          <w:tcPr>
            <w:tcW w:w="120" w:type="dxa"/>
            <w:vAlign w:val="bottom"/>
            <w:tcBorders>
              <w:bottom w:val="single" w:sz="8" w:color="DDDDDD"/>
            </w:tcBorders>
            <w:shd w:val="clear" w:color="auto" w:fill="DDDDDD"/>
          </w:tcPr>
          <w:p>
            <w:pPr>
              <w:spacing w:after="0"/>
              <w:rPr>
                <w:sz w:val="21"/>
                <w:szCs w:val="21"/>
                <w:color w:val="auto"/>
              </w:rPr>
            </w:pPr>
          </w:p>
        </w:tc>
        <w:tc>
          <w:tcPr>
            <w:tcW w:w="340" w:type="dxa"/>
            <w:vAlign w:val="bottom"/>
            <w:tcBorders>
              <w:bottom w:val="single" w:sz="8" w:color="auto"/>
            </w:tcBorders>
            <w:shd w:val="clear" w:color="auto" w:fill="DDDDDD"/>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1,091</w:t>
            </w:r>
          </w:p>
        </w:tc>
      </w:tr>
      <w:tr>
        <w:trPr>
          <w:trHeight w:val="20"/>
        </w:trPr>
        <w:tc>
          <w:tcPr>
            <w:tcW w:w="6720" w:type="dxa"/>
            <w:vAlign w:val="bottom"/>
            <w:tcBorders>
              <w:top w:val="single" w:sz="8" w:color="DDDDDD"/>
            </w:tcBorders>
          </w:tcPr>
          <w:p>
            <w:pPr>
              <w:spacing w:after="0" w:line="20" w:lineRule="exact"/>
              <w:rPr>
                <w:sz w:val="1"/>
                <w:szCs w:val="1"/>
                <w:color w:val="auto"/>
              </w:rPr>
            </w:pPr>
          </w:p>
        </w:tc>
        <w:tc>
          <w:tcPr>
            <w:tcW w:w="1420" w:type="dxa"/>
            <w:vAlign w:val="bottom"/>
            <w:tcBorders>
              <w:top w:val="single" w:sz="8" w:color="DDDDDD"/>
              <w:bottom w:val="single" w:sz="8" w:color="auto"/>
            </w:tcBorders>
            <w:gridSpan w:val="2"/>
          </w:tcPr>
          <w:p>
            <w:pPr>
              <w:spacing w:after="0" w:line="20" w:lineRule="exact"/>
              <w:rPr>
                <w:sz w:val="1"/>
                <w:szCs w:val="1"/>
                <w:color w:val="auto"/>
              </w:rPr>
            </w:pPr>
          </w:p>
        </w:tc>
        <w:tc>
          <w:tcPr>
            <w:tcW w:w="120" w:type="dxa"/>
            <w:vAlign w:val="bottom"/>
            <w:tcBorders>
              <w:top w:val="single" w:sz="8" w:color="DDDDDD"/>
            </w:tcBorders>
          </w:tcPr>
          <w:p>
            <w:pPr>
              <w:spacing w:after="0" w:line="20" w:lineRule="exact"/>
              <w:rPr>
                <w:sz w:val="1"/>
                <w:szCs w:val="1"/>
                <w:color w:val="auto"/>
              </w:rPr>
            </w:pPr>
          </w:p>
        </w:tc>
        <w:tc>
          <w:tcPr>
            <w:tcW w:w="980" w:type="dxa"/>
            <w:vAlign w:val="bottom"/>
            <w:tcBorders>
              <w:top w:val="single" w:sz="8" w:color="DDDDDD"/>
              <w:bottom w:val="single" w:sz="8" w:color="auto"/>
            </w:tcBorders>
          </w:tcPr>
          <w:p>
            <w:pPr>
              <w:spacing w:after="0" w:line="20" w:lineRule="exact"/>
              <w:rPr>
                <w:sz w:val="1"/>
                <w:szCs w:val="1"/>
                <w:color w:val="auto"/>
              </w:rPr>
            </w:pPr>
          </w:p>
        </w:tc>
        <w:tc>
          <w:tcPr>
            <w:tcW w:w="440" w:type="dxa"/>
            <w:vAlign w:val="bottom"/>
            <w:tcBorders>
              <w:top w:val="single" w:sz="8" w:color="DDDDDD"/>
              <w:bottom w:val="single" w:sz="8" w:color="auto"/>
            </w:tcBorders>
          </w:tcPr>
          <w:p>
            <w:pPr>
              <w:spacing w:after="0" w:line="20" w:lineRule="exact"/>
              <w:rPr>
                <w:sz w:val="1"/>
                <w:szCs w:val="1"/>
                <w:color w:val="auto"/>
              </w:rPr>
            </w:pPr>
          </w:p>
        </w:tc>
        <w:tc>
          <w:tcPr>
            <w:tcW w:w="120" w:type="dxa"/>
            <w:vAlign w:val="bottom"/>
            <w:tcBorders>
              <w:top w:val="single" w:sz="8" w:color="DDDDDD"/>
            </w:tcBorders>
          </w:tcPr>
          <w:p>
            <w:pPr>
              <w:spacing w:after="0" w:line="20" w:lineRule="exact"/>
              <w:rPr>
                <w:sz w:val="1"/>
                <w:szCs w:val="1"/>
                <w:color w:val="auto"/>
              </w:rPr>
            </w:pPr>
          </w:p>
        </w:tc>
        <w:tc>
          <w:tcPr>
            <w:tcW w:w="340" w:type="dxa"/>
            <w:vAlign w:val="bottom"/>
            <w:tcBorders>
              <w:top w:val="single" w:sz="8" w:color="DDDDDD"/>
              <w:bottom w:val="single" w:sz="8" w:color="auto"/>
            </w:tcBorders>
          </w:tcPr>
          <w:p>
            <w:pPr>
              <w:spacing w:after="0" w:line="20" w:lineRule="exact"/>
              <w:rPr>
                <w:sz w:val="1"/>
                <w:szCs w:val="1"/>
                <w:color w:val="auto"/>
              </w:rPr>
            </w:pPr>
          </w:p>
        </w:tc>
        <w:tc>
          <w:tcPr>
            <w:tcW w:w="1100" w:type="dxa"/>
            <w:vAlign w:val="bottom"/>
            <w:tcBorders>
              <w:top w:val="single" w:sz="8" w:color="DDDDDD"/>
              <w:bottom w:val="single" w:sz="8" w:color="auto"/>
            </w:tcBorders>
          </w:tcPr>
          <w:p>
            <w:pPr>
              <w:spacing w:after="0" w:line="20" w:lineRule="exact"/>
              <w:rPr>
                <w:sz w:val="1"/>
                <w:szCs w:val="1"/>
                <w:color w:val="auto"/>
              </w:rPr>
            </w:pPr>
          </w:p>
        </w:tc>
      </w:tr>
      <w:tr>
        <w:trPr>
          <w:trHeight w:val="514"/>
        </w:trPr>
        <w:tc>
          <w:tcPr>
            <w:tcW w:w="9240" w:type="dxa"/>
            <w:vAlign w:val="bottom"/>
            <w:gridSpan w:val="5"/>
          </w:tcPr>
          <w:p>
            <w:pPr>
              <w:spacing w:after="0"/>
              <w:rPr>
                <w:sz w:val="20"/>
                <w:szCs w:val="20"/>
                <w:color w:val="auto"/>
              </w:rPr>
            </w:pPr>
            <w:r>
              <w:rPr>
                <w:rFonts w:ascii="Arial" w:cs="Arial" w:eastAsia="Arial" w:hAnsi="Arial"/>
                <w:sz w:val="18"/>
                <w:szCs w:val="18"/>
                <w:color w:val="auto"/>
              </w:rPr>
              <w:t>The following table summarizes the pre-tax distribution of total net repositioning and other charges by classification:</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7"/>
        </w:trPr>
        <w:tc>
          <w:tcPr>
            <w:tcW w:w="6720" w:type="dxa"/>
            <w:vAlign w:val="bottom"/>
          </w:tcPr>
          <w:p>
            <w:pPr>
              <w:spacing w:after="0"/>
              <w:rPr>
                <w:sz w:val="20"/>
                <w:szCs w:val="20"/>
                <w:color w:val="auto"/>
              </w:rPr>
            </w:pPr>
          </w:p>
        </w:tc>
        <w:tc>
          <w:tcPr>
            <w:tcW w:w="960" w:type="dxa"/>
            <w:vAlign w:val="bottom"/>
            <w:tcBorders>
              <w:bottom w:val="single" w:sz="8" w:color="DC202E"/>
            </w:tcBorders>
          </w:tcPr>
          <w:p>
            <w:pPr>
              <w:spacing w:after="0"/>
              <w:rPr>
                <w:sz w:val="20"/>
                <w:szCs w:val="20"/>
                <w:color w:val="auto"/>
              </w:rPr>
            </w:pPr>
          </w:p>
        </w:tc>
        <w:tc>
          <w:tcPr>
            <w:tcW w:w="2460" w:type="dxa"/>
            <w:vAlign w:val="bottom"/>
            <w:tcBorders>
              <w:bottom w:val="single" w:sz="8" w:color="DC202E"/>
            </w:tcBorders>
            <w:gridSpan w:val="6"/>
          </w:tcPr>
          <w:p>
            <w:pPr>
              <w:jc w:val="center"/>
              <w:ind w:left="52"/>
              <w:spacing w:after="0"/>
              <w:rPr>
                <w:sz w:val="20"/>
                <w:szCs w:val="20"/>
                <w:color w:val="auto"/>
              </w:rPr>
            </w:pPr>
            <w:r>
              <w:rPr>
                <w:rFonts w:ascii="Arial" w:cs="Arial" w:eastAsia="Arial" w:hAnsi="Arial"/>
                <w:sz w:val="14"/>
                <w:szCs w:val="14"/>
                <w:b w:val="1"/>
                <w:bCs w:val="1"/>
                <w:color w:val="auto"/>
              </w:rPr>
              <w:t>Years Ended December 31,</w:t>
            </w:r>
          </w:p>
        </w:tc>
        <w:tc>
          <w:tcPr>
            <w:tcW w:w="1100" w:type="dxa"/>
            <w:vAlign w:val="bottom"/>
            <w:tcBorders>
              <w:bottom w:val="single" w:sz="8" w:color="DC202E"/>
            </w:tcBorders>
          </w:tcPr>
          <w:p>
            <w:pPr>
              <w:spacing w:after="0"/>
              <w:rPr>
                <w:sz w:val="20"/>
                <w:szCs w:val="20"/>
                <w:color w:val="auto"/>
              </w:rPr>
            </w:pPr>
          </w:p>
        </w:tc>
      </w:tr>
      <w:tr>
        <w:trPr>
          <w:trHeight w:val="196"/>
        </w:trPr>
        <w:tc>
          <w:tcPr>
            <w:tcW w:w="6720" w:type="dxa"/>
            <w:vAlign w:val="bottom"/>
            <w:tcBorders>
              <w:bottom w:val="single" w:sz="8" w:color="DDDDDD"/>
            </w:tcBorders>
          </w:tcPr>
          <w:p>
            <w:pPr>
              <w:spacing w:after="0"/>
              <w:rPr>
                <w:sz w:val="17"/>
                <w:szCs w:val="17"/>
                <w:color w:val="auto"/>
              </w:rPr>
            </w:pPr>
          </w:p>
        </w:tc>
        <w:tc>
          <w:tcPr>
            <w:tcW w:w="96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DC202E"/>
            </w:tcBorders>
          </w:tcPr>
          <w:p>
            <w:pPr>
              <w:spacing w:after="0"/>
              <w:rPr>
                <w:sz w:val="17"/>
                <w:szCs w:val="17"/>
                <w:color w:val="auto"/>
              </w:rPr>
            </w:pPr>
          </w:p>
        </w:tc>
        <w:tc>
          <w:tcPr>
            <w:tcW w:w="120" w:type="dxa"/>
            <w:vAlign w:val="bottom"/>
            <w:tcBorders>
              <w:bottom w:val="single" w:sz="8" w:color="DDDDDD"/>
            </w:tcBorders>
          </w:tcPr>
          <w:p>
            <w:pPr>
              <w:spacing w:after="0"/>
              <w:rPr>
                <w:sz w:val="17"/>
                <w:szCs w:val="17"/>
                <w:color w:val="auto"/>
              </w:rPr>
            </w:pPr>
          </w:p>
        </w:tc>
        <w:tc>
          <w:tcPr>
            <w:tcW w:w="980" w:type="dxa"/>
            <w:vAlign w:val="bottom"/>
            <w:tcBorders>
              <w:bottom w:val="single" w:sz="8" w:color="DC202E"/>
            </w:tcBorders>
          </w:tcPr>
          <w:p>
            <w:pPr>
              <w:jc w:val="center"/>
              <w:ind w:left="376"/>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DC202E"/>
            </w:tcBorders>
          </w:tcPr>
          <w:p>
            <w:pPr>
              <w:spacing w:after="0"/>
              <w:rPr>
                <w:sz w:val="17"/>
                <w:szCs w:val="17"/>
                <w:color w:val="auto"/>
              </w:rPr>
            </w:pPr>
          </w:p>
        </w:tc>
        <w:tc>
          <w:tcPr>
            <w:tcW w:w="120" w:type="dxa"/>
            <w:vAlign w:val="bottom"/>
            <w:tcBorders>
              <w:bottom w:val="single" w:sz="8" w:color="DDDDDD"/>
            </w:tcBorders>
          </w:tcPr>
          <w:p>
            <w:pPr>
              <w:spacing w:after="0"/>
              <w:rPr>
                <w:sz w:val="17"/>
                <w:szCs w:val="17"/>
                <w:color w:val="auto"/>
              </w:rPr>
            </w:pPr>
          </w:p>
        </w:tc>
        <w:tc>
          <w:tcPr>
            <w:tcW w:w="340" w:type="dxa"/>
            <w:vAlign w:val="bottom"/>
            <w:tcBorders>
              <w:bottom w:val="single" w:sz="8" w:color="DC202E"/>
            </w:tcBorders>
          </w:tcPr>
          <w:p>
            <w:pPr>
              <w:spacing w:after="0"/>
              <w:rPr>
                <w:sz w:val="17"/>
                <w:szCs w:val="17"/>
                <w:color w:val="auto"/>
              </w:rPr>
            </w:pPr>
          </w:p>
        </w:tc>
        <w:tc>
          <w:tcPr>
            <w:tcW w:w="1100" w:type="dxa"/>
            <w:vAlign w:val="bottom"/>
            <w:tcBorders>
              <w:bottom w:val="single" w:sz="8" w:color="DC202E"/>
            </w:tcBorders>
          </w:tcPr>
          <w:p>
            <w:pPr>
              <w:jc w:val="right"/>
              <w:ind w:right="472"/>
              <w:spacing w:after="0"/>
              <w:rPr>
                <w:sz w:val="20"/>
                <w:szCs w:val="20"/>
                <w:color w:val="auto"/>
              </w:rPr>
            </w:pPr>
            <w:r>
              <w:rPr>
                <w:rFonts w:ascii="Arial" w:cs="Arial" w:eastAsia="Arial" w:hAnsi="Arial"/>
                <w:sz w:val="14"/>
                <w:szCs w:val="14"/>
                <w:b w:val="1"/>
                <w:bCs w:val="1"/>
                <w:color w:val="auto"/>
              </w:rPr>
              <w:t>2018</w:t>
            </w:r>
          </w:p>
        </w:tc>
      </w:tr>
      <w:tr>
        <w:trPr>
          <w:trHeight w:val="229"/>
        </w:trPr>
        <w:tc>
          <w:tcPr>
            <w:tcW w:w="6720" w:type="dxa"/>
            <w:vAlign w:val="bottom"/>
            <w:shd w:val="clear" w:color="auto" w:fill="DDDDDD"/>
          </w:tcPr>
          <w:p>
            <w:pPr>
              <w:ind w:left="20"/>
              <w:spacing w:after="0"/>
              <w:rPr>
                <w:sz w:val="20"/>
                <w:szCs w:val="20"/>
                <w:color w:val="auto"/>
              </w:rPr>
            </w:pPr>
            <w:r>
              <w:rPr>
                <w:rFonts w:ascii="Arial" w:cs="Arial" w:eastAsia="Arial" w:hAnsi="Arial"/>
                <w:sz w:val="18"/>
                <w:szCs w:val="18"/>
                <w:color w:val="auto"/>
              </w:rPr>
              <w:t>Cost of products and services sold</w:t>
            </w:r>
          </w:p>
        </w:tc>
        <w:tc>
          <w:tcPr>
            <w:tcW w:w="960" w:type="dxa"/>
            <w:vAlign w:val="bottom"/>
            <w:shd w:val="clear" w:color="auto" w:fill="DDDDDD"/>
          </w:tcPr>
          <w:p>
            <w:pPr>
              <w:jc w:val="right"/>
              <w:ind w:right="756"/>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308</w:t>
            </w:r>
          </w:p>
        </w:tc>
        <w:tc>
          <w:tcPr>
            <w:tcW w:w="120" w:type="dxa"/>
            <w:vAlign w:val="bottom"/>
            <w:shd w:val="clear" w:color="auto" w:fill="DDDDDD"/>
          </w:tcPr>
          <w:p>
            <w:pPr>
              <w:spacing w:after="0"/>
              <w:rPr>
                <w:sz w:val="19"/>
                <w:szCs w:val="19"/>
                <w:color w:val="auto"/>
              </w:rPr>
            </w:pPr>
          </w:p>
        </w:tc>
        <w:tc>
          <w:tcPr>
            <w:tcW w:w="980" w:type="dxa"/>
            <w:vAlign w:val="bottom"/>
            <w:shd w:val="clear" w:color="auto" w:fill="DDDDDD"/>
          </w:tcPr>
          <w:p>
            <w:pPr>
              <w:jc w:val="right"/>
              <w:ind w:right="776"/>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276</w:t>
            </w:r>
          </w:p>
        </w:tc>
        <w:tc>
          <w:tcPr>
            <w:tcW w:w="120" w:type="dxa"/>
            <w:vAlign w:val="bottom"/>
            <w:shd w:val="clear" w:color="auto" w:fill="DDDDDD"/>
          </w:tcPr>
          <w:p>
            <w:pPr>
              <w:spacing w:after="0"/>
              <w:rPr>
                <w:sz w:val="19"/>
                <w:szCs w:val="19"/>
                <w:color w:val="auto"/>
              </w:rPr>
            </w:pPr>
          </w:p>
        </w:tc>
        <w:tc>
          <w:tcPr>
            <w:tcW w:w="3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811</w:t>
            </w: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267</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239</w:t>
            </w:r>
          </w:p>
        </w:tc>
      </w:tr>
      <w:tr>
        <w:trPr>
          <w:trHeight w:val="229"/>
        </w:trPr>
        <w:tc>
          <w:tcPr>
            <w:tcW w:w="6720" w:type="dxa"/>
            <w:vAlign w:val="bottom"/>
            <w:shd w:val="clear" w:color="auto" w:fill="DDDDDD"/>
          </w:tcPr>
          <w:p>
            <w:pPr>
              <w:ind w:left="20"/>
              <w:spacing w:after="0"/>
              <w:rPr>
                <w:sz w:val="20"/>
                <w:szCs w:val="20"/>
                <w:color w:val="auto"/>
              </w:rPr>
            </w:pPr>
            <w:r>
              <w:rPr>
                <w:rFonts w:ascii="Arial" w:cs="Arial" w:eastAsia="Arial" w:hAnsi="Arial"/>
                <w:sz w:val="18"/>
                <w:szCs w:val="18"/>
                <w:color w:val="auto"/>
              </w:rPr>
              <w:t>Other (income) expense</w:t>
            </w:r>
          </w:p>
        </w:tc>
        <w:tc>
          <w:tcPr>
            <w:tcW w:w="960" w:type="dxa"/>
            <w:vAlign w:val="bottom"/>
            <w:shd w:val="clear" w:color="auto" w:fill="DDDDDD"/>
          </w:tcPr>
          <w:p>
            <w:pPr>
              <w:spacing w:after="0"/>
              <w:rPr>
                <w:sz w:val="19"/>
                <w:szCs w:val="19"/>
                <w:color w:val="auto"/>
              </w:rPr>
            </w:pPr>
          </w:p>
        </w:tc>
        <w:tc>
          <w:tcPr>
            <w:tcW w:w="580" w:type="dxa"/>
            <w:vAlign w:val="bottom"/>
            <w:gridSpan w:val="2"/>
            <w:shd w:val="clear" w:color="auto" w:fill="DDDDDD"/>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DDDDDD"/>
          </w:tcPr>
          <w:p>
            <w:pPr>
              <w:spacing w:after="0"/>
              <w:rPr>
                <w:sz w:val="19"/>
                <w:szCs w:val="19"/>
                <w:color w:val="auto"/>
              </w:rPr>
            </w:pPr>
          </w:p>
        </w:tc>
        <w:tc>
          <w:tcPr>
            <w:tcW w:w="560" w:type="dxa"/>
            <w:vAlign w:val="bottom"/>
            <w:gridSpan w:val="2"/>
            <w:shd w:val="clear" w:color="auto" w:fill="DDDDDD"/>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41</w:t>
            </w:r>
          </w:p>
        </w:tc>
      </w:tr>
      <w:tr>
        <w:trPr>
          <w:trHeight w:val="223"/>
        </w:trPr>
        <w:tc>
          <w:tcPr>
            <w:tcW w:w="672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756"/>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575</w:t>
            </w:r>
          </w:p>
        </w:tc>
        <w:tc>
          <w:tcPr>
            <w:tcW w:w="12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776"/>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546</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1,091</w:t>
            </w:r>
          </w:p>
        </w:tc>
      </w:tr>
      <w:tr>
        <w:trPr>
          <w:trHeight w:val="21"/>
        </w:trPr>
        <w:tc>
          <w:tcPr>
            <w:tcW w:w="6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pre-tax impact of total net repositioning and other charges by segment: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00" w:type="dxa"/>
            <w:vAlign w:val="bottom"/>
          </w:tcPr>
          <w:p>
            <w:pPr>
              <w:spacing w:after="0"/>
              <w:rPr>
                <w:sz w:val="17"/>
                <w:szCs w:val="17"/>
                <w:color w:val="auto"/>
              </w:rPr>
            </w:pPr>
          </w:p>
        </w:tc>
        <w:tc>
          <w:tcPr>
            <w:tcW w:w="960" w:type="dxa"/>
            <w:vAlign w:val="bottom"/>
            <w:tcBorders>
              <w:bottom w:val="single" w:sz="8" w:color="DC202E"/>
            </w:tcBorders>
          </w:tcPr>
          <w:p>
            <w:pPr>
              <w:spacing w:after="0"/>
              <w:rPr>
                <w:sz w:val="17"/>
                <w:szCs w:val="17"/>
                <w:color w:val="auto"/>
              </w:rPr>
            </w:pPr>
          </w:p>
        </w:tc>
        <w:tc>
          <w:tcPr>
            <w:tcW w:w="2480" w:type="dxa"/>
            <w:vAlign w:val="bottom"/>
            <w:tcBorders>
              <w:bottom w:val="single" w:sz="8" w:color="DC202E"/>
            </w:tcBorders>
            <w:gridSpan w:val="6"/>
          </w:tcPr>
          <w:p>
            <w:pPr>
              <w:jc w:val="right"/>
              <w:ind w:right="150"/>
              <w:spacing w:after="0"/>
              <w:rPr>
                <w:sz w:val="20"/>
                <w:szCs w:val="20"/>
                <w:color w:val="auto"/>
              </w:rPr>
            </w:pPr>
            <w:r>
              <w:rPr>
                <w:rFonts w:ascii="Arial" w:cs="Arial" w:eastAsia="Arial" w:hAnsi="Arial"/>
                <w:sz w:val="14"/>
                <w:szCs w:val="14"/>
                <w:b w:val="1"/>
                <w:bCs w:val="1"/>
                <w:color w:val="auto"/>
              </w:rPr>
              <w:t>Years Ended December 31,</w:t>
            </w:r>
          </w:p>
        </w:tc>
        <w:tc>
          <w:tcPr>
            <w:tcW w:w="1100" w:type="dxa"/>
            <w:vAlign w:val="bottom"/>
            <w:tcBorders>
              <w:bottom w:val="single" w:sz="8" w:color="DC202E"/>
            </w:tcBorders>
          </w:tcPr>
          <w:p>
            <w:pPr>
              <w:spacing w:after="0"/>
              <w:rPr>
                <w:sz w:val="17"/>
                <w:szCs w:val="17"/>
                <w:color w:val="auto"/>
              </w:rPr>
            </w:pPr>
          </w:p>
        </w:tc>
      </w:tr>
      <w:tr>
        <w:trPr>
          <w:trHeight w:val="196"/>
        </w:trPr>
        <w:tc>
          <w:tcPr>
            <w:tcW w:w="6700" w:type="dxa"/>
            <w:vAlign w:val="bottom"/>
            <w:tcBorders>
              <w:bottom w:val="single" w:sz="8" w:color="DDDDDD"/>
            </w:tcBorders>
          </w:tcPr>
          <w:p>
            <w:pPr>
              <w:spacing w:after="0"/>
              <w:rPr>
                <w:sz w:val="17"/>
                <w:szCs w:val="17"/>
                <w:color w:val="auto"/>
              </w:rPr>
            </w:pPr>
          </w:p>
        </w:tc>
        <w:tc>
          <w:tcPr>
            <w:tcW w:w="96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DC202E"/>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340" w:type="dxa"/>
            <w:vAlign w:val="bottom"/>
            <w:tcBorders>
              <w:bottom w:val="single" w:sz="8" w:color="DC202E"/>
            </w:tcBorders>
          </w:tcPr>
          <w:p>
            <w:pPr>
              <w:spacing w:after="0"/>
              <w:rPr>
                <w:sz w:val="17"/>
                <w:szCs w:val="17"/>
                <w:color w:val="auto"/>
              </w:rPr>
            </w:pPr>
          </w:p>
        </w:tc>
        <w:tc>
          <w:tcPr>
            <w:tcW w:w="1100" w:type="dxa"/>
            <w:vAlign w:val="bottom"/>
            <w:tcBorders>
              <w:bottom w:val="single" w:sz="8" w:color="DC202E"/>
            </w:tcBorders>
          </w:tcPr>
          <w:p>
            <w:pPr>
              <w:jc w:val="right"/>
              <w:ind w:right="47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DDDDDD"/>
            </w:tcBorders>
          </w:tcPr>
          <w:p>
            <w:pPr>
              <w:spacing w:after="0"/>
              <w:rPr>
                <w:sz w:val="17"/>
                <w:szCs w:val="17"/>
                <w:color w:val="auto"/>
              </w:rPr>
            </w:pPr>
          </w:p>
        </w:tc>
        <w:tc>
          <w:tcPr>
            <w:tcW w:w="340" w:type="dxa"/>
            <w:vAlign w:val="bottom"/>
            <w:tcBorders>
              <w:bottom w:val="single" w:sz="8" w:color="DC202E"/>
            </w:tcBorders>
          </w:tcPr>
          <w:p>
            <w:pPr>
              <w:spacing w:after="0"/>
              <w:rPr>
                <w:sz w:val="17"/>
                <w:szCs w:val="17"/>
                <w:color w:val="auto"/>
              </w:rPr>
            </w:pPr>
          </w:p>
        </w:tc>
        <w:tc>
          <w:tcPr>
            <w:tcW w:w="1100" w:type="dxa"/>
            <w:vAlign w:val="bottom"/>
            <w:tcBorders>
              <w:bottom w:val="single" w:sz="8" w:color="DC202E"/>
            </w:tcBorders>
          </w:tcPr>
          <w:p>
            <w:pPr>
              <w:jc w:val="right"/>
              <w:ind w:right="473"/>
              <w:spacing w:after="0"/>
              <w:rPr>
                <w:sz w:val="20"/>
                <w:szCs w:val="20"/>
                <w:color w:val="auto"/>
              </w:rPr>
            </w:pPr>
            <w:r>
              <w:rPr>
                <w:rFonts w:ascii="Arial" w:cs="Arial" w:eastAsia="Arial" w:hAnsi="Arial"/>
                <w:sz w:val="14"/>
                <w:szCs w:val="14"/>
                <w:b w:val="1"/>
                <w:bCs w:val="1"/>
                <w:color w:val="auto"/>
              </w:rPr>
              <w:t>2018</w:t>
            </w:r>
          </w:p>
        </w:tc>
      </w:tr>
      <w:tr>
        <w:trPr>
          <w:trHeight w:val="230"/>
        </w:trPr>
        <w:tc>
          <w:tcPr>
            <w:tcW w:w="6700" w:type="dxa"/>
            <w:vAlign w:val="bottom"/>
            <w:shd w:val="clear" w:color="auto" w:fill="DDDDDD"/>
          </w:tcPr>
          <w:p>
            <w:pPr>
              <w:ind w:left="20"/>
              <w:spacing w:after="0"/>
              <w:rPr>
                <w:sz w:val="20"/>
                <w:szCs w:val="20"/>
                <w:color w:val="auto"/>
              </w:rPr>
            </w:pPr>
            <w:r>
              <w:rPr>
                <w:rFonts w:ascii="Arial" w:cs="Arial" w:eastAsia="Arial" w:hAnsi="Arial"/>
                <w:sz w:val="18"/>
                <w:szCs w:val="18"/>
                <w:color w:val="auto"/>
              </w:rPr>
              <w:t>Aerospace</w:t>
            </w:r>
          </w:p>
        </w:tc>
        <w:tc>
          <w:tcPr>
            <w:tcW w:w="960" w:type="dxa"/>
            <w:vAlign w:val="bottom"/>
            <w:shd w:val="clear" w:color="auto" w:fill="DDDDDD"/>
          </w:tcPr>
          <w:p>
            <w:pPr>
              <w:jc w:val="right"/>
              <w:ind w:right="756"/>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DDDDDD"/>
          </w:tcPr>
          <w:p>
            <w:pPr>
              <w:spacing w:after="0"/>
              <w:rPr>
                <w:sz w:val="19"/>
                <w:szCs w:val="19"/>
                <w:color w:val="auto"/>
              </w:rPr>
            </w:pPr>
          </w:p>
        </w:tc>
        <w:tc>
          <w:tcPr>
            <w:tcW w:w="3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DDDDDD"/>
          </w:tcPr>
          <w:p>
            <w:pPr>
              <w:spacing w:after="0"/>
              <w:rPr>
                <w:sz w:val="19"/>
                <w:szCs w:val="19"/>
                <w:color w:val="auto"/>
              </w:rPr>
            </w:pPr>
          </w:p>
        </w:tc>
        <w:tc>
          <w:tcPr>
            <w:tcW w:w="3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154</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Honeywell Building Technologies</w:t>
            </w: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29"/>
        </w:trPr>
        <w:tc>
          <w:tcPr>
            <w:tcW w:w="6700" w:type="dxa"/>
            <w:vAlign w:val="bottom"/>
            <w:shd w:val="clear" w:color="auto" w:fill="DDDDDD"/>
          </w:tcPr>
          <w:p>
            <w:pPr>
              <w:ind w:left="20"/>
              <w:spacing w:after="0"/>
              <w:rPr>
                <w:sz w:val="20"/>
                <w:szCs w:val="20"/>
                <w:color w:val="auto"/>
              </w:rPr>
            </w:pPr>
            <w:r>
              <w:rPr>
                <w:rFonts w:ascii="Arial" w:cs="Arial" w:eastAsia="Arial" w:hAnsi="Arial"/>
                <w:sz w:val="18"/>
                <w:szCs w:val="18"/>
                <w:color w:val="auto"/>
              </w:rPr>
              <w:t>Performance Materials and Technologies</w:t>
            </w:r>
          </w:p>
        </w:tc>
        <w:tc>
          <w:tcPr>
            <w:tcW w:w="960" w:type="dxa"/>
            <w:vAlign w:val="bottom"/>
            <w:shd w:val="clear" w:color="auto" w:fill="DDDDDD"/>
          </w:tcPr>
          <w:p>
            <w:pPr>
              <w:spacing w:after="0"/>
              <w:rPr>
                <w:sz w:val="19"/>
                <w:szCs w:val="19"/>
                <w:color w:val="auto"/>
              </w:rPr>
            </w:pPr>
          </w:p>
        </w:tc>
        <w:tc>
          <w:tcPr>
            <w:tcW w:w="4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93</w:t>
            </w:r>
          </w:p>
        </w:tc>
        <w:tc>
          <w:tcPr>
            <w:tcW w:w="12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191</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Safety and Productivity Solutions</w:t>
            </w: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30"/>
        </w:trPr>
        <w:tc>
          <w:tcPr>
            <w:tcW w:w="6700" w:type="dxa"/>
            <w:vAlign w:val="bottom"/>
            <w:shd w:val="clear" w:color="auto" w:fill="DDDDDD"/>
          </w:tcPr>
          <w:p>
            <w:pPr>
              <w:ind w:left="20"/>
              <w:spacing w:after="0"/>
              <w:rPr>
                <w:sz w:val="20"/>
                <w:szCs w:val="20"/>
                <w:color w:val="auto"/>
              </w:rPr>
            </w:pPr>
            <w:r>
              <w:rPr>
                <w:rFonts w:ascii="Arial" w:cs="Arial" w:eastAsia="Arial" w:hAnsi="Arial"/>
                <w:sz w:val="18"/>
                <w:szCs w:val="18"/>
                <w:color w:val="auto"/>
              </w:rPr>
              <w:t>Corporate</w:t>
            </w:r>
          </w:p>
        </w:tc>
        <w:tc>
          <w:tcPr>
            <w:tcW w:w="960" w:type="dxa"/>
            <w:vAlign w:val="bottom"/>
            <w:tcBorders>
              <w:bottom w:val="single" w:sz="8" w:color="auto"/>
            </w:tcBorders>
            <w:shd w:val="clear" w:color="auto" w:fill="DDDDDD"/>
          </w:tcPr>
          <w:p>
            <w:pPr>
              <w:spacing w:after="0"/>
              <w:rPr>
                <w:sz w:val="19"/>
                <w:szCs w:val="19"/>
                <w:color w:val="auto"/>
              </w:rPr>
            </w:pPr>
          </w:p>
        </w:tc>
        <w:tc>
          <w:tcPr>
            <w:tcW w:w="4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DDDDDD"/>
          </w:tcPr>
          <w:p>
            <w:pPr>
              <w:spacing w:after="0"/>
              <w:rPr>
                <w:sz w:val="19"/>
                <w:szCs w:val="19"/>
                <w:color w:val="auto"/>
              </w:rPr>
            </w:pPr>
          </w:p>
        </w:tc>
        <w:tc>
          <w:tcPr>
            <w:tcW w:w="340" w:type="dxa"/>
            <w:vAlign w:val="bottom"/>
            <w:tcBorders>
              <w:bottom w:val="single" w:sz="8" w:color="auto"/>
            </w:tcBorders>
            <w:shd w:val="clear" w:color="auto" w:fill="DDDDDD"/>
          </w:tcPr>
          <w:p>
            <w:pPr>
              <w:spacing w:after="0"/>
              <w:rPr>
                <w:sz w:val="19"/>
                <w:szCs w:val="19"/>
                <w:color w:val="auto"/>
              </w:rPr>
            </w:pPr>
          </w:p>
        </w:tc>
        <w:tc>
          <w:tcPr>
            <w:tcW w:w="11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241</w:t>
            </w:r>
          </w:p>
        </w:tc>
        <w:tc>
          <w:tcPr>
            <w:tcW w:w="120" w:type="dxa"/>
            <w:vAlign w:val="bottom"/>
            <w:shd w:val="clear" w:color="auto" w:fill="DDDDDD"/>
          </w:tcPr>
          <w:p>
            <w:pPr>
              <w:spacing w:after="0"/>
              <w:rPr>
                <w:sz w:val="19"/>
                <w:szCs w:val="19"/>
                <w:color w:val="auto"/>
              </w:rPr>
            </w:pPr>
          </w:p>
        </w:tc>
        <w:tc>
          <w:tcPr>
            <w:tcW w:w="340" w:type="dxa"/>
            <w:vAlign w:val="bottom"/>
            <w:tcBorders>
              <w:bottom w:val="single" w:sz="8" w:color="auto"/>
            </w:tcBorders>
            <w:shd w:val="clear" w:color="auto" w:fill="DDDDDD"/>
          </w:tcPr>
          <w:p>
            <w:pPr>
              <w:spacing w:after="0"/>
              <w:rPr>
                <w:sz w:val="19"/>
                <w:szCs w:val="19"/>
                <w:color w:val="auto"/>
              </w:rPr>
            </w:pPr>
          </w:p>
        </w:tc>
        <w:tc>
          <w:tcPr>
            <w:tcW w:w="11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502</w:t>
            </w:r>
          </w:p>
        </w:tc>
      </w:tr>
      <w:tr>
        <w:trPr>
          <w:trHeight w:val="223"/>
        </w:trPr>
        <w:tc>
          <w:tcPr>
            <w:tcW w:w="6700" w:type="dxa"/>
            <w:vAlign w:val="bottom"/>
          </w:tcPr>
          <w:p>
            <w:pPr>
              <w:spacing w:after="0"/>
              <w:rPr>
                <w:sz w:val="19"/>
                <w:szCs w:val="19"/>
                <w:color w:val="auto"/>
              </w:rPr>
            </w:pPr>
          </w:p>
        </w:tc>
        <w:tc>
          <w:tcPr>
            <w:tcW w:w="960" w:type="dxa"/>
            <w:vAlign w:val="bottom"/>
            <w:tcBorders>
              <w:bottom w:val="single" w:sz="8" w:color="auto"/>
            </w:tcBorders>
          </w:tcPr>
          <w:p>
            <w:pPr>
              <w:jc w:val="right"/>
              <w:ind w:right="75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1,091</w:t>
            </w:r>
          </w:p>
        </w:tc>
      </w:tr>
      <w:tr>
        <w:trPr>
          <w:trHeight w:val="20"/>
        </w:trPr>
        <w:tc>
          <w:tcPr>
            <w:tcW w:w="67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2020, the Company recognized repositioning charges totaling $565 million, including severance costs of $475 million related to workforce reductions of 14,159 manufacturing and administrative positions across our segments, with a majority of the workforce reductions in Aerospace and Performance Materials and Technologies. The workforce reductions primarily related to the Company aligning its cost structure with the slowdown in demand for many of its products and services due to the global recession, and with our productivity and ongoing functional transformation initiatives and to site consolidations and hub strategies. The repositioning charge included exit costs of $69 million primarily related to current period exit costs incurred for previously approved repositioning projects. Also, $47 million of previously established reserves, primarily for severance, were returned to income mainly as a result of higher attrition than anticipated in prior severance actions resulting in lower payments.</w:t>
      </w:r>
    </w:p>
    <w:p>
      <w:pPr>
        <w:spacing w:after="0" w:line="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2019, the Company recognized repositioning charges totaling $438 million, including severance costs of $260 million related to workforce reductions of 5,336 manufacturing and administrative positions across our segments. The workforce reductions related to our productivity and ongoing functional transformation initiatives and to site transitions, mainly in Honeywell Building Technologies, as we transition manufacturing to more cost-effective</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61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4" w:name="page65"/>
    <w:bookmarkEnd w:id="64"/>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locations. The repositioning charge included asset impairments of $95 million largely related to a write down in connection with assets held for sale. The repositioning charge included exit costs of $83 million primarily related to current period exit costs incurred for previously approved repositioning projects, termination fees associated with the early cancellation of supply agreements for certain raw materials in Performance Materials and Technologies and Honeywell Building Technologies and for closure obligations associated with site transitions.</w:t>
      </w:r>
    </w:p>
    <w:p>
      <w:pPr>
        <w:spacing w:after="0" w:line="9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2018, the Company recognized repositioning charges totaling $530 million, including severance costs of $289 million related to workforce reductions of 6,486 manufacturing and administrative positions across our segments. The workforce reductions were primarily related to planned site closures, mainly in Safety and Productivity Solutions, Performance Materials and Technologies and Honeywell Building Technologies, as we transition manufacturing sites to more cost-effective locations. The workforce reductions were also related to our productivity and ongoing functional transformation initiatives. The repositioning charge included asset impairments of $162 million mainly related to manufacturing plant and equipment associated with planned site closures. Asset impairments also included the write-down of a legacy property in Corporate in connection with its planned disposition and the write-off of certain capitalized assets in Corporate. The repositioning charge included exit costs of $79 million primarily related to a termination fee associated with the early cancellation of a supply agreement for certain raw materials in Performance Materials and Technologies and for closure obligations associated with planned site closures.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status of the Company's total repositioning reserves: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Severance</w:t>
            </w:r>
          </w:p>
        </w:tc>
        <w:tc>
          <w:tcPr>
            <w:tcW w:w="160" w:type="dxa"/>
            <w:vAlign w:val="bottom"/>
          </w:tcPr>
          <w:p>
            <w:pPr>
              <w:spacing w:after="0"/>
              <w:rPr>
                <w:sz w:val="14"/>
                <w:szCs w:val="14"/>
                <w:color w:val="auto"/>
              </w:rPr>
            </w:pPr>
          </w:p>
        </w:tc>
        <w:tc>
          <w:tcPr>
            <w:tcW w:w="1240" w:type="dxa"/>
            <w:vAlign w:val="bottom"/>
            <w:gridSpan w:val="2"/>
          </w:tcPr>
          <w:p>
            <w:pPr>
              <w:ind w:left="280"/>
              <w:spacing w:after="0"/>
              <w:rPr>
                <w:sz w:val="20"/>
                <w:szCs w:val="20"/>
                <w:color w:val="auto"/>
              </w:rPr>
            </w:pPr>
            <w:r>
              <w:rPr>
                <w:rFonts w:ascii="Arial" w:cs="Arial" w:eastAsia="Arial" w:hAnsi="Arial"/>
                <w:sz w:val="14"/>
                <w:szCs w:val="14"/>
                <w:b w:val="1"/>
                <w:bCs w:val="1"/>
                <w:color w:val="auto"/>
              </w:rPr>
              <w:t>Asset</w:t>
            </w:r>
          </w:p>
        </w:tc>
        <w:tc>
          <w:tcPr>
            <w:tcW w:w="260" w:type="dxa"/>
            <w:vAlign w:val="bottom"/>
          </w:tcPr>
          <w:p>
            <w:pPr>
              <w:spacing w:after="0"/>
              <w:rPr>
                <w:sz w:val="14"/>
                <w:szCs w:val="14"/>
                <w:color w:val="auto"/>
              </w:rPr>
            </w:pPr>
          </w:p>
        </w:tc>
        <w:tc>
          <w:tcPr>
            <w:tcW w:w="1120" w:type="dxa"/>
            <w:vAlign w:val="bottom"/>
            <w:gridSpan w:val="2"/>
          </w:tcPr>
          <w:p>
            <w:pPr>
              <w:ind w:left="240"/>
              <w:spacing w:after="0"/>
              <w:rPr>
                <w:sz w:val="20"/>
                <w:szCs w:val="20"/>
                <w:color w:val="auto"/>
              </w:rPr>
            </w:pPr>
            <w:r>
              <w:rPr>
                <w:rFonts w:ascii="Arial" w:cs="Arial" w:eastAsia="Arial" w:hAnsi="Arial"/>
                <w:sz w:val="14"/>
                <w:szCs w:val="14"/>
                <w:b w:val="1"/>
                <w:bCs w:val="1"/>
                <w:color w:val="auto"/>
              </w:rPr>
              <w:t>Exit</w:t>
            </w:r>
          </w:p>
        </w:tc>
        <w:tc>
          <w:tcPr>
            <w:tcW w:w="280" w:type="dxa"/>
            <w:vAlign w:val="bottom"/>
          </w:tcPr>
          <w:p>
            <w:pPr>
              <w:spacing w:after="0"/>
              <w:rPr>
                <w:sz w:val="14"/>
                <w:szCs w:val="14"/>
                <w:color w:val="auto"/>
              </w:rPr>
            </w:pPr>
          </w:p>
        </w:tc>
        <w:tc>
          <w:tcPr>
            <w:tcW w:w="98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5780" w:type="dxa"/>
            <w:vAlign w:val="bottom"/>
            <w:tcBorders>
              <w:bottom w:val="single" w:sz="8" w:color="DDDDDD"/>
            </w:tcBorders>
          </w:tcPr>
          <w:p>
            <w:pPr>
              <w:spacing w:after="0"/>
              <w:rPr>
                <w:sz w:val="15"/>
                <w:szCs w:val="15"/>
                <w:color w:val="auto"/>
              </w:rPr>
            </w:pPr>
          </w:p>
        </w:tc>
        <w:tc>
          <w:tcPr>
            <w:tcW w:w="200" w:type="dxa"/>
            <w:vAlign w:val="bottom"/>
            <w:tcBorders>
              <w:bottom w:val="single" w:sz="8" w:color="DC202E"/>
            </w:tcBorders>
          </w:tcPr>
          <w:p>
            <w:pPr>
              <w:spacing w:after="0"/>
              <w:rPr>
                <w:sz w:val="15"/>
                <w:szCs w:val="15"/>
                <w:color w:val="auto"/>
              </w:rPr>
            </w:pPr>
          </w:p>
        </w:tc>
        <w:tc>
          <w:tcPr>
            <w:tcW w:w="1080" w:type="dxa"/>
            <w:vAlign w:val="bottom"/>
            <w:tcBorders>
              <w:bottom w:val="single" w:sz="8" w:color="DC202E"/>
            </w:tcBorders>
          </w:tcPr>
          <w:p>
            <w:pPr>
              <w:jc w:val="right"/>
              <w:ind w:right="352"/>
              <w:spacing w:after="0"/>
              <w:rPr>
                <w:sz w:val="20"/>
                <w:szCs w:val="20"/>
                <w:color w:val="auto"/>
              </w:rPr>
            </w:pPr>
            <w:r>
              <w:rPr>
                <w:rFonts w:ascii="Arial" w:cs="Arial" w:eastAsia="Arial" w:hAnsi="Arial"/>
                <w:sz w:val="14"/>
                <w:szCs w:val="14"/>
                <w:b w:val="1"/>
                <w:bCs w:val="1"/>
                <w:color w:val="auto"/>
              </w:rPr>
              <w:t>Costs</w:t>
            </w:r>
          </w:p>
        </w:tc>
        <w:tc>
          <w:tcPr>
            <w:tcW w:w="100" w:type="dxa"/>
            <w:vAlign w:val="bottom"/>
            <w:tcBorders>
              <w:bottom w:val="single" w:sz="8" w:color="DDDDDD"/>
            </w:tcBorders>
          </w:tcPr>
          <w:p>
            <w:pPr>
              <w:spacing w:after="0"/>
              <w:rPr>
                <w:sz w:val="15"/>
                <w:szCs w:val="15"/>
                <w:color w:val="auto"/>
              </w:rPr>
            </w:pPr>
          </w:p>
        </w:tc>
        <w:tc>
          <w:tcPr>
            <w:tcW w:w="160" w:type="dxa"/>
            <w:vAlign w:val="bottom"/>
            <w:tcBorders>
              <w:bottom w:val="single" w:sz="8" w:color="DC202E"/>
            </w:tcBorders>
          </w:tcPr>
          <w:p>
            <w:pPr>
              <w:spacing w:after="0"/>
              <w:rPr>
                <w:sz w:val="15"/>
                <w:szCs w:val="15"/>
                <w:color w:val="auto"/>
              </w:rPr>
            </w:pPr>
          </w:p>
        </w:tc>
        <w:tc>
          <w:tcPr>
            <w:tcW w:w="1120" w:type="dxa"/>
            <w:vAlign w:val="bottom"/>
            <w:tcBorders>
              <w:bottom w:val="single" w:sz="8" w:color="DC202E"/>
            </w:tcBorders>
          </w:tcPr>
          <w:p>
            <w:pPr>
              <w:jc w:val="right"/>
              <w:ind w:right="112"/>
              <w:spacing w:after="0"/>
              <w:rPr>
                <w:sz w:val="20"/>
                <w:szCs w:val="20"/>
                <w:color w:val="auto"/>
              </w:rPr>
            </w:pPr>
            <w:r>
              <w:rPr>
                <w:rFonts w:ascii="Arial" w:cs="Arial" w:eastAsia="Arial" w:hAnsi="Arial"/>
                <w:sz w:val="14"/>
                <w:szCs w:val="14"/>
                <w:b w:val="1"/>
                <w:bCs w:val="1"/>
                <w:color w:val="auto"/>
              </w:rPr>
              <w:t>Impairments</w:t>
            </w:r>
          </w:p>
        </w:tc>
        <w:tc>
          <w:tcPr>
            <w:tcW w:w="120" w:type="dxa"/>
            <w:vAlign w:val="bottom"/>
            <w:tcBorders>
              <w:bottom w:val="single" w:sz="8" w:color="DDDDDD"/>
            </w:tcBorders>
          </w:tcPr>
          <w:p>
            <w:pPr>
              <w:spacing w:after="0"/>
              <w:rPr>
                <w:sz w:val="15"/>
                <w:szCs w:val="15"/>
                <w:color w:val="auto"/>
              </w:rPr>
            </w:pPr>
          </w:p>
        </w:tc>
        <w:tc>
          <w:tcPr>
            <w:tcW w:w="260" w:type="dxa"/>
            <w:vAlign w:val="bottom"/>
            <w:tcBorders>
              <w:bottom w:val="single" w:sz="8" w:color="DC202E"/>
            </w:tcBorders>
          </w:tcPr>
          <w:p>
            <w:pPr>
              <w:spacing w:after="0"/>
              <w:rPr>
                <w:sz w:val="15"/>
                <w:szCs w:val="15"/>
                <w:color w:val="auto"/>
              </w:rPr>
            </w:pPr>
          </w:p>
        </w:tc>
        <w:tc>
          <w:tcPr>
            <w:tcW w:w="1000" w:type="dxa"/>
            <w:vAlign w:val="bottom"/>
            <w:tcBorders>
              <w:bottom w:val="single" w:sz="8" w:color="DC202E"/>
            </w:tcBorders>
          </w:tcPr>
          <w:p>
            <w:pPr>
              <w:jc w:val="right"/>
              <w:ind w:right="352"/>
              <w:spacing w:after="0"/>
              <w:rPr>
                <w:sz w:val="20"/>
                <w:szCs w:val="20"/>
                <w:color w:val="auto"/>
              </w:rPr>
            </w:pPr>
            <w:r>
              <w:rPr>
                <w:rFonts w:ascii="Arial" w:cs="Arial" w:eastAsia="Arial" w:hAnsi="Arial"/>
                <w:sz w:val="14"/>
                <w:szCs w:val="14"/>
                <w:b w:val="1"/>
                <w:bCs w:val="1"/>
                <w:color w:val="auto"/>
              </w:rPr>
              <w:t>Costs</w:t>
            </w:r>
          </w:p>
        </w:tc>
        <w:tc>
          <w:tcPr>
            <w:tcW w:w="120" w:type="dxa"/>
            <w:vAlign w:val="bottom"/>
            <w:tcBorders>
              <w:bottom w:val="single" w:sz="8" w:color="DDDDDD"/>
            </w:tcBorders>
          </w:tcPr>
          <w:p>
            <w:pPr>
              <w:spacing w:after="0"/>
              <w:rPr>
                <w:sz w:val="15"/>
                <w:szCs w:val="15"/>
                <w:color w:val="auto"/>
              </w:rPr>
            </w:pPr>
          </w:p>
        </w:tc>
        <w:tc>
          <w:tcPr>
            <w:tcW w:w="280" w:type="dxa"/>
            <w:vAlign w:val="bottom"/>
            <w:tcBorders>
              <w:bottom w:val="single" w:sz="8" w:color="DC202E"/>
            </w:tcBorders>
          </w:tcPr>
          <w:p>
            <w:pPr>
              <w:spacing w:after="0"/>
              <w:rPr>
                <w:sz w:val="15"/>
                <w:szCs w:val="15"/>
                <w:color w:val="auto"/>
              </w:rPr>
            </w:pPr>
          </w:p>
        </w:tc>
        <w:tc>
          <w:tcPr>
            <w:tcW w:w="980" w:type="dxa"/>
            <w:vAlign w:val="bottom"/>
            <w:tcBorders>
              <w:bottom w:val="single" w:sz="8" w:color="DC202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780" w:type="dxa"/>
            <w:vAlign w:val="bottom"/>
            <w:shd w:val="clear" w:color="auto" w:fill="DDDDDD"/>
          </w:tcPr>
          <w:p>
            <w:pPr>
              <w:ind w:left="20"/>
              <w:spacing w:after="0"/>
              <w:rPr>
                <w:sz w:val="20"/>
                <w:szCs w:val="20"/>
                <w:color w:val="auto"/>
              </w:rPr>
            </w:pPr>
            <w:r>
              <w:rPr>
                <w:rFonts w:ascii="Arial" w:cs="Arial" w:eastAsia="Arial" w:hAnsi="Arial"/>
                <w:sz w:val="18"/>
                <w:szCs w:val="18"/>
                <w:color w:val="auto"/>
              </w:rPr>
              <w:t>Balance at December 31, 2017</w:t>
            </w:r>
          </w:p>
        </w:tc>
        <w:tc>
          <w:tcPr>
            <w:tcW w:w="20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442</w:t>
            </w:r>
          </w:p>
        </w:tc>
        <w:tc>
          <w:tcPr>
            <w:tcW w:w="100" w:type="dxa"/>
            <w:vAlign w:val="bottom"/>
            <w:shd w:val="clear" w:color="auto" w:fill="DDDDDD"/>
          </w:tcPr>
          <w:p>
            <w:pPr>
              <w:spacing w:after="0"/>
              <w:rPr>
                <w:sz w:val="19"/>
                <w:szCs w:val="19"/>
                <w:color w:val="auto"/>
              </w:rPr>
            </w:pPr>
          </w:p>
        </w:tc>
        <w:tc>
          <w:tcPr>
            <w:tcW w:w="16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DDDDDD"/>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DDDDDD"/>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DDDDDD"/>
          </w:tcPr>
          <w:p>
            <w:pPr>
              <w:spacing w:after="0"/>
              <w:rPr>
                <w:sz w:val="19"/>
                <w:szCs w:val="19"/>
                <w:color w:val="auto"/>
              </w:rPr>
            </w:pPr>
          </w:p>
        </w:tc>
        <w:tc>
          <w:tcPr>
            <w:tcW w:w="280" w:type="dxa"/>
            <w:vAlign w:val="bottom"/>
            <w:shd w:val="clear" w:color="auto" w:fill="DDDDDD"/>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29"/>
        </w:trPr>
        <w:tc>
          <w:tcPr>
            <w:tcW w:w="5780" w:type="dxa"/>
            <w:vAlign w:val="bottom"/>
          </w:tcPr>
          <w:p>
            <w:pPr>
              <w:ind w:left="140"/>
              <w:spacing w:after="0"/>
              <w:rPr>
                <w:sz w:val="20"/>
                <w:szCs w:val="20"/>
                <w:color w:val="auto"/>
              </w:rPr>
            </w:pPr>
            <w:r>
              <w:rPr>
                <w:rFonts w:ascii="Arial" w:cs="Arial" w:eastAsia="Arial" w:hAnsi="Arial"/>
                <w:sz w:val="18"/>
                <w:szCs w:val="18"/>
                <w:color w:val="auto"/>
              </w:rPr>
              <w:t>Charges</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30"/>
        </w:trPr>
        <w:tc>
          <w:tcPr>
            <w:tcW w:w="5780" w:type="dxa"/>
            <w:vAlign w:val="bottom"/>
            <w:shd w:val="clear" w:color="auto" w:fill="DDDDDD"/>
          </w:tcPr>
          <w:p>
            <w:pPr>
              <w:ind w:left="140"/>
              <w:spacing w:after="0"/>
              <w:rPr>
                <w:sz w:val="20"/>
                <w:szCs w:val="20"/>
                <w:color w:val="auto"/>
              </w:rPr>
            </w:pPr>
            <w:r>
              <w:rPr>
                <w:rFonts w:ascii="Arial" w:cs="Arial" w:eastAsia="Arial" w:hAnsi="Arial"/>
                <w:sz w:val="18"/>
                <w:szCs w:val="18"/>
                <w:color w:val="auto"/>
              </w:rPr>
              <w:t>Usage—cash</w:t>
            </w:r>
          </w:p>
        </w:tc>
        <w:tc>
          <w:tcPr>
            <w:tcW w:w="200" w:type="dxa"/>
            <w:vAlign w:val="bottom"/>
            <w:shd w:val="clear" w:color="auto" w:fill="DDDDDD"/>
          </w:tcPr>
          <w:p>
            <w:pPr>
              <w:spacing w:after="0"/>
              <w:rPr>
                <w:sz w:val="19"/>
                <w:szCs w:val="19"/>
                <w:color w:val="auto"/>
              </w:rPr>
            </w:pPr>
          </w:p>
        </w:tc>
        <w:tc>
          <w:tcPr>
            <w:tcW w:w="10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DDDDDD"/>
          </w:tcPr>
          <w:p>
            <w:pPr>
              <w:spacing w:after="0"/>
              <w:rPr>
                <w:sz w:val="19"/>
                <w:szCs w:val="19"/>
                <w:color w:val="auto"/>
              </w:rPr>
            </w:pPr>
          </w:p>
        </w:tc>
        <w:tc>
          <w:tcPr>
            <w:tcW w:w="160" w:type="dxa"/>
            <w:vAlign w:val="bottom"/>
            <w:shd w:val="clear" w:color="auto" w:fill="DDDDDD"/>
          </w:tcPr>
          <w:p>
            <w:pPr>
              <w:spacing w:after="0"/>
              <w:rPr>
                <w:sz w:val="19"/>
                <w:szCs w:val="19"/>
                <w:color w:val="auto"/>
              </w:rPr>
            </w:pPr>
          </w:p>
        </w:tc>
        <w:tc>
          <w:tcPr>
            <w:tcW w:w="1240" w:type="dxa"/>
            <w:vAlign w:val="bottom"/>
            <w:gridSpan w:val="2"/>
            <w:shd w:val="clear" w:color="auto" w:fill="DDDDDD"/>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DDDDDD"/>
          </w:tcPr>
          <w:p>
            <w:pPr>
              <w:spacing w:after="0"/>
              <w:rPr>
                <w:sz w:val="19"/>
                <w:szCs w:val="19"/>
                <w:color w:val="auto"/>
              </w:rPr>
            </w:pPr>
          </w:p>
        </w:tc>
        <w:tc>
          <w:tcPr>
            <w:tcW w:w="10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DDDDDD"/>
          </w:tcPr>
          <w:p>
            <w:pPr>
              <w:spacing w:after="0"/>
              <w:rPr>
                <w:sz w:val="19"/>
                <w:szCs w:val="19"/>
                <w:color w:val="auto"/>
              </w:rPr>
            </w:pPr>
          </w:p>
        </w:tc>
        <w:tc>
          <w:tcPr>
            <w:tcW w:w="280" w:type="dxa"/>
            <w:vAlign w:val="bottom"/>
            <w:shd w:val="clear" w:color="auto" w:fill="DDDDDD"/>
          </w:tcPr>
          <w:p>
            <w:pPr>
              <w:spacing w:after="0"/>
              <w:rPr>
                <w:sz w:val="19"/>
                <w:szCs w:val="19"/>
                <w:color w:val="auto"/>
              </w:rPr>
            </w:pPr>
          </w:p>
        </w:tc>
        <w:tc>
          <w:tcPr>
            <w:tcW w:w="9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29"/>
        </w:trPr>
        <w:tc>
          <w:tcPr>
            <w:tcW w:w="5780" w:type="dxa"/>
            <w:vAlign w:val="bottom"/>
          </w:tcPr>
          <w:p>
            <w:pPr>
              <w:ind w:left="140"/>
              <w:spacing w:after="0"/>
              <w:rPr>
                <w:sz w:val="20"/>
                <w:szCs w:val="20"/>
                <w:color w:val="auto"/>
              </w:rPr>
            </w:pPr>
            <w:r>
              <w:rPr>
                <w:rFonts w:ascii="Arial" w:cs="Arial" w:eastAsia="Arial" w:hAnsi="Arial"/>
                <w:sz w:val="18"/>
                <w:szCs w:val="18"/>
                <w:color w:val="auto"/>
              </w:rPr>
              <w:t>Usage—noncash</w:t>
            </w: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30"/>
        </w:trPr>
        <w:tc>
          <w:tcPr>
            <w:tcW w:w="5780" w:type="dxa"/>
            <w:vAlign w:val="bottom"/>
            <w:shd w:val="clear" w:color="auto" w:fill="DDDDDD"/>
          </w:tcPr>
          <w:p>
            <w:pPr>
              <w:ind w:left="140"/>
              <w:spacing w:after="0"/>
              <w:rPr>
                <w:sz w:val="20"/>
                <w:szCs w:val="20"/>
                <w:color w:val="auto"/>
              </w:rPr>
            </w:pPr>
            <w:r>
              <w:rPr>
                <w:rFonts w:ascii="Arial" w:cs="Arial" w:eastAsia="Arial" w:hAnsi="Arial"/>
                <w:sz w:val="18"/>
                <w:szCs w:val="18"/>
                <w:color w:val="auto"/>
              </w:rPr>
              <w:t>Divestitures</w:t>
            </w:r>
          </w:p>
        </w:tc>
        <w:tc>
          <w:tcPr>
            <w:tcW w:w="200" w:type="dxa"/>
            <w:vAlign w:val="bottom"/>
            <w:shd w:val="clear" w:color="auto" w:fill="DDDDDD"/>
          </w:tcPr>
          <w:p>
            <w:pPr>
              <w:spacing w:after="0"/>
              <w:rPr>
                <w:sz w:val="19"/>
                <w:szCs w:val="19"/>
                <w:color w:val="auto"/>
              </w:rPr>
            </w:pPr>
          </w:p>
        </w:tc>
        <w:tc>
          <w:tcPr>
            <w:tcW w:w="10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DDDDDD"/>
          </w:tcPr>
          <w:p>
            <w:pPr>
              <w:spacing w:after="0"/>
              <w:rPr>
                <w:sz w:val="19"/>
                <w:szCs w:val="19"/>
                <w:color w:val="auto"/>
              </w:rPr>
            </w:pPr>
          </w:p>
        </w:tc>
        <w:tc>
          <w:tcPr>
            <w:tcW w:w="160" w:type="dxa"/>
            <w:vAlign w:val="bottom"/>
            <w:shd w:val="clear" w:color="auto" w:fill="DDDDDD"/>
          </w:tcPr>
          <w:p>
            <w:pPr>
              <w:spacing w:after="0"/>
              <w:rPr>
                <w:sz w:val="19"/>
                <w:szCs w:val="19"/>
                <w:color w:val="auto"/>
              </w:rPr>
            </w:pPr>
          </w:p>
        </w:tc>
        <w:tc>
          <w:tcPr>
            <w:tcW w:w="1240" w:type="dxa"/>
            <w:vAlign w:val="bottom"/>
            <w:gridSpan w:val="2"/>
            <w:shd w:val="clear" w:color="auto" w:fill="DDDDDD"/>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DDDDDD"/>
          </w:tcPr>
          <w:p>
            <w:pPr>
              <w:spacing w:after="0"/>
              <w:rPr>
                <w:sz w:val="19"/>
                <w:szCs w:val="19"/>
                <w:color w:val="auto"/>
              </w:rPr>
            </w:pPr>
          </w:p>
        </w:tc>
        <w:tc>
          <w:tcPr>
            <w:tcW w:w="10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DDDDDD"/>
          </w:tcPr>
          <w:p>
            <w:pPr>
              <w:spacing w:after="0"/>
              <w:rPr>
                <w:sz w:val="19"/>
                <w:szCs w:val="19"/>
                <w:color w:val="auto"/>
              </w:rPr>
            </w:pPr>
          </w:p>
        </w:tc>
        <w:tc>
          <w:tcPr>
            <w:tcW w:w="280" w:type="dxa"/>
            <w:vAlign w:val="bottom"/>
            <w:shd w:val="clear" w:color="auto" w:fill="DDDDDD"/>
          </w:tcPr>
          <w:p>
            <w:pPr>
              <w:spacing w:after="0"/>
              <w:rPr>
                <w:sz w:val="19"/>
                <w:szCs w:val="19"/>
                <w:color w:val="auto"/>
              </w:rPr>
            </w:pPr>
          </w:p>
        </w:tc>
        <w:tc>
          <w:tcPr>
            <w:tcW w:w="9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5780" w:type="dxa"/>
            <w:vAlign w:val="bottom"/>
          </w:tcPr>
          <w:p>
            <w:pPr>
              <w:ind w:left="140"/>
              <w:spacing w:after="0"/>
              <w:rPr>
                <w:sz w:val="20"/>
                <w:szCs w:val="20"/>
                <w:color w:val="auto"/>
              </w:rPr>
            </w:pPr>
            <w:r>
              <w:rPr>
                <w:rFonts w:ascii="Arial" w:cs="Arial" w:eastAsia="Arial" w:hAnsi="Arial"/>
                <w:sz w:val="18"/>
                <w:szCs w:val="18"/>
                <w:color w:val="auto"/>
              </w:rPr>
              <w:t>Adjustments</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5780" w:type="dxa"/>
            <w:vAlign w:val="bottom"/>
            <w:shd w:val="clear" w:color="auto" w:fill="DDDDDD"/>
          </w:tcPr>
          <w:p>
            <w:pPr>
              <w:ind w:left="140"/>
              <w:spacing w:after="0"/>
              <w:rPr>
                <w:sz w:val="20"/>
                <w:szCs w:val="20"/>
                <w:color w:val="auto"/>
              </w:rPr>
            </w:pPr>
            <w:r>
              <w:rPr>
                <w:rFonts w:ascii="Arial" w:cs="Arial" w:eastAsia="Arial" w:hAnsi="Arial"/>
                <w:sz w:val="18"/>
                <w:szCs w:val="18"/>
                <w:color w:val="auto"/>
              </w:rPr>
              <w:t>Foreign currency translation</w:t>
            </w:r>
          </w:p>
        </w:tc>
        <w:tc>
          <w:tcPr>
            <w:tcW w:w="200" w:type="dxa"/>
            <w:vAlign w:val="bottom"/>
            <w:tcBorders>
              <w:bottom w:val="single" w:sz="8" w:color="auto"/>
            </w:tcBorders>
            <w:shd w:val="clear" w:color="auto" w:fill="DDDDDD"/>
          </w:tcPr>
          <w:p>
            <w:pPr>
              <w:spacing w:after="0"/>
              <w:rPr>
                <w:sz w:val="19"/>
                <w:szCs w:val="19"/>
                <w:color w:val="auto"/>
              </w:rPr>
            </w:pPr>
          </w:p>
        </w:tc>
        <w:tc>
          <w:tcPr>
            <w:tcW w:w="10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DDDDDD"/>
          </w:tcPr>
          <w:p>
            <w:pPr>
              <w:spacing w:after="0"/>
              <w:rPr>
                <w:sz w:val="19"/>
                <w:szCs w:val="19"/>
                <w:color w:val="auto"/>
              </w:rPr>
            </w:pPr>
          </w:p>
        </w:tc>
        <w:tc>
          <w:tcPr>
            <w:tcW w:w="160" w:type="dxa"/>
            <w:vAlign w:val="bottom"/>
            <w:tcBorders>
              <w:bottom w:val="single" w:sz="8" w:color="auto"/>
            </w:tcBorders>
            <w:shd w:val="clear" w:color="auto" w:fill="DDDDDD"/>
          </w:tcPr>
          <w:p>
            <w:pPr>
              <w:spacing w:after="0"/>
              <w:rPr>
                <w:sz w:val="19"/>
                <w:szCs w:val="19"/>
                <w:color w:val="auto"/>
              </w:rPr>
            </w:pPr>
          </w:p>
        </w:tc>
        <w:tc>
          <w:tcPr>
            <w:tcW w:w="11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DDDDD"/>
          </w:tcPr>
          <w:p>
            <w:pPr>
              <w:spacing w:after="0"/>
              <w:rPr>
                <w:sz w:val="19"/>
                <w:szCs w:val="19"/>
                <w:color w:val="auto"/>
              </w:rPr>
            </w:pPr>
          </w:p>
        </w:tc>
        <w:tc>
          <w:tcPr>
            <w:tcW w:w="260" w:type="dxa"/>
            <w:vAlign w:val="bottom"/>
            <w:tcBorders>
              <w:bottom w:val="single" w:sz="8" w:color="auto"/>
            </w:tcBorders>
            <w:shd w:val="clear" w:color="auto" w:fill="DDDDDD"/>
          </w:tcPr>
          <w:p>
            <w:pPr>
              <w:spacing w:after="0"/>
              <w:rPr>
                <w:sz w:val="19"/>
                <w:szCs w:val="19"/>
                <w:color w:val="auto"/>
              </w:rPr>
            </w:pPr>
          </w:p>
        </w:tc>
        <w:tc>
          <w:tcPr>
            <w:tcW w:w="10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DDDDD"/>
          </w:tcPr>
          <w:p>
            <w:pPr>
              <w:spacing w:after="0"/>
              <w:rPr>
                <w:sz w:val="19"/>
                <w:szCs w:val="19"/>
                <w:color w:val="auto"/>
              </w:rPr>
            </w:pPr>
          </w:p>
        </w:tc>
        <w:tc>
          <w:tcPr>
            <w:tcW w:w="280" w:type="dxa"/>
            <w:vAlign w:val="bottom"/>
            <w:tcBorders>
              <w:bottom w:val="single" w:sz="8" w:color="auto"/>
            </w:tcBorders>
            <w:shd w:val="clear" w:color="auto" w:fill="DDDDDD"/>
          </w:tcPr>
          <w:p>
            <w:pPr>
              <w:spacing w:after="0"/>
              <w:rPr>
                <w:sz w:val="19"/>
                <w:szCs w:val="19"/>
                <w:color w:val="auto"/>
              </w:rPr>
            </w:pPr>
          </w:p>
        </w:tc>
        <w:tc>
          <w:tcPr>
            <w:tcW w:w="9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5780" w:type="dxa"/>
            <w:vAlign w:val="bottom"/>
          </w:tcPr>
          <w:p>
            <w:pPr>
              <w:ind w:left="20"/>
              <w:spacing w:after="0"/>
              <w:rPr>
                <w:sz w:val="20"/>
                <w:szCs w:val="20"/>
                <w:color w:val="auto"/>
              </w:rPr>
            </w:pPr>
            <w:r>
              <w:rPr>
                <w:rFonts w:ascii="Arial" w:cs="Arial" w:eastAsia="Arial" w:hAnsi="Arial"/>
                <w:sz w:val="18"/>
                <w:szCs w:val="18"/>
                <w:color w:val="auto"/>
              </w:rPr>
              <w:t>Balance at December 31, 2018</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23"/>
        </w:trPr>
        <w:tc>
          <w:tcPr>
            <w:tcW w:w="5780" w:type="dxa"/>
            <w:vAlign w:val="bottom"/>
            <w:tcBorders>
              <w:top w:val="single" w:sz="8" w:color="DDDDDD"/>
            </w:tcBorders>
            <w:shd w:val="clear" w:color="auto" w:fill="DDDDDD"/>
          </w:tcPr>
          <w:p>
            <w:pPr>
              <w:ind w:left="140"/>
              <w:spacing w:after="0"/>
              <w:rPr>
                <w:sz w:val="20"/>
                <w:szCs w:val="20"/>
                <w:color w:val="auto"/>
              </w:rPr>
            </w:pPr>
            <w:r>
              <w:rPr>
                <w:rFonts w:ascii="Arial" w:cs="Arial" w:eastAsia="Arial" w:hAnsi="Arial"/>
                <w:sz w:val="18"/>
                <w:szCs w:val="18"/>
                <w:color w:val="auto"/>
              </w:rPr>
              <w:t>Charges</w:t>
            </w:r>
          </w:p>
        </w:tc>
        <w:tc>
          <w:tcPr>
            <w:tcW w:w="200" w:type="dxa"/>
            <w:vAlign w:val="bottom"/>
            <w:tcBorders>
              <w:top w:val="single" w:sz="8" w:color="auto"/>
            </w:tcBorders>
            <w:shd w:val="clear" w:color="auto" w:fill="DDDDDD"/>
          </w:tcPr>
          <w:p>
            <w:pPr>
              <w:spacing w:after="0"/>
              <w:rPr>
                <w:sz w:val="19"/>
                <w:szCs w:val="19"/>
                <w:color w:val="auto"/>
              </w:rPr>
            </w:pPr>
          </w:p>
        </w:tc>
        <w:tc>
          <w:tcPr>
            <w:tcW w:w="1080" w:type="dxa"/>
            <w:vAlign w:val="bottom"/>
            <w:tcBorders>
              <w:top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Borders>
              <w:top w:val="single" w:sz="8" w:color="DDDDDD"/>
            </w:tcBorders>
            <w:shd w:val="clear" w:color="auto" w:fill="DDDDDD"/>
          </w:tcPr>
          <w:p>
            <w:pPr>
              <w:spacing w:after="0"/>
              <w:rPr>
                <w:sz w:val="19"/>
                <w:szCs w:val="19"/>
                <w:color w:val="auto"/>
              </w:rPr>
            </w:pPr>
          </w:p>
        </w:tc>
        <w:tc>
          <w:tcPr>
            <w:tcW w:w="160" w:type="dxa"/>
            <w:vAlign w:val="bottom"/>
            <w:tcBorders>
              <w:top w:val="single" w:sz="8" w:color="auto"/>
            </w:tcBorders>
            <w:shd w:val="clear" w:color="auto" w:fill="DDDDDD"/>
          </w:tcPr>
          <w:p>
            <w:pPr>
              <w:spacing w:after="0"/>
              <w:rPr>
                <w:sz w:val="19"/>
                <w:szCs w:val="19"/>
                <w:color w:val="auto"/>
              </w:rPr>
            </w:pPr>
          </w:p>
        </w:tc>
        <w:tc>
          <w:tcPr>
            <w:tcW w:w="1120" w:type="dxa"/>
            <w:vAlign w:val="bottom"/>
            <w:tcBorders>
              <w:top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95</w:t>
            </w:r>
          </w:p>
        </w:tc>
        <w:tc>
          <w:tcPr>
            <w:tcW w:w="120" w:type="dxa"/>
            <w:vAlign w:val="bottom"/>
            <w:tcBorders>
              <w:top w:val="single" w:sz="8" w:color="DDDDDD"/>
            </w:tcBorders>
            <w:shd w:val="clear" w:color="auto" w:fill="DDDDDD"/>
          </w:tcPr>
          <w:p>
            <w:pPr>
              <w:spacing w:after="0"/>
              <w:rPr>
                <w:sz w:val="19"/>
                <w:szCs w:val="19"/>
                <w:color w:val="auto"/>
              </w:rPr>
            </w:pPr>
          </w:p>
        </w:tc>
        <w:tc>
          <w:tcPr>
            <w:tcW w:w="260" w:type="dxa"/>
            <w:vAlign w:val="bottom"/>
            <w:tcBorders>
              <w:top w:val="single" w:sz="8" w:color="auto"/>
            </w:tcBorders>
            <w:shd w:val="clear" w:color="auto" w:fill="DDDDDD"/>
          </w:tcPr>
          <w:p>
            <w:pPr>
              <w:spacing w:after="0"/>
              <w:rPr>
                <w:sz w:val="19"/>
                <w:szCs w:val="19"/>
                <w:color w:val="auto"/>
              </w:rPr>
            </w:pPr>
          </w:p>
        </w:tc>
        <w:tc>
          <w:tcPr>
            <w:tcW w:w="1000" w:type="dxa"/>
            <w:vAlign w:val="bottom"/>
            <w:tcBorders>
              <w:top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83</w:t>
            </w:r>
          </w:p>
        </w:tc>
        <w:tc>
          <w:tcPr>
            <w:tcW w:w="120" w:type="dxa"/>
            <w:vAlign w:val="bottom"/>
            <w:tcBorders>
              <w:top w:val="single" w:sz="8" w:color="DDDDDD"/>
            </w:tcBorders>
            <w:shd w:val="clear" w:color="auto" w:fill="DDDDDD"/>
          </w:tcPr>
          <w:p>
            <w:pPr>
              <w:spacing w:after="0"/>
              <w:rPr>
                <w:sz w:val="19"/>
                <w:szCs w:val="19"/>
                <w:color w:val="auto"/>
              </w:rPr>
            </w:pPr>
          </w:p>
        </w:tc>
        <w:tc>
          <w:tcPr>
            <w:tcW w:w="280" w:type="dxa"/>
            <w:vAlign w:val="bottom"/>
            <w:tcBorders>
              <w:top w:val="single" w:sz="8" w:color="auto"/>
            </w:tcBorders>
            <w:shd w:val="clear" w:color="auto" w:fill="DDDDDD"/>
          </w:tcPr>
          <w:p>
            <w:pPr>
              <w:spacing w:after="0"/>
              <w:rPr>
                <w:sz w:val="19"/>
                <w:szCs w:val="19"/>
                <w:color w:val="auto"/>
              </w:rPr>
            </w:pPr>
          </w:p>
        </w:tc>
        <w:tc>
          <w:tcPr>
            <w:tcW w:w="980" w:type="dxa"/>
            <w:vAlign w:val="bottom"/>
            <w:tcBorders>
              <w:top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30"/>
        </w:trPr>
        <w:tc>
          <w:tcPr>
            <w:tcW w:w="5780" w:type="dxa"/>
            <w:vAlign w:val="bottom"/>
          </w:tcPr>
          <w:p>
            <w:pPr>
              <w:ind w:left="140"/>
              <w:spacing w:after="0"/>
              <w:rPr>
                <w:sz w:val="20"/>
                <w:szCs w:val="20"/>
                <w:color w:val="auto"/>
              </w:rPr>
            </w:pPr>
            <w:r>
              <w:rPr>
                <w:rFonts w:ascii="Arial" w:cs="Arial" w:eastAsia="Arial" w:hAnsi="Arial"/>
                <w:sz w:val="18"/>
                <w:szCs w:val="18"/>
                <w:color w:val="auto"/>
              </w:rPr>
              <w:t>Usage—cash</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30"/>
        </w:trPr>
        <w:tc>
          <w:tcPr>
            <w:tcW w:w="5780" w:type="dxa"/>
            <w:vAlign w:val="bottom"/>
            <w:shd w:val="clear" w:color="auto" w:fill="DDDDDD"/>
          </w:tcPr>
          <w:p>
            <w:pPr>
              <w:ind w:left="140"/>
              <w:spacing w:after="0"/>
              <w:rPr>
                <w:sz w:val="20"/>
                <w:szCs w:val="20"/>
                <w:color w:val="auto"/>
              </w:rPr>
            </w:pPr>
            <w:r>
              <w:rPr>
                <w:rFonts w:ascii="Arial" w:cs="Arial" w:eastAsia="Arial" w:hAnsi="Arial"/>
                <w:sz w:val="18"/>
                <w:szCs w:val="18"/>
                <w:color w:val="auto"/>
              </w:rPr>
              <w:t>Usage—noncash</w:t>
            </w:r>
          </w:p>
        </w:tc>
        <w:tc>
          <w:tcPr>
            <w:tcW w:w="200" w:type="dxa"/>
            <w:vAlign w:val="bottom"/>
            <w:shd w:val="clear" w:color="auto" w:fill="DDDDDD"/>
          </w:tcPr>
          <w:p>
            <w:pPr>
              <w:spacing w:after="0"/>
              <w:rPr>
                <w:sz w:val="19"/>
                <w:szCs w:val="19"/>
                <w:color w:val="auto"/>
              </w:rPr>
            </w:pPr>
          </w:p>
        </w:tc>
        <w:tc>
          <w:tcPr>
            <w:tcW w:w="1180" w:type="dxa"/>
            <w:vAlign w:val="bottom"/>
            <w:gridSpan w:val="2"/>
            <w:shd w:val="clear" w:color="auto" w:fill="DDDDDD"/>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DDDDDD"/>
          </w:tcPr>
          <w:p>
            <w:pPr>
              <w:spacing w:after="0"/>
              <w:rPr>
                <w:sz w:val="19"/>
                <w:szCs w:val="19"/>
                <w:color w:val="auto"/>
              </w:rPr>
            </w:pPr>
          </w:p>
        </w:tc>
        <w:tc>
          <w:tcPr>
            <w:tcW w:w="11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DDDDDD"/>
          </w:tcPr>
          <w:p>
            <w:pPr>
              <w:spacing w:after="0"/>
              <w:rPr>
                <w:sz w:val="19"/>
                <w:szCs w:val="19"/>
                <w:color w:val="auto"/>
              </w:rPr>
            </w:pPr>
          </w:p>
        </w:tc>
        <w:tc>
          <w:tcPr>
            <w:tcW w:w="260" w:type="dxa"/>
            <w:vAlign w:val="bottom"/>
            <w:shd w:val="clear" w:color="auto" w:fill="DDDDDD"/>
          </w:tcPr>
          <w:p>
            <w:pPr>
              <w:spacing w:after="0"/>
              <w:rPr>
                <w:sz w:val="19"/>
                <w:szCs w:val="19"/>
                <w:color w:val="auto"/>
              </w:rPr>
            </w:pPr>
          </w:p>
        </w:tc>
        <w:tc>
          <w:tcPr>
            <w:tcW w:w="1120" w:type="dxa"/>
            <w:vAlign w:val="bottom"/>
            <w:gridSpan w:val="2"/>
            <w:shd w:val="clear" w:color="auto" w:fill="DDDDDD"/>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DDDDDD"/>
          </w:tcPr>
          <w:p>
            <w:pPr>
              <w:spacing w:after="0"/>
              <w:rPr>
                <w:sz w:val="19"/>
                <w:szCs w:val="19"/>
                <w:color w:val="auto"/>
              </w:rPr>
            </w:pPr>
          </w:p>
        </w:tc>
        <w:tc>
          <w:tcPr>
            <w:tcW w:w="9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9"/>
        </w:trPr>
        <w:tc>
          <w:tcPr>
            <w:tcW w:w="5780" w:type="dxa"/>
            <w:vAlign w:val="bottom"/>
          </w:tcPr>
          <w:p>
            <w:pPr>
              <w:ind w:left="140"/>
              <w:spacing w:after="0"/>
              <w:rPr>
                <w:sz w:val="20"/>
                <w:szCs w:val="20"/>
                <w:color w:val="auto"/>
              </w:rPr>
            </w:pPr>
            <w:r>
              <w:rPr>
                <w:rFonts w:ascii="Arial" w:cs="Arial" w:eastAsia="Arial" w:hAnsi="Arial"/>
                <w:sz w:val="18"/>
                <w:szCs w:val="18"/>
                <w:color w:val="auto"/>
              </w:rPr>
              <w:t>Divestitures</w:t>
            </w: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780" w:type="dxa"/>
            <w:vAlign w:val="bottom"/>
            <w:shd w:val="clear" w:color="auto" w:fill="DDDDDD"/>
          </w:tcPr>
          <w:p>
            <w:pPr>
              <w:ind w:left="140"/>
              <w:spacing w:after="0"/>
              <w:rPr>
                <w:sz w:val="20"/>
                <w:szCs w:val="20"/>
                <w:color w:val="auto"/>
              </w:rPr>
            </w:pPr>
            <w:r>
              <w:rPr>
                <w:rFonts w:ascii="Arial" w:cs="Arial" w:eastAsia="Arial" w:hAnsi="Arial"/>
                <w:sz w:val="18"/>
                <w:szCs w:val="18"/>
                <w:color w:val="auto"/>
              </w:rPr>
              <w:t>Adjustments</w:t>
            </w:r>
          </w:p>
        </w:tc>
        <w:tc>
          <w:tcPr>
            <w:tcW w:w="200" w:type="dxa"/>
            <w:vAlign w:val="bottom"/>
            <w:shd w:val="clear" w:color="auto" w:fill="DDDDDD"/>
          </w:tcPr>
          <w:p>
            <w:pPr>
              <w:spacing w:after="0"/>
              <w:rPr>
                <w:sz w:val="19"/>
                <w:szCs w:val="19"/>
                <w:color w:val="auto"/>
              </w:rPr>
            </w:pPr>
          </w:p>
        </w:tc>
        <w:tc>
          <w:tcPr>
            <w:tcW w:w="10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DDDDDD"/>
          </w:tcPr>
          <w:p>
            <w:pPr>
              <w:spacing w:after="0"/>
              <w:rPr>
                <w:sz w:val="19"/>
                <w:szCs w:val="19"/>
                <w:color w:val="auto"/>
              </w:rPr>
            </w:pPr>
          </w:p>
        </w:tc>
        <w:tc>
          <w:tcPr>
            <w:tcW w:w="160" w:type="dxa"/>
            <w:vAlign w:val="bottom"/>
            <w:shd w:val="clear" w:color="auto" w:fill="DDDDDD"/>
          </w:tcPr>
          <w:p>
            <w:pPr>
              <w:spacing w:after="0"/>
              <w:rPr>
                <w:sz w:val="19"/>
                <w:szCs w:val="19"/>
                <w:color w:val="auto"/>
              </w:rPr>
            </w:pPr>
          </w:p>
        </w:tc>
        <w:tc>
          <w:tcPr>
            <w:tcW w:w="11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DDDDDD"/>
          </w:tcPr>
          <w:p>
            <w:pPr>
              <w:spacing w:after="0"/>
              <w:rPr>
                <w:sz w:val="19"/>
                <w:szCs w:val="19"/>
                <w:color w:val="auto"/>
              </w:rPr>
            </w:pPr>
          </w:p>
        </w:tc>
        <w:tc>
          <w:tcPr>
            <w:tcW w:w="260" w:type="dxa"/>
            <w:vAlign w:val="bottom"/>
            <w:shd w:val="clear" w:color="auto" w:fill="DDDDDD"/>
          </w:tcPr>
          <w:p>
            <w:pPr>
              <w:spacing w:after="0"/>
              <w:rPr>
                <w:sz w:val="19"/>
                <w:szCs w:val="19"/>
                <w:color w:val="auto"/>
              </w:rPr>
            </w:pPr>
          </w:p>
        </w:tc>
        <w:tc>
          <w:tcPr>
            <w:tcW w:w="10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DDDDDD"/>
          </w:tcPr>
          <w:p>
            <w:pPr>
              <w:spacing w:after="0"/>
              <w:rPr>
                <w:sz w:val="19"/>
                <w:szCs w:val="19"/>
                <w:color w:val="auto"/>
              </w:rPr>
            </w:pPr>
          </w:p>
        </w:tc>
        <w:tc>
          <w:tcPr>
            <w:tcW w:w="280" w:type="dxa"/>
            <w:vAlign w:val="bottom"/>
            <w:shd w:val="clear" w:color="auto" w:fill="DDDDDD"/>
          </w:tcPr>
          <w:p>
            <w:pPr>
              <w:spacing w:after="0"/>
              <w:rPr>
                <w:sz w:val="19"/>
                <w:szCs w:val="19"/>
                <w:color w:val="auto"/>
              </w:rPr>
            </w:pPr>
          </w:p>
        </w:tc>
        <w:tc>
          <w:tcPr>
            <w:tcW w:w="9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5780" w:type="dxa"/>
            <w:vAlign w:val="bottom"/>
            <w:tcBorders>
              <w:bottom w:val="single" w:sz="8" w:color="DDDDDD"/>
            </w:tcBorders>
          </w:tcPr>
          <w:p>
            <w:pPr>
              <w:ind w:left="140"/>
              <w:spacing w:after="0"/>
              <w:rPr>
                <w:sz w:val="20"/>
                <w:szCs w:val="20"/>
                <w:color w:val="auto"/>
              </w:rPr>
            </w:pPr>
            <w:r>
              <w:rPr>
                <w:rFonts w:ascii="Arial" w:cs="Arial" w:eastAsia="Arial" w:hAnsi="Arial"/>
                <w:sz w:val="18"/>
                <w:szCs w:val="18"/>
                <w:color w:val="auto"/>
              </w:rPr>
              <w:t>Foreign currency translation</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DDDDD"/>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DDDDDD"/>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DDDDDD"/>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5780" w:type="dxa"/>
            <w:vAlign w:val="bottom"/>
            <w:shd w:val="clear" w:color="auto" w:fill="DDDDDD"/>
          </w:tcPr>
          <w:p>
            <w:pPr>
              <w:ind w:left="20"/>
              <w:spacing w:after="0"/>
              <w:rPr>
                <w:sz w:val="20"/>
                <w:szCs w:val="20"/>
                <w:color w:val="auto"/>
              </w:rPr>
            </w:pPr>
            <w:r>
              <w:rPr>
                <w:rFonts w:ascii="Arial" w:cs="Arial" w:eastAsia="Arial" w:hAnsi="Arial"/>
                <w:sz w:val="18"/>
                <w:szCs w:val="18"/>
                <w:color w:val="auto"/>
              </w:rPr>
              <w:t>Balance at December 31, 2019</w:t>
            </w:r>
          </w:p>
        </w:tc>
        <w:tc>
          <w:tcPr>
            <w:tcW w:w="200" w:type="dxa"/>
            <w:vAlign w:val="bottom"/>
            <w:shd w:val="clear" w:color="auto" w:fill="DDDDDD"/>
          </w:tcPr>
          <w:p>
            <w:pPr>
              <w:spacing w:after="0"/>
              <w:rPr>
                <w:sz w:val="19"/>
                <w:szCs w:val="19"/>
                <w:color w:val="auto"/>
              </w:rPr>
            </w:pPr>
          </w:p>
        </w:tc>
        <w:tc>
          <w:tcPr>
            <w:tcW w:w="10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555</w:t>
            </w:r>
          </w:p>
        </w:tc>
        <w:tc>
          <w:tcPr>
            <w:tcW w:w="100" w:type="dxa"/>
            <w:vAlign w:val="bottom"/>
            <w:shd w:val="clear" w:color="auto" w:fill="DDDDDD"/>
          </w:tcPr>
          <w:p>
            <w:pPr>
              <w:spacing w:after="0"/>
              <w:rPr>
                <w:sz w:val="19"/>
                <w:szCs w:val="19"/>
                <w:color w:val="auto"/>
              </w:rPr>
            </w:pPr>
          </w:p>
        </w:tc>
        <w:tc>
          <w:tcPr>
            <w:tcW w:w="160" w:type="dxa"/>
            <w:vAlign w:val="bottom"/>
            <w:shd w:val="clear" w:color="auto" w:fill="DDDDDD"/>
          </w:tcPr>
          <w:p>
            <w:pPr>
              <w:spacing w:after="0"/>
              <w:rPr>
                <w:sz w:val="19"/>
                <w:szCs w:val="19"/>
                <w:color w:val="auto"/>
              </w:rPr>
            </w:pPr>
          </w:p>
        </w:tc>
        <w:tc>
          <w:tcPr>
            <w:tcW w:w="1240" w:type="dxa"/>
            <w:vAlign w:val="bottom"/>
            <w:gridSpan w:val="2"/>
            <w:shd w:val="clear" w:color="auto" w:fill="DDDDDD"/>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DDDDDD"/>
          </w:tcPr>
          <w:p>
            <w:pPr>
              <w:spacing w:after="0"/>
              <w:rPr>
                <w:sz w:val="19"/>
                <w:szCs w:val="19"/>
                <w:color w:val="auto"/>
              </w:rPr>
            </w:pPr>
          </w:p>
        </w:tc>
        <w:tc>
          <w:tcPr>
            <w:tcW w:w="10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96</w:t>
            </w:r>
          </w:p>
        </w:tc>
        <w:tc>
          <w:tcPr>
            <w:tcW w:w="120" w:type="dxa"/>
            <w:vAlign w:val="bottom"/>
            <w:shd w:val="clear" w:color="auto" w:fill="DDDDDD"/>
          </w:tcPr>
          <w:p>
            <w:pPr>
              <w:spacing w:after="0"/>
              <w:rPr>
                <w:sz w:val="19"/>
                <w:szCs w:val="19"/>
                <w:color w:val="auto"/>
              </w:rPr>
            </w:pPr>
          </w:p>
        </w:tc>
        <w:tc>
          <w:tcPr>
            <w:tcW w:w="280" w:type="dxa"/>
            <w:vAlign w:val="bottom"/>
            <w:shd w:val="clear" w:color="auto" w:fill="DDDDDD"/>
          </w:tcPr>
          <w:p>
            <w:pPr>
              <w:spacing w:after="0"/>
              <w:rPr>
                <w:sz w:val="19"/>
                <w:szCs w:val="19"/>
                <w:color w:val="auto"/>
              </w:rPr>
            </w:pPr>
          </w:p>
        </w:tc>
        <w:tc>
          <w:tcPr>
            <w:tcW w:w="9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23"/>
        </w:trPr>
        <w:tc>
          <w:tcPr>
            <w:tcW w:w="5780" w:type="dxa"/>
            <w:vAlign w:val="bottom"/>
          </w:tcPr>
          <w:p>
            <w:pPr>
              <w:ind w:left="140"/>
              <w:spacing w:after="0"/>
              <w:rPr>
                <w:sz w:val="20"/>
                <w:szCs w:val="20"/>
                <w:color w:val="auto"/>
              </w:rPr>
            </w:pPr>
            <w:r>
              <w:rPr>
                <w:rFonts w:ascii="Arial" w:cs="Arial" w:eastAsia="Arial" w:hAnsi="Arial"/>
                <w:sz w:val="18"/>
                <w:szCs w:val="18"/>
                <w:color w:val="auto"/>
              </w:rPr>
              <w:t>Charges</w:t>
            </w:r>
          </w:p>
        </w:tc>
        <w:tc>
          <w:tcPr>
            <w:tcW w:w="2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30"/>
        </w:trPr>
        <w:tc>
          <w:tcPr>
            <w:tcW w:w="5780" w:type="dxa"/>
            <w:vAlign w:val="bottom"/>
            <w:shd w:val="clear" w:color="auto" w:fill="DDDDDD"/>
          </w:tcPr>
          <w:p>
            <w:pPr>
              <w:ind w:left="140"/>
              <w:spacing w:after="0"/>
              <w:rPr>
                <w:sz w:val="20"/>
                <w:szCs w:val="20"/>
                <w:color w:val="auto"/>
              </w:rPr>
            </w:pPr>
            <w:r>
              <w:rPr>
                <w:rFonts w:ascii="Arial" w:cs="Arial" w:eastAsia="Arial" w:hAnsi="Arial"/>
                <w:sz w:val="18"/>
                <w:szCs w:val="18"/>
                <w:color w:val="auto"/>
              </w:rPr>
              <w:t>Usage—cash</w:t>
            </w:r>
          </w:p>
        </w:tc>
        <w:tc>
          <w:tcPr>
            <w:tcW w:w="200" w:type="dxa"/>
            <w:vAlign w:val="bottom"/>
            <w:shd w:val="clear" w:color="auto" w:fill="DDDDDD"/>
          </w:tcPr>
          <w:p>
            <w:pPr>
              <w:spacing w:after="0"/>
              <w:rPr>
                <w:sz w:val="19"/>
                <w:szCs w:val="19"/>
                <w:color w:val="auto"/>
              </w:rPr>
            </w:pPr>
          </w:p>
        </w:tc>
        <w:tc>
          <w:tcPr>
            <w:tcW w:w="10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(474)</w:t>
            </w:r>
          </w:p>
        </w:tc>
        <w:tc>
          <w:tcPr>
            <w:tcW w:w="100" w:type="dxa"/>
            <w:vAlign w:val="bottom"/>
            <w:shd w:val="clear" w:color="auto" w:fill="DDDDDD"/>
          </w:tcPr>
          <w:p>
            <w:pPr>
              <w:spacing w:after="0"/>
              <w:rPr>
                <w:sz w:val="19"/>
                <w:szCs w:val="19"/>
                <w:color w:val="auto"/>
              </w:rPr>
            </w:pPr>
          </w:p>
        </w:tc>
        <w:tc>
          <w:tcPr>
            <w:tcW w:w="160" w:type="dxa"/>
            <w:vAlign w:val="bottom"/>
            <w:shd w:val="clear" w:color="auto" w:fill="DDDDDD"/>
          </w:tcPr>
          <w:p>
            <w:pPr>
              <w:spacing w:after="0"/>
              <w:rPr>
                <w:sz w:val="19"/>
                <w:szCs w:val="19"/>
                <w:color w:val="auto"/>
              </w:rPr>
            </w:pPr>
          </w:p>
        </w:tc>
        <w:tc>
          <w:tcPr>
            <w:tcW w:w="1240" w:type="dxa"/>
            <w:vAlign w:val="bottom"/>
            <w:gridSpan w:val="2"/>
            <w:shd w:val="clear" w:color="auto" w:fill="DDDDDD"/>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DDDDDD"/>
          </w:tcPr>
          <w:p>
            <w:pPr>
              <w:spacing w:after="0"/>
              <w:rPr>
                <w:sz w:val="19"/>
                <w:szCs w:val="19"/>
                <w:color w:val="auto"/>
              </w:rPr>
            </w:pPr>
          </w:p>
        </w:tc>
        <w:tc>
          <w:tcPr>
            <w:tcW w:w="10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DDDDDD"/>
          </w:tcPr>
          <w:p>
            <w:pPr>
              <w:spacing w:after="0"/>
              <w:rPr>
                <w:sz w:val="19"/>
                <w:szCs w:val="19"/>
                <w:color w:val="auto"/>
              </w:rPr>
            </w:pPr>
          </w:p>
        </w:tc>
        <w:tc>
          <w:tcPr>
            <w:tcW w:w="280" w:type="dxa"/>
            <w:vAlign w:val="bottom"/>
            <w:shd w:val="clear" w:color="auto" w:fill="DDDDDD"/>
          </w:tcPr>
          <w:p>
            <w:pPr>
              <w:spacing w:after="0"/>
              <w:rPr>
                <w:sz w:val="19"/>
                <w:szCs w:val="19"/>
                <w:color w:val="auto"/>
              </w:rPr>
            </w:pPr>
          </w:p>
        </w:tc>
        <w:tc>
          <w:tcPr>
            <w:tcW w:w="9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30"/>
        </w:trPr>
        <w:tc>
          <w:tcPr>
            <w:tcW w:w="5780" w:type="dxa"/>
            <w:vAlign w:val="bottom"/>
          </w:tcPr>
          <w:p>
            <w:pPr>
              <w:ind w:left="140"/>
              <w:spacing w:after="0"/>
              <w:rPr>
                <w:sz w:val="20"/>
                <w:szCs w:val="20"/>
                <w:color w:val="auto"/>
              </w:rPr>
            </w:pPr>
            <w:r>
              <w:rPr>
                <w:rFonts w:ascii="Arial" w:cs="Arial" w:eastAsia="Arial" w:hAnsi="Arial"/>
                <w:sz w:val="18"/>
                <w:szCs w:val="18"/>
                <w:color w:val="auto"/>
              </w:rPr>
              <w:t>Usage—noncash</w:t>
            </w: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5780" w:type="dxa"/>
            <w:vAlign w:val="bottom"/>
            <w:shd w:val="clear" w:color="auto" w:fill="DDDDDD"/>
          </w:tcPr>
          <w:p>
            <w:pPr>
              <w:ind w:left="140"/>
              <w:spacing w:after="0"/>
              <w:rPr>
                <w:sz w:val="20"/>
                <w:szCs w:val="20"/>
                <w:color w:val="auto"/>
              </w:rPr>
            </w:pPr>
            <w:r>
              <w:rPr>
                <w:rFonts w:ascii="Arial" w:cs="Arial" w:eastAsia="Arial" w:hAnsi="Arial"/>
                <w:sz w:val="18"/>
                <w:szCs w:val="18"/>
                <w:color w:val="auto"/>
              </w:rPr>
              <w:t>Divestitures</w:t>
            </w:r>
          </w:p>
        </w:tc>
        <w:tc>
          <w:tcPr>
            <w:tcW w:w="200" w:type="dxa"/>
            <w:vAlign w:val="bottom"/>
            <w:shd w:val="clear" w:color="auto" w:fill="DDDDDD"/>
          </w:tcPr>
          <w:p>
            <w:pPr>
              <w:spacing w:after="0"/>
              <w:rPr>
                <w:sz w:val="19"/>
                <w:szCs w:val="19"/>
                <w:color w:val="auto"/>
              </w:rPr>
            </w:pPr>
          </w:p>
        </w:tc>
        <w:tc>
          <w:tcPr>
            <w:tcW w:w="1180" w:type="dxa"/>
            <w:vAlign w:val="bottom"/>
            <w:gridSpan w:val="2"/>
            <w:shd w:val="clear" w:color="auto" w:fill="DDDDDD"/>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DDDDDD"/>
          </w:tcPr>
          <w:p>
            <w:pPr>
              <w:spacing w:after="0"/>
              <w:rPr>
                <w:sz w:val="19"/>
                <w:szCs w:val="19"/>
                <w:color w:val="auto"/>
              </w:rPr>
            </w:pPr>
          </w:p>
        </w:tc>
        <w:tc>
          <w:tcPr>
            <w:tcW w:w="1240" w:type="dxa"/>
            <w:vAlign w:val="bottom"/>
            <w:gridSpan w:val="2"/>
            <w:shd w:val="clear" w:color="auto" w:fill="DDDDDD"/>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DDDDDD"/>
          </w:tcPr>
          <w:p>
            <w:pPr>
              <w:spacing w:after="0"/>
              <w:rPr>
                <w:sz w:val="19"/>
                <w:szCs w:val="19"/>
                <w:color w:val="auto"/>
              </w:rPr>
            </w:pPr>
          </w:p>
        </w:tc>
        <w:tc>
          <w:tcPr>
            <w:tcW w:w="1120" w:type="dxa"/>
            <w:vAlign w:val="bottom"/>
            <w:gridSpan w:val="2"/>
            <w:shd w:val="clear" w:color="auto" w:fill="DDDDDD"/>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DDDDDD"/>
          </w:tcPr>
          <w:p>
            <w:pPr>
              <w:spacing w:after="0"/>
              <w:rPr>
                <w:sz w:val="19"/>
                <w:szCs w:val="19"/>
                <w:color w:val="auto"/>
              </w:rPr>
            </w:pPr>
          </w:p>
        </w:tc>
        <w:tc>
          <w:tcPr>
            <w:tcW w:w="9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780" w:type="dxa"/>
            <w:vAlign w:val="bottom"/>
          </w:tcPr>
          <w:p>
            <w:pPr>
              <w:ind w:left="140"/>
              <w:spacing w:after="0"/>
              <w:rPr>
                <w:sz w:val="20"/>
                <w:szCs w:val="20"/>
                <w:color w:val="auto"/>
              </w:rPr>
            </w:pPr>
            <w:r>
              <w:rPr>
                <w:rFonts w:ascii="Arial" w:cs="Arial" w:eastAsia="Arial" w:hAnsi="Arial"/>
                <w:sz w:val="18"/>
                <w:szCs w:val="18"/>
                <w:color w:val="auto"/>
              </w:rPr>
              <w:t>Adjustments</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5780" w:type="dxa"/>
            <w:vAlign w:val="bottom"/>
            <w:shd w:val="clear" w:color="auto" w:fill="DDDDDD"/>
          </w:tcPr>
          <w:p>
            <w:pPr>
              <w:ind w:left="140"/>
              <w:spacing w:after="0"/>
              <w:rPr>
                <w:sz w:val="20"/>
                <w:szCs w:val="20"/>
                <w:color w:val="auto"/>
              </w:rPr>
            </w:pPr>
            <w:r>
              <w:rPr>
                <w:rFonts w:ascii="Arial" w:cs="Arial" w:eastAsia="Arial" w:hAnsi="Arial"/>
                <w:sz w:val="18"/>
                <w:szCs w:val="18"/>
                <w:color w:val="auto"/>
              </w:rPr>
              <w:t>Foreign currency translation</w:t>
            </w:r>
          </w:p>
        </w:tc>
        <w:tc>
          <w:tcPr>
            <w:tcW w:w="200" w:type="dxa"/>
            <w:vAlign w:val="bottom"/>
            <w:tcBorders>
              <w:bottom w:val="single" w:sz="8" w:color="auto"/>
            </w:tcBorders>
            <w:shd w:val="clear" w:color="auto" w:fill="DDDDDD"/>
          </w:tcPr>
          <w:p>
            <w:pPr>
              <w:spacing w:after="0"/>
              <w:rPr>
                <w:sz w:val="19"/>
                <w:szCs w:val="19"/>
                <w:color w:val="auto"/>
              </w:rPr>
            </w:pPr>
          </w:p>
        </w:tc>
        <w:tc>
          <w:tcPr>
            <w:tcW w:w="10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DDDDDD"/>
          </w:tcPr>
          <w:p>
            <w:pPr>
              <w:spacing w:after="0"/>
              <w:rPr>
                <w:sz w:val="19"/>
                <w:szCs w:val="19"/>
                <w:color w:val="auto"/>
              </w:rPr>
            </w:pPr>
          </w:p>
        </w:tc>
        <w:tc>
          <w:tcPr>
            <w:tcW w:w="160" w:type="dxa"/>
            <w:vAlign w:val="bottom"/>
            <w:tcBorders>
              <w:bottom w:val="single" w:sz="8" w:color="auto"/>
            </w:tcBorders>
            <w:shd w:val="clear" w:color="auto" w:fill="DDDDDD"/>
          </w:tcPr>
          <w:p>
            <w:pPr>
              <w:spacing w:after="0"/>
              <w:rPr>
                <w:sz w:val="19"/>
                <w:szCs w:val="19"/>
                <w:color w:val="auto"/>
              </w:rPr>
            </w:pPr>
          </w:p>
        </w:tc>
        <w:tc>
          <w:tcPr>
            <w:tcW w:w="11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DDDDD"/>
          </w:tcPr>
          <w:p>
            <w:pPr>
              <w:spacing w:after="0"/>
              <w:rPr>
                <w:sz w:val="19"/>
                <w:szCs w:val="19"/>
                <w:color w:val="auto"/>
              </w:rPr>
            </w:pPr>
          </w:p>
        </w:tc>
        <w:tc>
          <w:tcPr>
            <w:tcW w:w="260" w:type="dxa"/>
            <w:vAlign w:val="bottom"/>
            <w:tcBorders>
              <w:bottom w:val="single" w:sz="8" w:color="auto"/>
            </w:tcBorders>
            <w:shd w:val="clear" w:color="auto" w:fill="DDDDDD"/>
          </w:tcPr>
          <w:p>
            <w:pPr>
              <w:spacing w:after="0"/>
              <w:rPr>
                <w:sz w:val="19"/>
                <w:szCs w:val="19"/>
                <w:color w:val="auto"/>
              </w:rPr>
            </w:pPr>
          </w:p>
        </w:tc>
        <w:tc>
          <w:tcPr>
            <w:tcW w:w="10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DDDDDD"/>
          </w:tcPr>
          <w:p>
            <w:pPr>
              <w:spacing w:after="0"/>
              <w:rPr>
                <w:sz w:val="19"/>
                <w:szCs w:val="19"/>
                <w:color w:val="auto"/>
              </w:rPr>
            </w:pPr>
          </w:p>
        </w:tc>
        <w:tc>
          <w:tcPr>
            <w:tcW w:w="280" w:type="dxa"/>
            <w:vAlign w:val="bottom"/>
            <w:tcBorders>
              <w:bottom w:val="single" w:sz="8" w:color="auto"/>
            </w:tcBorders>
            <w:shd w:val="clear" w:color="auto" w:fill="DDDDDD"/>
          </w:tcPr>
          <w:p>
            <w:pPr>
              <w:spacing w:after="0"/>
              <w:rPr>
                <w:sz w:val="19"/>
                <w:szCs w:val="19"/>
                <w:color w:val="auto"/>
              </w:rPr>
            </w:pPr>
          </w:p>
        </w:tc>
        <w:tc>
          <w:tcPr>
            <w:tcW w:w="9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5780" w:type="dxa"/>
            <w:vAlign w:val="bottom"/>
          </w:tcPr>
          <w:p>
            <w:pPr>
              <w:ind w:left="20"/>
              <w:spacing w:after="0"/>
              <w:rPr>
                <w:sz w:val="20"/>
                <w:szCs w:val="20"/>
                <w:color w:val="auto"/>
              </w:rPr>
            </w:pPr>
            <w:r>
              <w:rPr>
                <w:rFonts w:ascii="Arial" w:cs="Arial" w:eastAsia="Arial" w:hAnsi="Arial"/>
                <w:sz w:val="18"/>
                <w:szCs w:val="18"/>
                <w:color w:val="auto"/>
              </w:rPr>
              <w:t>Balance at December 31, 2020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Certain repositioning projects will recognize exit costs in future periods when the actual liability is incurred. Such exit costs incurred in 2020, 2019 and 2018 were not significant.</w:t>
      </w:r>
    </w:p>
    <w:p>
      <w:pPr>
        <w:spacing w:after="0" w:line="9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In 2018, the other charge of $ 63 million mainly relates to reserves taken due to the required wind-down of the Company's activities in Iran and the evaluation of potential resolution of a certain legal matter.</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62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5" w:name="page66"/>
    <w:bookmarkEnd w:id="65"/>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9"/>
          <w:szCs w:val="29"/>
          <w:b w:val="1"/>
          <w:bCs w:val="1"/>
          <w:color w:val="EE2724"/>
        </w:rPr>
        <w:t>NOTE 5. INCOME TAXES</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INCOME BEFORE TAXES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00" w:type="dxa"/>
            <w:vAlign w:val="bottom"/>
          </w:tcPr>
          <w:p>
            <w:pPr>
              <w:spacing w:after="0"/>
              <w:rPr>
                <w:sz w:val="17"/>
                <w:szCs w:val="17"/>
                <w:color w:val="auto"/>
              </w:rPr>
            </w:pPr>
          </w:p>
        </w:tc>
        <w:tc>
          <w:tcPr>
            <w:tcW w:w="900" w:type="dxa"/>
            <w:vAlign w:val="bottom"/>
            <w:tcBorders>
              <w:bottom w:val="single" w:sz="8" w:color="DC202E"/>
            </w:tcBorders>
          </w:tcPr>
          <w:p>
            <w:pPr>
              <w:spacing w:after="0"/>
              <w:rPr>
                <w:sz w:val="17"/>
                <w:szCs w:val="17"/>
                <w:color w:val="auto"/>
              </w:rPr>
            </w:pPr>
          </w:p>
        </w:tc>
        <w:tc>
          <w:tcPr>
            <w:tcW w:w="2540" w:type="dxa"/>
            <w:vAlign w:val="bottom"/>
            <w:tcBorders>
              <w:bottom w:val="single" w:sz="8" w:color="DC202E"/>
            </w:tcBorders>
            <w:gridSpan w:val="6"/>
          </w:tcPr>
          <w:p>
            <w:pPr>
              <w:jc w:val="right"/>
              <w:ind w:right="170"/>
              <w:spacing w:after="0"/>
              <w:rPr>
                <w:sz w:val="20"/>
                <w:szCs w:val="20"/>
                <w:color w:val="auto"/>
              </w:rPr>
            </w:pPr>
            <w:r>
              <w:rPr>
                <w:rFonts w:ascii="Arial" w:cs="Arial" w:eastAsia="Arial" w:hAnsi="Arial"/>
                <w:sz w:val="14"/>
                <w:szCs w:val="14"/>
                <w:b w:val="1"/>
                <w:bCs w:val="1"/>
                <w:color w:val="auto"/>
              </w:rPr>
              <w:t>Years Ended December 31,</w:t>
            </w:r>
          </w:p>
        </w:tc>
        <w:tc>
          <w:tcPr>
            <w:tcW w:w="1100" w:type="dxa"/>
            <w:vAlign w:val="bottom"/>
            <w:tcBorders>
              <w:bottom w:val="single" w:sz="8" w:color="DC202E"/>
            </w:tcBorders>
          </w:tcPr>
          <w:p>
            <w:pPr>
              <w:spacing w:after="0"/>
              <w:rPr>
                <w:sz w:val="17"/>
                <w:szCs w:val="17"/>
                <w:color w:val="auto"/>
              </w:rPr>
            </w:pPr>
          </w:p>
        </w:tc>
      </w:tr>
      <w:tr>
        <w:trPr>
          <w:trHeight w:val="196"/>
        </w:trPr>
        <w:tc>
          <w:tcPr>
            <w:tcW w:w="6700" w:type="dxa"/>
            <w:vAlign w:val="bottom"/>
            <w:tcBorders>
              <w:bottom w:val="single" w:sz="8" w:color="DDDDDD"/>
            </w:tcBorders>
          </w:tcPr>
          <w:p>
            <w:pPr>
              <w:spacing w:after="0"/>
              <w:rPr>
                <w:sz w:val="17"/>
                <w:szCs w:val="17"/>
                <w:color w:val="auto"/>
              </w:rPr>
            </w:pPr>
          </w:p>
        </w:tc>
        <w:tc>
          <w:tcPr>
            <w:tcW w:w="90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DC202E"/>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340" w:type="dxa"/>
            <w:vAlign w:val="bottom"/>
            <w:tcBorders>
              <w:bottom w:val="single" w:sz="8" w:color="DC202E"/>
            </w:tcBorders>
          </w:tcPr>
          <w:p>
            <w:pPr>
              <w:spacing w:after="0"/>
              <w:rPr>
                <w:sz w:val="17"/>
                <w:szCs w:val="17"/>
                <w:color w:val="auto"/>
              </w:rPr>
            </w:pPr>
          </w:p>
        </w:tc>
        <w:tc>
          <w:tcPr>
            <w:tcW w:w="1100" w:type="dxa"/>
            <w:vAlign w:val="bottom"/>
            <w:tcBorders>
              <w:bottom w:val="single" w:sz="8" w:color="DC202E"/>
            </w:tcBorders>
          </w:tcPr>
          <w:p>
            <w:pPr>
              <w:jc w:val="right"/>
              <w:ind w:right="47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DDDDDD"/>
            </w:tcBorders>
          </w:tcPr>
          <w:p>
            <w:pPr>
              <w:spacing w:after="0"/>
              <w:rPr>
                <w:sz w:val="17"/>
                <w:szCs w:val="17"/>
                <w:color w:val="auto"/>
              </w:rPr>
            </w:pPr>
          </w:p>
        </w:tc>
        <w:tc>
          <w:tcPr>
            <w:tcW w:w="340" w:type="dxa"/>
            <w:vAlign w:val="bottom"/>
            <w:tcBorders>
              <w:bottom w:val="single" w:sz="8" w:color="DC202E"/>
            </w:tcBorders>
          </w:tcPr>
          <w:p>
            <w:pPr>
              <w:spacing w:after="0"/>
              <w:rPr>
                <w:sz w:val="17"/>
                <w:szCs w:val="17"/>
                <w:color w:val="auto"/>
              </w:rPr>
            </w:pPr>
          </w:p>
        </w:tc>
        <w:tc>
          <w:tcPr>
            <w:tcW w:w="1100" w:type="dxa"/>
            <w:vAlign w:val="bottom"/>
            <w:tcBorders>
              <w:bottom w:val="single" w:sz="8" w:color="DC202E"/>
            </w:tcBorders>
          </w:tcPr>
          <w:p>
            <w:pPr>
              <w:jc w:val="right"/>
              <w:ind w:right="475"/>
              <w:spacing w:after="0"/>
              <w:rPr>
                <w:sz w:val="20"/>
                <w:szCs w:val="20"/>
                <w:color w:val="auto"/>
              </w:rPr>
            </w:pPr>
            <w:r>
              <w:rPr>
                <w:rFonts w:ascii="Arial" w:cs="Arial" w:eastAsia="Arial" w:hAnsi="Arial"/>
                <w:sz w:val="14"/>
                <w:szCs w:val="14"/>
                <w:b w:val="1"/>
                <w:bCs w:val="1"/>
                <w:color w:val="auto"/>
              </w:rPr>
              <w:t>2018</w:t>
            </w:r>
          </w:p>
        </w:tc>
      </w:tr>
      <w:tr>
        <w:trPr>
          <w:trHeight w:val="229"/>
        </w:trPr>
        <w:tc>
          <w:tcPr>
            <w:tcW w:w="6700" w:type="dxa"/>
            <w:vAlign w:val="bottom"/>
            <w:shd w:val="clear" w:color="auto" w:fill="DDDDDD"/>
          </w:tcPr>
          <w:p>
            <w:pPr>
              <w:ind w:left="20"/>
              <w:spacing w:after="0"/>
              <w:rPr>
                <w:sz w:val="20"/>
                <w:szCs w:val="20"/>
                <w:color w:val="auto"/>
              </w:rPr>
            </w:pPr>
            <w:r>
              <w:rPr>
                <w:rFonts w:ascii="Arial" w:cs="Arial" w:eastAsia="Arial" w:hAnsi="Arial"/>
                <w:sz w:val="18"/>
                <w:szCs w:val="18"/>
                <w:color w:val="auto"/>
              </w:rPr>
              <w:t>U.S.</w:t>
            </w:r>
          </w:p>
        </w:tc>
        <w:tc>
          <w:tcPr>
            <w:tcW w:w="900" w:type="dxa"/>
            <w:vAlign w:val="bottom"/>
            <w:shd w:val="clear" w:color="auto" w:fill="DDDDDD"/>
          </w:tcPr>
          <w:p>
            <w:pPr>
              <w:jc w:val="right"/>
              <w:ind w:right="716"/>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7"/>
              </w:rPr>
              <w:t>3,318</w:t>
            </w:r>
          </w:p>
        </w:tc>
        <w:tc>
          <w:tcPr>
            <w:tcW w:w="100" w:type="dxa"/>
            <w:vAlign w:val="bottom"/>
            <w:shd w:val="clear" w:color="auto" w:fill="DDDDDD"/>
          </w:tcPr>
          <w:p>
            <w:pPr>
              <w:spacing w:after="0"/>
              <w:rPr>
                <w:sz w:val="19"/>
                <w:szCs w:val="19"/>
                <w:color w:val="auto"/>
              </w:rPr>
            </w:pPr>
          </w:p>
        </w:tc>
        <w:tc>
          <w:tcPr>
            <w:tcW w:w="3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4,178</w:t>
            </w:r>
          </w:p>
        </w:tc>
        <w:tc>
          <w:tcPr>
            <w:tcW w:w="120" w:type="dxa"/>
            <w:vAlign w:val="bottom"/>
            <w:shd w:val="clear" w:color="auto" w:fill="DDDDDD"/>
          </w:tcPr>
          <w:p>
            <w:pPr>
              <w:spacing w:after="0"/>
              <w:rPr>
                <w:sz w:val="19"/>
                <w:szCs w:val="19"/>
                <w:color w:val="auto"/>
              </w:rPr>
            </w:pPr>
          </w:p>
        </w:tc>
        <w:tc>
          <w:tcPr>
            <w:tcW w:w="3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2,919</w:t>
            </w:r>
          </w:p>
        </w:tc>
      </w:tr>
      <w:tr>
        <w:trPr>
          <w:trHeight w:val="230"/>
        </w:trPr>
        <w:tc>
          <w:tcPr>
            <w:tcW w:w="6700" w:type="dxa"/>
            <w:vAlign w:val="bottom"/>
            <w:tcBorders>
              <w:bottom w:val="single" w:sz="8" w:color="DDDDDD"/>
            </w:tcBorders>
          </w:tcPr>
          <w:p>
            <w:pPr>
              <w:ind w:left="20"/>
              <w:spacing w:after="0"/>
              <w:rPr>
                <w:sz w:val="20"/>
                <w:szCs w:val="20"/>
                <w:color w:val="auto"/>
              </w:rPr>
            </w:pPr>
            <w:r>
              <w:rPr>
                <w:rFonts w:ascii="Arial" w:cs="Arial" w:eastAsia="Arial" w:hAnsi="Arial"/>
                <w:sz w:val="18"/>
                <w:szCs w:val="18"/>
                <w:color w:val="auto"/>
              </w:rPr>
              <w:t>Non-U.S.</w:t>
            </w:r>
          </w:p>
        </w:tc>
        <w:tc>
          <w:tcPr>
            <w:tcW w:w="9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2,694</w:t>
            </w:r>
          </w:p>
        </w:tc>
        <w:tc>
          <w:tcPr>
            <w:tcW w:w="100" w:type="dxa"/>
            <w:vAlign w:val="bottom"/>
            <w:tcBorders>
              <w:bottom w:val="single" w:sz="8" w:color="DDDDDD"/>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3,381</w:t>
            </w:r>
          </w:p>
        </w:tc>
        <w:tc>
          <w:tcPr>
            <w:tcW w:w="120" w:type="dxa"/>
            <w:vAlign w:val="bottom"/>
            <w:tcBorders>
              <w:bottom w:val="single" w:sz="8" w:color="DDDDDD"/>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4,568</w:t>
            </w:r>
          </w:p>
        </w:tc>
      </w:tr>
      <w:tr>
        <w:trPr>
          <w:trHeight w:val="248"/>
        </w:trPr>
        <w:tc>
          <w:tcPr>
            <w:tcW w:w="6700" w:type="dxa"/>
            <w:vAlign w:val="bottom"/>
            <w:tcBorders>
              <w:bottom w:val="single" w:sz="8" w:color="DDDDDD"/>
            </w:tcBorders>
            <w:shd w:val="clear" w:color="auto" w:fill="DDDDDD"/>
          </w:tcPr>
          <w:p>
            <w:pPr>
              <w:spacing w:after="0"/>
              <w:rPr>
                <w:sz w:val="21"/>
                <w:szCs w:val="21"/>
                <w:color w:val="auto"/>
              </w:rPr>
            </w:pPr>
          </w:p>
        </w:tc>
        <w:tc>
          <w:tcPr>
            <w:tcW w:w="900" w:type="dxa"/>
            <w:vAlign w:val="bottom"/>
            <w:tcBorders>
              <w:bottom w:val="single" w:sz="8" w:color="auto"/>
            </w:tcBorders>
            <w:shd w:val="clear" w:color="auto" w:fill="DDDDDD"/>
          </w:tcPr>
          <w:p>
            <w:pPr>
              <w:jc w:val="right"/>
              <w:ind w:right="71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w w:val="97"/>
              </w:rPr>
              <w:t>6,012</w:t>
            </w:r>
          </w:p>
        </w:tc>
        <w:tc>
          <w:tcPr>
            <w:tcW w:w="100" w:type="dxa"/>
            <w:vAlign w:val="bottom"/>
            <w:tcBorders>
              <w:bottom w:val="single" w:sz="8" w:color="DDDDDD"/>
            </w:tcBorders>
            <w:shd w:val="clear" w:color="auto" w:fill="DDDDDD"/>
          </w:tcPr>
          <w:p>
            <w:pPr>
              <w:spacing w:after="0"/>
              <w:rPr>
                <w:sz w:val="21"/>
                <w:szCs w:val="21"/>
                <w:color w:val="auto"/>
              </w:rPr>
            </w:pPr>
          </w:p>
        </w:tc>
        <w:tc>
          <w:tcPr>
            <w:tcW w:w="340" w:type="dxa"/>
            <w:vAlign w:val="bottom"/>
            <w:tcBorders>
              <w:bottom w:val="single" w:sz="8" w:color="auto"/>
            </w:tcBorders>
            <w:shd w:val="clear" w:color="auto" w:fill="DDDDDD"/>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7,559</w:t>
            </w:r>
          </w:p>
        </w:tc>
        <w:tc>
          <w:tcPr>
            <w:tcW w:w="120" w:type="dxa"/>
            <w:vAlign w:val="bottom"/>
            <w:tcBorders>
              <w:bottom w:val="single" w:sz="8" w:color="DDDDDD"/>
            </w:tcBorders>
            <w:shd w:val="clear" w:color="auto" w:fill="DDDDDD"/>
          </w:tcPr>
          <w:p>
            <w:pPr>
              <w:spacing w:after="0"/>
              <w:rPr>
                <w:sz w:val="21"/>
                <w:szCs w:val="21"/>
                <w:color w:val="auto"/>
              </w:rPr>
            </w:pPr>
          </w:p>
        </w:tc>
        <w:tc>
          <w:tcPr>
            <w:tcW w:w="340" w:type="dxa"/>
            <w:vAlign w:val="bottom"/>
            <w:tcBorders>
              <w:bottom w:val="single" w:sz="8" w:color="auto"/>
            </w:tcBorders>
            <w:shd w:val="clear" w:color="auto" w:fill="DDDDDD"/>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7,487</w:t>
            </w:r>
          </w:p>
        </w:tc>
      </w:tr>
      <w:tr>
        <w:trPr>
          <w:trHeight w:val="20"/>
        </w:trPr>
        <w:tc>
          <w:tcPr>
            <w:tcW w:w="6700" w:type="dxa"/>
            <w:vAlign w:val="bottom"/>
            <w:tcBorders>
              <w:top w:val="single" w:sz="8" w:color="DDDDDD"/>
            </w:tcBorders>
          </w:tcPr>
          <w:p>
            <w:pPr>
              <w:spacing w:after="0" w:line="20" w:lineRule="exact"/>
              <w:rPr>
                <w:sz w:val="1"/>
                <w:szCs w:val="1"/>
                <w:color w:val="auto"/>
              </w:rPr>
            </w:pPr>
          </w:p>
        </w:tc>
        <w:tc>
          <w:tcPr>
            <w:tcW w:w="900" w:type="dxa"/>
            <w:vAlign w:val="bottom"/>
            <w:tcBorders>
              <w:top w:val="single" w:sz="8" w:color="DDDDDD"/>
              <w:bottom w:val="single" w:sz="8" w:color="auto"/>
            </w:tcBorders>
          </w:tcPr>
          <w:p>
            <w:pPr>
              <w:spacing w:after="0" w:line="20" w:lineRule="exact"/>
              <w:rPr>
                <w:sz w:val="1"/>
                <w:szCs w:val="1"/>
                <w:color w:val="auto"/>
              </w:rPr>
            </w:pPr>
          </w:p>
        </w:tc>
        <w:tc>
          <w:tcPr>
            <w:tcW w:w="540" w:type="dxa"/>
            <w:vAlign w:val="bottom"/>
            <w:tcBorders>
              <w:top w:val="single" w:sz="8" w:color="DDDDDD"/>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340" w:type="dxa"/>
            <w:vAlign w:val="bottom"/>
            <w:tcBorders>
              <w:top w:val="single" w:sz="8" w:color="DDDDDD"/>
              <w:bottom w:val="single" w:sz="8" w:color="auto"/>
            </w:tcBorders>
          </w:tcPr>
          <w:p>
            <w:pPr>
              <w:spacing w:after="0" w:line="20" w:lineRule="exact"/>
              <w:rPr>
                <w:sz w:val="1"/>
                <w:szCs w:val="1"/>
                <w:color w:val="auto"/>
              </w:rPr>
            </w:pPr>
          </w:p>
        </w:tc>
        <w:tc>
          <w:tcPr>
            <w:tcW w:w="1100" w:type="dxa"/>
            <w:vAlign w:val="bottom"/>
            <w:tcBorders>
              <w:top w:val="single" w:sz="8" w:color="DDDDDD"/>
              <w:bottom w:val="single" w:sz="8" w:color="auto"/>
            </w:tcBorders>
          </w:tcPr>
          <w:p>
            <w:pPr>
              <w:spacing w:after="0" w:line="20" w:lineRule="exact"/>
              <w:rPr>
                <w:sz w:val="1"/>
                <w:szCs w:val="1"/>
                <w:color w:val="auto"/>
              </w:rPr>
            </w:pPr>
          </w:p>
        </w:tc>
        <w:tc>
          <w:tcPr>
            <w:tcW w:w="120" w:type="dxa"/>
            <w:vAlign w:val="bottom"/>
            <w:tcBorders>
              <w:top w:val="single" w:sz="8" w:color="DDDDDD"/>
            </w:tcBorders>
          </w:tcPr>
          <w:p>
            <w:pPr>
              <w:spacing w:after="0" w:line="20" w:lineRule="exact"/>
              <w:rPr>
                <w:sz w:val="1"/>
                <w:szCs w:val="1"/>
                <w:color w:val="auto"/>
              </w:rPr>
            </w:pPr>
          </w:p>
        </w:tc>
        <w:tc>
          <w:tcPr>
            <w:tcW w:w="340" w:type="dxa"/>
            <w:vAlign w:val="bottom"/>
            <w:tcBorders>
              <w:top w:val="single" w:sz="8" w:color="DDDDDD"/>
              <w:bottom w:val="single" w:sz="8" w:color="auto"/>
            </w:tcBorders>
          </w:tcPr>
          <w:p>
            <w:pPr>
              <w:spacing w:after="0" w:line="20" w:lineRule="exact"/>
              <w:rPr>
                <w:sz w:val="1"/>
                <w:szCs w:val="1"/>
                <w:color w:val="auto"/>
              </w:rPr>
            </w:pPr>
          </w:p>
        </w:tc>
        <w:tc>
          <w:tcPr>
            <w:tcW w:w="1100" w:type="dxa"/>
            <w:vAlign w:val="bottom"/>
            <w:tcBorders>
              <w:top w:val="single" w:sz="8" w:color="DDDDDD"/>
              <w:bottom w:val="single" w:sz="8" w:color="auto"/>
            </w:tcBorders>
          </w:tcPr>
          <w:p>
            <w:pPr>
              <w:spacing w:after="0" w:line="20" w:lineRule="exact"/>
              <w:rPr>
                <w:sz w:val="1"/>
                <w:szCs w:val="1"/>
                <w:color w:val="auto"/>
              </w:rPr>
            </w:pPr>
          </w:p>
        </w:tc>
      </w:tr>
    </w:tbl>
    <w:p>
      <w:pPr>
        <w:spacing w:after="0" w:line="3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TAX EXPENSE (BENEFIT)</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Borders>
              <w:bottom w:val="single" w:sz="8" w:color="DC202E"/>
            </w:tcBorders>
          </w:tcPr>
          <w:p>
            <w:pPr>
              <w:spacing w:after="0"/>
              <w:rPr>
                <w:sz w:val="17"/>
                <w:szCs w:val="17"/>
                <w:color w:val="auto"/>
              </w:rPr>
            </w:pPr>
          </w:p>
        </w:tc>
        <w:tc>
          <w:tcPr>
            <w:tcW w:w="1020" w:type="dxa"/>
            <w:vAlign w:val="bottom"/>
            <w:tcBorders>
              <w:bottom w:val="single" w:sz="8" w:color="DC202E"/>
            </w:tcBorders>
          </w:tcPr>
          <w:p>
            <w:pPr>
              <w:spacing w:after="0"/>
              <w:rPr>
                <w:sz w:val="17"/>
                <w:szCs w:val="17"/>
                <w:color w:val="auto"/>
              </w:rPr>
            </w:pPr>
          </w:p>
        </w:tc>
        <w:tc>
          <w:tcPr>
            <w:tcW w:w="2180" w:type="dxa"/>
            <w:vAlign w:val="bottom"/>
            <w:tcBorders>
              <w:bottom w:val="single" w:sz="8" w:color="DC202E"/>
            </w:tcBorders>
            <w:gridSpan w:val="9"/>
          </w:tcPr>
          <w:p>
            <w:pPr>
              <w:jc w:val="right"/>
              <w:ind w:right="150"/>
              <w:spacing w:after="0"/>
              <w:rPr>
                <w:sz w:val="20"/>
                <w:szCs w:val="20"/>
                <w:color w:val="auto"/>
              </w:rPr>
            </w:pPr>
            <w:r>
              <w:rPr>
                <w:rFonts w:ascii="Arial" w:cs="Arial" w:eastAsia="Arial" w:hAnsi="Arial"/>
                <w:sz w:val="14"/>
                <w:szCs w:val="14"/>
                <w:b w:val="1"/>
                <w:bCs w:val="1"/>
                <w:color w:val="auto"/>
              </w:rPr>
              <w:t>Years Ended December 31,</w:t>
            </w:r>
          </w:p>
        </w:tc>
        <w:tc>
          <w:tcPr>
            <w:tcW w:w="1120" w:type="dxa"/>
            <w:vAlign w:val="bottom"/>
            <w:tcBorders>
              <w:bottom w:val="single" w:sz="8" w:color="DC202E"/>
            </w:tcBorders>
          </w:tcPr>
          <w:p>
            <w:pPr>
              <w:spacing w:after="0"/>
              <w:rPr>
                <w:sz w:val="17"/>
                <w:szCs w:val="17"/>
                <w:color w:val="auto"/>
              </w:rPr>
            </w:pPr>
          </w:p>
        </w:tc>
      </w:tr>
      <w:tr>
        <w:trPr>
          <w:trHeight w:val="196"/>
        </w:trPr>
        <w:tc>
          <w:tcPr>
            <w:tcW w:w="6400" w:type="dxa"/>
            <w:vAlign w:val="bottom"/>
            <w:tcBorders>
              <w:bottom w:val="single" w:sz="8" w:color="DDDDDD"/>
            </w:tcBorders>
          </w:tcPr>
          <w:p>
            <w:pPr>
              <w:spacing w:after="0"/>
              <w:rPr>
                <w:sz w:val="17"/>
                <w:szCs w:val="17"/>
                <w:color w:val="auto"/>
              </w:rPr>
            </w:pPr>
          </w:p>
        </w:tc>
        <w:tc>
          <w:tcPr>
            <w:tcW w:w="300" w:type="dxa"/>
            <w:vAlign w:val="bottom"/>
            <w:tcBorders>
              <w:bottom w:val="single" w:sz="8" w:color="DDDDDD"/>
            </w:tcBorders>
          </w:tcPr>
          <w:p>
            <w:pPr>
              <w:spacing w:after="0"/>
              <w:rPr>
                <w:sz w:val="17"/>
                <w:szCs w:val="17"/>
                <w:color w:val="auto"/>
              </w:rPr>
            </w:pPr>
          </w:p>
        </w:tc>
        <w:tc>
          <w:tcPr>
            <w:tcW w:w="220" w:type="dxa"/>
            <w:vAlign w:val="bottom"/>
            <w:tcBorders>
              <w:bottom w:val="single" w:sz="8" w:color="DC202E"/>
            </w:tcBorders>
          </w:tcPr>
          <w:p>
            <w:pPr>
              <w:spacing w:after="0"/>
              <w:rPr>
                <w:sz w:val="17"/>
                <w:szCs w:val="17"/>
                <w:color w:val="auto"/>
              </w:rPr>
            </w:pPr>
          </w:p>
        </w:tc>
        <w:tc>
          <w:tcPr>
            <w:tcW w:w="1020" w:type="dxa"/>
            <w:vAlign w:val="bottom"/>
            <w:tcBorders>
              <w:bottom w:val="single" w:sz="8" w:color="DC202E"/>
            </w:tcBorders>
          </w:tcPr>
          <w:p>
            <w:pPr>
              <w:jc w:val="right"/>
              <w:ind w:right="27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DC202E"/>
            </w:tcBorders>
          </w:tcPr>
          <w:p>
            <w:pPr>
              <w:spacing w:after="0"/>
              <w:rPr>
                <w:sz w:val="17"/>
                <w:szCs w:val="17"/>
                <w:color w:val="auto"/>
              </w:rPr>
            </w:pPr>
          </w:p>
        </w:tc>
        <w:tc>
          <w:tcPr>
            <w:tcW w:w="80" w:type="dxa"/>
            <w:vAlign w:val="bottom"/>
            <w:tcBorders>
              <w:bottom w:val="single" w:sz="8" w:color="DC202E"/>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280" w:type="dxa"/>
            <w:vAlign w:val="bottom"/>
            <w:tcBorders>
              <w:bottom w:val="single" w:sz="8" w:color="DC202E"/>
            </w:tcBorders>
          </w:tcPr>
          <w:p>
            <w:pPr>
              <w:spacing w:after="0"/>
              <w:rPr>
                <w:sz w:val="17"/>
                <w:szCs w:val="17"/>
                <w:color w:val="auto"/>
              </w:rPr>
            </w:pPr>
          </w:p>
        </w:tc>
        <w:tc>
          <w:tcPr>
            <w:tcW w:w="1080" w:type="dxa"/>
            <w:vAlign w:val="bottom"/>
            <w:tcBorders>
              <w:bottom w:val="single" w:sz="8" w:color="DC202E"/>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DC202E"/>
            </w:tcBorders>
          </w:tcPr>
          <w:p>
            <w:pPr>
              <w:spacing w:after="0"/>
              <w:rPr>
                <w:sz w:val="17"/>
                <w:szCs w:val="17"/>
                <w:color w:val="auto"/>
              </w:rPr>
            </w:pPr>
          </w:p>
        </w:tc>
        <w:tc>
          <w:tcPr>
            <w:tcW w:w="20" w:type="dxa"/>
            <w:vAlign w:val="bottom"/>
            <w:tcBorders>
              <w:bottom w:val="single" w:sz="8" w:color="DDDDDD"/>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320" w:type="dxa"/>
            <w:vAlign w:val="bottom"/>
            <w:tcBorders>
              <w:bottom w:val="single" w:sz="8" w:color="DC202E"/>
            </w:tcBorders>
          </w:tcPr>
          <w:p>
            <w:pPr>
              <w:spacing w:after="0"/>
              <w:rPr>
                <w:sz w:val="17"/>
                <w:szCs w:val="17"/>
                <w:color w:val="auto"/>
              </w:rPr>
            </w:pPr>
          </w:p>
        </w:tc>
        <w:tc>
          <w:tcPr>
            <w:tcW w:w="1120" w:type="dxa"/>
            <w:vAlign w:val="bottom"/>
            <w:tcBorders>
              <w:bottom w:val="single" w:sz="8" w:color="DC202E"/>
            </w:tcBorders>
          </w:tcPr>
          <w:p>
            <w:pPr>
              <w:jc w:val="right"/>
              <w:ind w:right="472"/>
              <w:spacing w:after="0"/>
              <w:rPr>
                <w:sz w:val="20"/>
                <w:szCs w:val="20"/>
                <w:color w:val="auto"/>
              </w:rPr>
            </w:pPr>
            <w:r>
              <w:rPr>
                <w:rFonts w:ascii="Arial" w:cs="Arial" w:eastAsia="Arial" w:hAnsi="Arial"/>
                <w:sz w:val="14"/>
                <w:szCs w:val="14"/>
                <w:b w:val="1"/>
                <w:bCs w:val="1"/>
                <w:color w:val="auto"/>
              </w:rPr>
              <w:t>2018</w:t>
            </w:r>
          </w:p>
        </w:tc>
      </w:tr>
      <w:tr>
        <w:trPr>
          <w:trHeight w:val="229"/>
        </w:trPr>
        <w:tc>
          <w:tcPr>
            <w:tcW w:w="6700" w:type="dxa"/>
            <w:vAlign w:val="bottom"/>
            <w:gridSpan w:val="2"/>
            <w:shd w:val="clear" w:color="auto" w:fill="DDDDDD"/>
          </w:tcPr>
          <w:p>
            <w:pPr>
              <w:ind w:left="20"/>
              <w:spacing w:after="0"/>
              <w:rPr>
                <w:sz w:val="20"/>
                <w:szCs w:val="20"/>
                <w:color w:val="auto"/>
              </w:rPr>
            </w:pPr>
            <w:r>
              <w:rPr>
                <w:rFonts w:ascii="Arial" w:cs="Arial" w:eastAsia="Arial" w:hAnsi="Arial"/>
                <w:sz w:val="18"/>
                <w:szCs w:val="18"/>
                <w:color w:val="auto"/>
              </w:rPr>
              <w:t>Tax expense (benefit) consists of</w:t>
            </w:r>
          </w:p>
        </w:tc>
        <w:tc>
          <w:tcPr>
            <w:tcW w:w="220" w:type="dxa"/>
            <w:vAlign w:val="bottom"/>
            <w:shd w:val="clear" w:color="auto" w:fill="DDDDDD"/>
          </w:tcPr>
          <w:p>
            <w:pPr>
              <w:spacing w:after="0"/>
              <w:rPr>
                <w:sz w:val="19"/>
                <w:szCs w:val="19"/>
                <w:color w:val="auto"/>
              </w:rPr>
            </w:pPr>
          </w:p>
        </w:tc>
        <w:tc>
          <w:tcPr>
            <w:tcW w:w="102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8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280" w:type="dxa"/>
            <w:vAlign w:val="bottom"/>
            <w:shd w:val="clear" w:color="auto" w:fill="DDDDDD"/>
          </w:tcPr>
          <w:p>
            <w:pPr>
              <w:spacing w:after="0"/>
              <w:rPr>
                <w:sz w:val="19"/>
                <w:szCs w:val="19"/>
                <w:color w:val="auto"/>
              </w:rPr>
            </w:pPr>
          </w:p>
        </w:tc>
        <w:tc>
          <w:tcPr>
            <w:tcW w:w="1080" w:type="dxa"/>
            <w:vAlign w:val="bottom"/>
            <w:shd w:val="clear" w:color="auto" w:fill="DDDDDD"/>
          </w:tcPr>
          <w:p>
            <w:pPr>
              <w:spacing w:after="0"/>
              <w:rPr>
                <w:sz w:val="19"/>
                <w:szCs w:val="19"/>
                <w:color w:val="auto"/>
              </w:rPr>
            </w:pPr>
          </w:p>
        </w:tc>
        <w:tc>
          <w:tcPr>
            <w:tcW w:w="8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320" w:type="dxa"/>
            <w:vAlign w:val="bottom"/>
            <w:shd w:val="clear" w:color="auto" w:fill="DDDDDD"/>
          </w:tcPr>
          <w:p>
            <w:pPr>
              <w:spacing w:after="0"/>
              <w:rPr>
                <w:sz w:val="19"/>
                <w:szCs w:val="19"/>
                <w:color w:val="auto"/>
              </w:rPr>
            </w:pPr>
          </w:p>
        </w:tc>
        <w:tc>
          <w:tcPr>
            <w:tcW w:w="1120" w:type="dxa"/>
            <w:vAlign w:val="bottom"/>
            <w:shd w:val="clear" w:color="auto" w:fill="DDDDDD"/>
          </w:tcPr>
          <w:p>
            <w:pPr>
              <w:spacing w:after="0"/>
              <w:rPr>
                <w:sz w:val="19"/>
                <w:szCs w:val="19"/>
                <w:color w:val="auto"/>
              </w:rPr>
            </w:pPr>
          </w:p>
        </w:tc>
      </w:tr>
      <w:tr>
        <w:trPr>
          <w:trHeight w:val="230"/>
        </w:trPr>
        <w:tc>
          <w:tcPr>
            <w:tcW w:w="6700" w:type="dxa"/>
            <w:vAlign w:val="bottom"/>
            <w:gridSpan w:val="2"/>
          </w:tcPr>
          <w:p>
            <w:pPr>
              <w:ind w:left="140"/>
              <w:spacing w:after="0"/>
              <w:rPr>
                <w:sz w:val="20"/>
                <w:szCs w:val="20"/>
                <w:color w:val="auto"/>
              </w:rPr>
            </w:pPr>
            <w:r>
              <w:rPr>
                <w:rFonts w:ascii="Arial" w:cs="Arial" w:eastAsia="Arial" w:hAnsi="Arial"/>
                <w:sz w:val="18"/>
                <w:szCs w:val="18"/>
                <w:color w:val="auto"/>
              </w:rPr>
              <w:t>Current:</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6700" w:type="dxa"/>
            <w:vAlign w:val="bottom"/>
            <w:gridSpan w:val="2"/>
            <w:shd w:val="clear" w:color="auto" w:fill="DDDDDD"/>
          </w:tcPr>
          <w:p>
            <w:pPr>
              <w:ind w:left="360"/>
              <w:spacing w:after="0"/>
              <w:rPr>
                <w:sz w:val="20"/>
                <w:szCs w:val="20"/>
                <w:color w:val="auto"/>
              </w:rPr>
            </w:pPr>
            <w:r>
              <w:rPr>
                <w:rFonts w:ascii="Arial" w:cs="Arial" w:eastAsia="Arial" w:hAnsi="Arial"/>
                <w:sz w:val="18"/>
                <w:szCs w:val="18"/>
                <w:color w:val="auto"/>
              </w:rPr>
              <w:t>U.S. Federal</w:t>
            </w:r>
          </w:p>
        </w:tc>
        <w:tc>
          <w:tcPr>
            <w:tcW w:w="22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gridSpan w:val="3"/>
            <w:shd w:val="clear" w:color="auto" w:fill="DDDDDD"/>
          </w:tcPr>
          <w:p>
            <w:pPr>
              <w:jc w:val="right"/>
              <w:ind w:right="80"/>
              <w:spacing w:after="0"/>
              <w:rPr>
                <w:sz w:val="20"/>
                <w:szCs w:val="20"/>
                <w:color w:val="auto"/>
              </w:rPr>
            </w:pPr>
            <w:r>
              <w:rPr>
                <w:rFonts w:ascii="Arial" w:cs="Arial" w:eastAsia="Arial" w:hAnsi="Arial"/>
                <w:sz w:val="18"/>
                <w:szCs w:val="18"/>
                <w:color w:val="auto"/>
              </w:rPr>
              <w:t>475</w:t>
            </w:r>
          </w:p>
        </w:tc>
        <w:tc>
          <w:tcPr>
            <w:tcW w:w="100" w:type="dxa"/>
            <w:vAlign w:val="bottom"/>
            <w:shd w:val="clear" w:color="auto" w:fill="DDDDDD"/>
          </w:tcPr>
          <w:p>
            <w:pPr>
              <w:spacing w:after="0"/>
              <w:rPr>
                <w:sz w:val="19"/>
                <w:szCs w:val="19"/>
                <w:color w:val="auto"/>
              </w:rPr>
            </w:pPr>
          </w:p>
        </w:tc>
        <w:tc>
          <w:tcPr>
            <w:tcW w:w="280" w:type="dxa"/>
            <w:vAlign w:val="bottom"/>
            <w:shd w:val="clear" w:color="auto" w:fill="DDDDDD"/>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DDDDDD"/>
          </w:tcPr>
          <w:p>
            <w:pPr>
              <w:jc w:val="right"/>
              <w:ind w:right="60"/>
              <w:spacing w:after="0"/>
              <w:rPr>
                <w:sz w:val="20"/>
                <w:szCs w:val="20"/>
                <w:color w:val="auto"/>
              </w:rPr>
            </w:pPr>
            <w:r>
              <w:rPr>
                <w:rFonts w:ascii="Arial" w:cs="Arial" w:eastAsia="Arial" w:hAnsi="Arial"/>
                <w:sz w:val="18"/>
                <w:szCs w:val="18"/>
                <w:color w:val="auto"/>
              </w:rPr>
              <w:t>8</w:t>
            </w:r>
          </w:p>
        </w:tc>
        <w:tc>
          <w:tcPr>
            <w:tcW w:w="2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320" w:type="dxa"/>
            <w:vAlign w:val="bottom"/>
            <w:shd w:val="clear" w:color="auto" w:fill="DDDDDD"/>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(21)</w:t>
            </w:r>
          </w:p>
        </w:tc>
      </w:tr>
      <w:tr>
        <w:trPr>
          <w:trHeight w:val="229"/>
        </w:trPr>
        <w:tc>
          <w:tcPr>
            <w:tcW w:w="6700" w:type="dxa"/>
            <w:vAlign w:val="bottom"/>
            <w:gridSpan w:val="2"/>
          </w:tcPr>
          <w:p>
            <w:pPr>
              <w:ind w:left="360"/>
              <w:spacing w:after="0"/>
              <w:rPr>
                <w:sz w:val="20"/>
                <w:szCs w:val="20"/>
                <w:color w:val="auto"/>
              </w:rPr>
            </w:pPr>
            <w:r>
              <w:rPr>
                <w:rFonts w:ascii="Arial" w:cs="Arial" w:eastAsia="Arial" w:hAnsi="Arial"/>
                <w:sz w:val="18"/>
                <w:szCs w:val="18"/>
                <w:color w:val="auto"/>
              </w:rPr>
              <w:t>U.S. State</w:t>
            </w:r>
          </w:p>
        </w:tc>
        <w:tc>
          <w:tcPr>
            <w:tcW w:w="220" w:type="dxa"/>
            <w:vAlign w:val="bottom"/>
          </w:tcPr>
          <w:p>
            <w:pPr>
              <w:spacing w:after="0"/>
              <w:rPr>
                <w:sz w:val="19"/>
                <w:szCs w:val="19"/>
                <w:color w:val="auto"/>
              </w:rPr>
            </w:pPr>
          </w:p>
        </w:tc>
        <w:tc>
          <w:tcPr>
            <w:tcW w:w="1220" w:type="dxa"/>
            <w:vAlign w:val="bottom"/>
            <w:gridSpan w:val="3"/>
          </w:tcPr>
          <w:p>
            <w:pPr>
              <w:jc w:val="right"/>
              <w:ind w:right="8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30"/>
        </w:trPr>
        <w:tc>
          <w:tcPr>
            <w:tcW w:w="6700" w:type="dxa"/>
            <w:vAlign w:val="bottom"/>
            <w:gridSpan w:val="2"/>
            <w:shd w:val="clear" w:color="auto" w:fill="DDDDDD"/>
          </w:tcPr>
          <w:p>
            <w:pPr>
              <w:ind w:left="360"/>
              <w:spacing w:after="0"/>
              <w:rPr>
                <w:sz w:val="20"/>
                <w:szCs w:val="20"/>
                <w:color w:val="auto"/>
              </w:rPr>
            </w:pPr>
            <w:r>
              <w:rPr>
                <w:rFonts w:ascii="Arial" w:cs="Arial" w:eastAsia="Arial" w:hAnsi="Arial"/>
                <w:sz w:val="18"/>
                <w:szCs w:val="18"/>
                <w:color w:val="auto"/>
              </w:rPr>
              <w:t>Non-U.S.</w:t>
            </w:r>
          </w:p>
        </w:tc>
        <w:tc>
          <w:tcPr>
            <w:tcW w:w="220" w:type="dxa"/>
            <w:vAlign w:val="bottom"/>
            <w:tcBorders>
              <w:bottom w:val="single" w:sz="8" w:color="auto"/>
            </w:tcBorders>
            <w:shd w:val="clear" w:color="auto" w:fill="DDDDDD"/>
          </w:tcPr>
          <w:p>
            <w:pPr>
              <w:spacing w:after="0"/>
              <w:rPr>
                <w:sz w:val="19"/>
                <w:szCs w:val="19"/>
                <w:color w:val="auto"/>
              </w:rPr>
            </w:pPr>
          </w:p>
        </w:tc>
        <w:tc>
          <w:tcPr>
            <w:tcW w:w="1220" w:type="dxa"/>
            <w:vAlign w:val="bottom"/>
            <w:tcBorders>
              <w:bottom w:val="single" w:sz="8" w:color="auto"/>
            </w:tcBorders>
            <w:gridSpan w:val="3"/>
            <w:shd w:val="clear" w:color="auto" w:fill="DDDDDD"/>
          </w:tcPr>
          <w:p>
            <w:pPr>
              <w:jc w:val="right"/>
              <w:ind w:right="80"/>
              <w:spacing w:after="0"/>
              <w:rPr>
                <w:sz w:val="20"/>
                <w:szCs w:val="20"/>
                <w:color w:val="auto"/>
              </w:rPr>
            </w:pPr>
            <w:r>
              <w:rPr>
                <w:rFonts w:ascii="Arial" w:cs="Arial" w:eastAsia="Arial" w:hAnsi="Arial"/>
                <w:sz w:val="18"/>
                <w:szCs w:val="18"/>
                <w:color w:val="auto"/>
              </w:rPr>
              <w:t>768</w:t>
            </w:r>
          </w:p>
        </w:tc>
        <w:tc>
          <w:tcPr>
            <w:tcW w:w="100" w:type="dxa"/>
            <w:vAlign w:val="bottom"/>
            <w:shd w:val="clear" w:color="auto" w:fill="DDDDDD"/>
          </w:tcPr>
          <w:p>
            <w:pPr>
              <w:spacing w:after="0"/>
              <w:rPr>
                <w:sz w:val="19"/>
                <w:szCs w:val="19"/>
                <w:color w:val="auto"/>
              </w:rPr>
            </w:pPr>
          </w:p>
        </w:tc>
        <w:tc>
          <w:tcPr>
            <w:tcW w:w="280" w:type="dxa"/>
            <w:vAlign w:val="bottom"/>
            <w:tcBorders>
              <w:bottom w:val="single" w:sz="8" w:color="auto"/>
            </w:tcBorders>
            <w:shd w:val="clear" w:color="auto" w:fill="DDDDDD"/>
          </w:tcPr>
          <w:p>
            <w:pPr>
              <w:spacing w:after="0"/>
              <w:rPr>
                <w:sz w:val="19"/>
                <w:szCs w:val="19"/>
                <w:color w:val="auto"/>
              </w:rPr>
            </w:pPr>
          </w:p>
        </w:tc>
        <w:tc>
          <w:tcPr>
            <w:tcW w:w="1160" w:type="dxa"/>
            <w:vAlign w:val="bottom"/>
            <w:tcBorders>
              <w:bottom w:val="single" w:sz="8" w:color="auto"/>
            </w:tcBorders>
            <w:gridSpan w:val="2"/>
            <w:shd w:val="clear" w:color="auto" w:fill="DDDDDD"/>
          </w:tcPr>
          <w:p>
            <w:pPr>
              <w:jc w:val="right"/>
              <w:ind w:right="60"/>
              <w:spacing w:after="0"/>
              <w:rPr>
                <w:sz w:val="20"/>
                <w:szCs w:val="20"/>
                <w:color w:val="auto"/>
              </w:rPr>
            </w:pPr>
            <w:r>
              <w:rPr>
                <w:rFonts w:ascii="Arial" w:cs="Arial" w:eastAsia="Arial" w:hAnsi="Arial"/>
                <w:sz w:val="18"/>
                <w:szCs w:val="18"/>
                <w:color w:val="auto"/>
              </w:rPr>
              <w:t>1,099</w:t>
            </w:r>
          </w:p>
        </w:tc>
        <w:tc>
          <w:tcPr>
            <w:tcW w:w="2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320" w:type="dxa"/>
            <w:vAlign w:val="bottom"/>
            <w:tcBorders>
              <w:bottom w:val="single" w:sz="8" w:color="auto"/>
            </w:tcBorders>
            <w:shd w:val="clear" w:color="auto" w:fill="DDDDDD"/>
          </w:tcPr>
          <w:p>
            <w:pPr>
              <w:spacing w:after="0"/>
              <w:rPr>
                <w:sz w:val="19"/>
                <w:szCs w:val="19"/>
                <w:color w:val="auto"/>
              </w:rPr>
            </w:pPr>
          </w:p>
        </w:tc>
        <w:tc>
          <w:tcPr>
            <w:tcW w:w="11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1,177</w:t>
            </w:r>
          </w:p>
        </w:tc>
      </w:tr>
      <w:tr>
        <w:trPr>
          <w:trHeight w:val="223"/>
        </w:trPr>
        <w:tc>
          <w:tcPr>
            <w:tcW w:w="6400" w:type="dxa"/>
            <w:vAlign w:val="bottom"/>
            <w:tcBorders>
              <w:bottom w:val="single" w:sz="8" w:color="DDDDDD"/>
            </w:tcBorders>
          </w:tcPr>
          <w:p>
            <w:pPr>
              <w:spacing w:after="0"/>
              <w:rPr>
                <w:sz w:val="19"/>
                <w:szCs w:val="19"/>
                <w:color w:val="auto"/>
              </w:rPr>
            </w:pPr>
          </w:p>
        </w:tc>
        <w:tc>
          <w:tcPr>
            <w:tcW w:w="300" w:type="dxa"/>
            <w:vAlign w:val="bottom"/>
            <w:tcBorders>
              <w:bottom w:val="single" w:sz="8" w:color="DDDDDD"/>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1,322</w:t>
            </w:r>
          </w:p>
        </w:tc>
        <w:tc>
          <w:tcPr>
            <w:tcW w:w="100" w:type="dxa"/>
            <w:vAlign w:val="bottom"/>
            <w:tcBorders>
              <w:bottom w:val="single" w:sz="8" w:color="DDDDDD"/>
            </w:tcBorders>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1,150</w:t>
            </w:r>
          </w:p>
        </w:tc>
        <w:tc>
          <w:tcPr>
            <w:tcW w:w="20" w:type="dxa"/>
            <w:vAlign w:val="bottom"/>
            <w:tcBorders>
              <w:bottom w:val="single" w:sz="8" w:color="DDDDDD"/>
            </w:tcBorders>
          </w:tcPr>
          <w:p>
            <w:pPr>
              <w:spacing w:after="0"/>
              <w:rPr>
                <w:sz w:val="19"/>
                <w:szCs w:val="19"/>
                <w:color w:val="auto"/>
              </w:rPr>
            </w:pPr>
          </w:p>
        </w:tc>
        <w:tc>
          <w:tcPr>
            <w:tcW w:w="100" w:type="dxa"/>
            <w:vAlign w:val="bottom"/>
            <w:tcBorders>
              <w:bottom w:val="single" w:sz="8" w:color="DDDDDD"/>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1,245</w:t>
            </w:r>
          </w:p>
        </w:tc>
      </w:tr>
      <w:tr>
        <w:trPr>
          <w:trHeight w:val="210"/>
        </w:trPr>
        <w:tc>
          <w:tcPr>
            <w:tcW w:w="6700" w:type="dxa"/>
            <w:vAlign w:val="bottom"/>
            <w:gridSpan w:val="2"/>
            <w:shd w:val="clear" w:color="auto" w:fill="DDDDDD"/>
          </w:tcPr>
          <w:p>
            <w:pPr>
              <w:ind w:left="140"/>
              <w:spacing w:after="0"/>
              <w:rPr>
                <w:sz w:val="20"/>
                <w:szCs w:val="20"/>
                <w:color w:val="auto"/>
              </w:rPr>
            </w:pPr>
            <w:r>
              <w:rPr>
                <w:rFonts w:ascii="Arial" w:cs="Arial" w:eastAsia="Arial" w:hAnsi="Arial"/>
                <w:sz w:val="18"/>
                <w:szCs w:val="18"/>
                <w:color w:val="auto"/>
              </w:rPr>
              <w:t>Deferred:</w:t>
            </w:r>
          </w:p>
        </w:tc>
        <w:tc>
          <w:tcPr>
            <w:tcW w:w="220" w:type="dxa"/>
            <w:vAlign w:val="bottom"/>
            <w:shd w:val="clear" w:color="auto" w:fill="DDDDDD"/>
          </w:tcPr>
          <w:p>
            <w:pPr>
              <w:spacing w:after="0"/>
              <w:rPr>
                <w:sz w:val="18"/>
                <w:szCs w:val="18"/>
                <w:color w:val="auto"/>
              </w:rPr>
            </w:pPr>
          </w:p>
        </w:tc>
        <w:tc>
          <w:tcPr>
            <w:tcW w:w="102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8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280" w:type="dxa"/>
            <w:vAlign w:val="bottom"/>
            <w:shd w:val="clear" w:color="auto" w:fill="DDDDDD"/>
          </w:tcPr>
          <w:p>
            <w:pPr>
              <w:spacing w:after="0"/>
              <w:rPr>
                <w:sz w:val="18"/>
                <w:szCs w:val="18"/>
                <w:color w:val="auto"/>
              </w:rPr>
            </w:pPr>
          </w:p>
        </w:tc>
        <w:tc>
          <w:tcPr>
            <w:tcW w:w="1080" w:type="dxa"/>
            <w:vAlign w:val="bottom"/>
            <w:shd w:val="clear" w:color="auto" w:fill="DDDDDD"/>
          </w:tcPr>
          <w:p>
            <w:pPr>
              <w:spacing w:after="0"/>
              <w:rPr>
                <w:sz w:val="18"/>
                <w:szCs w:val="18"/>
                <w:color w:val="auto"/>
              </w:rPr>
            </w:pPr>
          </w:p>
        </w:tc>
        <w:tc>
          <w:tcPr>
            <w:tcW w:w="8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320" w:type="dxa"/>
            <w:vAlign w:val="bottom"/>
            <w:shd w:val="clear" w:color="auto" w:fill="DDDDDD"/>
          </w:tcPr>
          <w:p>
            <w:pPr>
              <w:spacing w:after="0"/>
              <w:rPr>
                <w:sz w:val="18"/>
                <w:szCs w:val="18"/>
                <w:color w:val="auto"/>
              </w:rPr>
            </w:pPr>
          </w:p>
        </w:tc>
        <w:tc>
          <w:tcPr>
            <w:tcW w:w="1120" w:type="dxa"/>
            <w:vAlign w:val="bottom"/>
            <w:shd w:val="clear" w:color="auto" w:fill="DDDDDD"/>
          </w:tcPr>
          <w:p>
            <w:pPr>
              <w:spacing w:after="0"/>
              <w:rPr>
                <w:sz w:val="18"/>
                <w:szCs w:val="18"/>
                <w:color w:val="auto"/>
              </w:rPr>
            </w:pPr>
          </w:p>
        </w:tc>
      </w:tr>
      <w:tr>
        <w:trPr>
          <w:trHeight w:val="229"/>
        </w:trPr>
        <w:tc>
          <w:tcPr>
            <w:tcW w:w="6700" w:type="dxa"/>
            <w:vAlign w:val="bottom"/>
            <w:gridSpan w:val="2"/>
          </w:tcPr>
          <w:p>
            <w:pPr>
              <w:ind w:left="360"/>
              <w:spacing w:after="0"/>
              <w:rPr>
                <w:sz w:val="20"/>
                <w:szCs w:val="20"/>
                <w:color w:val="auto"/>
              </w:rPr>
            </w:pPr>
            <w:r>
              <w:rPr>
                <w:rFonts w:ascii="Arial" w:cs="Arial" w:eastAsia="Arial" w:hAnsi="Arial"/>
                <w:sz w:val="18"/>
                <w:szCs w:val="18"/>
                <w:color w:val="auto"/>
              </w:rPr>
              <w:t>U.S. Federal</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gridSpan w:val="3"/>
          </w:tcPr>
          <w:p>
            <w:pPr>
              <w:jc w:val="right"/>
              <w:ind w:right="80"/>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332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396</w:t>
            </w:r>
          </w:p>
        </w:tc>
      </w:tr>
      <w:tr>
        <w:trPr>
          <w:trHeight w:val="230"/>
        </w:trPr>
        <w:tc>
          <w:tcPr>
            <w:tcW w:w="6700" w:type="dxa"/>
            <w:vAlign w:val="bottom"/>
            <w:gridSpan w:val="2"/>
            <w:shd w:val="clear" w:color="auto" w:fill="DDDDDD"/>
          </w:tcPr>
          <w:p>
            <w:pPr>
              <w:ind w:left="360"/>
              <w:spacing w:after="0"/>
              <w:rPr>
                <w:sz w:val="20"/>
                <w:szCs w:val="20"/>
                <w:color w:val="auto"/>
              </w:rPr>
            </w:pPr>
            <w:r>
              <w:rPr>
                <w:rFonts w:ascii="Arial" w:cs="Arial" w:eastAsia="Arial" w:hAnsi="Arial"/>
                <w:sz w:val="18"/>
                <w:szCs w:val="18"/>
                <w:color w:val="auto"/>
              </w:rPr>
              <w:t>U.S. State</w:t>
            </w:r>
          </w:p>
        </w:tc>
        <w:tc>
          <w:tcPr>
            <w:tcW w:w="220" w:type="dxa"/>
            <w:vAlign w:val="bottom"/>
            <w:shd w:val="clear" w:color="auto" w:fill="DDDDDD"/>
          </w:tcPr>
          <w:p>
            <w:pPr>
              <w:spacing w:after="0"/>
              <w:rPr>
                <w:sz w:val="19"/>
                <w:szCs w:val="19"/>
                <w:color w:val="auto"/>
              </w:rPr>
            </w:pPr>
          </w:p>
        </w:tc>
        <w:tc>
          <w:tcPr>
            <w:tcW w:w="1220" w:type="dxa"/>
            <w:vAlign w:val="bottom"/>
            <w:gridSpan w:val="3"/>
            <w:shd w:val="clear" w:color="auto" w:fill="DDDDDD"/>
          </w:tcPr>
          <w:p>
            <w:pPr>
              <w:jc w:val="right"/>
              <w:ind w:right="8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DDDDDD"/>
          </w:tcPr>
          <w:p>
            <w:pPr>
              <w:spacing w:after="0"/>
              <w:rPr>
                <w:sz w:val="19"/>
                <w:szCs w:val="19"/>
                <w:color w:val="auto"/>
              </w:rPr>
            </w:pPr>
          </w:p>
        </w:tc>
        <w:tc>
          <w:tcPr>
            <w:tcW w:w="280" w:type="dxa"/>
            <w:vAlign w:val="bottom"/>
            <w:shd w:val="clear" w:color="auto" w:fill="DDDDDD"/>
          </w:tcPr>
          <w:p>
            <w:pPr>
              <w:spacing w:after="0"/>
              <w:rPr>
                <w:sz w:val="19"/>
                <w:szCs w:val="19"/>
                <w:color w:val="auto"/>
              </w:rPr>
            </w:pPr>
          </w:p>
        </w:tc>
        <w:tc>
          <w:tcPr>
            <w:tcW w:w="1160" w:type="dxa"/>
            <w:vAlign w:val="bottom"/>
            <w:gridSpan w:val="2"/>
            <w:shd w:val="clear" w:color="auto" w:fill="DDDDDD"/>
          </w:tcPr>
          <w:p>
            <w:pPr>
              <w:jc w:val="right"/>
              <w:ind w:right="60"/>
              <w:spacing w:after="0"/>
              <w:rPr>
                <w:sz w:val="20"/>
                <w:szCs w:val="20"/>
                <w:color w:val="auto"/>
              </w:rPr>
            </w:pPr>
            <w:r>
              <w:rPr>
                <w:rFonts w:ascii="Arial" w:cs="Arial" w:eastAsia="Arial" w:hAnsi="Arial"/>
                <w:sz w:val="18"/>
                <w:szCs w:val="18"/>
                <w:color w:val="auto"/>
              </w:rPr>
              <w:t>63</w:t>
            </w:r>
          </w:p>
        </w:tc>
        <w:tc>
          <w:tcPr>
            <w:tcW w:w="2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320" w:type="dxa"/>
            <w:vAlign w:val="bottom"/>
            <w:shd w:val="clear" w:color="auto" w:fill="DDDDDD"/>
          </w:tcPr>
          <w:p>
            <w:pPr>
              <w:spacing w:after="0"/>
              <w:rPr>
                <w:sz w:val="19"/>
                <w:szCs w:val="19"/>
                <w:color w:val="auto"/>
              </w:rPr>
            </w:pPr>
          </w:p>
        </w:tc>
        <w:tc>
          <w:tcPr>
            <w:tcW w:w="11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6700" w:type="dxa"/>
            <w:vAlign w:val="bottom"/>
            <w:tcBorders>
              <w:bottom w:val="single" w:sz="8" w:color="DDDDDD"/>
            </w:tcBorders>
            <w:gridSpan w:val="2"/>
          </w:tcPr>
          <w:p>
            <w:pPr>
              <w:ind w:left="360"/>
              <w:spacing w:after="0"/>
              <w:rPr>
                <w:sz w:val="20"/>
                <w:szCs w:val="20"/>
                <w:color w:val="auto"/>
              </w:rPr>
            </w:pPr>
            <w:r>
              <w:rPr>
                <w:rFonts w:ascii="Arial" w:cs="Arial" w:eastAsia="Arial" w:hAnsi="Arial"/>
                <w:sz w:val="18"/>
                <w:szCs w:val="18"/>
                <w:color w:val="auto"/>
              </w:rPr>
              <w:t>Non-U.S.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(448)</w:t>
            </w:r>
          </w:p>
        </w:tc>
        <w:tc>
          <w:tcPr>
            <w:tcW w:w="100" w:type="dxa"/>
            <w:vAlign w:val="bottom"/>
            <w:tcBorders>
              <w:bottom w:val="single" w:sz="8" w:color="DDDDDD"/>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(216)</w:t>
            </w:r>
          </w:p>
        </w:tc>
        <w:tc>
          <w:tcPr>
            <w:tcW w:w="20" w:type="dxa"/>
            <w:vAlign w:val="bottom"/>
            <w:tcBorders>
              <w:bottom w:val="single" w:sz="8" w:color="DDDDDD"/>
            </w:tcBorders>
          </w:tcPr>
          <w:p>
            <w:pPr>
              <w:spacing w:after="0"/>
              <w:rPr>
                <w:sz w:val="19"/>
                <w:szCs w:val="19"/>
                <w:color w:val="auto"/>
              </w:rPr>
            </w:pPr>
          </w:p>
        </w:tc>
        <w:tc>
          <w:tcPr>
            <w:tcW w:w="100" w:type="dxa"/>
            <w:vAlign w:val="bottom"/>
            <w:tcBorders>
              <w:bottom w:val="single" w:sz="8" w:color="DDDDDD"/>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w:t>
            </w:r>
          </w:p>
        </w:tc>
      </w:tr>
      <w:tr>
        <w:trPr>
          <w:trHeight w:val="223"/>
        </w:trPr>
        <w:tc>
          <w:tcPr>
            <w:tcW w:w="6400" w:type="dxa"/>
            <w:vAlign w:val="bottom"/>
            <w:shd w:val="clear" w:color="auto" w:fill="DDDDDD"/>
          </w:tcPr>
          <w:p>
            <w:pPr>
              <w:spacing w:after="0"/>
              <w:rPr>
                <w:sz w:val="19"/>
                <w:szCs w:val="19"/>
                <w:color w:val="auto"/>
              </w:rPr>
            </w:pPr>
          </w:p>
        </w:tc>
        <w:tc>
          <w:tcPr>
            <w:tcW w:w="300" w:type="dxa"/>
            <w:vAlign w:val="bottom"/>
            <w:shd w:val="clear" w:color="auto" w:fill="DDDDDD"/>
          </w:tcPr>
          <w:p>
            <w:pPr>
              <w:spacing w:after="0"/>
              <w:rPr>
                <w:sz w:val="19"/>
                <w:szCs w:val="19"/>
                <w:color w:val="auto"/>
              </w:rPr>
            </w:pPr>
          </w:p>
        </w:tc>
        <w:tc>
          <w:tcPr>
            <w:tcW w:w="220" w:type="dxa"/>
            <w:vAlign w:val="bottom"/>
            <w:tcBorders>
              <w:bottom w:val="single" w:sz="8" w:color="auto"/>
            </w:tcBorders>
            <w:shd w:val="clear" w:color="auto" w:fill="DDDDDD"/>
          </w:tcPr>
          <w:p>
            <w:pPr>
              <w:spacing w:after="0"/>
              <w:rPr>
                <w:sz w:val="19"/>
                <w:szCs w:val="19"/>
                <w:color w:val="auto"/>
              </w:rPr>
            </w:pPr>
          </w:p>
        </w:tc>
        <w:tc>
          <w:tcPr>
            <w:tcW w:w="1220" w:type="dxa"/>
            <w:vAlign w:val="bottom"/>
            <w:tcBorders>
              <w:bottom w:val="single" w:sz="8" w:color="auto"/>
            </w:tcBorders>
            <w:gridSpan w:val="3"/>
            <w:shd w:val="clear" w:color="auto" w:fill="DDDDDD"/>
          </w:tcPr>
          <w:p>
            <w:pPr>
              <w:jc w:val="right"/>
              <w:ind w:right="40"/>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DDDDDD"/>
          </w:tcPr>
          <w:p>
            <w:pPr>
              <w:spacing w:after="0"/>
              <w:rPr>
                <w:sz w:val="19"/>
                <w:szCs w:val="19"/>
                <w:color w:val="auto"/>
              </w:rPr>
            </w:pPr>
          </w:p>
        </w:tc>
        <w:tc>
          <w:tcPr>
            <w:tcW w:w="280" w:type="dxa"/>
            <w:vAlign w:val="bottom"/>
            <w:tcBorders>
              <w:bottom w:val="single" w:sz="8" w:color="auto"/>
            </w:tcBorders>
            <w:shd w:val="clear" w:color="auto" w:fill="DDDDDD"/>
          </w:tcPr>
          <w:p>
            <w:pPr>
              <w:spacing w:after="0"/>
              <w:rPr>
                <w:sz w:val="19"/>
                <w:szCs w:val="19"/>
                <w:color w:val="auto"/>
              </w:rPr>
            </w:pPr>
          </w:p>
        </w:tc>
        <w:tc>
          <w:tcPr>
            <w:tcW w:w="1160" w:type="dxa"/>
            <w:vAlign w:val="bottom"/>
            <w:tcBorders>
              <w:bottom w:val="single" w:sz="8" w:color="auto"/>
            </w:tcBorders>
            <w:gridSpan w:val="2"/>
            <w:shd w:val="clear" w:color="auto" w:fill="DDDDDD"/>
          </w:tcPr>
          <w:p>
            <w:pPr>
              <w:jc w:val="right"/>
              <w:ind w:right="60"/>
              <w:spacing w:after="0"/>
              <w:rPr>
                <w:sz w:val="20"/>
                <w:szCs w:val="20"/>
                <w:color w:val="auto"/>
              </w:rPr>
            </w:pPr>
            <w:r>
              <w:rPr>
                <w:rFonts w:ascii="Arial" w:cs="Arial" w:eastAsia="Arial" w:hAnsi="Arial"/>
                <w:sz w:val="18"/>
                <w:szCs w:val="18"/>
                <w:color w:val="auto"/>
              </w:rPr>
              <w:t>179</w:t>
            </w:r>
          </w:p>
        </w:tc>
        <w:tc>
          <w:tcPr>
            <w:tcW w:w="2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320" w:type="dxa"/>
            <w:vAlign w:val="bottom"/>
            <w:tcBorders>
              <w:bottom w:val="single" w:sz="8" w:color="auto"/>
            </w:tcBorders>
            <w:shd w:val="clear" w:color="auto" w:fill="DDDDDD"/>
          </w:tcPr>
          <w:p>
            <w:pPr>
              <w:spacing w:after="0"/>
              <w:rPr>
                <w:sz w:val="19"/>
                <w:szCs w:val="19"/>
                <w:color w:val="auto"/>
              </w:rPr>
            </w:pPr>
          </w:p>
        </w:tc>
        <w:tc>
          <w:tcPr>
            <w:tcW w:w="11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(586)</w:t>
            </w:r>
          </w:p>
        </w:tc>
      </w:tr>
      <w:tr>
        <w:trPr>
          <w:trHeight w:val="223"/>
        </w:trPr>
        <w:tc>
          <w:tcPr>
            <w:tcW w:w="6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1,147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1,329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w:t>
            </w:r>
          </w:p>
        </w:tc>
      </w:tr>
      <w:tr>
        <w:trPr>
          <w:trHeight w:val="20"/>
        </w:trPr>
        <w:tc>
          <w:tcPr>
            <w:tcW w:w="6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635"/>
        </w:trPr>
        <w:tc>
          <w:tcPr>
            <w:tcW w:w="6400" w:type="dxa"/>
            <w:vAlign w:val="bottom"/>
          </w:tcPr>
          <w:p>
            <w:pPr>
              <w:spacing w:after="0"/>
              <w:rPr>
                <w:sz w:val="24"/>
                <w:szCs w:val="24"/>
                <w:color w:val="auto"/>
              </w:rPr>
            </w:pPr>
          </w:p>
        </w:tc>
        <w:tc>
          <w:tcPr>
            <w:tcW w:w="300" w:type="dxa"/>
            <w:vAlign w:val="bottom"/>
            <w:tcBorders>
              <w:bottom w:val="single" w:sz="8" w:color="DC202E"/>
            </w:tcBorders>
          </w:tcPr>
          <w:p>
            <w:pPr>
              <w:spacing w:after="0"/>
              <w:rPr>
                <w:sz w:val="24"/>
                <w:szCs w:val="24"/>
                <w:color w:val="auto"/>
              </w:rPr>
            </w:pPr>
          </w:p>
        </w:tc>
        <w:tc>
          <w:tcPr>
            <w:tcW w:w="220" w:type="dxa"/>
            <w:vAlign w:val="bottom"/>
            <w:tcBorders>
              <w:bottom w:val="single" w:sz="8" w:color="DC202E"/>
            </w:tcBorders>
          </w:tcPr>
          <w:p>
            <w:pPr>
              <w:spacing w:after="0"/>
              <w:rPr>
                <w:sz w:val="24"/>
                <w:szCs w:val="24"/>
                <w:color w:val="auto"/>
              </w:rPr>
            </w:pPr>
          </w:p>
        </w:tc>
        <w:tc>
          <w:tcPr>
            <w:tcW w:w="2880" w:type="dxa"/>
            <w:vAlign w:val="bottom"/>
            <w:tcBorders>
              <w:bottom w:val="single" w:sz="8" w:color="DC202E"/>
            </w:tcBorders>
            <w:gridSpan w:val="9"/>
          </w:tcPr>
          <w:p>
            <w:pPr>
              <w:ind w:left="980"/>
              <w:spacing w:after="0"/>
              <w:rPr>
                <w:sz w:val="20"/>
                <w:szCs w:val="20"/>
                <w:color w:val="auto"/>
              </w:rPr>
            </w:pPr>
            <w:r>
              <w:rPr>
                <w:rFonts w:ascii="Arial" w:cs="Arial" w:eastAsia="Arial" w:hAnsi="Arial"/>
                <w:sz w:val="14"/>
                <w:szCs w:val="14"/>
                <w:b w:val="1"/>
                <w:bCs w:val="1"/>
                <w:color w:val="auto"/>
              </w:rPr>
              <w:t>Years Ended December 31,</w:t>
            </w:r>
          </w:p>
        </w:tc>
        <w:tc>
          <w:tcPr>
            <w:tcW w:w="320" w:type="dxa"/>
            <w:vAlign w:val="bottom"/>
            <w:tcBorders>
              <w:bottom w:val="single" w:sz="8" w:color="DC202E"/>
            </w:tcBorders>
          </w:tcPr>
          <w:p>
            <w:pPr>
              <w:spacing w:after="0"/>
              <w:rPr>
                <w:sz w:val="24"/>
                <w:szCs w:val="24"/>
                <w:color w:val="auto"/>
              </w:rPr>
            </w:pPr>
          </w:p>
        </w:tc>
        <w:tc>
          <w:tcPr>
            <w:tcW w:w="1120" w:type="dxa"/>
            <w:vAlign w:val="bottom"/>
            <w:tcBorders>
              <w:bottom w:val="single" w:sz="8" w:color="DC202E"/>
            </w:tcBorders>
          </w:tcPr>
          <w:p>
            <w:pPr>
              <w:spacing w:after="0"/>
              <w:rPr>
                <w:sz w:val="24"/>
                <w:szCs w:val="24"/>
                <w:color w:val="auto"/>
              </w:rPr>
            </w:pPr>
          </w:p>
        </w:tc>
      </w:tr>
      <w:tr>
        <w:trPr>
          <w:trHeight w:val="250"/>
        </w:trPr>
        <w:tc>
          <w:tcPr>
            <w:tcW w:w="6400" w:type="dxa"/>
            <w:vAlign w:val="bottom"/>
            <w:tcBorders>
              <w:bottom w:val="single" w:sz="8" w:color="DDDDDD"/>
            </w:tcBorders>
          </w:tcPr>
          <w:p>
            <w:pPr>
              <w:spacing w:after="0"/>
              <w:rPr>
                <w:sz w:val="21"/>
                <w:szCs w:val="21"/>
                <w:color w:val="auto"/>
              </w:rPr>
            </w:pPr>
          </w:p>
        </w:tc>
        <w:tc>
          <w:tcPr>
            <w:tcW w:w="300" w:type="dxa"/>
            <w:vAlign w:val="bottom"/>
            <w:tcBorders>
              <w:bottom w:val="single" w:sz="8" w:color="DC202E"/>
            </w:tcBorders>
          </w:tcPr>
          <w:p>
            <w:pPr>
              <w:spacing w:after="0"/>
              <w:rPr>
                <w:sz w:val="21"/>
                <w:szCs w:val="21"/>
                <w:color w:val="auto"/>
              </w:rPr>
            </w:pPr>
          </w:p>
        </w:tc>
        <w:tc>
          <w:tcPr>
            <w:tcW w:w="220" w:type="dxa"/>
            <w:vAlign w:val="bottom"/>
            <w:tcBorders>
              <w:bottom w:val="single" w:sz="8" w:color="DC202E"/>
            </w:tcBorders>
          </w:tcPr>
          <w:p>
            <w:pPr>
              <w:spacing w:after="0"/>
              <w:rPr>
                <w:sz w:val="21"/>
                <w:szCs w:val="21"/>
                <w:color w:val="auto"/>
              </w:rPr>
            </w:pPr>
          </w:p>
        </w:tc>
        <w:tc>
          <w:tcPr>
            <w:tcW w:w="1020" w:type="dxa"/>
            <w:vAlign w:val="bottom"/>
            <w:tcBorders>
              <w:bottom w:val="single" w:sz="8" w:color="DC202E"/>
            </w:tcBorders>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DDDDDD"/>
            </w:tcBorders>
          </w:tcPr>
          <w:p>
            <w:pPr>
              <w:spacing w:after="0"/>
              <w:rPr>
                <w:sz w:val="21"/>
                <w:szCs w:val="21"/>
                <w:color w:val="auto"/>
              </w:rPr>
            </w:pPr>
          </w:p>
        </w:tc>
        <w:tc>
          <w:tcPr>
            <w:tcW w:w="80" w:type="dxa"/>
            <w:vAlign w:val="bottom"/>
            <w:tcBorders>
              <w:bottom w:val="single" w:sz="8" w:color="DC202E"/>
            </w:tcBorders>
          </w:tcPr>
          <w:p>
            <w:pPr>
              <w:spacing w:after="0"/>
              <w:rPr>
                <w:sz w:val="21"/>
                <w:szCs w:val="21"/>
                <w:color w:val="auto"/>
              </w:rPr>
            </w:pPr>
          </w:p>
        </w:tc>
        <w:tc>
          <w:tcPr>
            <w:tcW w:w="100" w:type="dxa"/>
            <w:vAlign w:val="bottom"/>
            <w:tcBorders>
              <w:bottom w:val="single" w:sz="8" w:color="DC202E"/>
            </w:tcBorders>
          </w:tcPr>
          <w:p>
            <w:pPr>
              <w:spacing w:after="0"/>
              <w:rPr>
                <w:sz w:val="21"/>
                <w:szCs w:val="21"/>
                <w:color w:val="auto"/>
              </w:rPr>
            </w:pPr>
          </w:p>
        </w:tc>
        <w:tc>
          <w:tcPr>
            <w:tcW w:w="280" w:type="dxa"/>
            <w:vAlign w:val="bottom"/>
            <w:tcBorders>
              <w:bottom w:val="single" w:sz="8" w:color="DC202E"/>
            </w:tcBorders>
          </w:tcPr>
          <w:p>
            <w:pPr>
              <w:spacing w:after="0"/>
              <w:rPr>
                <w:sz w:val="21"/>
                <w:szCs w:val="21"/>
                <w:color w:val="auto"/>
              </w:rPr>
            </w:pPr>
          </w:p>
        </w:tc>
        <w:tc>
          <w:tcPr>
            <w:tcW w:w="1080" w:type="dxa"/>
            <w:vAlign w:val="bottom"/>
            <w:tcBorders>
              <w:bottom w:val="single" w:sz="8" w:color="DC202E"/>
            </w:tcBorders>
          </w:tcPr>
          <w:p>
            <w:pPr>
              <w:jc w:val="right"/>
              <w:ind w:right="532"/>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DDDDDD"/>
            </w:tcBorders>
          </w:tcPr>
          <w:p>
            <w:pPr>
              <w:spacing w:after="0"/>
              <w:rPr>
                <w:sz w:val="21"/>
                <w:szCs w:val="21"/>
                <w:color w:val="auto"/>
              </w:rPr>
            </w:pPr>
          </w:p>
        </w:tc>
        <w:tc>
          <w:tcPr>
            <w:tcW w:w="20" w:type="dxa"/>
            <w:vAlign w:val="bottom"/>
            <w:tcBorders>
              <w:bottom w:val="single" w:sz="8" w:color="DDDDDD"/>
            </w:tcBorders>
          </w:tcPr>
          <w:p>
            <w:pPr>
              <w:spacing w:after="0"/>
              <w:rPr>
                <w:sz w:val="21"/>
                <w:szCs w:val="21"/>
                <w:color w:val="auto"/>
              </w:rPr>
            </w:pPr>
          </w:p>
        </w:tc>
        <w:tc>
          <w:tcPr>
            <w:tcW w:w="100" w:type="dxa"/>
            <w:vAlign w:val="bottom"/>
            <w:tcBorders>
              <w:bottom w:val="single" w:sz="8" w:color="DC202E"/>
            </w:tcBorders>
          </w:tcPr>
          <w:p>
            <w:pPr>
              <w:spacing w:after="0"/>
              <w:rPr>
                <w:sz w:val="21"/>
                <w:szCs w:val="21"/>
                <w:color w:val="auto"/>
              </w:rPr>
            </w:pPr>
          </w:p>
        </w:tc>
        <w:tc>
          <w:tcPr>
            <w:tcW w:w="320" w:type="dxa"/>
            <w:vAlign w:val="bottom"/>
            <w:tcBorders>
              <w:bottom w:val="single" w:sz="8" w:color="DC202E"/>
            </w:tcBorders>
          </w:tcPr>
          <w:p>
            <w:pPr>
              <w:spacing w:after="0"/>
              <w:rPr>
                <w:sz w:val="21"/>
                <w:szCs w:val="21"/>
                <w:color w:val="auto"/>
              </w:rPr>
            </w:pPr>
          </w:p>
        </w:tc>
        <w:tc>
          <w:tcPr>
            <w:tcW w:w="1120" w:type="dxa"/>
            <w:vAlign w:val="bottom"/>
            <w:tcBorders>
              <w:bottom w:val="single" w:sz="8" w:color="DC202E"/>
            </w:tcBorders>
          </w:tcPr>
          <w:p>
            <w:pPr>
              <w:jc w:val="right"/>
              <w:ind w:right="512"/>
              <w:spacing w:after="0"/>
              <w:rPr>
                <w:sz w:val="20"/>
                <w:szCs w:val="20"/>
                <w:color w:val="auto"/>
              </w:rPr>
            </w:pPr>
            <w:r>
              <w:rPr>
                <w:rFonts w:ascii="Arial" w:cs="Arial" w:eastAsia="Arial" w:hAnsi="Arial"/>
                <w:sz w:val="14"/>
                <w:szCs w:val="14"/>
                <w:b w:val="1"/>
                <w:bCs w:val="1"/>
                <w:color w:val="auto"/>
              </w:rPr>
              <w:t>2018</w:t>
            </w:r>
          </w:p>
        </w:tc>
      </w:tr>
      <w:tr>
        <w:trPr>
          <w:trHeight w:val="175"/>
        </w:trPr>
        <w:tc>
          <w:tcPr>
            <w:tcW w:w="6400" w:type="dxa"/>
            <w:vAlign w:val="bottom"/>
            <w:shd w:val="clear" w:color="auto" w:fill="DDDDDD"/>
          </w:tcPr>
          <w:p>
            <w:pPr>
              <w:ind w:left="20"/>
              <w:spacing w:after="0" w:line="175" w:lineRule="exact"/>
              <w:rPr>
                <w:sz w:val="20"/>
                <w:szCs w:val="20"/>
                <w:color w:val="auto"/>
              </w:rPr>
            </w:pPr>
            <w:r>
              <w:rPr>
                <w:rFonts w:ascii="Arial" w:cs="Arial" w:eastAsia="Arial" w:hAnsi="Arial"/>
                <w:sz w:val="18"/>
                <w:szCs w:val="18"/>
                <w:color w:val="auto"/>
              </w:rPr>
              <w:t>The U.S. federal statutory income tax rate is reconciled to our effective income</w:t>
            </w:r>
          </w:p>
        </w:tc>
        <w:tc>
          <w:tcPr>
            <w:tcW w:w="300" w:type="dxa"/>
            <w:vAlign w:val="bottom"/>
            <w:shd w:val="clear" w:color="auto" w:fill="DDDDDD"/>
          </w:tcPr>
          <w:p>
            <w:pPr>
              <w:spacing w:after="0"/>
              <w:rPr>
                <w:sz w:val="15"/>
                <w:szCs w:val="15"/>
                <w:color w:val="auto"/>
              </w:rPr>
            </w:pPr>
          </w:p>
        </w:tc>
        <w:tc>
          <w:tcPr>
            <w:tcW w:w="220" w:type="dxa"/>
            <w:vAlign w:val="bottom"/>
            <w:shd w:val="clear" w:color="auto" w:fill="DDDDDD"/>
          </w:tcPr>
          <w:p>
            <w:pPr>
              <w:spacing w:after="0"/>
              <w:rPr>
                <w:sz w:val="15"/>
                <w:szCs w:val="15"/>
                <w:color w:val="auto"/>
              </w:rPr>
            </w:pPr>
          </w:p>
        </w:tc>
        <w:tc>
          <w:tcPr>
            <w:tcW w:w="1020" w:type="dxa"/>
            <w:vAlign w:val="bottom"/>
            <w:shd w:val="clear" w:color="auto" w:fill="DDDDDD"/>
          </w:tcPr>
          <w:p>
            <w:pPr>
              <w:spacing w:after="0"/>
              <w:rPr>
                <w:sz w:val="15"/>
                <w:szCs w:val="15"/>
                <w:color w:val="auto"/>
              </w:rPr>
            </w:pPr>
          </w:p>
        </w:tc>
        <w:tc>
          <w:tcPr>
            <w:tcW w:w="120" w:type="dxa"/>
            <w:vAlign w:val="bottom"/>
            <w:shd w:val="clear" w:color="auto" w:fill="DDDDDD"/>
          </w:tcPr>
          <w:p>
            <w:pPr>
              <w:spacing w:after="0"/>
              <w:rPr>
                <w:sz w:val="15"/>
                <w:szCs w:val="15"/>
                <w:color w:val="auto"/>
              </w:rPr>
            </w:pPr>
          </w:p>
        </w:tc>
        <w:tc>
          <w:tcPr>
            <w:tcW w:w="80" w:type="dxa"/>
            <w:vAlign w:val="bottom"/>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280" w:type="dxa"/>
            <w:vAlign w:val="bottom"/>
            <w:shd w:val="clear" w:color="auto" w:fill="DDDDDD"/>
          </w:tcPr>
          <w:p>
            <w:pPr>
              <w:spacing w:after="0"/>
              <w:rPr>
                <w:sz w:val="15"/>
                <w:szCs w:val="15"/>
                <w:color w:val="auto"/>
              </w:rPr>
            </w:pPr>
          </w:p>
        </w:tc>
        <w:tc>
          <w:tcPr>
            <w:tcW w:w="1080" w:type="dxa"/>
            <w:vAlign w:val="bottom"/>
            <w:shd w:val="clear" w:color="auto" w:fill="DDDDDD"/>
          </w:tcPr>
          <w:p>
            <w:pPr>
              <w:spacing w:after="0"/>
              <w:rPr>
                <w:sz w:val="15"/>
                <w:szCs w:val="15"/>
                <w:color w:val="auto"/>
              </w:rPr>
            </w:pPr>
          </w:p>
        </w:tc>
        <w:tc>
          <w:tcPr>
            <w:tcW w:w="80" w:type="dxa"/>
            <w:vAlign w:val="bottom"/>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320" w:type="dxa"/>
            <w:vAlign w:val="bottom"/>
            <w:shd w:val="clear" w:color="auto" w:fill="DDDDDD"/>
          </w:tcPr>
          <w:p>
            <w:pPr>
              <w:spacing w:after="0"/>
              <w:rPr>
                <w:sz w:val="15"/>
                <w:szCs w:val="15"/>
                <w:color w:val="auto"/>
              </w:rPr>
            </w:pPr>
          </w:p>
        </w:tc>
        <w:tc>
          <w:tcPr>
            <w:tcW w:w="1120" w:type="dxa"/>
            <w:vAlign w:val="bottom"/>
            <w:shd w:val="clear" w:color="auto" w:fill="DDDDDD"/>
          </w:tcPr>
          <w:p>
            <w:pPr>
              <w:spacing w:after="0"/>
              <w:rPr>
                <w:sz w:val="15"/>
                <w:szCs w:val="15"/>
                <w:color w:val="auto"/>
              </w:rPr>
            </w:pPr>
          </w:p>
        </w:tc>
      </w:tr>
      <w:tr>
        <w:trPr>
          <w:trHeight w:val="217"/>
        </w:trPr>
        <w:tc>
          <w:tcPr>
            <w:tcW w:w="6700" w:type="dxa"/>
            <w:vAlign w:val="bottom"/>
            <w:gridSpan w:val="2"/>
            <w:shd w:val="clear" w:color="auto" w:fill="DDDDDD"/>
          </w:tcPr>
          <w:p>
            <w:pPr>
              <w:ind w:left="20"/>
              <w:spacing w:after="0"/>
              <w:rPr>
                <w:sz w:val="20"/>
                <w:szCs w:val="20"/>
                <w:color w:val="auto"/>
              </w:rPr>
            </w:pPr>
            <w:r>
              <w:rPr>
                <w:rFonts w:ascii="Arial" w:cs="Arial" w:eastAsia="Arial" w:hAnsi="Arial"/>
                <w:sz w:val="18"/>
                <w:szCs w:val="18"/>
                <w:color w:val="auto"/>
              </w:rPr>
              <w:t>tax rate as follows:</w:t>
            </w:r>
          </w:p>
        </w:tc>
        <w:tc>
          <w:tcPr>
            <w:tcW w:w="220" w:type="dxa"/>
            <w:vAlign w:val="bottom"/>
            <w:shd w:val="clear" w:color="auto" w:fill="DDDDDD"/>
          </w:tcPr>
          <w:p>
            <w:pPr>
              <w:spacing w:after="0"/>
              <w:rPr>
                <w:sz w:val="18"/>
                <w:szCs w:val="18"/>
                <w:color w:val="auto"/>
              </w:rPr>
            </w:pPr>
          </w:p>
        </w:tc>
        <w:tc>
          <w:tcPr>
            <w:tcW w:w="102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8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280" w:type="dxa"/>
            <w:vAlign w:val="bottom"/>
            <w:shd w:val="clear" w:color="auto" w:fill="DDDDDD"/>
          </w:tcPr>
          <w:p>
            <w:pPr>
              <w:spacing w:after="0"/>
              <w:rPr>
                <w:sz w:val="18"/>
                <w:szCs w:val="18"/>
                <w:color w:val="auto"/>
              </w:rPr>
            </w:pPr>
          </w:p>
        </w:tc>
        <w:tc>
          <w:tcPr>
            <w:tcW w:w="1080" w:type="dxa"/>
            <w:vAlign w:val="bottom"/>
            <w:shd w:val="clear" w:color="auto" w:fill="DDDDDD"/>
          </w:tcPr>
          <w:p>
            <w:pPr>
              <w:spacing w:after="0"/>
              <w:rPr>
                <w:sz w:val="18"/>
                <w:szCs w:val="18"/>
                <w:color w:val="auto"/>
              </w:rPr>
            </w:pPr>
          </w:p>
        </w:tc>
        <w:tc>
          <w:tcPr>
            <w:tcW w:w="8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320" w:type="dxa"/>
            <w:vAlign w:val="bottom"/>
            <w:shd w:val="clear" w:color="auto" w:fill="DDDDDD"/>
          </w:tcPr>
          <w:p>
            <w:pPr>
              <w:spacing w:after="0"/>
              <w:rPr>
                <w:sz w:val="18"/>
                <w:szCs w:val="18"/>
                <w:color w:val="auto"/>
              </w:rPr>
            </w:pPr>
          </w:p>
        </w:tc>
        <w:tc>
          <w:tcPr>
            <w:tcW w:w="1120" w:type="dxa"/>
            <w:vAlign w:val="bottom"/>
            <w:shd w:val="clear" w:color="auto" w:fill="DDDDDD"/>
          </w:tcPr>
          <w:p>
            <w:pPr>
              <w:spacing w:after="0"/>
              <w:rPr>
                <w:sz w:val="18"/>
                <w:szCs w:val="18"/>
                <w:color w:val="auto"/>
              </w:rPr>
            </w:pPr>
          </w:p>
        </w:tc>
      </w:tr>
      <w:tr>
        <w:trPr>
          <w:trHeight w:val="230"/>
        </w:trPr>
        <w:tc>
          <w:tcPr>
            <w:tcW w:w="6700" w:type="dxa"/>
            <w:vAlign w:val="bottom"/>
            <w:gridSpan w:val="2"/>
          </w:tcPr>
          <w:p>
            <w:pPr>
              <w:ind w:left="360"/>
              <w:spacing w:after="0"/>
              <w:rPr>
                <w:sz w:val="20"/>
                <w:szCs w:val="20"/>
                <w:color w:val="auto"/>
              </w:rPr>
            </w:pPr>
            <w:r>
              <w:rPr>
                <w:rFonts w:ascii="Arial" w:cs="Arial" w:eastAsia="Arial" w:hAnsi="Arial"/>
                <w:sz w:val="18"/>
                <w:szCs w:val="18"/>
                <w:color w:val="auto"/>
              </w:rPr>
              <w:t>U.S. federal statutory income tax rate</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21.0 %</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21.0 %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21.0 %</w:t>
            </w:r>
          </w:p>
        </w:tc>
      </w:tr>
      <w:tr>
        <w:trPr>
          <w:trHeight w:val="230"/>
        </w:trPr>
        <w:tc>
          <w:tcPr>
            <w:tcW w:w="6700" w:type="dxa"/>
            <w:vAlign w:val="bottom"/>
            <w:gridSpan w:val="2"/>
            <w:shd w:val="clear" w:color="auto" w:fill="DDDDDD"/>
          </w:tcPr>
          <w:p>
            <w:pPr>
              <w:ind w:left="360"/>
              <w:spacing w:after="0" w:line="230" w:lineRule="exact"/>
              <w:rPr>
                <w:sz w:val="20"/>
                <w:szCs w:val="20"/>
                <w:color w:val="auto"/>
              </w:rPr>
            </w:pPr>
            <w:r>
              <w:rPr>
                <w:rFonts w:ascii="Arial" w:cs="Arial" w:eastAsia="Arial" w:hAnsi="Arial"/>
                <w:sz w:val="18"/>
                <w:szCs w:val="18"/>
                <w:color w:val="auto"/>
              </w:rPr>
              <w:t>Taxes on non-U.S. earnings</w:t>
            </w:r>
            <w:r>
              <w:rPr>
                <w:rFonts w:ascii="Arial" w:cs="Arial" w:eastAsia="Arial" w:hAnsi="Arial"/>
                <w:sz w:val="23"/>
                <w:szCs w:val="23"/>
                <w:color w:val="auto"/>
                <w:vertAlign w:val="superscript"/>
              </w:rPr>
              <w:t>(1)(2)</w:t>
            </w:r>
          </w:p>
        </w:tc>
        <w:tc>
          <w:tcPr>
            <w:tcW w:w="220" w:type="dxa"/>
            <w:vAlign w:val="bottom"/>
            <w:shd w:val="clear" w:color="auto" w:fill="DDDDDD"/>
          </w:tcPr>
          <w:p>
            <w:pPr>
              <w:spacing w:after="0"/>
              <w:rPr>
                <w:sz w:val="19"/>
                <w:szCs w:val="19"/>
                <w:color w:val="auto"/>
              </w:rPr>
            </w:pPr>
          </w:p>
        </w:tc>
        <w:tc>
          <w:tcPr>
            <w:tcW w:w="1020" w:type="dxa"/>
            <w:vAlign w:val="bottom"/>
            <w:shd w:val="clear" w:color="auto" w:fill="DDDDDD"/>
          </w:tcPr>
          <w:p>
            <w:pPr>
              <w:jc w:val="right"/>
              <w:ind w:right="92"/>
              <w:spacing w:after="0"/>
              <w:rPr>
                <w:sz w:val="20"/>
                <w:szCs w:val="20"/>
                <w:color w:val="auto"/>
              </w:rPr>
            </w:pPr>
            <w:r>
              <w:rPr>
                <w:rFonts w:ascii="Arial" w:cs="Arial" w:eastAsia="Arial" w:hAnsi="Arial"/>
                <w:sz w:val="18"/>
                <w:szCs w:val="18"/>
                <w:color w:val="auto"/>
              </w:rPr>
              <w:t>(0.8)</w:t>
            </w:r>
          </w:p>
        </w:tc>
        <w:tc>
          <w:tcPr>
            <w:tcW w:w="120" w:type="dxa"/>
            <w:vAlign w:val="bottom"/>
            <w:shd w:val="clear" w:color="auto" w:fill="DDDDDD"/>
          </w:tcPr>
          <w:p>
            <w:pPr>
              <w:spacing w:after="0"/>
              <w:rPr>
                <w:sz w:val="19"/>
                <w:szCs w:val="19"/>
                <w:color w:val="auto"/>
              </w:rPr>
            </w:pPr>
          </w:p>
        </w:tc>
        <w:tc>
          <w:tcPr>
            <w:tcW w:w="8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280" w:type="dxa"/>
            <w:vAlign w:val="bottom"/>
            <w:shd w:val="clear" w:color="auto" w:fill="DDDDDD"/>
          </w:tcPr>
          <w:p>
            <w:pPr>
              <w:spacing w:after="0"/>
              <w:rPr>
                <w:sz w:val="19"/>
                <w:szCs w:val="19"/>
                <w:color w:val="auto"/>
              </w:rPr>
            </w:pPr>
          </w:p>
        </w:tc>
        <w:tc>
          <w:tcPr>
            <w:tcW w:w="1080" w:type="dxa"/>
            <w:vAlign w:val="bottom"/>
            <w:shd w:val="clear" w:color="auto" w:fill="DDDDDD"/>
          </w:tcPr>
          <w:p>
            <w:pPr>
              <w:jc w:val="right"/>
              <w:ind w:right="112"/>
              <w:spacing w:after="0"/>
              <w:rPr>
                <w:sz w:val="20"/>
                <w:szCs w:val="20"/>
                <w:color w:val="auto"/>
              </w:rPr>
            </w:pPr>
            <w:r>
              <w:rPr>
                <w:rFonts w:ascii="Arial" w:cs="Arial" w:eastAsia="Arial" w:hAnsi="Arial"/>
                <w:sz w:val="18"/>
                <w:szCs w:val="18"/>
                <w:color w:val="auto"/>
              </w:rPr>
              <w:t>(0.5)</w:t>
            </w:r>
          </w:p>
        </w:tc>
        <w:tc>
          <w:tcPr>
            <w:tcW w:w="8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320" w:type="dxa"/>
            <w:vAlign w:val="bottom"/>
            <w:shd w:val="clear" w:color="auto" w:fill="DDDDDD"/>
          </w:tcPr>
          <w:p>
            <w:pPr>
              <w:spacing w:after="0"/>
              <w:rPr>
                <w:sz w:val="19"/>
                <w:szCs w:val="19"/>
                <w:color w:val="auto"/>
              </w:rPr>
            </w:pPr>
          </w:p>
        </w:tc>
        <w:tc>
          <w:tcPr>
            <w:tcW w:w="1120" w:type="dxa"/>
            <w:vAlign w:val="bottom"/>
            <w:shd w:val="clear" w:color="auto" w:fill="DDDDDD"/>
          </w:tcPr>
          <w:p>
            <w:pPr>
              <w:jc w:val="right"/>
              <w:ind w:right="152"/>
              <w:spacing w:after="0"/>
              <w:rPr>
                <w:sz w:val="20"/>
                <w:szCs w:val="20"/>
                <w:color w:val="auto"/>
              </w:rPr>
            </w:pPr>
            <w:r>
              <w:rPr>
                <w:rFonts w:ascii="Arial" w:cs="Arial" w:eastAsia="Arial" w:hAnsi="Arial"/>
                <w:sz w:val="18"/>
                <w:szCs w:val="18"/>
                <w:color w:val="auto"/>
              </w:rPr>
              <w:t>0.2</w:t>
            </w:r>
          </w:p>
        </w:tc>
      </w:tr>
      <w:tr>
        <w:trPr>
          <w:trHeight w:val="230"/>
        </w:trPr>
        <w:tc>
          <w:tcPr>
            <w:tcW w:w="6700" w:type="dxa"/>
            <w:vAlign w:val="bottom"/>
            <w:gridSpan w:val="2"/>
          </w:tcPr>
          <w:p>
            <w:pPr>
              <w:ind w:left="360"/>
              <w:spacing w:after="0" w:line="230" w:lineRule="exact"/>
              <w:rPr>
                <w:sz w:val="20"/>
                <w:szCs w:val="20"/>
                <w:color w:val="auto"/>
              </w:rPr>
            </w:pPr>
            <w:r>
              <w:rPr>
                <w:rFonts w:ascii="Arial" w:cs="Arial" w:eastAsia="Arial" w:hAnsi="Arial"/>
                <w:sz w:val="18"/>
                <w:szCs w:val="18"/>
                <w:color w:val="auto"/>
              </w:rPr>
              <w:t>U.S. state income taxes</w:t>
            </w:r>
            <w:r>
              <w:rPr>
                <w:rFonts w:ascii="Arial" w:cs="Arial" w:eastAsia="Arial" w:hAnsi="Arial"/>
                <w:sz w:val="23"/>
                <w:szCs w:val="23"/>
                <w:color w:val="auto"/>
                <w:vertAlign w:val="superscript"/>
              </w:rPr>
              <w:t>(1)</w:t>
            </w:r>
          </w:p>
        </w:tc>
        <w:tc>
          <w:tcPr>
            <w:tcW w:w="220" w:type="dxa"/>
            <w:vAlign w:val="bottom"/>
          </w:tcPr>
          <w:p>
            <w:pPr>
              <w:spacing w:after="0"/>
              <w:rPr>
                <w:sz w:val="19"/>
                <w:szCs w:val="19"/>
                <w:color w:val="auto"/>
              </w:rPr>
            </w:pP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ind w:right="152"/>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52"/>
              <w:spacing w:after="0"/>
              <w:rPr>
                <w:sz w:val="20"/>
                <w:szCs w:val="20"/>
                <w:color w:val="auto"/>
              </w:rPr>
            </w:pPr>
            <w:r>
              <w:rPr>
                <w:rFonts w:ascii="Arial" w:cs="Arial" w:eastAsia="Arial" w:hAnsi="Arial"/>
                <w:sz w:val="18"/>
                <w:szCs w:val="18"/>
                <w:color w:val="auto"/>
              </w:rPr>
              <w:t>1.6</w:t>
            </w:r>
          </w:p>
        </w:tc>
      </w:tr>
      <w:tr>
        <w:trPr>
          <w:trHeight w:val="229"/>
        </w:trPr>
        <w:tc>
          <w:tcPr>
            <w:tcW w:w="6700" w:type="dxa"/>
            <w:vAlign w:val="bottom"/>
            <w:gridSpan w:val="2"/>
            <w:shd w:val="clear" w:color="auto" w:fill="DDDDDD"/>
          </w:tcPr>
          <w:p>
            <w:pPr>
              <w:ind w:left="360"/>
              <w:spacing w:after="0"/>
              <w:rPr>
                <w:sz w:val="20"/>
                <w:szCs w:val="20"/>
                <w:color w:val="auto"/>
              </w:rPr>
            </w:pPr>
            <w:r>
              <w:rPr>
                <w:rFonts w:ascii="Arial" w:cs="Arial" w:eastAsia="Arial" w:hAnsi="Arial"/>
                <w:sz w:val="18"/>
                <w:szCs w:val="18"/>
                <w:color w:val="auto"/>
              </w:rPr>
              <w:t>Reserves for tax contingencies</w:t>
            </w:r>
          </w:p>
        </w:tc>
        <w:tc>
          <w:tcPr>
            <w:tcW w:w="220" w:type="dxa"/>
            <w:vAlign w:val="bottom"/>
            <w:shd w:val="clear" w:color="auto" w:fill="DDDDDD"/>
          </w:tcPr>
          <w:p>
            <w:pPr>
              <w:spacing w:after="0"/>
              <w:rPr>
                <w:sz w:val="19"/>
                <w:szCs w:val="19"/>
                <w:color w:val="auto"/>
              </w:rPr>
            </w:pPr>
          </w:p>
        </w:tc>
        <w:tc>
          <w:tcPr>
            <w:tcW w:w="1020" w:type="dxa"/>
            <w:vAlign w:val="bottom"/>
            <w:shd w:val="clear" w:color="auto" w:fill="DDDDDD"/>
          </w:tcPr>
          <w:p>
            <w:pPr>
              <w:jc w:val="right"/>
              <w:ind w:right="92"/>
              <w:spacing w:after="0"/>
              <w:rPr>
                <w:sz w:val="20"/>
                <w:szCs w:val="20"/>
                <w:color w:val="auto"/>
              </w:rPr>
            </w:pPr>
            <w:r>
              <w:rPr>
                <w:rFonts w:ascii="Arial" w:cs="Arial" w:eastAsia="Arial" w:hAnsi="Arial"/>
                <w:sz w:val="18"/>
                <w:szCs w:val="18"/>
                <w:color w:val="auto"/>
              </w:rPr>
              <w:t>(2.6)</w:t>
            </w:r>
          </w:p>
        </w:tc>
        <w:tc>
          <w:tcPr>
            <w:tcW w:w="120" w:type="dxa"/>
            <w:vAlign w:val="bottom"/>
            <w:shd w:val="clear" w:color="auto" w:fill="DDDDDD"/>
          </w:tcPr>
          <w:p>
            <w:pPr>
              <w:spacing w:after="0"/>
              <w:rPr>
                <w:sz w:val="19"/>
                <w:szCs w:val="19"/>
                <w:color w:val="auto"/>
              </w:rPr>
            </w:pPr>
          </w:p>
        </w:tc>
        <w:tc>
          <w:tcPr>
            <w:tcW w:w="8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280" w:type="dxa"/>
            <w:vAlign w:val="bottom"/>
            <w:shd w:val="clear" w:color="auto" w:fill="DDDDDD"/>
          </w:tcPr>
          <w:p>
            <w:pPr>
              <w:spacing w:after="0"/>
              <w:rPr>
                <w:sz w:val="19"/>
                <w:szCs w:val="19"/>
                <w:color w:val="auto"/>
              </w:rPr>
            </w:pPr>
          </w:p>
        </w:tc>
        <w:tc>
          <w:tcPr>
            <w:tcW w:w="1080" w:type="dxa"/>
            <w:vAlign w:val="bottom"/>
            <w:shd w:val="clear" w:color="auto" w:fill="DDDDDD"/>
          </w:tcPr>
          <w:p>
            <w:pPr>
              <w:jc w:val="right"/>
              <w:ind w:right="152"/>
              <w:spacing w:after="0"/>
              <w:rPr>
                <w:sz w:val="20"/>
                <w:szCs w:val="20"/>
                <w:color w:val="auto"/>
              </w:rPr>
            </w:pPr>
            <w:r>
              <w:rPr>
                <w:rFonts w:ascii="Arial" w:cs="Arial" w:eastAsia="Arial" w:hAnsi="Arial"/>
                <w:sz w:val="18"/>
                <w:szCs w:val="18"/>
                <w:color w:val="auto"/>
              </w:rPr>
              <w:t>2.0</w:t>
            </w:r>
          </w:p>
        </w:tc>
        <w:tc>
          <w:tcPr>
            <w:tcW w:w="8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320" w:type="dxa"/>
            <w:vAlign w:val="bottom"/>
            <w:shd w:val="clear" w:color="auto" w:fill="DDDDDD"/>
          </w:tcPr>
          <w:p>
            <w:pPr>
              <w:spacing w:after="0"/>
              <w:rPr>
                <w:sz w:val="19"/>
                <w:szCs w:val="19"/>
                <w:color w:val="auto"/>
              </w:rPr>
            </w:pPr>
          </w:p>
        </w:tc>
        <w:tc>
          <w:tcPr>
            <w:tcW w:w="1120" w:type="dxa"/>
            <w:vAlign w:val="bottom"/>
            <w:shd w:val="clear" w:color="auto" w:fill="DDDDDD"/>
          </w:tcPr>
          <w:p>
            <w:pPr>
              <w:jc w:val="right"/>
              <w:ind w:right="152"/>
              <w:spacing w:after="0"/>
              <w:rPr>
                <w:sz w:val="20"/>
                <w:szCs w:val="20"/>
                <w:color w:val="auto"/>
              </w:rPr>
            </w:pPr>
            <w:r>
              <w:rPr>
                <w:rFonts w:ascii="Arial" w:cs="Arial" w:eastAsia="Arial" w:hAnsi="Arial"/>
                <w:sz w:val="18"/>
                <w:szCs w:val="18"/>
                <w:color w:val="auto"/>
              </w:rPr>
              <w:t>0.3</w:t>
            </w:r>
          </w:p>
        </w:tc>
      </w:tr>
      <w:tr>
        <w:trPr>
          <w:trHeight w:val="230"/>
        </w:trPr>
        <w:tc>
          <w:tcPr>
            <w:tcW w:w="6700" w:type="dxa"/>
            <w:vAlign w:val="bottom"/>
            <w:gridSpan w:val="2"/>
          </w:tcPr>
          <w:p>
            <w:pPr>
              <w:ind w:left="360"/>
              <w:spacing w:after="0"/>
              <w:rPr>
                <w:sz w:val="20"/>
                <w:szCs w:val="20"/>
                <w:color w:val="auto"/>
              </w:rPr>
            </w:pPr>
            <w:r>
              <w:rPr>
                <w:rFonts w:ascii="Arial" w:cs="Arial" w:eastAsia="Arial" w:hAnsi="Arial"/>
                <w:sz w:val="18"/>
                <w:szCs w:val="18"/>
                <w:color w:val="auto"/>
              </w:rPr>
              <w:t>Employee share-based payments</w:t>
            </w:r>
          </w:p>
        </w:tc>
        <w:tc>
          <w:tcPr>
            <w:tcW w:w="220" w:type="dxa"/>
            <w:vAlign w:val="bottom"/>
          </w:tcPr>
          <w:p>
            <w:pPr>
              <w:spacing w:after="0"/>
              <w:rPr>
                <w:sz w:val="19"/>
                <w:szCs w:val="19"/>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(0.7)</w:t>
            </w:r>
          </w:p>
        </w:tc>
      </w:tr>
      <w:tr>
        <w:trPr>
          <w:trHeight w:val="230"/>
        </w:trPr>
        <w:tc>
          <w:tcPr>
            <w:tcW w:w="6700" w:type="dxa"/>
            <w:vAlign w:val="bottom"/>
            <w:gridSpan w:val="2"/>
            <w:shd w:val="clear" w:color="auto" w:fill="DDDDDD"/>
          </w:tcPr>
          <w:p>
            <w:pPr>
              <w:ind w:left="360"/>
              <w:spacing w:after="0"/>
              <w:rPr>
                <w:sz w:val="20"/>
                <w:szCs w:val="20"/>
                <w:color w:val="auto"/>
              </w:rPr>
            </w:pPr>
            <w:r>
              <w:rPr>
                <w:rFonts w:ascii="Arial" w:cs="Arial" w:eastAsia="Arial" w:hAnsi="Arial"/>
                <w:sz w:val="18"/>
                <w:szCs w:val="18"/>
                <w:color w:val="auto"/>
              </w:rPr>
              <w:t>Reduction of certain receivables</w:t>
            </w:r>
          </w:p>
        </w:tc>
        <w:tc>
          <w:tcPr>
            <w:tcW w:w="220" w:type="dxa"/>
            <w:vAlign w:val="bottom"/>
            <w:shd w:val="clear" w:color="auto" w:fill="DDDDDD"/>
          </w:tcPr>
          <w:p>
            <w:pPr>
              <w:spacing w:after="0"/>
              <w:rPr>
                <w:sz w:val="19"/>
                <w:szCs w:val="19"/>
                <w:color w:val="auto"/>
              </w:rPr>
            </w:pPr>
          </w:p>
        </w:tc>
        <w:tc>
          <w:tcPr>
            <w:tcW w:w="1020" w:type="dxa"/>
            <w:vAlign w:val="bottom"/>
            <w:shd w:val="clear" w:color="auto" w:fill="DDDDDD"/>
          </w:tcPr>
          <w:p>
            <w:pPr>
              <w:jc w:val="right"/>
              <w:ind w:right="152"/>
              <w:spacing w:after="0"/>
              <w:rPr>
                <w:sz w:val="20"/>
                <w:szCs w:val="20"/>
                <w:color w:val="auto"/>
              </w:rPr>
            </w:pPr>
            <w:r>
              <w:rPr>
                <w:rFonts w:ascii="Arial" w:cs="Arial" w:eastAsia="Arial" w:hAnsi="Arial"/>
                <w:sz w:val="18"/>
                <w:szCs w:val="18"/>
                <w:color w:val="auto"/>
              </w:rPr>
              <w:t>2.0</w:t>
            </w:r>
          </w:p>
        </w:tc>
        <w:tc>
          <w:tcPr>
            <w:tcW w:w="120" w:type="dxa"/>
            <w:vAlign w:val="bottom"/>
            <w:shd w:val="clear" w:color="auto" w:fill="DDDDDD"/>
          </w:tcPr>
          <w:p>
            <w:pPr>
              <w:spacing w:after="0"/>
              <w:rPr>
                <w:sz w:val="19"/>
                <w:szCs w:val="19"/>
                <w:color w:val="auto"/>
              </w:rPr>
            </w:pPr>
          </w:p>
        </w:tc>
        <w:tc>
          <w:tcPr>
            <w:tcW w:w="8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280" w:type="dxa"/>
            <w:vAlign w:val="bottom"/>
            <w:shd w:val="clear" w:color="auto" w:fill="DDDDDD"/>
          </w:tcPr>
          <w:p>
            <w:pPr>
              <w:spacing w:after="0"/>
              <w:rPr>
                <w:sz w:val="19"/>
                <w:szCs w:val="19"/>
                <w:color w:val="auto"/>
              </w:rPr>
            </w:pPr>
          </w:p>
        </w:tc>
        <w:tc>
          <w:tcPr>
            <w:tcW w:w="1280" w:type="dxa"/>
            <w:vAlign w:val="bottom"/>
            <w:gridSpan w:val="4"/>
            <w:shd w:val="clear" w:color="auto" w:fill="DDDDDD"/>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shd w:val="clear" w:color="auto" w:fill="DDDDDD"/>
          </w:tcPr>
          <w:p>
            <w:pPr>
              <w:spacing w:after="0"/>
              <w:rPr>
                <w:sz w:val="19"/>
                <w:szCs w:val="19"/>
                <w:color w:val="auto"/>
              </w:rPr>
            </w:pPr>
          </w:p>
        </w:tc>
        <w:tc>
          <w:tcPr>
            <w:tcW w:w="1120" w:type="dxa"/>
            <w:vAlign w:val="bottom"/>
            <w:shd w:val="clear" w:color="auto" w:fill="DDDDDD"/>
          </w:tcPr>
          <w:p>
            <w:pPr>
              <w:jc w:val="right"/>
              <w:ind w:right="152"/>
              <w:spacing w:after="0"/>
              <w:rPr>
                <w:sz w:val="20"/>
                <w:szCs w:val="20"/>
                <w:color w:val="auto"/>
              </w:rPr>
            </w:pPr>
            <w:r>
              <w:rPr>
                <w:rFonts w:ascii="Arial" w:cs="Arial" w:eastAsia="Arial" w:hAnsi="Arial"/>
                <w:sz w:val="18"/>
                <w:szCs w:val="18"/>
                <w:color w:val="auto"/>
              </w:rPr>
              <w:t>—</w:t>
            </w:r>
          </w:p>
        </w:tc>
      </w:tr>
      <w:tr>
        <w:trPr>
          <w:trHeight w:val="230"/>
        </w:trPr>
        <w:tc>
          <w:tcPr>
            <w:tcW w:w="6700" w:type="dxa"/>
            <w:vAlign w:val="bottom"/>
            <w:gridSpan w:val="2"/>
          </w:tcPr>
          <w:p>
            <w:pPr>
              <w:ind w:left="360"/>
              <w:spacing w:after="0"/>
              <w:rPr>
                <w:sz w:val="20"/>
                <w:szCs w:val="20"/>
                <w:color w:val="auto"/>
              </w:rPr>
            </w:pPr>
            <w:r>
              <w:rPr>
                <w:rFonts w:ascii="Arial" w:cs="Arial" w:eastAsia="Arial" w:hAnsi="Arial"/>
                <w:sz w:val="18"/>
                <w:szCs w:val="18"/>
                <w:color w:val="auto"/>
              </w:rPr>
              <w:t>U.S. Tax Cuts and Jobs Act</w:t>
            </w:r>
          </w:p>
        </w:tc>
        <w:tc>
          <w:tcPr>
            <w:tcW w:w="220" w:type="dxa"/>
            <w:vAlign w:val="bottom"/>
          </w:tcPr>
          <w:p>
            <w:pPr>
              <w:spacing w:after="0"/>
              <w:rPr>
                <w:sz w:val="19"/>
                <w:szCs w:val="19"/>
                <w:color w:val="auto"/>
              </w:rPr>
            </w:pPr>
          </w:p>
        </w:tc>
        <w:tc>
          <w:tcPr>
            <w:tcW w:w="1320" w:type="dxa"/>
            <w:vAlign w:val="bottom"/>
            <w:gridSpan w:val="4"/>
          </w:tcPr>
          <w:p>
            <w:pPr>
              <w:jc w:val="right"/>
              <w:ind w:right="5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(5.8)</w:t>
            </w:r>
          </w:p>
        </w:tc>
      </w:tr>
      <w:tr>
        <w:trPr>
          <w:trHeight w:val="229"/>
        </w:trPr>
        <w:tc>
          <w:tcPr>
            <w:tcW w:w="6700" w:type="dxa"/>
            <w:vAlign w:val="bottom"/>
            <w:gridSpan w:val="2"/>
            <w:shd w:val="clear" w:color="auto" w:fill="DDDDDD"/>
          </w:tcPr>
          <w:p>
            <w:pPr>
              <w:ind w:left="360"/>
              <w:spacing w:after="0"/>
              <w:rPr>
                <w:sz w:val="20"/>
                <w:szCs w:val="20"/>
                <w:color w:val="auto"/>
              </w:rPr>
            </w:pPr>
            <w:r>
              <w:rPr>
                <w:rFonts w:ascii="Arial" w:cs="Arial" w:eastAsia="Arial" w:hAnsi="Arial"/>
                <w:sz w:val="18"/>
                <w:szCs w:val="18"/>
                <w:color w:val="auto"/>
              </w:rPr>
              <w:t>Reduction of taxes on unremitted earnings</w:t>
            </w:r>
          </w:p>
        </w:tc>
        <w:tc>
          <w:tcPr>
            <w:tcW w:w="220" w:type="dxa"/>
            <w:vAlign w:val="bottom"/>
            <w:shd w:val="clear" w:color="auto" w:fill="DDDDDD"/>
          </w:tcPr>
          <w:p>
            <w:pPr>
              <w:spacing w:after="0"/>
              <w:rPr>
                <w:sz w:val="19"/>
                <w:szCs w:val="19"/>
                <w:color w:val="auto"/>
              </w:rPr>
            </w:pPr>
          </w:p>
        </w:tc>
        <w:tc>
          <w:tcPr>
            <w:tcW w:w="1320" w:type="dxa"/>
            <w:vAlign w:val="bottom"/>
            <w:gridSpan w:val="4"/>
            <w:shd w:val="clear" w:color="auto" w:fill="DDDDDD"/>
          </w:tcPr>
          <w:p>
            <w:pPr>
              <w:jc w:val="right"/>
              <w:ind w:right="540"/>
              <w:spacing w:after="0"/>
              <w:rPr>
                <w:sz w:val="20"/>
                <w:szCs w:val="20"/>
                <w:color w:val="auto"/>
              </w:rPr>
            </w:pPr>
            <w:r>
              <w:rPr>
                <w:rFonts w:ascii="Arial" w:cs="Arial" w:eastAsia="Arial" w:hAnsi="Arial"/>
                <w:sz w:val="18"/>
                <w:szCs w:val="18"/>
                <w:color w:val="auto"/>
              </w:rPr>
              <w:t>—</w:t>
            </w:r>
          </w:p>
        </w:tc>
        <w:tc>
          <w:tcPr>
            <w:tcW w:w="280" w:type="dxa"/>
            <w:vAlign w:val="bottom"/>
            <w:shd w:val="clear" w:color="auto" w:fill="DDDDDD"/>
          </w:tcPr>
          <w:p>
            <w:pPr>
              <w:spacing w:after="0"/>
              <w:rPr>
                <w:sz w:val="19"/>
                <w:szCs w:val="19"/>
                <w:color w:val="auto"/>
              </w:rPr>
            </w:pPr>
          </w:p>
        </w:tc>
        <w:tc>
          <w:tcPr>
            <w:tcW w:w="1280" w:type="dxa"/>
            <w:vAlign w:val="bottom"/>
            <w:gridSpan w:val="4"/>
            <w:shd w:val="clear" w:color="auto" w:fill="DDDDDD"/>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shd w:val="clear" w:color="auto" w:fill="DDDDDD"/>
          </w:tcPr>
          <w:p>
            <w:pPr>
              <w:spacing w:after="0"/>
              <w:rPr>
                <w:sz w:val="19"/>
                <w:szCs w:val="19"/>
                <w:color w:val="auto"/>
              </w:rPr>
            </w:pPr>
          </w:p>
        </w:tc>
        <w:tc>
          <w:tcPr>
            <w:tcW w:w="1120" w:type="dxa"/>
            <w:vAlign w:val="bottom"/>
            <w:shd w:val="clear" w:color="auto" w:fill="DDDDDD"/>
          </w:tcPr>
          <w:p>
            <w:pPr>
              <w:jc w:val="right"/>
              <w:ind w:right="92"/>
              <w:spacing w:after="0"/>
              <w:rPr>
                <w:sz w:val="20"/>
                <w:szCs w:val="20"/>
                <w:color w:val="auto"/>
              </w:rPr>
            </w:pPr>
            <w:r>
              <w:rPr>
                <w:rFonts w:ascii="Arial" w:cs="Arial" w:eastAsia="Arial" w:hAnsi="Arial"/>
                <w:sz w:val="18"/>
                <w:szCs w:val="18"/>
                <w:color w:val="auto"/>
              </w:rPr>
              <w:t>(14.2)</w:t>
            </w:r>
          </w:p>
        </w:tc>
      </w:tr>
      <w:tr>
        <w:trPr>
          <w:trHeight w:val="230"/>
        </w:trPr>
        <w:tc>
          <w:tcPr>
            <w:tcW w:w="6700" w:type="dxa"/>
            <w:vAlign w:val="bottom"/>
            <w:gridSpan w:val="2"/>
          </w:tcPr>
          <w:p>
            <w:pPr>
              <w:ind w:left="360"/>
              <w:spacing w:after="0"/>
              <w:rPr>
                <w:sz w:val="20"/>
                <w:szCs w:val="20"/>
                <w:color w:val="auto"/>
              </w:rPr>
            </w:pPr>
            <w:r>
              <w:rPr>
                <w:rFonts w:ascii="Arial" w:cs="Arial" w:eastAsia="Arial" w:hAnsi="Arial"/>
                <w:sz w:val="18"/>
                <w:szCs w:val="18"/>
                <w:color w:val="auto"/>
              </w:rPr>
              <w:t>Separation tax costs</w:t>
            </w:r>
          </w:p>
        </w:tc>
        <w:tc>
          <w:tcPr>
            <w:tcW w:w="220" w:type="dxa"/>
            <w:vAlign w:val="bottom"/>
          </w:tcPr>
          <w:p>
            <w:pPr>
              <w:spacing w:after="0"/>
              <w:rPr>
                <w:sz w:val="19"/>
                <w:szCs w:val="19"/>
                <w:color w:val="auto"/>
              </w:rPr>
            </w:pPr>
          </w:p>
        </w:tc>
        <w:tc>
          <w:tcPr>
            <w:tcW w:w="1320" w:type="dxa"/>
            <w:vAlign w:val="bottom"/>
            <w:gridSpan w:val="4"/>
          </w:tcPr>
          <w:p>
            <w:pPr>
              <w:jc w:val="right"/>
              <w:ind w:right="5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gridSpan w:val="4"/>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ind w:right="152"/>
              <w:spacing w:after="0"/>
              <w:rPr>
                <w:sz w:val="20"/>
                <w:szCs w:val="20"/>
                <w:color w:val="auto"/>
              </w:rPr>
            </w:pPr>
            <w:r>
              <w:rPr>
                <w:rFonts w:ascii="Arial" w:cs="Arial" w:eastAsia="Arial" w:hAnsi="Arial"/>
                <w:sz w:val="18"/>
                <w:szCs w:val="18"/>
                <w:color w:val="auto"/>
              </w:rPr>
              <w:t>5.5</w:t>
            </w:r>
          </w:p>
        </w:tc>
      </w:tr>
      <w:tr>
        <w:trPr>
          <w:trHeight w:val="230"/>
        </w:trPr>
        <w:tc>
          <w:tcPr>
            <w:tcW w:w="6700" w:type="dxa"/>
            <w:vAlign w:val="bottom"/>
            <w:gridSpan w:val="2"/>
            <w:shd w:val="clear" w:color="auto" w:fill="DDDDDD"/>
          </w:tcPr>
          <w:p>
            <w:pPr>
              <w:ind w:left="360"/>
              <w:spacing w:after="0"/>
              <w:rPr>
                <w:sz w:val="20"/>
                <w:szCs w:val="20"/>
                <w:color w:val="auto"/>
              </w:rPr>
            </w:pPr>
            <w:r>
              <w:rPr>
                <w:rFonts w:ascii="Arial" w:cs="Arial" w:eastAsia="Arial" w:hAnsi="Arial"/>
                <w:sz w:val="18"/>
                <w:szCs w:val="18"/>
                <w:color w:val="auto"/>
              </w:rPr>
              <w:t>All other items—net</w:t>
            </w:r>
          </w:p>
        </w:tc>
        <w:tc>
          <w:tcPr>
            <w:tcW w:w="220" w:type="dxa"/>
            <w:vAlign w:val="bottom"/>
            <w:shd w:val="clear" w:color="auto" w:fill="DDDDDD"/>
          </w:tcPr>
          <w:p>
            <w:pPr>
              <w:spacing w:after="0"/>
              <w:rPr>
                <w:sz w:val="19"/>
                <w:szCs w:val="19"/>
                <w:color w:val="auto"/>
              </w:rPr>
            </w:pPr>
          </w:p>
        </w:tc>
        <w:tc>
          <w:tcPr>
            <w:tcW w:w="1020" w:type="dxa"/>
            <w:vAlign w:val="bottom"/>
            <w:shd w:val="clear" w:color="auto" w:fill="DDDDDD"/>
          </w:tcPr>
          <w:p>
            <w:pPr>
              <w:jc w:val="right"/>
              <w:ind w:right="92"/>
              <w:spacing w:after="0"/>
              <w:rPr>
                <w:sz w:val="20"/>
                <w:szCs w:val="20"/>
                <w:color w:val="auto"/>
              </w:rPr>
            </w:pPr>
            <w:r>
              <w:rPr>
                <w:rFonts w:ascii="Arial" w:cs="Arial" w:eastAsia="Arial" w:hAnsi="Arial"/>
                <w:sz w:val="18"/>
                <w:szCs w:val="18"/>
                <w:color w:val="auto"/>
              </w:rPr>
              <w:t>(0.6)</w:t>
            </w:r>
          </w:p>
        </w:tc>
        <w:tc>
          <w:tcPr>
            <w:tcW w:w="120" w:type="dxa"/>
            <w:vAlign w:val="bottom"/>
            <w:shd w:val="clear" w:color="auto" w:fill="DDDDDD"/>
          </w:tcPr>
          <w:p>
            <w:pPr>
              <w:spacing w:after="0"/>
              <w:rPr>
                <w:sz w:val="19"/>
                <w:szCs w:val="19"/>
                <w:color w:val="auto"/>
              </w:rPr>
            </w:pPr>
          </w:p>
        </w:tc>
        <w:tc>
          <w:tcPr>
            <w:tcW w:w="8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280" w:type="dxa"/>
            <w:vAlign w:val="bottom"/>
            <w:shd w:val="clear" w:color="auto" w:fill="DDDDDD"/>
          </w:tcPr>
          <w:p>
            <w:pPr>
              <w:spacing w:after="0"/>
              <w:rPr>
                <w:sz w:val="19"/>
                <w:szCs w:val="19"/>
                <w:color w:val="auto"/>
              </w:rPr>
            </w:pPr>
          </w:p>
        </w:tc>
        <w:tc>
          <w:tcPr>
            <w:tcW w:w="1080" w:type="dxa"/>
            <w:vAlign w:val="bottom"/>
            <w:shd w:val="clear" w:color="auto" w:fill="DDDDDD"/>
          </w:tcPr>
          <w:p>
            <w:pPr>
              <w:jc w:val="right"/>
              <w:ind w:right="112"/>
              <w:spacing w:after="0"/>
              <w:rPr>
                <w:sz w:val="20"/>
                <w:szCs w:val="20"/>
                <w:color w:val="auto"/>
              </w:rPr>
            </w:pPr>
            <w:r>
              <w:rPr>
                <w:rFonts w:ascii="Arial" w:cs="Arial" w:eastAsia="Arial" w:hAnsi="Arial"/>
                <w:sz w:val="18"/>
                <w:szCs w:val="18"/>
                <w:color w:val="auto"/>
              </w:rPr>
              <w:t>(1.2)</w:t>
            </w:r>
          </w:p>
        </w:tc>
        <w:tc>
          <w:tcPr>
            <w:tcW w:w="8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320" w:type="dxa"/>
            <w:vAlign w:val="bottom"/>
            <w:shd w:val="clear" w:color="auto" w:fill="DDDDDD"/>
          </w:tcPr>
          <w:p>
            <w:pPr>
              <w:spacing w:after="0"/>
              <w:rPr>
                <w:sz w:val="19"/>
                <w:szCs w:val="19"/>
                <w:color w:val="auto"/>
              </w:rPr>
            </w:pPr>
          </w:p>
        </w:tc>
        <w:tc>
          <w:tcPr>
            <w:tcW w:w="1120" w:type="dxa"/>
            <w:vAlign w:val="bottom"/>
            <w:shd w:val="clear" w:color="auto" w:fill="DDDDDD"/>
          </w:tcPr>
          <w:p>
            <w:pPr>
              <w:jc w:val="right"/>
              <w:ind w:right="152"/>
              <w:spacing w:after="0"/>
              <w:rPr>
                <w:sz w:val="20"/>
                <w:szCs w:val="20"/>
                <w:color w:val="auto"/>
              </w:rPr>
            </w:pPr>
            <w:r>
              <w:rPr>
                <w:rFonts w:ascii="Arial" w:cs="Arial" w:eastAsia="Arial" w:hAnsi="Arial"/>
                <w:sz w:val="18"/>
                <w:szCs w:val="18"/>
                <w:color w:val="auto"/>
              </w:rPr>
              <w:t>0.9</w:t>
            </w:r>
          </w:p>
        </w:tc>
      </w:tr>
      <w:tr>
        <w:trPr>
          <w:trHeight w:val="223"/>
        </w:trPr>
        <w:tc>
          <w:tcPr>
            <w:tcW w:w="64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19.1 %</w:t>
            </w: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8.8 %</w:t>
            </w:r>
          </w:p>
        </w:tc>
      </w:tr>
      <w:tr>
        <w:trPr>
          <w:trHeight w:val="20"/>
        </w:trPr>
        <w:tc>
          <w:tcPr>
            <w:tcW w:w="6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(1) Net of changes in valuation allowance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 Includes U.S. taxes on non-U.S. earnings</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63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6" w:name="page67"/>
    <w:bookmarkEnd w:id="66"/>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5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effective tax rate increased by 1.5 percentage points in 2020 compared to 2019. The increase was primarily attributable to accrued withholding taxes related to unremitted foreign earnings and non-cash charges related to the reduction of the aggregate carrying value of certain receivables with no corresponding tax benefit, offset by the favorable resolution of a foreign tax matter related to the previously completed spin-off transactions, tax impact of restructuring, tax law changes in India, and the resolution of certain U.S. tax matters. The Company’s non-U.S. effective tax rate was 11.9%, a decrease of approximately 14.2 percentage points compared to 2019. The decrease in the foreign effective tax rate was primarily attributable to the favorable resolution of a foreign tax matter related to the previously completed spin-off transactions, tax impact of restructuring, and tax law changes in India offset by accrued withholding taxes related to unremitted foreign earnings.</w:t>
      </w:r>
    </w:p>
    <w:p>
      <w:pPr>
        <w:spacing w:after="0" w:line="9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effective tax rate increased by 8.8 percentage points in 2019 compared to 2018. The increase was primarily attributable to a lower income tax benefit resulting from revised guidance related to the U.S. Tax Cuts and Jobs Act and internal restructuring initiatives that resulted in a $281 million reduction of accrued withholding taxes related to unremitted foreign earnings when compared to the prior year. The Company’s non-U.S. effective tax rate was 26.1%, an increase of approximately 22.0 percentage points compared to 2018. The increase in the foreign effective tax rate was primarily attributable to a lower income tax benefit related to the Company’s internal restructuring initiatives when compared to the prior year.</w:t>
      </w:r>
    </w:p>
    <w:p>
      <w:pPr>
        <w:spacing w:after="0" w:line="2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DEFERRED TAX ASSETS (LIABILITIES)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tax effects of temporary differences and tax carryforwards which give rise to future income tax benefits and payables are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240" w:type="dxa"/>
            <w:vAlign w:val="bottom"/>
          </w:tcPr>
          <w:p>
            <w:pPr>
              <w:spacing w:after="0"/>
              <w:rPr>
                <w:sz w:val="17"/>
                <w:szCs w:val="17"/>
                <w:color w:val="auto"/>
              </w:rPr>
            </w:pPr>
          </w:p>
        </w:tc>
        <w:tc>
          <w:tcPr>
            <w:tcW w:w="340" w:type="dxa"/>
            <w:vAlign w:val="bottom"/>
            <w:tcBorders>
              <w:bottom w:val="single" w:sz="8" w:color="DC202E"/>
            </w:tcBorders>
          </w:tcPr>
          <w:p>
            <w:pPr>
              <w:spacing w:after="0"/>
              <w:rPr>
                <w:sz w:val="17"/>
                <w:szCs w:val="17"/>
                <w:color w:val="auto"/>
              </w:rPr>
            </w:pPr>
          </w:p>
        </w:tc>
        <w:tc>
          <w:tcPr>
            <w:tcW w:w="1700" w:type="dxa"/>
            <w:vAlign w:val="bottom"/>
            <w:tcBorders>
              <w:bottom w:val="single" w:sz="8" w:color="DC202E"/>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DC202E"/>
            </w:tcBorders>
          </w:tcPr>
          <w:p>
            <w:pPr>
              <w:spacing w:after="0"/>
              <w:rPr>
                <w:sz w:val="17"/>
                <w:szCs w:val="17"/>
                <w:color w:val="auto"/>
              </w:rPr>
            </w:pPr>
          </w:p>
        </w:tc>
      </w:tr>
      <w:tr>
        <w:trPr>
          <w:trHeight w:val="237"/>
        </w:trPr>
        <w:tc>
          <w:tcPr>
            <w:tcW w:w="8240" w:type="dxa"/>
            <w:vAlign w:val="bottom"/>
            <w:tcBorders>
              <w:bottom w:val="single" w:sz="8" w:color="DDDDDD"/>
            </w:tcBorders>
          </w:tcPr>
          <w:p>
            <w:pPr>
              <w:ind w:left="20"/>
              <w:spacing w:after="0"/>
              <w:rPr>
                <w:sz w:val="20"/>
                <w:szCs w:val="20"/>
                <w:color w:val="auto"/>
              </w:rPr>
            </w:pPr>
            <w:r>
              <w:rPr>
                <w:rFonts w:ascii="Arial" w:cs="Arial" w:eastAsia="Arial" w:hAnsi="Arial"/>
                <w:sz w:val="18"/>
                <w:szCs w:val="18"/>
                <w:b w:val="1"/>
                <w:bCs w:val="1"/>
                <w:color w:val="auto"/>
              </w:rPr>
              <w:t>Deferred tax assets:</w:t>
            </w:r>
          </w:p>
        </w:tc>
        <w:tc>
          <w:tcPr>
            <w:tcW w:w="340" w:type="dxa"/>
            <w:vAlign w:val="bottom"/>
            <w:tcBorders>
              <w:bottom w:val="single" w:sz="8" w:color="DC202E"/>
            </w:tcBorders>
          </w:tcPr>
          <w:p>
            <w:pPr>
              <w:spacing w:after="0"/>
              <w:rPr>
                <w:sz w:val="20"/>
                <w:szCs w:val="20"/>
                <w:color w:val="auto"/>
              </w:rPr>
            </w:pPr>
          </w:p>
        </w:tc>
        <w:tc>
          <w:tcPr>
            <w:tcW w:w="1100" w:type="dxa"/>
            <w:vAlign w:val="bottom"/>
            <w:tcBorders>
              <w:bottom w:val="single" w:sz="8" w:color="DC202E"/>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DDDDDD"/>
            </w:tcBorders>
          </w:tcPr>
          <w:p>
            <w:pPr>
              <w:spacing w:after="0"/>
              <w:rPr>
                <w:sz w:val="20"/>
                <w:szCs w:val="20"/>
                <w:color w:val="auto"/>
              </w:rPr>
            </w:pPr>
          </w:p>
        </w:tc>
        <w:tc>
          <w:tcPr>
            <w:tcW w:w="480" w:type="dxa"/>
            <w:vAlign w:val="bottom"/>
            <w:tcBorders>
              <w:bottom w:val="single" w:sz="8" w:color="DC202E"/>
            </w:tcBorders>
          </w:tcPr>
          <w:p>
            <w:pPr>
              <w:spacing w:after="0"/>
              <w:rPr>
                <w:sz w:val="20"/>
                <w:szCs w:val="20"/>
                <w:color w:val="auto"/>
              </w:rPr>
            </w:pPr>
          </w:p>
        </w:tc>
        <w:tc>
          <w:tcPr>
            <w:tcW w:w="960" w:type="dxa"/>
            <w:vAlign w:val="bottom"/>
            <w:tcBorders>
              <w:bottom w:val="single" w:sz="8" w:color="DC202E"/>
            </w:tcBorders>
          </w:tcPr>
          <w:p>
            <w:pPr>
              <w:jc w:val="right"/>
              <w:ind w:right="471"/>
              <w:spacing w:after="0"/>
              <w:rPr>
                <w:sz w:val="20"/>
                <w:szCs w:val="20"/>
                <w:color w:val="auto"/>
              </w:rPr>
            </w:pPr>
            <w:r>
              <w:rPr>
                <w:rFonts w:ascii="Arial" w:cs="Arial" w:eastAsia="Arial" w:hAnsi="Arial"/>
                <w:sz w:val="14"/>
                <w:szCs w:val="14"/>
                <w:b w:val="1"/>
                <w:bCs w:val="1"/>
                <w:color w:val="auto"/>
              </w:rPr>
              <w:t>2019</w:t>
            </w:r>
          </w:p>
        </w:tc>
      </w:tr>
      <w:tr>
        <w:trPr>
          <w:trHeight w:val="229"/>
        </w:trPr>
        <w:tc>
          <w:tcPr>
            <w:tcW w:w="8240" w:type="dxa"/>
            <w:vAlign w:val="bottom"/>
            <w:shd w:val="clear" w:color="auto" w:fill="DDDDDD"/>
          </w:tcPr>
          <w:p>
            <w:pPr>
              <w:ind w:left="140"/>
              <w:spacing w:after="0"/>
              <w:rPr>
                <w:sz w:val="20"/>
                <w:szCs w:val="20"/>
                <w:color w:val="auto"/>
              </w:rPr>
            </w:pPr>
            <w:r>
              <w:rPr>
                <w:rFonts w:ascii="Arial" w:cs="Arial" w:eastAsia="Arial" w:hAnsi="Arial"/>
                <w:sz w:val="18"/>
                <w:szCs w:val="18"/>
                <w:color w:val="auto"/>
              </w:rPr>
              <w:t>Postretirement benefits other than pensions</w:t>
            </w:r>
          </w:p>
        </w:tc>
        <w:tc>
          <w:tcPr>
            <w:tcW w:w="3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85</w:t>
            </w:r>
          </w:p>
        </w:tc>
        <w:tc>
          <w:tcPr>
            <w:tcW w:w="120" w:type="dxa"/>
            <w:vAlign w:val="bottom"/>
            <w:shd w:val="clear" w:color="auto" w:fill="DDDDDD"/>
          </w:tcPr>
          <w:p>
            <w:pPr>
              <w:spacing w:after="0"/>
              <w:rPr>
                <w:sz w:val="19"/>
                <w:szCs w:val="19"/>
                <w:color w:val="auto"/>
              </w:rPr>
            </w:pPr>
          </w:p>
        </w:tc>
        <w:tc>
          <w:tcPr>
            <w:tcW w:w="480" w:type="dxa"/>
            <w:vAlign w:val="bottom"/>
            <w:shd w:val="clear" w:color="auto" w:fill="DDDDDD"/>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111</w:t>
            </w: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Asbestos and environmental</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508</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531</w:t>
            </w:r>
          </w:p>
        </w:tc>
      </w:tr>
      <w:tr>
        <w:trPr>
          <w:trHeight w:val="230"/>
        </w:trPr>
        <w:tc>
          <w:tcPr>
            <w:tcW w:w="8240" w:type="dxa"/>
            <w:vAlign w:val="bottom"/>
            <w:shd w:val="clear" w:color="auto" w:fill="DDDDDD"/>
          </w:tcPr>
          <w:p>
            <w:pPr>
              <w:ind w:left="140"/>
              <w:spacing w:after="0"/>
              <w:rPr>
                <w:sz w:val="20"/>
                <w:szCs w:val="20"/>
                <w:color w:val="auto"/>
              </w:rPr>
            </w:pPr>
            <w:r>
              <w:rPr>
                <w:rFonts w:ascii="Arial" w:cs="Arial" w:eastAsia="Arial" w:hAnsi="Arial"/>
                <w:sz w:val="18"/>
                <w:szCs w:val="18"/>
                <w:color w:val="auto"/>
              </w:rPr>
              <w:t>Employee compensation and benefits</w:t>
            </w: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180</w:t>
            </w:r>
          </w:p>
        </w:tc>
        <w:tc>
          <w:tcPr>
            <w:tcW w:w="120" w:type="dxa"/>
            <w:vAlign w:val="bottom"/>
            <w:shd w:val="clear" w:color="auto" w:fill="DDDDDD"/>
          </w:tcPr>
          <w:p>
            <w:pPr>
              <w:spacing w:after="0"/>
              <w:rPr>
                <w:sz w:val="19"/>
                <w:szCs w:val="19"/>
                <w:color w:val="auto"/>
              </w:rPr>
            </w:pPr>
          </w:p>
        </w:tc>
        <w:tc>
          <w:tcPr>
            <w:tcW w:w="480" w:type="dxa"/>
            <w:vAlign w:val="bottom"/>
            <w:shd w:val="clear" w:color="auto" w:fill="DDDDDD"/>
          </w:tcPr>
          <w:p>
            <w:pPr>
              <w:spacing w:after="0"/>
              <w:rPr>
                <w:sz w:val="19"/>
                <w:szCs w:val="19"/>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205</w:t>
            </w: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Lease liabilities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230"/>
        </w:trPr>
        <w:tc>
          <w:tcPr>
            <w:tcW w:w="8240" w:type="dxa"/>
            <w:vAlign w:val="bottom"/>
            <w:shd w:val="clear" w:color="auto" w:fill="DDDDDD"/>
          </w:tcPr>
          <w:p>
            <w:pPr>
              <w:ind w:left="140"/>
              <w:spacing w:after="0"/>
              <w:rPr>
                <w:sz w:val="20"/>
                <w:szCs w:val="20"/>
                <w:color w:val="auto"/>
              </w:rPr>
            </w:pPr>
            <w:r>
              <w:rPr>
                <w:rFonts w:ascii="Arial" w:cs="Arial" w:eastAsia="Arial" w:hAnsi="Arial"/>
                <w:sz w:val="18"/>
                <w:szCs w:val="18"/>
                <w:color w:val="auto"/>
              </w:rPr>
              <w:t>Other accruals and reserves</w:t>
            </w: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DDDDDD"/>
          </w:tcPr>
          <w:p>
            <w:pPr>
              <w:spacing w:after="0"/>
              <w:rPr>
                <w:sz w:val="19"/>
                <w:szCs w:val="19"/>
                <w:color w:val="auto"/>
              </w:rPr>
            </w:pPr>
          </w:p>
        </w:tc>
        <w:tc>
          <w:tcPr>
            <w:tcW w:w="480" w:type="dxa"/>
            <w:vAlign w:val="bottom"/>
            <w:shd w:val="clear" w:color="auto" w:fill="DDDDDD"/>
          </w:tcPr>
          <w:p>
            <w:pPr>
              <w:spacing w:after="0"/>
              <w:rPr>
                <w:sz w:val="19"/>
                <w:szCs w:val="19"/>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279</w:t>
            </w: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Net operating and capital losses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779</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652</w:t>
            </w:r>
          </w:p>
        </w:tc>
      </w:tr>
      <w:tr>
        <w:trPr>
          <w:trHeight w:val="229"/>
        </w:trPr>
        <w:tc>
          <w:tcPr>
            <w:tcW w:w="8240" w:type="dxa"/>
            <w:vAlign w:val="bottom"/>
            <w:shd w:val="clear" w:color="auto" w:fill="DDDDDD"/>
          </w:tcPr>
          <w:p>
            <w:pPr>
              <w:ind w:left="140"/>
              <w:spacing w:after="0"/>
              <w:rPr>
                <w:sz w:val="20"/>
                <w:szCs w:val="20"/>
                <w:color w:val="auto"/>
              </w:rPr>
            </w:pPr>
            <w:r>
              <w:rPr>
                <w:rFonts w:ascii="Arial" w:cs="Arial" w:eastAsia="Arial" w:hAnsi="Arial"/>
                <w:sz w:val="18"/>
                <w:szCs w:val="18"/>
                <w:color w:val="auto"/>
              </w:rPr>
              <w:t>Tax credit carryforwards</w:t>
            </w:r>
          </w:p>
        </w:tc>
        <w:tc>
          <w:tcPr>
            <w:tcW w:w="340" w:type="dxa"/>
            <w:vAlign w:val="bottom"/>
            <w:tcBorders>
              <w:bottom w:val="single" w:sz="8" w:color="auto"/>
            </w:tcBorders>
            <w:shd w:val="clear" w:color="auto" w:fill="DDDDDD"/>
          </w:tcPr>
          <w:p>
            <w:pPr>
              <w:spacing w:after="0"/>
              <w:rPr>
                <w:sz w:val="19"/>
                <w:szCs w:val="19"/>
                <w:color w:val="auto"/>
              </w:rPr>
            </w:pPr>
          </w:p>
        </w:tc>
        <w:tc>
          <w:tcPr>
            <w:tcW w:w="11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219</w:t>
            </w:r>
          </w:p>
        </w:tc>
        <w:tc>
          <w:tcPr>
            <w:tcW w:w="120" w:type="dxa"/>
            <w:vAlign w:val="bottom"/>
            <w:shd w:val="clear" w:color="auto" w:fill="DDDDDD"/>
          </w:tcPr>
          <w:p>
            <w:pPr>
              <w:spacing w:after="0"/>
              <w:rPr>
                <w:sz w:val="19"/>
                <w:szCs w:val="19"/>
                <w:color w:val="auto"/>
              </w:rPr>
            </w:pPr>
          </w:p>
        </w:tc>
        <w:tc>
          <w:tcPr>
            <w:tcW w:w="480" w:type="dxa"/>
            <w:vAlign w:val="bottom"/>
            <w:tcBorders>
              <w:bottom w:val="single" w:sz="8" w:color="auto"/>
            </w:tcBorders>
            <w:shd w:val="clear" w:color="auto" w:fill="DDDDDD"/>
          </w:tcPr>
          <w:p>
            <w:pPr>
              <w:spacing w:after="0"/>
              <w:rPr>
                <w:sz w:val="19"/>
                <w:szCs w:val="19"/>
                <w:color w:val="auto"/>
              </w:rPr>
            </w:pPr>
          </w:p>
        </w:tc>
        <w:tc>
          <w:tcPr>
            <w:tcW w:w="9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246</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Gross deferred tax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2,078</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2,191</w:t>
            </w:r>
          </w:p>
        </w:tc>
      </w:tr>
      <w:tr>
        <w:trPr>
          <w:trHeight w:val="230"/>
        </w:trPr>
        <w:tc>
          <w:tcPr>
            <w:tcW w:w="8240" w:type="dxa"/>
            <w:vAlign w:val="bottom"/>
            <w:shd w:val="clear" w:color="auto" w:fill="DDDDDD"/>
          </w:tcPr>
          <w:p>
            <w:pPr>
              <w:ind w:left="20"/>
              <w:spacing w:after="0"/>
              <w:rPr>
                <w:sz w:val="20"/>
                <w:szCs w:val="20"/>
                <w:color w:val="auto"/>
              </w:rPr>
            </w:pPr>
            <w:r>
              <w:rPr>
                <w:rFonts w:ascii="Arial" w:cs="Arial" w:eastAsia="Arial" w:hAnsi="Arial"/>
                <w:sz w:val="18"/>
                <w:szCs w:val="18"/>
                <w:color w:val="auto"/>
              </w:rPr>
              <w:t>Valuation allowance</w:t>
            </w:r>
          </w:p>
        </w:tc>
        <w:tc>
          <w:tcPr>
            <w:tcW w:w="340" w:type="dxa"/>
            <w:vAlign w:val="bottom"/>
            <w:tcBorders>
              <w:bottom w:val="single" w:sz="8" w:color="auto"/>
            </w:tcBorders>
            <w:shd w:val="clear" w:color="auto" w:fill="DDDDDD"/>
          </w:tcPr>
          <w:p>
            <w:pPr>
              <w:spacing w:after="0"/>
              <w:rPr>
                <w:sz w:val="19"/>
                <w:szCs w:val="19"/>
                <w:color w:val="auto"/>
              </w:rPr>
            </w:pPr>
          </w:p>
        </w:tc>
        <w:tc>
          <w:tcPr>
            <w:tcW w:w="11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(766)</w:t>
            </w:r>
          </w:p>
        </w:tc>
        <w:tc>
          <w:tcPr>
            <w:tcW w:w="120" w:type="dxa"/>
            <w:vAlign w:val="bottom"/>
            <w:shd w:val="clear" w:color="auto" w:fill="DDDDDD"/>
          </w:tcPr>
          <w:p>
            <w:pPr>
              <w:spacing w:after="0"/>
              <w:rPr>
                <w:sz w:val="19"/>
                <w:szCs w:val="19"/>
                <w:color w:val="auto"/>
              </w:rPr>
            </w:pPr>
          </w:p>
        </w:tc>
        <w:tc>
          <w:tcPr>
            <w:tcW w:w="480" w:type="dxa"/>
            <w:vAlign w:val="bottom"/>
            <w:tcBorders>
              <w:bottom w:val="single" w:sz="8" w:color="auto"/>
            </w:tcBorders>
            <w:shd w:val="clear" w:color="auto" w:fill="DDDDDD"/>
          </w:tcPr>
          <w:p>
            <w:pPr>
              <w:spacing w:after="0"/>
              <w:rPr>
                <w:sz w:val="19"/>
                <w:szCs w:val="19"/>
                <w:color w:val="auto"/>
              </w:rPr>
            </w:pPr>
          </w:p>
        </w:tc>
        <w:tc>
          <w:tcPr>
            <w:tcW w:w="9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(656)</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Total deferred tax assets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1,312</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1,535</w:t>
            </w:r>
          </w:p>
        </w:tc>
      </w:tr>
      <w:tr>
        <w:trPr>
          <w:trHeight w:val="20"/>
        </w:trPr>
        <w:tc>
          <w:tcPr>
            <w:tcW w:w="8240" w:type="dxa"/>
            <w:vAlign w:val="bottom"/>
            <w:tcBorders>
              <w:bottom w:val="single" w:sz="8" w:color="DDDDDD"/>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DDDDD"/>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97"/>
        </w:trPr>
        <w:tc>
          <w:tcPr>
            <w:tcW w:w="8240" w:type="dxa"/>
            <w:vAlign w:val="bottom"/>
            <w:shd w:val="clear" w:color="auto" w:fill="DDDDDD"/>
          </w:tcPr>
          <w:p>
            <w:pPr>
              <w:ind w:left="20"/>
              <w:spacing w:after="0" w:line="196" w:lineRule="exact"/>
              <w:rPr>
                <w:sz w:val="20"/>
                <w:szCs w:val="20"/>
                <w:color w:val="auto"/>
              </w:rPr>
            </w:pPr>
            <w:r>
              <w:rPr>
                <w:rFonts w:ascii="Arial" w:cs="Arial" w:eastAsia="Arial" w:hAnsi="Arial"/>
                <w:sz w:val="18"/>
                <w:szCs w:val="18"/>
                <w:b w:val="1"/>
                <w:bCs w:val="1"/>
                <w:color w:val="auto"/>
              </w:rPr>
              <w:t>Deferred tax liabilities:</w:t>
            </w:r>
          </w:p>
        </w:tc>
        <w:tc>
          <w:tcPr>
            <w:tcW w:w="340" w:type="dxa"/>
            <w:vAlign w:val="bottom"/>
            <w:shd w:val="clear" w:color="auto" w:fill="DDDDDD"/>
          </w:tcPr>
          <w:p>
            <w:pPr>
              <w:spacing w:after="0"/>
              <w:rPr>
                <w:sz w:val="17"/>
                <w:szCs w:val="17"/>
                <w:color w:val="auto"/>
              </w:rPr>
            </w:pPr>
          </w:p>
        </w:tc>
        <w:tc>
          <w:tcPr>
            <w:tcW w:w="110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480" w:type="dxa"/>
            <w:vAlign w:val="bottom"/>
            <w:shd w:val="clear" w:color="auto" w:fill="DDDDDD"/>
          </w:tcPr>
          <w:p>
            <w:pPr>
              <w:spacing w:after="0"/>
              <w:rPr>
                <w:sz w:val="17"/>
                <w:szCs w:val="17"/>
                <w:color w:val="auto"/>
              </w:rPr>
            </w:pPr>
          </w:p>
        </w:tc>
        <w:tc>
          <w:tcPr>
            <w:tcW w:w="960" w:type="dxa"/>
            <w:vAlign w:val="bottom"/>
            <w:shd w:val="clear" w:color="auto" w:fill="DDDDDD"/>
          </w:tcPr>
          <w:p>
            <w:pPr>
              <w:spacing w:after="0"/>
              <w:rPr>
                <w:sz w:val="17"/>
                <w:szCs w:val="17"/>
                <w:color w:val="auto"/>
              </w:rPr>
            </w:pP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Pension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(548)</w:t>
            </w:r>
          </w:p>
        </w:tc>
        <w:tc>
          <w:tcPr>
            <w:tcW w:w="12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(469)</w:t>
            </w:r>
          </w:p>
        </w:tc>
      </w:tr>
      <w:tr>
        <w:trPr>
          <w:trHeight w:val="229"/>
        </w:trPr>
        <w:tc>
          <w:tcPr>
            <w:tcW w:w="8240" w:type="dxa"/>
            <w:vAlign w:val="bottom"/>
            <w:shd w:val="clear" w:color="auto" w:fill="DDDDDD"/>
          </w:tcPr>
          <w:p>
            <w:pPr>
              <w:ind w:left="140"/>
              <w:spacing w:after="0"/>
              <w:rPr>
                <w:sz w:val="20"/>
                <w:szCs w:val="20"/>
                <w:color w:val="auto"/>
              </w:rPr>
            </w:pPr>
            <w:r>
              <w:rPr>
                <w:rFonts w:ascii="Arial" w:cs="Arial" w:eastAsia="Arial" w:hAnsi="Arial"/>
                <w:sz w:val="18"/>
                <w:szCs w:val="18"/>
                <w:color w:val="auto"/>
              </w:rPr>
              <w:t>Property, plant and equipment</w:t>
            </w: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(437)</w:t>
            </w:r>
          </w:p>
        </w:tc>
        <w:tc>
          <w:tcPr>
            <w:tcW w:w="120" w:type="dxa"/>
            <w:vAlign w:val="bottom"/>
            <w:shd w:val="clear" w:color="auto" w:fill="DDDDDD"/>
          </w:tcPr>
          <w:p>
            <w:pPr>
              <w:spacing w:after="0"/>
              <w:rPr>
                <w:sz w:val="19"/>
                <w:szCs w:val="19"/>
                <w:color w:val="auto"/>
              </w:rPr>
            </w:pPr>
          </w:p>
        </w:tc>
        <w:tc>
          <w:tcPr>
            <w:tcW w:w="480" w:type="dxa"/>
            <w:vAlign w:val="bottom"/>
            <w:shd w:val="clear" w:color="auto" w:fill="DDDDDD"/>
          </w:tcPr>
          <w:p>
            <w:pPr>
              <w:spacing w:after="0"/>
              <w:rPr>
                <w:sz w:val="19"/>
                <w:szCs w:val="19"/>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(477)</w:t>
            </w: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Right-of-use asset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(159)</w:t>
            </w:r>
          </w:p>
        </w:tc>
      </w:tr>
      <w:tr>
        <w:trPr>
          <w:trHeight w:val="230"/>
        </w:trPr>
        <w:tc>
          <w:tcPr>
            <w:tcW w:w="8240" w:type="dxa"/>
            <w:vAlign w:val="bottom"/>
            <w:shd w:val="clear" w:color="auto" w:fill="DDDDDD"/>
          </w:tcPr>
          <w:p>
            <w:pPr>
              <w:ind w:left="140"/>
              <w:spacing w:after="0"/>
              <w:rPr>
                <w:sz w:val="20"/>
                <w:szCs w:val="20"/>
                <w:color w:val="auto"/>
              </w:rPr>
            </w:pPr>
            <w:r>
              <w:rPr>
                <w:rFonts w:ascii="Arial" w:cs="Arial" w:eastAsia="Arial" w:hAnsi="Arial"/>
                <w:sz w:val="18"/>
                <w:szCs w:val="18"/>
                <w:color w:val="auto"/>
              </w:rPr>
              <w:t>Intangibles</w:t>
            </w: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(898)</w:t>
            </w:r>
          </w:p>
        </w:tc>
        <w:tc>
          <w:tcPr>
            <w:tcW w:w="120" w:type="dxa"/>
            <w:vAlign w:val="bottom"/>
            <w:shd w:val="clear" w:color="auto" w:fill="DDDDDD"/>
          </w:tcPr>
          <w:p>
            <w:pPr>
              <w:spacing w:after="0"/>
              <w:rPr>
                <w:sz w:val="19"/>
                <w:szCs w:val="19"/>
                <w:color w:val="auto"/>
              </w:rPr>
            </w:pPr>
          </w:p>
        </w:tc>
        <w:tc>
          <w:tcPr>
            <w:tcW w:w="480" w:type="dxa"/>
            <w:vAlign w:val="bottom"/>
            <w:shd w:val="clear" w:color="auto" w:fill="DDDDDD"/>
          </w:tcPr>
          <w:p>
            <w:pPr>
              <w:spacing w:after="0"/>
              <w:rPr>
                <w:sz w:val="19"/>
                <w:szCs w:val="19"/>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(1,296)</w:t>
            </w: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Unremitted earnings of foreign subsidiaries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(398)</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(419)</w:t>
            </w:r>
          </w:p>
        </w:tc>
      </w:tr>
      <w:tr>
        <w:trPr>
          <w:trHeight w:val="229"/>
        </w:trPr>
        <w:tc>
          <w:tcPr>
            <w:tcW w:w="8240" w:type="dxa"/>
            <w:vAlign w:val="bottom"/>
            <w:shd w:val="clear" w:color="auto" w:fill="DDDDDD"/>
          </w:tcPr>
          <w:p>
            <w:pPr>
              <w:ind w:left="140"/>
              <w:spacing w:after="0"/>
              <w:rPr>
                <w:sz w:val="20"/>
                <w:szCs w:val="20"/>
                <w:color w:val="auto"/>
              </w:rPr>
            </w:pPr>
            <w:r>
              <w:rPr>
                <w:rFonts w:ascii="Arial" w:cs="Arial" w:eastAsia="Arial" w:hAnsi="Arial"/>
                <w:sz w:val="18"/>
                <w:szCs w:val="18"/>
                <w:color w:val="auto"/>
              </w:rPr>
              <w:t>Other asset basis differences</w:t>
            </w: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(169)</w:t>
            </w:r>
          </w:p>
        </w:tc>
        <w:tc>
          <w:tcPr>
            <w:tcW w:w="120" w:type="dxa"/>
            <w:vAlign w:val="bottom"/>
            <w:shd w:val="clear" w:color="auto" w:fill="DDDDDD"/>
          </w:tcPr>
          <w:p>
            <w:pPr>
              <w:spacing w:after="0"/>
              <w:rPr>
                <w:sz w:val="19"/>
                <w:szCs w:val="19"/>
                <w:color w:val="auto"/>
              </w:rPr>
            </w:pPr>
          </w:p>
        </w:tc>
        <w:tc>
          <w:tcPr>
            <w:tcW w:w="480" w:type="dxa"/>
            <w:vAlign w:val="bottom"/>
            <w:shd w:val="clear" w:color="auto" w:fill="DDDDDD"/>
          </w:tcPr>
          <w:p>
            <w:pPr>
              <w:spacing w:after="0"/>
              <w:rPr>
                <w:sz w:val="19"/>
                <w:szCs w:val="19"/>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(136)</w:t>
            </w:r>
          </w:p>
        </w:tc>
      </w:tr>
      <w:tr>
        <w:trPr>
          <w:trHeight w:val="230"/>
        </w:trPr>
        <w:tc>
          <w:tcPr>
            <w:tcW w:w="8240" w:type="dxa"/>
            <w:vAlign w:val="bottom"/>
            <w:tcBorders>
              <w:bottom w:val="single" w:sz="8" w:color="DDDDDD"/>
            </w:tcBorders>
          </w:tcPr>
          <w:p>
            <w:pPr>
              <w:ind w:left="1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DDDDDD"/>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r>
      <w:tr>
        <w:trPr>
          <w:trHeight w:val="223"/>
        </w:trPr>
        <w:tc>
          <w:tcPr>
            <w:tcW w:w="8240" w:type="dxa"/>
            <w:vAlign w:val="bottom"/>
            <w:shd w:val="clear" w:color="auto" w:fill="DDDDDD"/>
          </w:tcPr>
          <w:p>
            <w:pPr>
              <w:ind w:left="20"/>
              <w:spacing w:after="0"/>
              <w:rPr>
                <w:sz w:val="20"/>
                <w:szCs w:val="20"/>
                <w:color w:val="auto"/>
              </w:rPr>
            </w:pPr>
            <w:r>
              <w:rPr>
                <w:rFonts w:ascii="Arial" w:cs="Arial" w:eastAsia="Arial" w:hAnsi="Arial"/>
                <w:sz w:val="18"/>
                <w:szCs w:val="18"/>
                <w:color w:val="auto"/>
              </w:rPr>
              <w:t>Total deferred tax liabilities</w:t>
            </w:r>
          </w:p>
        </w:tc>
        <w:tc>
          <w:tcPr>
            <w:tcW w:w="340" w:type="dxa"/>
            <w:vAlign w:val="bottom"/>
            <w:tcBorders>
              <w:bottom w:val="single" w:sz="8" w:color="auto"/>
            </w:tcBorders>
            <w:shd w:val="clear" w:color="auto" w:fill="DDDDDD"/>
          </w:tcPr>
          <w:p>
            <w:pPr>
              <w:spacing w:after="0"/>
              <w:rPr>
                <w:sz w:val="19"/>
                <w:szCs w:val="19"/>
                <w:color w:val="auto"/>
              </w:rPr>
            </w:pPr>
          </w:p>
        </w:tc>
        <w:tc>
          <w:tcPr>
            <w:tcW w:w="11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(2,665)</w:t>
            </w:r>
          </w:p>
        </w:tc>
        <w:tc>
          <w:tcPr>
            <w:tcW w:w="120" w:type="dxa"/>
            <w:vAlign w:val="bottom"/>
            <w:shd w:val="clear" w:color="auto" w:fill="DDDDDD"/>
          </w:tcPr>
          <w:p>
            <w:pPr>
              <w:spacing w:after="0"/>
              <w:rPr>
                <w:sz w:val="19"/>
                <w:szCs w:val="19"/>
                <w:color w:val="auto"/>
              </w:rPr>
            </w:pPr>
          </w:p>
        </w:tc>
        <w:tc>
          <w:tcPr>
            <w:tcW w:w="480" w:type="dxa"/>
            <w:vAlign w:val="bottom"/>
            <w:tcBorders>
              <w:bottom w:val="single" w:sz="8" w:color="auto"/>
            </w:tcBorders>
            <w:shd w:val="clear" w:color="auto" w:fill="DDDDDD"/>
          </w:tcPr>
          <w:p>
            <w:pPr>
              <w:spacing w:after="0"/>
              <w:rPr>
                <w:sz w:val="19"/>
                <w:szCs w:val="19"/>
                <w:color w:val="auto"/>
              </w:rPr>
            </w:pPr>
          </w:p>
        </w:tc>
        <w:tc>
          <w:tcPr>
            <w:tcW w:w="9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(3,119)</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Net deferred tax liability</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(1,353)</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(1,584)</w:t>
            </w:r>
          </w:p>
        </w:tc>
      </w:tr>
      <w:tr>
        <w:trPr>
          <w:trHeight w:val="20"/>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64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7" w:name="page68"/>
    <w:bookmarkEnd w:id="67"/>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5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Company's gross deferred tax assets include $872 million related to non-U.S. operations comprised principally of net operating losses, capital loss and tax credit carryforwards (mainly in Canada, France, Germany, Luxembourg and the United Kingdom) and deductible temporary differences. We maintain a valuation allowance of $758 million against a portion of the non-U.S. gross deferred tax assets. The change in the valuation allowance resulted in an increase of $105 million, a decrease of $ 23 million and an increase of $57 million to income tax expense in 2020, 2019 and 2018. In the event we determine that we will not be able to realize our net deferred tax assets in the future, we will reduce such amounts through an increase to income tax expense in the period such determination is made. Conversely, if we determine that we will be able to realize net deferred tax assets in excess of the carrying amounts, we will decrease the recorded valuation allowance through a reduction to income tax expense in the period that such determination is made.</w:t>
      </w:r>
    </w:p>
    <w:p>
      <w:pPr>
        <w:spacing w:after="0" w:line="9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of December 31, 2020, the Company recorded a $398 million deferred tax liability on all our unremitted foreign earnings based on estimated earnings and profits of approximately $22.4 billion as of the balance sheet date.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the Company's net operating loss, capital loss and tax credit carryforwards were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2340" w:type="dxa"/>
            <w:vAlign w:val="bottom"/>
            <w:gridSpan w:val="2"/>
            <w:vMerge w:val="restart"/>
          </w:tcPr>
          <w:p>
            <w:pPr>
              <w:jc w:val="center"/>
              <w:ind w:left="836"/>
              <w:spacing w:after="0"/>
              <w:rPr>
                <w:sz w:val="20"/>
                <w:szCs w:val="20"/>
                <w:color w:val="auto"/>
              </w:rPr>
            </w:pPr>
            <w:r>
              <w:rPr>
                <w:rFonts w:ascii="Arial" w:cs="Arial" w:eastAsia="Arial" w:hAnsi="Arial"/>
                <w:sz w:val="14"/>
                <w:szCs w:val="14"/>
                <w:b w:val="1"/>
                <w:bCs w:val="1"/>
                <w:color w:val="auto"/>
              </w:rPr>
              <w:t>Expiration</w:t>
            </w:r>
          </w:p>
        </w:tc>
        <w:tc>
          <w:tcPr>
            <w:tcW w:w="320" w:type="dxa"/>
            <w:vAlign w:val="bottom"/>
          </w:tcPr>
          <w:p>
            <w:pPr>
              <w:spacing w:after="0"/>
              <w:rPr>
                <w:sz w:val="14"/>
                <w:szCs w:val="14"/>
                <w:color w:val="auto"/>
              </w:rPr>
            </w:pPr>
          </w:p>
        </w:tc>
        <w:tc>
          <w:tcPr>
            <w:tcW w:w="19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Net Operating</w:t>
            </w:r>
          </w:p>
        </w:tc>
        <w:tc>
          <w:tcPr>
            <w:tcW w:w="360" w:type="dxa"/>
            <w:vAlign w:val="bottom"/>
          </w:tcPr>
          <w:p>
            <w:pPr>
              <w:spacing w:after="0"/>
              <w:rPr>
                <w:sz w:val="14"/>
                <w:szCs w:val="14"/>
                <w:color w:val="auto"/>
              </w:rPr>
            </w:pPr>
          </w:p>
        </w:tc>
        <w:tc>
          <w:tcPr>
            <w:tcW w:w="1840" w:type="dxa"/>
            <w:vAlign w:val="bottom"/>
            <w:vMerge w:val="restart"/>
          </w:tcPr>
          <w:p>
            <w:pPr>
              <w:jc w:val="right"/>
              <w:ind w:right="674"/>
              <w:spacing w:after="0"/>
              <w:rPr>
                <w:sz w:val="20"/>
                <w:szCs w:val="20"/>
                <w:color w:val="auto"/>
              </w:rPr>
            </w:pPr>
            <w:r>
              <w:rPr>
                <w:rFonts w:ascii="Arial" w:cs="Arial" w:eastAsia="Arial" w:hAnsi="Arial"/>
                <w:sz w:val="14"/>
                <w:szCs w:val="14"/>
                <w:b w:val="1"/>
                <w:bCs w:val="1"/>
                <w:color w:val="auto"/>
              </w:rPr>
              <w:t>Tax Credit</w:t>
            </w:r>
          </w:p>
        </w:tc>
        <w:tc>
          <w:tcPr>
            <w:tcW w:w="0" w:type="dxa"/>
            <w:vAlign w:val="bottom"/>
          </w:tcPr>
          <w:p>
            <w:pPr>
              <w:spacing w:after="0"/>
              <w:rPr>
                <w:sz w:val="1"/>
                <w:szCs w:val="1"/>
                <w:color w:val="auto"/>
              </w:rPr>
            </w:pPr>
          </w:p>
        </w:tc>
      </w:tr>
      <w:tr>
        <w:trPr>
          <w:trHeight w:val="135"/>
        </w:trPr>
        <w:tc>
          <w:tcPr>
            <w:tcW w:w="4360" w:type="dxa"/>
            <w:vAlign w:val="bottom"/>
            <w:vMerge w:val="restart"/>
          </w:tcPr>
          <w:p>
            <w:pPr>
              <w:ind w:left="2300"/>
              <w:spacing w:after="0"/>
              <w:rPr>
                <w:sz w:val="20"/>
                <w:szCs w:val="20"/>
                <w:color w:val="auto"/>
              </w:rPr>
            </w:pPr>
            <w:r>
              <w:rPr>
                <w:rFonts w:ascii="Arial" w:cs="Arial" w:eastAsia="Arial" w:hAnsi="Arial"/>
                <w:sz w:val="14"/>
                <w:szCs w:val="14"/>
                <w:b w:val="1"/>
                <w:bCs w:val="1"/>
                <w:color w:val="auto"/>
              </w:rPr>
              <w:t>Jurisdiction</w:t>
            </w:r>
          </w:p>
        </w:tc>
        <w:tc>
          <w:tcPr>
            <w:tcW w:w="234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1980" w:type="dxa"/>
            <w:vAlign w:val="bottom"/>
            <w:gridSpan w:val="2"/>
          </w:tcPr>
          <w:p>
            <w:pPr>
              <w:jc w:val="center"/>
              <w:ind w:right="420"/>
              <w:spacing w:after="0" w:line="135" w:lineRule="exact"/>
              <w:rPr>
                <w:sz w:val="20"/>
                <w:szCs w:val="20"/>
                <w:color w:val="auto"/>
              </w:rPr>
            </w:pPr>
            <w:r>
              <w:rPr>
                <w:rFonts w:ascii="Arial" w:cs="Arial" w:eastAsia="Arial" w:hAnsi="Arial"/>
                <w:sz w:val="14"/>
                <w:szCs w:val="14"/>
                <w:b w:val="1"/>
                <w:bCs w:val="1"/>
                <w:color w:val="auto"/>
              </w:rPr>
              <w:t>and Capital Loss</w:t>
            </w:r>
          </w:p>
        </w:tc>
        <w:tc>
          <w:tcPr>
            <w:tcW w:w="360" w:type="dxa"/>
            <w:vAlign w:val="bottom"/>
          </w:tcPr>
          <w:p>
            <w:pPr>
              <w:spacing w:after="0"/>
              <w:rPr>
                <w:sz w:val="11"/>
                <w:szCs w:val="11"/>
                <w:color w:val="auto"/>
              </w:rPr>
            </w:pPr>
          </w:p>
        </w:tc>
        <w:tc>
          <w:tcPr>
            <w:tcW w:w="1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4360" w:type="dxa"/>
            <w:vAlign w:val="bottom"/>
            <w:vMerge w:val="continue"/>
          </w:tcPr>
          <w:p>
            <w:pPr>
              <w:spacing w:after="0"/>
              <w:rPr>
                <w:sz w:val="15"/>
                <w:szCs w:val="15"/>
                <w:color w:val="auto"/>
              </w:rPr>
            </w:pPr>
          </w:p>
        </w:tc>
        <w:tc>
          <w:tcPr>
            <w:tcW w:w="2340" w:type="dxa"/>
            <w:vAlign w:val="bottom"/>
            <w:gridSpan w:val="2"/>
          </w:tcPr>
          <w:p>
            <w:pPr>
              <w:jc w:val="center"/>
              <w:ind w:left="856"/>
              <w:spacing w:after="0"/>
              <w:rPr>
                <w:sz w:val="20"/>
                <w:szCs w:val="20"/>
                <w:color w:val="auto"/>
              </w:rPr>
            </w:pPr>
            <w:r>
              <w:rPr>
                <w:rFonts w:ascii="Arial" w:cs="Arial" w:eastAsia="Arial" w:hAnsi="Arial"/>
                <w:sz w:val="14"/>
                <w:szCs w:val="14"/>
                <w:b w:val="1"/>
                <w:bCs w:val="1"/>
                <w:color w:val="auto"/>
              </w:rPr>
              <w:t>Period</w:t>
            </w:r>
          </w:p>
        </w:tc>
        <w:tc>
          <w:tcPr>
            <w:tcW w:w="320" w:type="dxa"/>
            <w:vAlign w:val="bottom"/>
          </w:tcPr>
          <w:p>
            <w:pPr>
              <w:spacing w:after="0"/>
              <w:rPr>
                <w:sz w:val="15"/>
                <w:szCs w:val="15"/>
                <w:color w:val="auto"/>
              </w:rPr>
            </w:pPr>
          </w:p>
        </w:tc>
        <w:tc>
          <w:tcPr>
            <w:tcW w:w="19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Carryforwards</w:t>
            </w:r>
          </w:p>
        </w:tc>
        <w:tc>
          <w:tcPr>
            <w:tcW w:w="360" w:type="dxa"/>
            <w:vAlign w:val="bottom"/>
          </w:tcPr>
          <w:p>
            <w:pPr>
              <w:spacing w:after="0"/>
              <w:rPr>
                <w:sz w:val="15"/>
                <w:szCs w:val="15"/>
                <w:color w:val="auto"/>
              </w:rPr>
            </w:pPr>
          </w:p>
        </w:tc>
        <w:tc>
          <w:tcPr>
            <w:tcW w:w="1840" w:type="dxa"/>
            <w:vAlign w:val="bottom"/>
          </w:tcPr>
          <w:p>
            <w:pPr>
              <w:jc w:val="right"/>
              <w:ind w:right="514"/>
              <w:spacing w:after="0"/>
              <w:rPr>
                <w:sz w:val="20"/>
                <w:szCs w:val="20"/>
                <w:color w:val="auto"/>
              </w:rPr>
            </w:pPr>
            <w:r>
              <w:rPr>
                <w:rFonts w:ascii="Arial" w:cs="Arial" w:eastAsia="Arial" w:hAnsi="Arial"/>
                <w:sz w:val="14"/>
                <w:szCs w:val="14"/>
                <w:b w:val="1"/>
                <w:bCs w:val="1"/>
                <w:color w:val="auto"/>
              </w:rPr>
              <w:t>Carryforwards</w:t>
            </w:r>
          </w:p>
        </w:tc>
        <w:tc>
          <w:tcPr>
            <w:tcW w:w="0" w:type="dxa"/>
            <w:vAlign w:val="bottom"/>
          </w:tcPr>
          <w:p>
            <w:pPr>
              <w:spacing w:after="0"/>
              <w:rPr>
                <w:sz w:val="1"/>
                <w:szCs w:val="1"/>
                <w:color w:val="auto"/>
              </w:rPr>
            </w:pPr>
          </w:p>
        </w:tc>
      </w:tr>
      <w:tr>
        <w:trPr>
          <w:trHeight w:val="229"/>
        </w:trPr>
        <w:tc>
          <w:tcPr>
            <w:tcW w:w="4360" w:type="dxa"/>
            <w:vAlign w:val="bottom"/>
            <w:tcBorders>
              <w:top w:val="single" w:sz="8" w:color="DC202E"/>
            </w:tcBorders>
            <w:shd w:val="clear" w:color="auto" w:fill="DDDDDD"/>
          </w:tcPr>
          <w:p>
            <w:pPr>
              <w:ind w:left="20"/>
              <w:spacing w:after="0"/>
              <w:rPr>
                <w:sz w:val="20"/>
                <w:szCs w:val="20"/>
                <w:color w:val="auto"/>
              </w:rPr>
            </w:pPr>
            <w:r>
              <w:rPr>
                <w:rFonts w:ascii="Arial" w:cs="Arial" w:eastAsia="Arial" w:hAnsi="Arial"/>
                <w:sz w:val="18"/>
                <w:szCs w:val="18"/>
                <w:color w:val="auto"/>
              </w:rPr>
              <w:t>U.S. Federal</w:t>
            </w:r>
          </w:p>
        </w:tc>
        <w:tc>
          <w:tcPr>
            <w:tcW w:w="2240" w:type="dxa"/>
            <w:vAlign w:val="bottom"/>
            <w:tcBorders>
              <w:top w:val="single" w:sz="8" w:color="DC202E"/>
            </w:tcBorders>
            <w:shd w:val="clear" w:color="auto" w:fill="DDDDDD"/>
          </w:tcPr>
          <w:p>
            <w:pPr>
              <w:jc w:val="center"/>
              <w:ind w:left="956"/>
              <w:spacing w:after="0"/>
              <w:rPr>
                <w:sz w:val="20"/>
                <w:szCs w:val="20"/>
                <w:color w:val="auto"/>
              </w:rPr>
            </w:pPr>
            <w:r>
              <w:rPr>
                <w:rFonts w:ascii="Arial" w:cs="Arial" w:eastAsia="Arial" w:hAnsi="Arial"/>
                <w:sz w:val="18"/>
                <w:szCs w:val="18"/>
                <w:color w:val="auto"/>
                <w:w w:val="99"/>
              </w:rPr>
              <w:t>2040</w:t>
            </w:r>
          </w:p>
        </w:tc>
        <w:tc>
          <w:tcPr>
            <w:tcW w:w="100" w:type="dxa"/>
            <w:vAlign w:val="bottom"/>
            <w:tcBorders>
              <w:top w:val="single" w:sz="8" w:color="DDDDDD"/>
            </w:tcBorders>
            <w:shd w:val="clear" w:color="auto" w:fill="DDDDDD"/>
          </w:tcPr>
          <w:p>
            <w:pPr>
              <w:spacing w:after="0"/>
              <w:rPr>
                <w:sz w:val="19"/>
                <w:szCs w:val="19"/>
                <w:color w:val="auto"/>
              </w:rPr>
            </w:pPr>
          </w:p>
        </w:tc>
        <w:tc>
          <w:tcPr>
            <w:tcW w:w="320" w:type="dxa"/>
            <w:vAlign w:val="bottom"/>
            <w:tcBorders>
              <w:top w:val="single" w:sz="8" w:color="DC202E"/>
            </w:tcBorders>
            <w:shd w:val="clear" w:color="auto" w:fill="DDDDDD"/>
          </w:tcPr>
          <w:p>
            <w:pPr>
              <w:jc w:val="right"/>
              <w:ind w:right="110"/>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DC202E"/>
            </w:tcBorders>
            <w:shd w:val="clear" w:color="auto" w:fill="DDDDDD"/>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top w:val="single" w:sz="8" w:color="DDDDDD"/>
            </w:tcBorders>
            <w:shd w:val="clear" w:color="auto" w:fill="DDDDDD"/>
          </w:tcPr>
          <w:p>
            <w:pPr>
              <w:spacing w:after="0"/>
              <w:rPr>
                <w:sz w:val="19"/>
                <w:szCs w:val="19"/>
                <w:color w:val="auto"/>
              </w:rPr>
            </w:pPr>
          </w:p>
        </w:tc>
        <w:tc>
          <w:tcPr>
            <w:tcW w:w="360" w:type="dxa"/>
            <w:vAlign w:val="bottom"/>
            <w:tcBorders>
              <w:top w:val="single" w:sz="8" w:color="DC202E"/>
            </w:tcBorders>
            <w:shd w:val="clear" w:color="auto" w:fill="DDDDDD"/>
          </w:tcPr>
          <w:p>
            <w:pPr>
              <w:ind w:left="20"/>
              <w:spacing w:after="0"/>
              <w:rPr>
                <w:sz w:val="20"/>
                <w:szCs w:val="20"/>
                <w:color w:val="auto"/>
              </w:rPr>
            </w:pPr>
            <w:r>
              <w:rPr>
                <w:rFonts w:ascii="Arial" w:cs="Arial" w:eastAsia="Arial" w:hAnsi="Arial"/>
                <w:sz w:val="18"/>
                <w:szCs w:val="18"/>
                <w:color w:val="auto"/>
              </w:rPr>
              <w:t>$</w:t>
            </w:r>
          </w:p>
        </w:tc>
        <w:tc>
          <w:tcPr>
            <w:tcW w:w="1840" w:type="dxa"/>
            <w:vAlign w:val="bottom"/>
            <w:tcBorders>
              <w:top w:val="single" w:sz="8" w:color="DC202E"/>
            </w:tcBorders>
            <w:shd w:val="clear" w:color="auto" w:fill="DDDDDD"/>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Arial" w:cs="Arial" w:eastAsia="Arial" w:hAnsi="Arial"/>
                <w:sz w:val="18"/>
                <w:szCs w:val="18"/>
                <w:color w:val="auto"/>
              </w:rPr>
              <w:t>U.S. State</w:t>
            </w:r>
          </w:p>
        </w:tc>
        <w:tc>
          <w:tcPr>
            <w:tcW w:w="2240" w:type="dxa"/>
            <w:vAlign w:val="bottom"/>
          </w:tcPr>
          <w:p>
            <w:pPr>
              <w:jc w:val="center"/>
              <w:ind w:left="956"/>
              <w:spacing w:after="0"/>
              <w:rPr>
                <w:sz w:val="20"/>
                <w:szCs w:val="20"/>
                <w:color w:val="auto"/>
              </w:rPr>
            </w:pPr>
            <w:r>
              <w:rPr>
                <w:rFonts w:ascii="Arial" w:cs="Arial" w:eastAsia="Arial" w:hAnsi="Arial"/>
                <w:sz w:val="18"/>
                <w:szCs w:val="18"/>
                <w:color w:val="auto"/>
                <w:w w:val="99"/>
              </w:rPr>
              <w:t>2040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4360" w:type="dxa"/>
            <w:vAlign w:val="bottom"/>
            <w:shd w:val="clear" w:color="auto" w:fill="DDDDDD"/>
          </w:tcPr>
          <w:p>
            <w:pPr>
              <w:ind w:left="20"/>
              <w:spacing w:after="0"/>
              <w:rPr>
                <w:sz w:val="20"/>
                <w:szCs w:val="20"/>
                <w:color w:val="auto"/>
              </w:rPr>
            </w:pPr>
            <w:r>
              <w:rPr>
                <w:rFonts w:ascii="Arial" w:cs="Arial" w:eastAsia="Arial" w:hAnsi="Arial"/>
                <w:sz w:val="18"/>
                <w:szCs w:val="18"/>
                <w:color w:val="auto"/>
              </w:rPr>
              <w:t>Non-U.S.</w:t>
            </w:r>
          </w:p>
        </w:tc>
        <w:tc>
          <w:tcPr>
            <w:tcW w:w="2240" w:type="dxa"/>
            <w:vAlign w:val="bottom"/>
            <w:shd w:val="clear" w:color="auto" w:fill="DDDDDD"/>
          </w:tcPr>
          <w:p>
            <w:pPr>
              <w:jc w:val="center"/>
              <w:ind w:left="956"/>
              <w:spacing w:after="0"/>
              <w:rPr>
                <w:sz w:val="20"/>
                <w:szCs w:val="20"/>
                <w:color w:val="auto"/>
              </w:rPr>
            </w:pPr>
            <w:r>
              <w:rPr>
                <w:rFonts w:ascii="Arial" w:cs="Arial" w:eastAsia="Arial" w:hAnsi="Arial"/>
                <w:sz w:val="18"/>
                <w:szCs w:val="18"/>
                <w:color w:val="auto"/>
                <w:w w:val="99"/>
              </w:rPr>
              <w:t>2040</w:t>
            </w:r>
          </w:p>
        </w:tc>
        <w:tc>
          <w:tcPr>
            <w:tcW w:w="100" w:type="dxa"/>
            <w:vAlign w:val="bottom"/>
            <w:shd w:val="clear" w:color="auto" w:fill="DDDDDD"/>
          </w:tcPr>
          <w:p>
            <w:pPr>
              <w:spacing w:after="0"/>
              <w:rPr>
                <w:sz w:val="19"/>
                <w:szCs w:val="19"/>
                <w:color w:val="auto"/>
              </w:rPr>
            </w:pPr>
          </w:p>
        </w:tc>
        <w:tc>
          <w:tcPr>
            <w:tcW w:w="320" w:type="dxa"/>
            <w:vAlign w:val="bottom"/>
            <w:shd w:val="clear" w:color="auto" w:fill="DDDDDD"/>
          </w:tcPr>
          <w:p>
            <w:pPr>
              <w:spacing w:after="0"/>
              <w:rPr>
                <w:sz w:val="19"/>
                <w:szCs w:val="19"/>
                <w:color w:val="auto"/>
              </w:rPr>
            </w:pPr>
          </w:p>
        </w:tc>
        <w:tc>
          <w:tcPr>
            <w:tcW w:w="18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314</w:t>
            </w:r>
          </w:p>
        </w:tc>
        <w:tc>
          <w:tcPr>
            <w:tcW w:w="100" w:type="dxa"/>
            <w:vAlign w:val="bottom"/>
            <w:shd w:val="clear" w:color="auto" w:fill="DDDDDD"/>
          </w:tcPr>
          <w:p>
            <w:pPr>
              <w:spacing w:after="0"/>
              <w:rPr>
                <w:sz w:val="19"/>
                <w:szCs w:val="19"/>
                <w:color w:val="auto"/>
              </w:rPr>
            </w:pPr>
          </w:p>
        </w:tc>
        <w:tc>
          <w:tcPr>
            <w:tcW w:w="360" w:type="dxa"/>
            <w:vAlign w:val="bottom"/>
            <w:shd w:val="clear" w:color="auto" w:fill="DDDDDD"/>
          </w:tcPr>
          <w:p>
            <w:pPr>
              <w:spacing w:after="0"/>
              <w:rPr>
                <w:sz w:val="19"/>
                <w:szCs w:val="19"/>
                <w:color w:val="auto"/>
              </w:rPr>
            </w:pPr>
          </w:p>
        </w:tc>
        <w:tc>
          <w:tcPr>
            <w:tcW w:w="18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30"/>
        </w:trPr>
        <w:tc>
          <w:tcPr>
            <w:tcW w:w="4360" w:type="dxa"/>
            <w:vAlign w:val="bottom"/>
            <w:tcBorders>
              <w:bottom w:val="single" w:sz="8" w:color="DDDDDD"/>
            </w:tcBorders>
          </w:tcPr>
          <w:p>
            <w:pPr>
              <w:ind w:left="20"/>
              <w:spacing w:after="0"/>
              <w:rPr>
                <w:sz w:val="20"/>
                <w:szCs w:val="20"/>
                <w:color w:val="auto"/>
              </w:rPr>
            </w:pPr>
            <w:r>
              <w:rPr>
                <w:rFonts w:ascii="Arial" w:cs="Arial" w:eastAsia="Arial" w:hAnsi="Arial"/>
                <w:sz w:val="18"/>
                <w:szCs w:val="18"/>
                <w:color w:val="auto"/>
              </w:rPr>
              <w:t>Non-U.S.</w:t>
            </w:r>
          </w:p>
        </w:tc>
        <w:tc>
          <w:tcPr>
            <w:tcW w:w="2340" w:type="dxa"/>
            <w:vAlign w:val="bottom"/>
            <w:tcBorders>
              <w:bottom w:val="single" w:sz="8" w:color="DDDDDD"/>
            </w:tcBorders>
            <w:gridSpan w:val="2"/>
          </w:tcPr>
          <w:p>
            <w:pPr>
              <w:jc w:val="center"/>
              <w:ind w:left="856"/>
              <w:spacing w:after="0"/>
              <w:rPr>
                <w:sz w:val="20"/>
                <w:szCs w:val="20"/>
                <w:color w:val="auto"/>
              </w:rPr>
            </w:pPr>
            <w:r>
              <w:rPr>
                <w:rFonts w:ascii="Arial" w:cs="Arial" w:eastAsia="Arial" w:hAnsi="Arial"/>
                <w:sz w:val="18"/>
                <w:szCs w:val="18"/>
                <w:color w:val="auto"/>
                <w:w w:val="98"/>
              </w:rPr>
              <w:t>Indefinite</w:t>
            </w:r>
          </w:p>
        </w:tc>
        <w:tc>
          <w:tcPr>
            <w:tcW w:w="3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2,532</w:t>
            </w:r>
          </w:p>
        </w:tc>
        <w:tc>
          <w:tcPr>
            <w:tcW w:w="100" w:type="dxa"/>
            <w:vAlign w:val="bottom"/>
            <w:tcBorders>
              <w:bottom w:val="single" w:sz="8" w:color="DDDDDD"/>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1"/>
        </w:trPr>
        <w:tc>
          <w:tcPr>
            <w:tcW w:w="4360" w:type="dxa"/>
            <w:vAlign w:val="bottom"/>
            <w:tcBorders>
              <w:bottom w:val="single" w:sz="8" w:color="DDDDDD"/>
            </w:tcBorders>
            <w:shd w:val="clear" w:color="auto" w:fill="DDDDDD"/>
          </w:tcPr>
          <w:p>
            <w:pPr>
              <w:spacing w:after="0"/>
              <w:rPr>
                <w:sz w:val="22"/>
                <w:szCs w:val="22"/>
                <w:color w:val="auto"/>
              </w:rPr>
            </w:pPr>
          </w:p>
        </w:tc>
        <w:tc>
          <w:tcPr>
            <w:tcW w:w="2240" w:type="dxa"/>
            <w:vAlign w:val="bottom"/>
            <w:tcBorders>
              <w:bottom w:val="single" w:sz="8" w:color="DDDDDD"/>
            </w:tcBorders>
            <w:shd w:val="clear" w:color="auto" w:fill="DDDDDD"/>
          </w:tcPr>
          <w:p>
            <w:pPr>
              <w:spacing w:after="0"/>
              <w:rPr>
                <w:sz w:val="22"/>
                <w:szCs w:val="22"/>
                <w:color w:val="auto"/>
              </w:rPr>
            </w:pPr>
          </w:p>
        </w:tc>
        <w:tc>
          <w:tcPr>
            <w:tcW w:w="100" w:type="dxa"/>
            <w:vAlign w:val="bottom"/>
            <w:tcBorders>
              <w:bottom w:val="single" w:sz="8" w:color="DDDDDD"/>
            </w:tcBorders>
            <w:shd w:val="clear" w:color="auto" w:fill="DDDDDD"/>
          </w:tcPr>
          <w:p>
            <w:pPr>
              <w:spacing w:after="0"/>
              <w:rPr>
                <w:sz w:val="22"/>
                <w:szCs w:val="22"/>
                <w:color w:val="auto"/>
              </w:rPr>
            </w:pPr>
          </w:p>
        </w:tc>
        <w:tc>
          <w:tcPr>
            <w:tcW w:w="320" w:type="dxa"/>
            <w:vAlign w:val="bottom"/>
            <w:tcBorders>
              <w:bottom w:val="single" w:sz="8" w:color="auto"/>
            </w:tcBorders>
            <w:shd w:val="clear" w:color="auto" w:fill="DDDDDD"/>
          </w:tcPr>
          <w:p>
            <w:pPr>
              <w:jc w:val="right"/>
              <w:ind w:right="11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3,252</w:t>
            </w:r>
          </w:p>
        </w:tc>
        <w:tc>
          <w:tcPr>
            <w:tcW w:w="100" w:type="dxa"/>
            <w:vAlign w:val="bottom"/>
            <w:tcBorders>
              <w:bottom w:val="single" w:sz="8" w:color="DDDDDD"/>
            </w:tcBorders>
            <w:shd w:val="clear" w:color="auto" w:fill="DDDDDD"/>
          </w:tcPr>
          <w:p>
            <w:pPr>
              <w:spacing w:after="0"/>
              <w:rPr>
                <w:sz w:val="22"/>
                <w:szCs w:val="22"/>
                <w:color w:val="auto"/>
              </w:rPr>
            </w:pPr>
          </w:p>
        </w:tc>
        <w:tc>
          <w:tcPr>
            <w:tcW w:w="360" w:type="dxa"/>
            <w:vAlign w:val="bottom"/>
            <w:tcBorders>
              <w:bottom w:val="single" w:sz="8" w:color="auto"/>
            </w:tcBorders>
            <w:shd w:val="clear" w:color="auto" w:fill="DDDDDD"/>
          </w:tcPr>
          <w:p>
            <w:pPr>
              <w:ind w:left="20"/>
              <w:spacing w:after="0"/>
              <w:rPr>
                <w:sz w:val="20"/>
                <w:szCs w:val="20"/>
                <w:color w:val="auto"/>
              </w:rPr>
            </w:pPr>
            <w:r>
              <w:rPr>
                <w:rFonts w:ascii="Arial" w:cs="Arial" w:eastAsia="Arial" w:hAnsi="Arial"/>
                <w:sz w:val="20"/>
                <w:szCs w:val="20"/>
                <w:color w:val="auto"/>
              </w:rPr>
              <w:t>$</w:t>
            </w:r>
          </w:p>
        </w:tc>
        <w:tc>
          <w:tcPr>
            <w:tcW w:w="18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20"/>
                <w:szCs w:val="20"/>
                <w:color w:val="auto"/>
              </w:rPr>
              <w:t>224</w:t>
            </w:r>
          </w:p>
        </w:tc>
        <w:tc>
          <w:tcPr>
            <w:tcW w:w="0" w:type="dxa"/>
            <w:vAlign w:val="bottom"/>
          </w:tcPr>
          <w:p>
            <w:pPr>
              <w:spacing w:after="0"/>
              <w:rPr>
                <w:sz w:val="1"/>
                <w:szCs w:val="1"/>
                <w:color w:val="auto"/>
              </w:rPr>
            </w:pPr>
          </w:p>
        </w:tc>
      </w:tr>
      <w:tr>
        <w:trPr>
          <w:trHeight w:val="20"/>
        </w:trPr>
        <w:tc>
          <w:tcPr>
            <w:tcW w:w="4360" w:type="dxa"/>
            <w:vAlign w:val="bottom"/>
            <w:tcBorders>
              <w:top w:val="single" w:sz="8" w:color="DDDDDD"/>
            </w:tcBorders>
          </w:tcPr>
          <w:p>
            <w:pPr>
              <w:spacing w:after="0" w:line="20" w:lineRule="exact"/>
              <w:rPr>
                <w:sz w:val="1"/>
                <w:szCs w:val="1"/>
                <w:color w:val="auto"/>
              </w:rPr>
            </w:pPr>
          </w:p>
        </w:tc>
        <w:tc>
          <w:tcPr>
            <w:tcW w:w="2240" w:type="dxa"/>
            <w:vAlign w:val="bottom"/>
            <w:tcBorders>
              <w:top w:val="single" w:sz="8" w:color="DDDDDD"/>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320" w:type="dxa"/>
            <w:vAlign w:val="bottom"/>
            <w:tcBorders>
              <w:top w:val="single" w:sz="8" w:color="DDDDDD"/>
              <w:bottom w:val="single" w:sz="8" w:color="auto"/>
            </w:tcBorders>
          </w:tcPr>
          <w:p>
            <w:pPr>
              <w:spacing w:after="0" w:line="20" w:lineRule="exact"/>
              <w:rPr>
                <w:sz w:val="1"/>
                <w:szCs w:val="1"/>
                <w:color w:val="auto"/>
              </w:rPr>
            </w:pPr>
          </w:p>
        </w:tc>
        <w:tc>
          <w:tcPr>
            <w:tcW w:w="1880" w:type="dxa"/>
            <w:vAlign w:val="bottom"/>
            <w:tcBorders>
              <w:top w:val="single" w:sz="8" w:color="DDDDDD"/>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360" w:type="dxa"/>
            <w:vAlign w:val="bottom"/>
            <w:tcBorders>
              <w:top w:val="single" w:sz="8" w:color="DDDDDD"/>
              <w:bottom w:val="single" w:sz="8" w:color="auto"/>
            </w:tcBorders>
          </w:tcPr>
          <w:p>
            <w:pPr>
              <w:spacing w:after="0" w:line="20" w:lineRule="exact"/>
              <w:rPr>
                <w:sz w:val="1"/>
                <w:szCs w:val="1"/>
                <w:color w:val="auto"/>
              </w:rPr>
            </w:pPr>
          </w:p>
        </w:tc>
        <w:tc>
          <w:tcPr>
            <w:tcW w:w="1840" w:type="dxa"/>
            <w:vAlign w:val="bottom"/>
            <w:tcBorders>
              <w:top w:val="single" w:sz="8" w:color="DDDDD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Many jurisdictions impose limitations on the timing and utilization of net operating loss and tax credit carryforwards. In those instances, whereby there is an expected permanent limitation on the utilization of the net operating loss or tax credit carryforward, the deferred tax asset and amount of the carryforward have been reduced.</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00" w:type="dxa"/>
            <w:vAlign w:val="bottom"/>
          </w:tcPr>
          <w:p>
            <w:pPr>
              <w:spacing w:after="0"/>
              <w:rPr>
                <w:sz w:val="17"/>
                <w:szCs w:val="17"/>
                <w:color w:val="auto"/>
              </w:rPr>
            </w:pPr>
          </w:p>
        </w:tc>
        <w:tc>
          <w:tcPr>
            <w:tcW w:w="900" w:type="dxa"/>
            <w:vAlign w:val="bottom"/>
            <w:tcBorders>
              <w:bottom w:val="single" w:sz="8" w:color="DC202E"/>
            </w:tcBorders>
          </w:tcPr>
          <w:p>
            <w:pPr>
              <w:spacing w:after="0"/>
              <w:rPr>
                <w:sz w:val="17"/>
                <w:szCs w:val="17"/>
                <w:color w:val="auto"/>
              </w:rPr>
            </w:pPr>
          </w:p>
        </w:tc>
        <w:tc>
          <w:tcPr>
            <w:tcW w:w="2540" w:type="dxa"/>
            <w:vAlign w:val="bottom"/>
            <w:tcBorders>
              <w:bottom w:val="single" w:sz="8" w:color="DC202E"/>
            </w:tcBorders>
            <w:gridSpan w:val="6"/>
          </w:tcPr>
          <w:p>
            <w:pPr>
              <w:jc w:val="right"/>
              <w:ind w:right="170"/>
              <w:spacing w:after="0"/>
              <w:rPr>
                <w:sz w:val="20"/>
                <w:szCs w:val="20"/>
                <w:color w:val="auto"/>
              </w:rPr>
            </w:pPr>
            <w:r>
              <w:rPr>
                <w:rFonts w:ascii="Arial" w:cs="Arial" w:eastAsia="Arial" w:hAnsi="Arial"/>
                <w:sz w:val="14"/>
                <w:szCs w:val="14"/>
                <w:b w:val="1"/>
                <w:bCs w:val="1"/>
                <w:color w:val="auto"/>
              </w:rPr>
              <w:t>Years Ended December 31,</w:t>
            </w:r>
          </w:p>
        </w:tc>
        <w:tc>
          <w:tcPr>
            <w:tcW w:w="1100" w:type="dxa"/>
            <w:vAlign w:val="bottom"/>
            <w:tcBorders>
              <w:bottom w:val="single" w:sz="8" w:color="DC202E"/>
            </w:tcBorders>
          </w:tcPr>
          <w:p>
            <w:pPr>
              <w:spacing w:after="0"/>
              <w:rPr>
                <w:sz w:val="17"/>
                <w:szCs w:val="17"/>
                <w:color w:val="auto"/>
              </w:rPr>
            </w:pPr>
          </w:p>
        </w:tc>
      </w:tr>
      <w:tr>
        <w:trPr>
          <w:trHeight w:val="196"/>
        </w:trPr>
        <w:tc>
          <w:tcPr>
            <w:tcW w:w="6700" w:type="dxa"/>
            <w:vAlign w:val="bottom"/>
            <w:tcBorders>
              <w:bottom w:val="single" w:sz="8" w:color="DDDDDD"/>
            </w:tcBorders>
          </w:tcPr>
          <w:p>
            <w:pPr>
              <w:spacing w:after="0"/>
              <w:rPr>
                <w:sz w:val="17"/>
                <w:szCs w:val="17"/>
                <w:color w:val="auto"/>
              </w:rPr>
            </w:pPr>
          </w:p>
        </w:tc>
        <w:tc>
          <w:tcPr>
            <w:tcW w:w="90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DC202E"/>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340" w:type="dxa"/>
            <w:vAlign w:val="bottom"/>
            <w:tcBorders>
              <w:bottom w:val="single" w:sz="8" w:color="DC202E"/>
            </w:tcBorders>
          </w:tcPr>
          <w:p>
            <w:pPr>
              <w:spacing w:after="0"/>
              <w:rPr>
                <w:sz w:val="17"/>
                <w:szCs w:val="17"/>
                <w:color w:val="auto"/>
              </w:rPr>
            </w:pPr>
          </w:p>
        </w:tc>
        <w:tc>
          <w:tcPr>
            <w:tcW w:w="1100" w:type="dxa"/>
            <w:vAlign w:val="bottom"/>
            <w:tcBorders>
              <w:bottom w:val="single" w:sz="8" w:color="DC202E"/>
            </w:tcBorders>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DDDDDD"/>
            </w:tcBorders>
          </w:tcPr>
          <w:p>
            <w:pPr>
              <w:spacing w:after="0"/>
              <w:rPr>
                <w:sz w:val="17"/>
                <w:szCs w:val="17"/>
                <w:color w:val="auto"/>
              </w:rPr>
            </w:pPr>
          </w:p>
        </w:tc>
        <w:tc>
          <w:tcPr>
            <w:tcW w:w="340" w:type="dxa"/>
            <w:vAlign w:val="bottom"/>
            <w:tcBorders>
              <w:bottom w:val="single" w:sz="8" w:color="DC202E"/>
            </w:tcBorders>
          </w:tcPr>
          <w:p>
            <w:pPr>
              <w:spacing w:after="0"/>
              <w:rPr>
                <w:sz w:val="17"/>
                <w:szCs w:val="17"/>
                <w:color w:val="auto"/>
              </w:rPr>
            </w:pPr>
          </w:p>
        </w:tc>
        <w:tc>
          <w:tcPr>
            <w:tcW w:w="1100" w:type="dxa"/>
            <w:vAlign w:val="bottom"/>
            <w:tcBorders>
              <w:bottom w:val="single" w:sz="8" w:color="DC202E"/>
            </w:tcBorders>
          </w:tcPr>
          <w:p>
            <w:pPr>
              <w:jc w:val="right"/>
              <w:ind w:right="472"/>
              <w:spacing w:after="0"/>
              <w:rPr>
                <w:sz w:val="20"/>
                <w:szCs w:val="20"/>
                <w:color w:val="auto"/>
              </w:rPr>
            </w:pPr>
            <w:r>
              <w:rPr>
                <w:rFonts w:ascii="Arial" w:cs="Arial" w:eastAsia="Arial" w:hAnsi="Arial"/>
                <w:sz w:val="14"/>
                <w:szCs w:val="14"/>
                <w:b w:val="1"/>
                <w:bCs w:val="1"/>
                <w:color w:val="auto"/>
              </w:rPr>
              <w:t>2018</w:t>
            </w:r>
          </w:p>
        </w:tc>
      </w:tr>
      <w:tr>
        <w:trPr>
          <w:trHeight w:val="230"/>
        </w:trPr>
        <w:tc>
          <w:tcPr>
            <w:tcW w:w="6700" w:type="dxa"/>
            <w:vAlign w:val="bottom"/>
            <w:shd w:val="clear" w:color="auto" w:fill="DDDDDD"/>
          </w:tcPr>
          <w:p>
            <w:pPr>
              <w:ind w:left="20"/>
              <w:spacing w:after="0"/>
              <w:rPr>
                <w:sz w:val="20"/>
                <w:szCs w:val="20"/>
                <w:color w:val="auto"/>
              </w:rPr>
            </w:pPr>
            <w:r>
              <w:rPr>
                <w:rFonts w:ascii="Arial" w:cs="Arial" w:eastAsia="Arial" w:hAnsi="Arial"/>
                <w:sz w:val="18"/>
                <w:szCs w:val="18"/>
                <w:color w:val="auto"/>
              </w:rPr>
              <w:t>Change in unrecognized tax benefits:</w:t>
            </w:r>
          </w:p>
        </w:tc>
        <w:tc>
          <w:tcPr>
            <w:tcW w:w="900" w:type="dxa"/>
            <w:vAlign w:val="bottom"/>
            <w:shd w:val="clear" w:color="auto" w:fill="DDDDDD"/>
          </w:tcPr>
          <w:p>
            <w:pPr>
              <w:spacing w:after="0"/>
              <w:rPr>
                <w:sz w:val="19"/>
                <w:szCs w:val="19"/>
                <w:color w:val="auto"/>
              </w:rPr>
            </w:pPr>
          </w:p>
        </w:tc>
        <w:tc>
          <w:tcPr>
            <w:tcW w:w="54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spacing w:after="0"/>
              <w:rPr>
                <w:sz w:val="19"/>
                <w:szCs w:val="19"/>
                <w:color w:val="auto"/>
              </w:rPr>
            </w:pP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Balance at beginning of year</w:t>
            </w:r>
          </w:p>
        </w:tc>
        <w:tc>
          <w:tcPr>
            <w:tcW w:w="900" w:type="dxa"/>
            <w:vAlign w:val="bottom"/>
          </w:tcPr>
          <w:p>
            <w:pPr>
              <w:jc w:val="right"/>
              <w:ind w:right="716"/>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1,164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1,089</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947</w:t>
            </w:r>
          </w:p>
        </w:tc>
      </w:tr>
      <w:tr>
        <w:trPr>
          <w:trHeight w:val="230"/>
        </w:trPr>
        <w:tc>
          <w:tcPr>
            <w:tcW w:w="6700" w:type="dxa"/>
            <w:vAlign w:val="bottom"/>
            <w:shd w:val="clear" w:color="auto" w:fill="DDDDDD"/>
          </w:tcPr>
          <w:p>
            <w:pPr>
              <w:ind w:left="140"/>
              <w:spacing w:after="0"/>
              <w:rPr>
                <w:sz w:val="20"/>
                <w:szCs w:val="20"/>
                <w:color w:val="auto"/>
              </w:rPr>
            </w:pPr>
            <w:r>
              <w:rPr>
                <w:rFonts w:ascii="Arial" w:cs="Arial" w:eastAsia="Arial" w:hAnsi="Arial"/>
                <w:sz w:val="18"/>
                <w:szCs w:val="18"/>
                <w:color w:val="auto"/>
              </w:rPr>
              <w:t>Gross increases related to current period tax positions</w:t>
            </w:r>
          </w:p>
        </w:tc>
        <w:tc>
          <w:tcPr>
            <w:tcW w:w="900" w:type="dxa"/>
            <w:vAlign w:val="bottom"/>
            <w:shd w:val="clear" w:color="auto" w:fill="DDDDDD"/>
          </w:tcPr>
          <w:p>
            <w:pPr>
              <w:spacing w:after="0"/>
              <w:rPr>
                <w:sz w:val="19"/>
                <w:szCs w:val="19"/>
                <w:color w:val="auto"/>
              </w:rPr>
            </w:pPr>
          </w:p>
        </w:tc>
        <w:tc>
          <w:tcPr>
            <w:tcW w:w="5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370</w:t>
            </w: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color w:val="auto"/>
              </w:rPr>
              <w:t>Gross increases related to prior periods tax positions</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30"/>
        </w:trPr>
        <w:tc>
          <w:tcPr>
            <w:tcW w:w="6700" w:type="dxa"/>
            <w:vAlign w:val="bottom"/>
            <w:shd w:val="clear" w:color="auto" w:fill="DDDDDD"/>
          </w:tcPr>
          <w:p>
            <w:pPr>
              <w:ind w:left="140"/>
              <w:spacing w:after="0"/>
              <w:rPr>
                <w:sz w:val="20"/>
                <w:szCs w:val="20"/>
                <w:color w:val="auto"/>
              </w:rPr>
            </w:pPr>
            <w:r>
              <w:rPr>
                <w:rFonts w:ascii="Arial" w:cs="Arial" w:eastAsia="Arial" w:hAnsi="Arial"/>
                <w:sz w:val="18"/>
                <w:szCs w:val="18"/>
                <w:color w:val="auto"/>
              </w:rPr>
              <w:t>Gross decreases related to prior periods tax positions</w:t>
            </w:r>
          </w:p>
        </w:tc>
        <w:tc>
          <w:tcPr>
            <w:tcW w:w="900" w:type="dxa"/>
            <w:vAlign w:val="bottom"/>
            <w:shd w:val="clear" w:color="auto" w:fill="DDDDDD"/>
          </w:tcPr>
          <w:p>
            <w:pPr>
              <w:spacing w:after="0"/>
              <w:rPr>
                <w:sz w:val="19"/>
                <w:szCs w:val="19"/>
                <w:color w:val="auto"/>
              </w:rPr>
            </w:pPr>
          </w:p>
        </w:tc>
        <w:tc>
          <w:tcPr>
            <w:tcW w:w="5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(201)</w:t>
            </w: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Decrease related to resolutions of audits with tax authorities</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6700" w:type="dxa"/>
            <w:vAlign w:val="bottom"/>
            <w:shd w:val="clear" w:color="auto" w:fill="DDDDDD"/>
          </w:tcPr>
          <w:p>
            <w:pPr>
              <w:ind w:left="140"/>
              <w:spacing w:after="0"/>
              <w:rPr>
                <w:sz w:val="20"/>
                <w:szCs w:val="20"/>
                <w:color w:val="auto"/>
              </w:rPr>
            </w:pPr>
            <w:r>
              <w:rPr>
                <w:rFonts w:ascii="Arial" w:cs="Arial" w:eastAsia="Arial" w:hAnsi="Arial"/>
                <w:sz w:val="18"/>
                <w:szCs w:val="18"/>
                <w:color w:val="auto"/>
              </w:rPr>
              <w:t>Expiration of the statute of limitations for the assessment of taxes</w:t>
            </w:r>
          </w:p>
        </w:tc>
        <w:tc>
          <w:tcPr>
            <w:tcW w:w="900" w:type="dxa"/>
            <w:vAlign w:val="bottom"/>
            <w:shd w:val="clear" w:color="auto" w:fill="DDDDDD"/>
          </w:tcPr>
          <w:p>
            <w:pPr>
              <w:spacing w:after="0"/>
              <w:rPr>
                <w:sz w:val="19"/>
                <w:szCs w:val="19"/>
                <w:color w:val="auto"/>
              </w:rPr>
            </w:pPr>
          </w:p>
        </w:tc>
        <w:tc>
          <w:tcPr>
            <w:tcW w:w="5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6700" w:type="dxa"/>
            <w:vAlign w:val="bottom"/>
            <w:tcBorders>
              <w:bottom w:val="single" w:sz="8" w:color="DDDDDD"/>
            </w:tcBorders>
          </w:tcPr>
          <w:p>
            <w:pPr>
              <w:ind w:left="140"/>
              <w:spacing w:after="0"/>
              <w:rPr>
                <w:sz w:val="20"/>
                <w:szCs w:val="20"/>
                <w:color w:val="auto"/>
              </w:rPr>
            </w:pPr>
            <w:r>
              <w:rPr>
                <w:rFonts w:ascii="Arial" w:cs="Arial" w:eastAsia="Arial" w:hAnsi="Arial"/>
                <w:sz w:val="18"/>
                <w:szCs w:val="18"/>
                <w:color w:val="auto"/>
              </w:rPr>
              <w:t>Foreign currency translation</w:t>
            </w:r>
          </w:p>
        </w:tc>
        <w:tc>
          <w:tcPr>
            <w:tcW w:w="9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DDDDDD"/>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DDDDDD"/>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48"/>
        </w:trPr>
        <w:tc>
          <w:tcPr>
            <w:tcW w:w="670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8"/>
                <w:szCs w:val="18"/>
                <w:color w:val="auto"/>
              </w:rPr>
              <w:t>Balance at end of year</w:t>
            </w:r>
          </w:p>
        </w:tc>
        <w:tc>
          <w:tcPr>
            <w:tcW w:w="900" w:type="dxa"/>
            <w:vAlign w:val="bottom"/>
            <w:tcBorders>
              <w:bottom w:val="single" w:sz="8" w:color="auto"/>
            </w:tcBorders>
            <w:shd w:val="clear" w:color="auto" w:fill="DDDDDD"/>
          </w:tcPr>
          <w:p>
            <w:pPr>
              <w:jc w:val="right"/>
              <w:ind w:right="71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991</w:t>
            </w:r>
          </w:p>
        </w:tc>
        <w:tc>
          <w:tcPr>
            <w:tcW w:w="100" w:type="dxa"/>
            <w:vAlign w:val="bottom"/>
            <w:tcBorders>
              <w:bottom w:val="single" w:sz="8" w:color="DDDDDD"/>
            </w:tcBorders>
            <w:shd w:val="clear" w:color="auto" w:fill="DDDDDD"/>
          </w:tcPr>
          <w:p>
            <w:pPr>
              <w:spacing w:after="0"/>
              <w:rPr>
                <w:sz w:val="21"/>
                <w:szCs w:val="21"/>
                <w:color w:val="auto"/>
              </w:rPr>
            </w:pPr>
          </w:p>
        </w:tc>
        <w:tc>
          <w:tcPr>
            <w:tcW w:w="340" w:type="dxa"/>
            <w:vAlign w:val="bottom"/>
            <w:tcBorders>
              <w:bottom w:val="single" w:sz="8" w:color="auto"/>
            </w:tcBorders>
            <w:shd w:val="clear" w:color="auto" w:fill="DDDDDD"/>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1,164</w:t>
            </w:r>
          </w:p>
        </w:tc>
        <w:tc>
          <w:tcPr>
            <w:tcW w:w="120" w:type="dxa"/>
            <w:vAlign w:val="bottom"/>
            <w:tcBorders>
              <w:bottom w:val="single" w:sz="8" w:color="DDDDDD"/>
            </w:tcBorders>
            <w:shd w:val="clear" w:color="auto" w:fill="DDDDDD"/>
          </w:tcPr>
          <w:p>
            <w:pPr>
              <w:spacing w:after="0"/>
              <w:rPr>
                <w:sz w:val="21"/>
                <w:szCs w:val="21"/>
                <w:color w:val="auto"/>
              </w:rPr>
            </w:pPr>
          </w:p>
        </w:tc>
        <w:tc>
          <w:tcPr>
            <w:tcW w:w="340" w:type="dxa"/>
            <w:vAlign w:val="bottom"/>
            <w:tcBorders>
              <w:bottom w:val="single" w:sz="8" w:color="auto"/>
            </w:tcBorders>
            <w:shd w:val="clear" w:color="auto" w:fill="DDDDDD"/>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1,089</w:t>
            </w:r>
          </w:p>
        </w:tc>
      </w:tr>
      <w:tr>
        <w:trPr>
          <w:trHeight w:val="20"/>
        </w:trPr>
        <w:tc>
          <w:tcPr>
            <w:tcW w:w="6700" w:type="dxa"/>
            <w:vAlign w:val="bottom"/>
            <w:tcBorders>
              <w:top w:val="single" w:sz="8" w:color="DDDDDD"/>
            </w:tcBorders>
          </w:tcPr>
          <w:p>
            <w:pPr>
              <w:spacing w:after="0" w:line="20" w:lineRule="exact"/>
              <w:rPr>
                <w:sz w:val="1"/>
                <w:szCs w:val="1"/>
                <w:color w:val="auto"/>
              </w:rPr>
            </w:pPr>
          </w:p>
        </w:tc>
        <w:tc>
          <w:tcPr>
            <w:tcW w:w="900" w:type="dxa"/>
            <w:vAlign w:val="bottom"/>
            <w:tcBorders>
              <w:top w:val="single" w:sz="8" w:color="DDDDDD"/>
              <w:bottom w:val="single" w:sz="8" w:color="auto"/>
            </w:tcBorders>
          </w:tcPr>
          <w:p>
            <w:pPr>
              <w:spacing w:after="0" w:line="20" w:lineRule="exact"/>
              <w:rPr>
                <w:sz w:val="1"/>
                <w:szCs w:val="1"/>
                <w:color w:val="auto"/>
              </w:rPr>
            </w:pPr>
          </w:p>
        </w:tc>
        <w:tc>
          <w:tcPr>
            <w:tcW w:w="540" w:type="dxa"/>
            <w:vAlign w:val="bottom"/>
            <w:tcBorders>
              <w:top w:val="single" w:sz="8" w:color="DDDDDD"/>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340" w:type="dxa"/>
            <w:vAlign w:val="bottom"/>
            <w:tcBorders>
              <w:top w:val="single" w:sz="8" w:color="DDDDDD"/>
              <w:bottom w:val="single" w:sz="8" w:color="auto"/>
            </w:tcBorders>
          </w:tcPr>
          <w:p>
            <w:pPr>
              <w:spacing w:after="0" w:line="20" w:lineRule="exact"/>
              <w:rPr>
                <w:sz w:val="1"/>
                <w:szCs w:val="1"/>
                <w:color w:val="auto"/>
              </w:rPr>
            </w:pPr>
          </w:p>
        </w:tc>
        <w:tc>
          <w:tcPr>
            <w:tcW w:w="1100" w:type="dxa"/>
            <w:vAlign w:val="bottom"/>
            <w:tcBorders>
              <w:top w:val="single" w:sz="8" w:color="DDDDDD"/>
              <w:bottom w:val="single" w:sz="8" w:color="auto"/>
            </w:tcBorders>
          </w:tcPr>
          <w:p>
            <w:pPr>
              <w:spacing w:after="0" w:line="20" w:lineRule="exact"/>
              <w:rPr>
                <w:sz w:val="1"/>
                <w:szCs w:val="1"/>
                <w:color w:val="auto"/>
              </w:rPr>
            </w:pPr>
          </w:p>
        </w:tc>
        <w:tc>
          <w:tcPr>
            <w:tcW w:w="120" w:type="dxa"/>
            <w:vAlign w:val="bottom"/>
            <w:tcBorders>
              <w:top w:val="single" w:sz="8" w:color="DDDDDD"/>
            </w:tcBorders>
          </w:tcPr>
          <w:p>
            <w:pPr>
              <w:spacing w:after="0" w:line="20" w:lineRule="exact"/>
              <w:rPr>
                <w:sz w:val="1"/>
                <w:szCs w:val="1"/>
                <w:color w:val="auto"/>
              </w:rPr>
            </w:pPr>
          </w:p>
        </w:tc>
        <w:tc>
          <w:tcPr>
            <w:tcW w:w="340" w:type="dxa"/>
            <w:vAlign w:val="bottom"/>
            <w:tcBorders>
              <w:top w:val="single" w:sz="8" w:color="DDDDDD"/>
              <w:bottom w:val="single" w:sz="8" w:color="auto"/>
            </w:tcBorders>
          </w:tcPr>
          <w:p>
            <w:pPr>
              <w:spacing w:after="0" w:line="20" w:lineRule="exact"/>
              <w:rPr>
                <w:sz w:val="1"/>
                <w:szCs w:val="1"/>
                <w:color w:val="auto"/>
              </w:rPr>
            </w:pPr>
          </w:p>
        </w:tc>
        <w:tc>
          <w:tcPr>
            <w:tcW w:w="1100" w:type="dxa"/>
            <w:vAlign w:val="bottom"/>
            <w:tcBorders>
              <w:top w:val="single" w:sz="8" w:color="DDDDDD"/>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of December 31, 2020, 2019 and 2018, there were $991 million, $1,164 million, and $1,089 million of unrecognized tax benefits that if recognized would be recorded as a component of Tax expense.</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65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8" w:name="page69"/>
    <w:bookmarkEnd w:id="68"/>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tax years that remain subject to examination by major tax jurisdictions as of December 31, 2020:</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820" w:type="dxa"/>
            <w:vAlign w:val="bottom"/>
            <w:gridSpan w:val="3"/>
          </w:tcPr>
          <w:p>
            <w:pPr>
              <w:jc w:val="center"/>
              <w:ind w:right="1588"/>
              <w:spacing w:after="0"/>
              <w:rPr>
                <w:sz w:val="20"/>
                <w:szCs w:val="20"/>
                <w:color w:val="auto"/>
              </w:rPr>
            </w:pPr>
            <w:r>
              <w:rPr>
                <w:rFonts w:ascii="Arial" w:cs="Arial" w:eastAsia="Arial" w:hAnsi="Arial"/>
                <w:sz w:val="14"/>
                <w:szCs w:val="14"/>
                <w:b w:val="1"/>
                <w:bCs w:val="1"/>
                <w:color w:val="auto"/>
              </w:rPr>
              <w:t>Open Tax Years</w:t>
            </w:r>
          </w:p>
        </w:tc>
        <w:tc>
          <w:tcPr>
            <w:tcW w:w="0" w:type="dxa"/>
            <w:vAlign w:val="bottom"/>
          </w:tcPr>
          <w:p>
            <w:pPr>
              <w:spacing w:after="0"/>
              <w:rPr>
                <w:sz w:val="1"/>
                <w:szCs w:val="1"/>
                <w:color w:val="auto"/>
              </w:rPr>
            </w:pPr>
          </w:p>
        </w:tc>
      </w:tr>
      <w:tr>
        <w:trPr>
          <w:trHeight w:val="183"/>
        </w:trPr>
        <w:tc>
          <w:tcPr>
            <w:tcW w:w="6760" w:type="dxa"/>
            <w:vAlign w:val="bottom"/>
          </w:tcPr>
          <w:p>
            <w:pPr>
              <w:spacing w:after="0"/>
              <w:rPr>
                <w:sz w:val="15"/>
                <w:szCs w:val="15"/>
                <w:color w:val="auto"/>
              </w:rPr>
            </w:pPr>
          </w:p>
        </w:tc>
        <w:tc>
          <w:tcPr>
            <w:tcW w:w="4480" w:type="dxa"/>
            <w:vAlign w:val="bottom"/>
            <w:tcBorders>
              <w:bottom w:val="single" w:sz="8" w:color="DC202E"/>
            </w:tcBorders>
            <w:gridSpan w:val="4"/>
          </w:tcPr>
          <w:p>
            <w:pPr>
              <w:jc w:val="center"/>
              <w:spacing w:after="0"/>
              <w:rPr>
                <w:sz w:val="20"/>
                <w:szCs w:val="20"/>
                <w:color w:val="auto"/>
              </w:rPr>
            </w:pPr>
            <w:r>
              <w:rPr>
                <w:rFonts w:ascii="Arial" w:cs="Arial" w:eastAsia="Arial" w:hAnsi="Arial"/>
                <w:sz w:val="14"/>
                <w:szCs w:val="14"/>
                <w:b w:val="1"/>
                <w:bCs w:val="1"/>
                <w:color w:val="auto"/>
              </w:rPr>
              <w:t>Based on Originally Filed Returns</w:t>
            </w:r>
          </w:p>
        </w:tc>
        <w:tc>
          <w:tcPr>
            <w:tcW w:w="0" w:type="dxa"/>
            <w:vAlign w:val="bottom"/>
          </w:tcPr>
          <w:p>
            <w:pPr>
              <w:spacing w:after="0"/>
              <w:rPr>
                <w:sz w:val="1"/>
                <w:szCs w:val="1"/>
                <w:color w:val="auto"/>
              </w:rPr>
            </w:pPr>
          </w:p>
        </w:tc>
      </w:tr>
      <w:tr>
        <w:trPr>
          <w:trHeight w:val="175"/>
        </w:trPr>
        <w:tc>
          <w:tcPr>
            <w:tcW w:w="6760" w:type="dxa"/>
            <w:vAlign w:val="bottom"/>
            <w:vMerge w:val="restart"/>
          </w:tcPr>
          <w:p>
            <w:pPr>
              <w:ind w:left="2920"/>
              <w:spacing w:after="0"/>
              <w:rPr>
                <w:sz w:val="20"/>
                <w:szCs w:val="20"/>
                <w:color w:val="auto"/>
              </w:rPr>
            </w:pPr>
            <w:r>
              <w:rPr>
                <w:rFonts w:ascii="Arial" w:cs="Arial" w:eastAsia="Arial" w:hAnsi="Arial"/>
                <w:sz w:val="16"/>
                <w:szCs w:val="16"/>
                <w:b w:val="1"/>
                <w:bCs w:val="1"/>
                <w:color w:val="auto"/>
              </w:rPr>
              <w:t>Jurisdiction</w:t>
            </w:r>
          </w:p>
        </w:tc>
        <w:tc>
          <w:tcPr>
            <w:tcW w:w="1660" w:type="dxa"/>
            <w:vAlign w:val="bottom"/>
          </w:tcPr>
          <w:p>
            <w:pPr>
              <w:jc w:val="center"/>
              <w:ind w:left="434"/>
              <w:spacing w:after="0"/>
              <w:rPr>
                <w:sz w:val="20"/>
                <w:szCs w:val="20"/>
                <w:color w:val="auto"/>
              </w:rPr>
            </w:pPr>
            <w:r>
              <w:rPr>
                <w:rFonts w:ascii="Arial" w:cs="Arial" w:eastAsia="Arial" w:hAnsi="Arial"/>
                <w:sz w:val="14"/>
                <w:szCs w:val="14"/>
                <w:b w:val="1"/>
                <w:bCs w:val="1"/>
                <w:color w:val="auto"/>
              </w:rPr>
              <w:t>Examination in</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rPr>
              <w:t>Examination not yet</w:t>
            </w:r>
          </w:p>
        </w:tc>
        <w:tc>
          <w:tcPr>
            <w:tcW w:w="0" w:type="dxa"/>
            <w:vAlign w:val="bottom"/>
          </w:tcPr>
          <w:p>
            <w:pPr>
              <w:spacing w:after="0"/>
              <w:rPr>
                <w:sz w:val="1"/>
                <w:szCs w:val="1"/>
                <w:color w:val="auto"/>
              </w:rPr>
            </w:pPr>
          </w:p>
        </w:tc>
      </w:tr>
      <w:tr>
        <w:trPr>
          <w:trHeight w:val="183"/>
        </w:trPr>
        <w:tc>
          <w:tcPr>
            <w:tcW w:w="6760" w:type="dxa"/>
            <w:vAlign w:val="bottom"/>
            <w:tcBorders>
              <w:bottom w:val="single" w:sz="8" w:color="DC202E"/>
            </w:tcBorders>
            <w:vMerge w:val="continue"/>
          </w:tcPr>
          <w:p>
            <w:pPr>
              <w:spacing w:after="0"/>
              <w:rPr>
                <w:sz w:val="15"/>
                <w:szCs w:val="15"/>
                <w:color w:val="auto"/>
              </w:rPr>
            </w:pPr>
          </w:p>
        </w:tc>
        <w:tc>
          <w:tcPr>
            <w:tcW w:w="1660" w:type="dxa"/>
            <w:vAlign w:val="bottom"/>
            <w:tcBorders>
              <w:bottom w:val="single" w:sz="8" w:color="DC202E"/>
            </w:tcBorders>
          </w:tcPr>
          <w:p>
            <w:pPr>
              <w:jc w:val="center"/>
              <w:ind w:left="434"/>
              <w:spacing w:after="0"/>
              <w:rPr>
                <w:sz w:val="20"/>
                <w:szCs w:val="20"/>
                <w:color w:val="auto"/>
              </w:rPr>
            </w:pPr>
            <w:r>
              <w:rPr>
                <w:rFonts w:ascii="Arial" w:cs="Arial" w:eastAsia="Arial" w:hAnsi="Arial"/>
                <w:sz w:val="14"/>
                <w:szCs w:val="14"/>
                <w:b w:val="1"/>
                <w:bCs w:val="1"/>
                <w:color w:val="auto"/>
              </w:rPr>
              <w:t>progress</w:t>
            </w:r>
          </w:p>
        </w:tc>
        <w:tc>
          <w:tcPr>
            <w:tcW w:w="520" w:type="dxa"/>
            <w:vAlign w:val="bottom"/>
            <w:tcBorders>
              <w:bottom w:val="single" w:sz="8" w:color="DC202E"/>
            </w:tcBorders>
          </w:tcPr>
          <w:p>
            <w:pPr>
              <w:spacing w:after="0"/>
              <w:rPr>
                <w:sz w:val="15"/>
                <w:szCs w:val="15"/>
                <w:color w:val="auto"/>
              </w:rPr>
            </w:pPr>
          </w:p>
        </w:tc>
        <w:tc>
          <w:tcPr>
            <w:tcW w:w="120" w:type="dxa"/>
            <w:vAlign w:val="bottom"/>
            <w:tcBorders>
              <w:bottom w:val="single" w:sz="8" w:color="DDDDDD"/>
            </w:tcBorders>
          </w:tcPr>
          <w:p>
            <w:pPr>
              <w:spacing w:after="0"/>
              <w:rPr>
                <w:sz w:val="15"/>
                <w:szCs w:val="15"/>
                <w:color w:val="auto"/>
              </w:rPr>
            </w:pPr>
          </w:p>
        </w:tc>
        <w:tc>
          <w:tcPr>
            <w:tcW w:w="2180" w:type="dxa"/>
            <w:vAlign w:val="bottom"/>
            <w:tcBorders>
              <w:bottom w:val="single" w:sz="8" w:color="DC202E"/>
            </w:tcBorders>
          </w:tcPr>
          <w:p>
            <w:pPr>
              <w:jc w:val="center"/>
              <w:spacing w:after="0"/>
              <w:rPr>
                <w:sz w:val="20"/>
                <w:szCs w:val="20"/>
                <w:color w:val="auto"/>
              </w:rPr>
            </w:pPr>
            <w:r>
              <w:rPr>
                <w:rFonts w:ascii="Arial" w:cs="Arial" w:eastAsia="Arial" w:hAnsi="Arial"/>
                <w:sz w:val="14"/>
                <w:szCs w:val="14"/>
                <w:b w:val="1"/>
                <w:bCs w:val="1"/>
                <w:color w:val="auto"/>
              </w:rPr>
              <w:t>initiated</w:t>
            </w:r>
          </w:p>
        </w:tc>
        <w:tc>
          <w:tcPr>
            <w:tcW w:w="0" w:type="dxa"/>
            <w:vAlign w:val="bottom"/>
          </w:tcPr>
          <w:p>
            <w:pPr>
              <w:spacing w:after="0"/>
              <w:rPr>
                <w:sz w:val="1"/>
                <w:szCs w:val="1"/>
                <w:color w:val="auto"/>
              </w:rPr>
            </w:pPr>
          </w:p>
        </w:tc>
      </w:tr>
      <w:tr>
        <w:trPr>
          <w:trHeight w:val="230"/>
        </w:trPr>
        <w:tc>
          <w:tcPr>
            <w:tcW w:w="6760" w:type="dxa"/>
            <w:vAlign w:val="bottom"/>
            <w:shd w:val="clear" w:color="auto" w:fill="DDDDDD"/>
          </w:tcPr>
          <w:p>
            <w:pPr>
              <w:ind w:left="20"/>
              <w:spacing w:after="0"/>
              <w:rPr>
                <w:sz w:val="20"/>
                <w:szCs w:val="20"/>
                <w:color w:val="auto"/>
              </w:rPr>
            </w:pPr>
            <w:r>
              <w:rPr>
                <w:rFonts w:ascii="Arial" w:cs="Arial" w:eastAsia="Arial" w:hAnsi="Arial"/>
                <w:sz w:val="18"/>
                <w:szCs w:val="18"/>
                <w:color w:val="auto"/>
              </w:rPr>
              <w:t>U.S. Federal</w:t>
            </w:r>
          </w:p>
        </w:tc>
        <w:tc>
          <w:tcPr>
            <w:tcW w:w="1660" w:type="dxa"/>
            <w:vAlign w:val="bottom"/>
            <w:shd w:val="clear" w:color="auto" w:fill="DDDDDD"/>
          </w:tcPr>
          <w:p>
            <w:pPr>
              <w:jc w:val="center"/>
              <w:ind w:left="454"/>
              <w:spacing w:after="0"/>
              <w:rPr>
                <w:sz w:val="20"/>
                <w:szCs w:val="20"/>
                <w:color w:val="auto"/>
              </w:rPr>
            </w:pPr>
            <w:r>
              <w:rPr>
                <w:rFonts w:ascii="Arial" w:cs="Arial" w:eastAsia="Arial" w:hAnsi="Arial"/>
                <w:sz w:val="18"/>
                <w:szCs w:val="18"/>
                <w:color w:val="auto"/>
                <w:w w:val="99"/>
              </w:rPr>
              <w:t>2017 - 2018</w:t>
            </w:r>
          </w:p>
        </w:tc>
        <w:tc>
          <w:tcPr>
            <w:tcW w:w="2820" w:type="dxa"/>
            <w:vAlign w:val="bottom"/>
            <w:gridSpan w:val="3"/>
            <w:shd w:val="clear" w:color="auto" w:fill="DDDDDD"/>
          </w:tcPr>
          <w:p>
            <w:pPr>
              <w:jc w:val="center"/>
              <w:ind w:left="531"/>
              <w:spacing w:after="0"/>
              <w:rPr>
                <w:sz w:val="20"/>
                <w:szCs w:val="20"/>
                <w:color w:val="auto"/>
              </w:rPr>
            </w:pPr>
            <w:r>
              <w:rPr>
                <w:rFonts w:ascii="Arial" w:cs="Arial" w:eastAsia="Arial" w:hAnsi="Arial"/>
                <w:sz w:val="18"/>
                <w:szCs w:val="18"/>
                <w:color w:val="auto"/>
                <w:w w:val="99"/>
              </w:rPr>
              <w:t>2019 - 2020</w:t>
            </w:r>
          </w:p>
        </w:tc>
        <w:tc>
          <w:tcPr>
            <w:tcW w:w="0" w:type="dxa"/>
            <w:vAlign w:val="bottom"/>
          </w:tcPr>
          <w:p>
            <w:pPr>
              <w:spacing w:after="0"/>
              <w:rPr>
                <w:sz w:val="1"/>
                <w:szCs w:val="1"/>
                <w:color w:val="auto"/>
              </w:rPr>
            </w:pPr>
          </w:p>
        </w:tc>
      </w:tr>
      <w:tr>
        <w:trPr>
          <w:trHeight w:val="229"/>
        </w:trPr>
        <w:tc>
          <w:tcPr>
            <w:tcW w:w="6760" w:type="dxa"/>
            <w:vAlign w:val="bottom"/>
          </w:tcPr>
          <w:p>
            <w:pPr>
              <w:ind w:left="20"/>
              <w:spacing w:after="0"/>
              <w:rPr>
                <w:sz w:val="20"/>
                <w:szCs w:val="20"/>
                <w:color w:val="auto"/>
              </w:rPr>
            </w:pPr>
            <w:r>
              <w:rPr>
                <w:rFonts w:ascii="Arial" w:cs="Arial" w:eastAsia="Arial" w:hAnsi="Arial"/>
                <w:sz w:val="18"/>
                <w:szCs w:val="18"/>
                <w:color w:val="auto"/>
              </w:rPr>
              <w:t>U.S. State</w:t>
            </w:r>
          </w:p>
        </w:tc>
        <w:tc>
          <w:tcPr>
            <w:tcW w:w="1660" w:type="dxa"/>
            <w:vAlign w:val="bottom"/>
          </w:tcPr>
          <w:p>
            <w:pPr>
              <w:jc w:val="center"/>
              <w:ind w:left="454"/>
              <w:spacing w:after="0"/>
              <w:rPr>
                <w:sz w:val="20"/>
                <w:szCs w:val="20"/>
                <w:color w:val="auto"/>
              </w:rPr>
            </w:pPr>
            <w:r>
              <w:rPr>
                <w:rFonts w:ascii="Arial" w:cs="Arial" w:eastAsia="Arial" w:hAnsi="Arial"/>
                <w:sz w:val="18"/>
                <w:szCs w:val="18"/>
                <w:color w:val="auto"/>
                <w:w w:val="99"/>
              </w:rPr>
              <w:t>2011 - 2019</w:t>
            </w:r>
          </w:p>
        </w:tc>
        <w:tc>
          <w:tcPr>
            <w:tcW w:w="2820" w:type="dxa"/>
            <w:vAlign w:val="bottom"/>
            <w:gridSpan w:val="3"/>
          </w:tcPr>
          <w:p>
            <w:pPr>
              <w:jc w:val="center"/>
              <w:ind w:left="531"/>
              <w:spacing w:after="0"/>
              <w:rPr>
                <w:sz w:val="20"/>
                <w:szCs w:val="20"/>
                <w:color w:val="auto"/>
              </w:rPr>
            </w:pPr>
            <w:r>
              <w:rPr>
                <w:rFonts w:ascii="Arial" w:cs="Arial" w:eastAsia="Arial" w:hAnsi="Arial"/>
                <w:sz w:val="18"/>
                <w:szCs w:val="18"/>
                <w:color w:val="auto"/>
                <w:w w:val="99"/>
              </w:rPr>
              <w:t>2016 - 2019</w:t>
            </w:r>
          </w:p>
        </w:tc>
        <w:tc>
          <w:tcPr>
            <w:tcW w:w="0" w:type="dxa"/>
            <w:vAlign w:val="bottom"/>
          </w:tcPr>
          <w:p>
            <w:pPr>
              <w:spacing w:after="0"/>
              <w:rPr>
                <w:sz w:val="1"/>
                <w:szCs w:val="1"/>
                <w:color w:val="auto"/>
              </w:rPr>
            </w:pPr>
          </w:p>
        </w:tc>
      </w:tr>
      <w:tr>
        <w:trPr>
          <w:trHeight w:val="229"/>
        </w:trPr>
        <w:tc>
          <w:tcPr>
            <w:tcW w:w="6760" w:type="dxa"/>
            <w:vAlign w:val="bottom"/>
            <w:shd w:val="clear" w:color="auto" w:fill="DDDDDD"/>
          </w:tcPr>
          <w:p>
            <w:pPr>
              <w:ind w:left="20"/>
              <w:spacing w:after="0"/>
              <w:rPr>
                <w:sz w:val="20"/>
                <w:szCs w:val="20"/>
                <w:color w:val="auto"/>
              </w:rPr>
            </w:pPr>
            <w:r>
              <w:rPr>
                <w:rFonts w:ascii="Arial" w:cs="Arial" w:eastAsia="Arial" w:hAnsi="Arial"/>
                <w:sz w:val="18"/>
                <w:szCs w:val="18"/>
                <w:color w:val="auto"/>
              </w:rPr>
              <w:t>Australia</w:t>
            </w:r>
          </w:p>
        </w:tc>
        <w:tc>
          <w:tcPr>
            <w:tcW w:w="1660" w:type="dxa"/>
            <w:vAlign w:val="bottom"/>
            <w:shd w:val="clear" w:color="auto" w:fill="DDDDDD"/>
          </w:tcPr>
          <w:p>
            <w:pPr>
              <w:jc w:val="center"/>
              <w:ind w:left="434"/>
              <w:spacing w:after="0"/>
              <w:rPr>
                <w:sz w:val="20"/>
                <w:szCs w:val="20"/>
                <w:color w:val="auto"/>
              </w:rPr>
            </w:pPr>
            <w:r>
              <w:rPr>
                <w:rFonts w:ascii="Arial" w:cs="Arial" w:eastAsia="Arial" w:hAnsi="Arial"/>
                <w:sz w:val="18"/>
                <w:szCs w:val="18"/>
                <w:color w:val="auto"/>
                <w:w w:val="99"/>
              </w:rPr>
              <w:t>N/A</w:t>
            </w:r>
          </w:p>
        </w:tc>
        <w:tc>
          <w:tcPr>
            <w:tcW w:w="2820" w:type="dxa"/>
            <w:vAlign w:val="bottom"/>
            <w:gridSpan w:val="3"/>
            <w:shd w:val="clear" w:color="auto" w:fill="DDDDDD"/>
          </w:tcPr>
          <w:p>
            <w:pPr>
              <w:jc w:val="center"/>
              <w:ind w:left="531"/>
              <w:spacing w:after="0"/>
              <w:rPr>
                <w:sz w:val="20"/>
                <w:szCs w:val="20"/>
                <w:color w:val="auto"/>
              </w:rPr>
            </w:pPr>
            <w:r>
              <w:rPr>
                <w:rFonts w:ascii="Arial" w:cs="Arial" w:eastAsia="Arial" w:hAnsi="Arial"/>
                <w:sz w:val="18"/>
                <w:szCs w:val="18"/>
                <w:color w:val="auto"/>
                <w:w w:val="99"/>
              </w:rPr>
              <w:t>2017 - 2020</w:t>
            </w:r>
          </w:p>
        </w:tc>
        <w:tc>
          <w:tcPr>
            <w:tcW w:w="0" w:type="dxa"/>
            <w:vAlign w:val="bottom"/>
          </w:tcPr>
          <w:p>
            <w:pPr>
              <w:spacing w:after="0"/>
              <w:rPr>
                <w:sz w:val="1"/>
                <w:szCs w:val="1"/>
                <w:color w:val="auto"/>
              </w:rPr>
            </w:pPr>
          </w:p>
        </w:tc>
      </w:tr>
      <w:tr>
        <w:trPr>
          <w:trHeight w:val="230"/>
        </w:trPr>
        <w:tc>
          <w:tcPr>
            <w:tcW w:w="6760" w:type="dxa"/>
            <w:vAlign w:val="bottom"/>
          </w:tcPr>
          <w:p>
            <w:pPr>
              <w:ind w:left="20"/>
              <w:spacing w:after="0" w:line="230" w:lineRule="exact"/>
              <w:rPr>
                <w:sz w:val="20"/>
                <w:szCs w:val="20"/>
                <w:color w:val="auto"/>
              </w:rPr>
            </w:pPr>
            <w:r>
              <w:rPr>
                <w:rFonts w:ascii="Arial" w:cs="Arial" w:eastAsia="Arial" w:hAnsi="Arial"/>
                <w:sz w:val="18"/>
                <w:szCs w:val="18"/>
                <w:color w:val="auto"/>
              </w:rPr>
              <w:t>Canada</w:t>
            </w:r>
            <w:r>
              <w:rPr>
                <w:rFonts w:ascii="Arial" w:cs="Arial" w:eastAsia="Arial" w:hAnsi="Arial"/>
                <w:sz w:val="23"/>
                <w:szCs w:val="23"/>
                <w:color w:val="auto"/>
                <w:vertAlign w:val="superscript"/>
              </w:rPr>
              <w:t>(1)</w:t>
            </w:r>
          </w:p>
        </w:tc>
        <w:tc>
          <w:tcPr>
            <w:tcW w:w="1660" w:type="dxa"/>
            <w:vAlign w:val="bottom"/>
          </w:tcPr>
          <w:p>
            <w:pPr>
              <w:jc w:val="center"/>
              <w:ind w:left="454"/>
              <w:spacing w:after="0"/>
              <w:rPr>
                <w:sz w:val="20"/>
                <w:szCs w:val="20"/>
                <w:color w:val="auto"/>
              </w:rPr>
            </w:pPr>
            <w:r>
              <w:rPr>
                <w:rFonts w:ascii="Arial" w:cs="Arial" w:eastAsia="Arial" w:hAnsi="Arial"/>
                <w:sz w:val="18"/>
                <w:szCs w:val="18"/>
                <w:color w:val="auto"/>
                <w:w w:val="99"/>
              </w:rPr>
              <w:t>2015 - 2018</w:t>
            </w:r>
          </w:p>
        </w:tc>
        <w:tc>
          <w:tcPr>
            <w:tcW w:w="2820" w:type="dxa"/>
            <w:vAlign w:val="bottom"/>
            <w:gridSpan w:val="3"/>
          </w:tcPr>
          <w:p>
            <w:pPr>
              <w:jc w:val="center"/>
              <w:ind w:left="531"/>
              <w:spacing w:after="0"/>
              <w:rPr>
                <w:sz w:val="20"/>
                <w:szCs w:val="20"/>
                <w:color w:val="auto"/>
              </w:rPr>
            </w:pPr>
            <w:r>
              <w:rPr>
                <w:rFonts w:ascii="Arial" w:cs="Arial" w:eastAsia="Arial" w:hAnsi="Arial"/>
                <w:sz w:val="18"/>
                <w:szCs w:val="18"/>
                <w:color w:val="auto"/>
                <w:w w:val="99"/>
              </w:rPr>
              <w:t>2019 - 2020</w:t>
            </w:r>
          </w:p>
        </w:tc>
        <w:tc>
          <w:tcPr>
            <w:tcW w:w="0" w:type="dxa"/>
            <w:vAlign w:val="bottom"/>
          </w:tcPr>
          <w:p>
            <w:pPr>
              <w:spacing w:after="0"/>
              <w:rPr>
                <w:sz w:val="1"/>
                <w:szCs w:val="1"/>
                <w:color w:val="auto"/>
              </w:rPr>
            </w:pPr>
          </w:p>
        </w:tc>
      </w:tr>
      <w:tr>
        <w:trPr>
          <w:trHeight w:val="229"/>
        </w:trPr>
        <w:tc>
          <w:tcPr>
            <w:tcW w:w="6760" w:type="dxa"/>
            <w:vAlign w:val="bottom"/>
            <w:shd w:val="clear" w:color="auto" w:fill="DDDDDD"/>
          </w:tcPr>
          <w:p>
            <w:pPr>
              <w:ind w:left="20"/>
              <w:spacing w:after="0"/>
              <w:rPr>
                <w:sz w:val="20"/>
                <w:szCs w:val="20"/>
                <w:color w:val="auto"/>
              </w:rPr>
            </w:pPr>
            <w:r>
              <w:rPr>
                <w:rFonts w:ascii="Arial" w:cs="Arial" w:eastAsia="Arial" w:hAnsi="Arial"/>
                <w:sz w:val="18"/>
                <w:szCs w:val="18"/>
                <w:color w:val="auto"/>
              </w:rPr>
              <w:t>China</w:t>
            </w:r>
          </w:p>
        </w:tc>
        <w:tc>
          <w:tcPr>
            <w:tcW w:w="1660" w:type="dxa"/>
            <w:vAlign w:val="bottom"/>
            <w:shd w:val="clear" w:color="auto" w:fill="DDDDDD"/>
          </w:tcPr>
          <w:p>
            <w:pPr>
              <w:jc w:val="center"/>
              <w:ind w:left="454"/>
              <w:spacing w:after="0"/>
              <w:rPr>
                <w:sz w:val="20"/>
                <w:szCs w:val="20"/>
                <w:color w:val="auto"/>
              </w:rPr>
            </w:pPr>
            <w:r>
              <w:rPr>
                <w:rFonts w:ascii="Arial" w:cs="Arial" w:eastAsia="Arial" w:hAnsi="Arial"/>
                <w:sz w:val="18"/>
                <w:szCs w:val="18"/>
                <w:color w:val="auto"/>
                <w:w w:val="99"/>
              </w:rPr>
              <w:t>2010 - 2019</w:t>
            </w:r>
          </w:p>
        </w:tc>
        <w:tc>
          <w:tcPr>
            <w:tcW w:w="2820" w:type="dxa"/>
            <w:vAlign w:val="bottom"/>
            <w:gridSpan w:val="3"/>
            <w:shd w:val="clear" w:color="auto" w:fill="DDDDDD"/>
          </w:tcPr>
          <w:p>
            <w:pPr>
              <w:jc w:val="center"/>
              <w:ind w:left="531"/>
              <w:spacing w:after="0"/>
              <w:rPr>
                <w:sz w:val="20"/>
                <w:szCs w:val="20"/>
                <w:color w:val="auto"/>
              </w:rPr>
            </w:pPr>
            <w:r>
              <w:rPr>
                <w:rFonts w:ascii="Arial" w:cs="Arial" w:eastAsia="Arial" w:hAnsi="Arial"/>
                <w:sz w:val="18"/>
                <w:szCs w:val="18"/>
                <w:color w:val="auto"/>
                <w:w w:val="99"/>
              </w:rPr>
              <w:t>2020</w:t>
            </w:r>
          </w:p>
        </w:tc>
        <w:tc>
          <w:tcPr>
            <w:tcW w:w="0" w:type="dxa"/>
            <w:vAlign w:val="bottom"/>
          </w:tcPr>
          <w:p>
            <w:pPr>
              <w:spacing w:after="0"/>
              <w:rPr>
                <w:sz w:val="1"/>
                <w:szCs w:val="1"/>
                <w:color w:val="auto"/>
              </w:rPr>
            </w:pPr>
          </w:p>
        </w:tc>
      </w:tr>
      <w:tr>
        <w:trPr>
          <w:trHeight w:val="230"/>
        </w:trPr>
        <w:tc>
          <w:tcPr>
            <w:tcW w:w="6760" w:type="dxa"/>
            <w:vAlign w:val="bottom"/>
          </w:tcPr>
          <w:p>
            <w:pPr>
              <w:ind w:left="20"/>
              <w:spacing w:after="0"/>
              <w:rPr>
                <w:sz w:val="20"/>
                <w:szCs w:val="20"/>
                <w:color w:val="auto"/>
              </w:rPr>
            </w:pPr>
            <w:r>
              <w:rPr>
                <w:rFonts w:ascii="Arial" w:cs="Arial" w:eastAsia="Arial" w:hAnsi="Arial"/>
                <w:sz w:val="18"/>
                <w:szCs w:val="18"/>
                <w:color w:val="auto"/>
              </w:rPr>
              <w:t>France</w:t>
            </w:r>
          </w:p>
        </w:tc>
        <w:tc>
          <w:tcPr>
            <w:tcW w:w="1660" w:type="dxa"/>
            <w:vAlign w:val="bottom"/>
          </w:tcPr>
          <w:p>
            <w:pPr>
              <w:jc w:val="center"/>
              <w:ind w:left="454"/>
              <w:spacing w:after="0"/>
              <w:rPr>
                <w:sz w:val="20"/>
                <w:szCs w:val="20"/>
                <w:color w:val="auto"/>
              </w:rPr>
            </w:pPr>
            <w:r>
              <w:rPr>
                <w:rFonts w:ascii="Arial" w:cs="Arial" w:eastAsia="Arial" w:hAnsi="Arial"/>
                <w:sz w:val="18"/>
                <w:szCs w:val="18"/>
                <w:color w:val="auto"/>
                <w:w w:val="99"/>
              </w:rPr>
              <w:t>2017 - 2019</w:t>
            </w:r>
          </w:p>
        </w:tc>
        <w:tc>
          <w:tcPr>
            <w:tcW w:w="2820" w:type="dxa"/>
            <w:vAlign w:val="bottom"/>
            <w:gridSpan w:val="3"/>
          </w:tcPr>
          <w:p>
            <w:pPr>
              <w:jc w:val="center"/>
              <w:ind w:left="531"/>
              <w:spacing w:after="0"/>
              <w:rPr>
                <w:sz w:val="20"/>
                <w:szCs w:val="20"/>
                <w:color w:val="auto"/>
              </w:rPr>
            </w:pPr>
            <w:r>
              <w:rPr>
                <w:rFonts w:ascii="Arial" w:cs="Arial" w:eastAsia="Arial" w:hAnsi="Arial"/>
                <w:sz w:val="18"/>
                <w:szCs w:val="18"/>
                <w:color w:val="auto"/>
                <w:w w:val="99"/>
              </w:rPr>
              <w:t>2020</w:t>
            </w:r>
          </w:p>
        </w:tc>
        <w:tc>
          <w:tcPr>
            <w:tcW w:w="0" w:type="dxa"/>
            <w:vAlign w:val="bottom"/>
          </w:tcPr>
          <w:p>
            <w:pPr>
              <w:spacing w:after="0"/>
              <w:rPr>
                <w:sz w:val="1"/>
                <w:szCs w:val="1"/>
                <w:color w:val="auto"/>
              </w:rPr>
            </w:pPr>
          </w:p>
        </w:tc>
      </w:tr>
      <w:tr>
        <w:trPr>
          <w:trHeight w:val="229"/>
        </w:trPr>
        <w:tc>
          <w:tcPr>
            <w:tcW w:w="6760" w:type="dxa"/>
            <w:vAlign w:val="bottom"/>
            <w:shd w:val="clear" w:color="auto" w:fill="DDDDDD"/>
          </w:tcPr>
          <w:p>
            <w:pPr>
              <w:ind w:left="20"/>
              <w:spacing w:after="0" w:line="230" w:lineRule="exact"/>
              <w:rPr>
                <w:sz w:val="20"/>
                <w:szCs w:val="20"/>
                <w:color w:val="auto"/>
              </w:rPr>
            </w:pPr>
            <w:r>
              <w:rPr>
                <w:rFonts w:ascii="Arial" w:cs="Arial" w:eastAsia="Arial" w:hAnsi="Arial"/>
                <w:sz w:val="18"/>
                <w:szCs w:val="18"/>
                <w:color w:val="auto"/>
              </w:rPr>
              <w:t>Germany</w:t>
            </w:r>
            <w:r>
              <w:rPr>
                <w:rFonts w:ascii="Arial" w:cs="Arial" w:eastAsia="Arial" w:hAnsi="Arial"/>
                <w:sz w:val="23"/>
                <w:szCs w:val="23"/>
                <w:color w:val="auto"/>
                <w:vertAlign w:val="superscript"/>
              </w:rPr>
              <w:t>(1)</w:t>
            </w:r>
          </w:p>
        </w:tc>
        <w:tc>
          <w:tcPr>
            <w:tcW w:w="1660" w:type="dxa"/>
            <w:vAlign w:val="bottom"/>
            <w:shd w:val="clear" w:color="auto" w:fill="DDDDDD"/>
          </w:tcPr>
          <w:p>
            <w:pPr>
              <w:jc w:val="center"/>
              <w:ind w:left="454"/>
              <w:spacing w:after="0"/>
              <w:rPr>
                <w:sz w:val="20"/>
                <w:szCs w:val="20"/>
                <w:color w:val="auto"/>
              </w:rPr>
            </w:pPr>
            <w:r>
              <w:rPr>
                <w:rFonts w:ascii="Arial" w:cs="Arial" w:eastAsia="Arial" w:hAnsi="Arial"/>
                <w:sz w:val="18"/>
                <w:szCs w:val="18"/>
                <w:color w:val="auto"/>
                <w:w w:val="99"/>
              </w:rPr>
              <w:t>2008 - 2018</w:t>
            </w:r>
          </w:p>
        </w:tc>
        <w:tc>
          <w:tcPr>
            <w:tcW w:w="2820" w:type="dxa"/>
            <w:vAlign w:val="bottom"/>
            <w:gridSpan w:val="3"/>
            <w:shd w:val="clear" w:color="auto" w:fill="DDDDDD"/>
          </w:tcPr>
          <w:p>
            <w:pPr>
              <w:jc w:val="center"/>
              <w:ind w:left="531"/>
              <w:spacing w:after="0"/>
              <w:rPr>
                <w:sz w:val="20"/>
                <w:szCs w:val="20"/>
                <w:color w:val="auto"/>
              </w:rPr>
            </w:pPr>
            <w:r>
              <w:rPr>
                <w:rFonts w:ascii="Arial" w:cs="Arial" w:eastAsia="Arial" w:hAnsi="Arial"/>
                <w:sz w:val="18"/>
                <w:szCs w:val="18"/>
                <w:color w:val="auto"/>
                <w:w w:val="99"/>
              </w:rPr>
              <w:t>2019 - 2020</w:t>
            </w:r>
          </w:p>
        </w:tc>
        <w:tc>
          <w:tcPr>
            <w:tcW w:w="0" w:type="dxa"/>
            <w:vAlign w:val="bottom"/>
          </w:tcPr>
          <w:p>
            <w:pPr>
              <w:spacing w:after="0"/>
              <w:rPr>
                <w:sz w:val="1"/>
                <w:szCs w:val="1"/>
                <w:color w:val="auto"/>
              </w:rPr>
            </w:pPr>
          </w:p>
        </w:tc>
      </w:tr>
      <w:tr>
        <w:trPr>
          <w:trHeight w:val="229"/>
        </w:trPr>
        <w:tc>
          <w:tcPr>
            <w:tcW w:w="6760" w:type="dxa"/>
            <w:vAlign w:val="bottom"/>
          </w:tcPr>
          <w:p>
            <w:pPr>
              <w:ind w:left="20"/>
              <w:spacing w:after="0"/>
              <w:rPr>
                <w:sz w:val="20"/>
                <w:szCs w:val="20"/>
                <w:color w:val="auto"/>
              </w:rPr>
            </w:pPr>
            <w:r>
              <w:rPr>
                <w:rFonts w:ascii="Arial" w:cs="Arial" w:eastAsia="Arial" w:hAnsi="Arial"/>
                <w:sz w:val="18"/>
                <w:szCs w:val="18"/>
                <w:color w:val="auto"/>
              </w:rPr>
              <w:t>India</w:t>
            </w:r>
          </w:p>
        </w:tc>
        <w:tc>
          <w:tcPr>
            <w:tcW w:w="1660" w:type="dxa"/>
            <w:vAlign w:val="bottom"/>
          </w:tcPr>
          <w:p>
            <w:pPr>
              <w:jc w:val="center"/>
              <w:ind w:left="454"/>
              <w:spacing w:after="0"/>
              <w:rPr>
                <w:sz w:val="20"/>
                <w:szCs w:val="20"/>
                <w:color w:val="auto"/>
              </w:rPr>
            </w:pPr>
            <w:r>
              <w:rPr>
                <w:rFonts w:ascii="Arial" w:cs="Arial" w:eastAsia="Arial" w:hAnsi="Arial"/>
                <w:sz w:val="18"/>
                <w:szCs w:val="18"/>
                <w:color w:val="auto"/>
                <w:w w:val="99"/>
              </w:rPr>
              <w:t>1999 - 2018</w:t>
            </w:r>
          </w:p>
        </w:tc>
        <w:tc>
          <w:tcPr>
            <w:tcW w:w="2820" w:type="dxa"/>
            <w:vAlign w:val="bottom"/>
            <w:gridSpan w:val="3"/>
          </w:tcPr>
          <w:p>
            <w:pPr>
              <w:jc w:val="center"/>
              <w:ind w:left="531"/>
              <w:spacing w:after="0"/>
              <w:rPr>
                <w:sz w:val="20"/>
                <w:szCs w:val="20"/>
                <w:color w:val="auto"/>
              </w:rPr>
            </w:pPr>
            <w:r>
              <w:rPr>
                <w:rFonts w:ascii="Arial" w:cs="Arial" w:eastAsia="Arial" w:hAnsi="Arial"/>
                <w:sz w:val="18"/>
                <w:szCs w:val="18"/>
                <w:color w:val="auto"/>
                <w:w w:val="99"/>
              </w:rPr>
              <w:t>2019 - 2020</w:t>
            </w:r>
          </w:p>
        </w:tc>
        <w:tc>
          <w:tcPr>
            <w:tcW w:w="0" w:type="dxa"/>
            <w:vAlign w:val="bottom"/>
          </w:tcPr>
          <w:p>
            <w:pPr>
              <w:spacing w:after="0"/>
              <w:rPr>
                <w:sz w:val="1"/>
                <w:szCs w:val="1"/>
                <w:color w:val="auto"/>
              </w:rPr>
            </w:pPr>
          </w:p>
        </w:tc>
      </w:tr>
      <w:tr>
        <w:trPr>
          <w:trHeight w:val="230"/>
        </w:trPr>
        <w:tc>
          <w:tcPr>
            <w:tcW w:w="6760" w:type="dxa"/>
            <w:vAlign w:val="bottom"/>
            <w:shd w:val="clear" w:color="auto" w:fill="DDDDDD"/>
          </w:tcPr>
          <w:p>
            <w:pPr>
              <w:ind w:left="20"/>
              <w:spacing w:after="0"/>
              <w:rPr>
                <w:sz w:val="20"/>
                <w:szCs w:val="20"/>
                <w:color w:val="auto"/>
              </w:rPr>
            </w:pPr>
            <w:r>
              <w:rPr>
                <w:rFonts w:ascii="Arial" w:cs="Arial" w:eastAsia="Arial" w:hAnsi="Arial"/>
                <w:sz w:val="18"/>
                <w:szCs w:val="18"/>
                <w:color w:val="auto"/>
              </w:rPr>
              <w:t>Italy</w:t>
            </w:r>
          </w:p>
        </w:tc>
        <w:tc>
          <w:tcPr>
            <w:tcW w:w="1660" w:type="dxa"/>
            <w:vAlign w:val="bottom"/>
            <w:shd w:val="clear" w:color="auto" w:fill="DDDDDD"/>
          </w:tcPr>
          <w:p>
            <w:pPr>
              <w:jc w:val="center"/>
              <w:ind w:left="454"/>
              <w:spacing w:after="0"/>
              <w:rPr>
                <w:sz w:val="20"/>
                <w:szCs w:val="20"/>
                <w:color w:val="auto"/>
              </w:rPr>
            </w:pPr>
            <w:r>
              <w:rPr>
                <w:rFonts w:ascii="Arial" w:cs="Arial" w:eastAsia="Arial" w:hAnsi="Arial"/>
                <w:sz w:val="18"/>
                <w:szCs w:val="18"/>
                <w:color w:val="auto"/>
                <w:w w:val="99"/>
              </w:rPr>
              <w:t>2012 - 2017</w:t>
            </w:r>
          </w:p>
        </w:tc>
        <w:tc>
          <w:tcPr>
            <w:tcW w:w="2820" w:type="dxa"/>
            <w:vAlign w:val="bottom"/>
            <w:gridSpan w:val="3"/>
            <w:shd w:val="clear" w:color="auto" w:fill="DDDDDD"/>
          </w:tcPr>
          <w:p>
            <w:pPr>
              <w:jc w:val="center"/>
              <w:ind w:left="531"/>
              <w:spacing w:after="0"/>
              <w:rPr>
                <w:sz w:val="20"/>
                <w:szCs w:val="20"/>
                <w:color w:val="auto"/>
              </w:rPr>
            </w:pPr>
            <w:r>
              <w:rPr>
                <w:rFonts w:ascii="Arial" w:cs="Arial" w:eastAsia="Arial" w:hAnsi="Arial"/>
                <w:sz w:val="18"/>
                <w:szCs w:val="18"/>
                <w:color w:val="auto"/>
                <w:w w:val="99"/>
              </w:rPr>
              <w:t>2018 - 2020</w:t>
            </w:r>
          </w:p>
        </w:tc>
        <w:tc>
          <w:tcPr>
            <w:tcW w:w="0" w:type="dxa"/>
            <w:vAlign w:val="bottom"/>
          </w:tcPr>
          <w:p>
            <w:pPr>
              <w:spacing w:after="0"/>
              <w:rPr>
                <w:sz w:val="1"/>
                <w:szCs w:val="1"/>
                <w:color w:val="auto"/>
              </w:rPr>
            </w:pPr>
          </w:p>
        </w:tc>
      </w:tr>
      <w:tr>
        <w:trPr>
          <w:trHeight w:val="229"/>
        </w:trPr>
        <w:tc>
          <w:tcPr>
            <w:tcW w:w="6760" w:type="dxa"/>
            <w:vAlign w:val="bottom"/>
          </w:tcPr>
          <w:p>
            <w:pPr>
              <w:ind w:left="20"/>
              <w:spacing w:after="0"/>
              <w:rPr>
                <w:sz w:val="20"/>
                <w:szCs w:val="20"/>
                <w:color w:val="auto"/>
              </w:rPr>
            </w:pPr>
            <w:r>
              <w:rPr>
                <w:rFonts w:ascii="Arial" w:cs="Arial" w:eastAsia="Arial" w:hAnsi="Arial"/>
                <w:sz w:val="18"/>
                <w:szCs w:val="18"/>
                <w:color w:val="auto"/>
              </w:rPr>
              <w:t>Netherlands</w:t>
            </w:r>
          </w:p>
        </w:tc>
        <w:tc>
          <w:tcPr>
            <w:tcW w:w="1660" w:type="dxa"/>
            <w:vAlign w:val="bottom"/>
          </w:tcPr>
          <w:p>
            <w:pPr>
              <w:jc w:val="center"/>
              <w:ind w:left="454"/>
              <w:spacing w:after="0"/>
              <w:rPr>
                <w:sz w:val="20"/>
                <w:szCs w:val="20"/>
                <w:color w:val="auto"/>
              </w:rPr>
            </w:pPr>
            <w:r>
              <w:rPr>
                <w:rFonts w:ascii="Arial" w:cs="Arial" w:eastAsia="Arial" w:hAnsi="Arial"/>
                <w:sz w:val="18"/>
                <w:szCs w:val="18"/>
                <w:color w:val="auto"/>
                <w:w w:val="99"/>
              </w:rPr>
              <w:t>2016 - 2017</w:t>
            </w:r>
          </w:p>
        </w:tc>
        <w:tc>
          <w:tcPr>
            <w:tcW w:w="2820" w:type="dxa"/>
            <w:vAlign w:val="bottom"/>
            <w:gridSpan w:val="3"/>
          </w:tcPr>
          <w:p>
            <w:pPr>
              <w:jc w:val="center"/>
              <w:ind w:left="531"/>
              <w:spacing w:after="0"/>
              <w:rPr>
                <w:sz w:val="20"/>
                <w:szCs w:val="20"/>
                <w:color w:val="auto"/>
              </w:rPr>
            </w:pPr>
            <w:r>
              <w:rPr>
                <w:rFonts w:ascii="Arial" w:cs="Arial" w:eastAsia="Arial" w:hAnsi="Arial"/>
                <w:sz w:val="18"/>
                <w:szCs w:val="18"/>
                <w:color w:val="auto"/>
                <w:w w:val="99"/>
              </w:rPr>
              <w:t>2018 - 2020</w:t>
            </w:r>
          </w:p>
        </w:tc>
        <w:tc>
          <w:tcPr>
            <w:tcW w:w="0" w:type="dxa"/>
            <w:vAlign w:val="bottom"/>
          </w:tcPr>
          <w:p>
            <w:pPr>
              <w:spacing w:after="0"/>
              <w:rPr>
                <w:sz w:val="1"/>
                <w:szCs w:val="1"/>
                <w:color w:val="auto"/>
              </w:rPr>
            </w:pPr>
          </w:p>
        </w:tc>
      </w:tr>
      <w:tr>
        <w:trPr>
          <w:trHeight w:val="229"/>
        </w:trPr>
        <w:tc>
          <w:tcPr>
            <w:tcW w:w="6760" w:type="dxa"/>
            <w:vAlign w:val="bottom"/>
            <w:shd w:val="clear" w:color="auto" w:fill="DDDDDD"/>
          </w:tcPr>
          <w:p>
            <w:pPr>
              <w:ind w:left="20"/>
              <w:spacing w:after="0" w:line="230" w:lineRule="exact"/>
              <w:rPr>
                <w:sz w:val="20"/>
                <w:szCs w:val="20"/>
                <w:color w:val="auto"/>
              </w:rPr>
            </w:pPr>
            <w:r>
              <w:rPr>
                <w:rFonts w:ascii="Arial" w:cs="Arial" w:eastAsia="Arial" w:hAnsi="Arial"/>
                <w:sz w:val="18"/>
                <w:szCs w:val="18"/>
                <w:color w:val="auto"/>
              </w:rPr>
              <w:t>Switzerland</w:t>
            </w:r>
            <w:r>
              <w:rPr>
                <w:rFonts w:ascii="Arial" w:cs="Arial" w:eastAsia="Arial" w:hAnsi="Arial"/>
                <w:sz w:val="23"/>
                <w:szCs w:val="23"/>
                <w:color w:val="auto"/>
                <w:vertAlign w:val="superscript"/>
              </w:rPr>
              <w:t>(1)</w:t>
            </w:r>
          </w:p>
        </w:tc>
        <w:tc>
          <w:tcPr>
            <w:tcW w:w="1660" w:type="dxa"/>
            <w:vAlign w:val="bottom"/>
            <w:shd w:val="clear" w:color="auto" w:fill="DDDDDD"/>
          </w:tcPr>
          <w:p>
            <w:pPr>
              <w:jc w:val="center"/>
              <w:ind w:left="454"/>
              <w:spacing w:after="0"/>
              <w:rPr>
                <w:sz w:val="20"/>
                <w:szCs w:val="20"/>
                <w:color w:val="auto"/>
              </w:rPr>
            </w:pPr>
            <w:r>
              <w:rPr>
                <w:rFonts w:ascii="Arial" w:cs="Arial" w:eastAsia="Arial" w:hAnsi="Arial"/>
                <w:sz w:val="18"/>
                <w:szCs w:val="18"/>
                <w:color w:val="auto"/>
                <w:w w:val="99"/>
              </w:rPr>
              <w:t>2015 - 2018</w:t>
            </w:r>
          </w:p>
        </w:tc>
        <w:tc>
          <w:tcPr>
            <w:tcW w:w="2820" w:type="dxa"/>
            <w:vAlign w:val="bottom"/>
            <w:gridSpan w:val="3"/>
            <w:shd w:val="clear" w:color="auto" w:fill="DDDDDD"/>
          </w:tcPr>
          <w:p>
            <w:pPr>
              <w:jc w:val="center"/>
              <w:ind w:left="531"/>
              <w:spacing w:after="0"/>
              <w:rPr>
                <w:sz w:val="20"/>
                <w:szCs w:val="20"/>
                <w:color w:val="auto"/>
              </w:rPr>
            </w:pPr>
            <w:r>
              <w:rPr>
                <w:rFonts w:ascii="Arial" w:cs="Arial" w:eastAsia="Arial" w:hAnsi="Arial"/>
                <w:sz w:val="18"/>
                <w:szCs w:val="18"/>
                <w:color w:val="auto"/>
                <w:w w:val="99"/>
              </w:rPr>
              <w:t>2019 - 2020</w:t>
            </w:r>
          </w:p>
        </w:tc>
        <w:tc>
          <w:tcPr>
            <w:tcW w:w="0" w:type="dxa"/>
            <w:vAlign w:val="bottom"/>
          </w:tcPr>
          <w:p>
            <w:pPr>
              <w:spacing w:after="0"/>
              <w:rPr>
                <w:sz w:val="1"/>
                <w:szCs w:val="1"/>
                <w:color w:val="auto"/>
              </w:rPr>
            </w:pPr>
          </w:p>
        </w:tc>
      </w:tr>
      <w:tr>
        <w:trPr>
          <w:trHeight w:val="230"/>
        </w:trPr>
        <w:tc>
          <w:tcPr>
            <w:tcW w:w="6760" w:type="dxa"/>
            <w:vAlign w:val="bottom"/>
          </w:tcPr>
          <w:p>
            <w:pPr>
              <w:ind w:left="20"/>
              <w:spacing w:after="0"/>
              <w:rPr>
                <w:sz w:val="20"/>
                <w:szCs w:val="20"/>
                <w:color w:val="auto"/>
              </w:rPr>
            </w:pPr>
            <w:r>
              <w:rPr>
                <w:rFonts w:ascii="Arial" w:cs="Arial" w:eastAsia="Arial" w:hAnsi="Arial"/>
                <w:sz w:val="18"/>
                <w:szCs w:val="18"/>
                <w:color w:val="auto"/>
              </w:rPr>
              <w:t>United Kingdom</w:t>
            </w:r>
          </w:p>
        </w:tc>
        <w:tc>
          <w:tcPr>
            <w:tcW w:w="1660" w:type="dxa"/>
            <w:vAlign w:val="bottom"/>
          </w:tcPr>
          <w:p>
            <w:pPr>
              <w:jc w:val="center"/>
              <w:ind w:left="454"/>
              <w:spacing w:after="0"/>
              <w:rPr>
                <w:sz w:val="20"/>
                <w:szCs w:val="20"/>
                <w:color w:val="auto"/>
              </w:rPr>
            </w:pPr>
            <w:r>
              <w:rPr>
                <w:rFonts w:ascii="Arial" w:cs="Arial" w:eastAsia="Arial" w:hAnsi="Arial"/>
                <w:sz w:val="18"/>
                <w:szCs w:val="18"/>
                <w:color w:val="auto"/>
                <w:w w:val="99"/>
              </w:rPr>
              <w:t>2013 - 2018</w:t>
            </w:r>
          </w:p>
        </w:tc>
        <w:tc>
          <w:tcPr>
            <w:tcW w:w="2820" w:type="dxa"/>
            <w:vAlign w:val="bottom"/>
            <w:gridSpan w:val="3"/>
          </w:tcPr>
          <w:p>
            <w:pPr>
              <w:jc w:val="center"/>
              <w:ind w:left="531"/>
              <w:spacing w:after="0"/>
              <w:rPr>
                <w:sz w:val="20"/>
                <w:szCs w:val="20"/>
                <w:color w:val="auto"/>
              </w:rPr>
            </w:pPr>
            <w:r>
              <w:rPr>
                <w:rFonts w:ascii="Arial" w:cs="Arial" w:eastAsia="Arial" w:hAnsi="Arial"/>
                <w:sz w:val="18"/>
                <w:szCs w:val="18"/>
                <w:color w:val="auto"/>
                <w:w w:val="99"/>
              </w:rPr>
              <w:t>2019 - 2020</w:t>
            </w:r>
          </w:p>
        </w:tc>
        <w:tc>
          <w:tcPr>
            <w:tcW w:w="0" w:type="dxa"/>
            <w:vAlign w:val="bottom"/>
          </w:tcPr>
          <w:p>
            <w:pPr>
              <w:spacing w:after="0"/>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(1) Includes provincial or similar local jurisdictions, as applicable.</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Based on the outcome of these examinations, or as a result of the expiration of statute of limitations for specific jurisdictions, it is reasonably possible that certain unrecognized tax benefits for tax positions taken on previously filed tax returns will materially change from those recorded as liabilities in our financial statements. In addition, the outcome of these examinations may impact the valuation of certain deferred tax assets (such as net operating losses) in future periods.</w:t>
      </w:r>
    </w:p>
    <w:p>
      <w:pPr>
        <w:spacing w:after="0" w:line="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Unrecognized tax benefits for examinations in progress were $556 million, $413 million and $304 million, as of December 31, 2020, 2019 and 2018. Estimated interest and penalties related to the underpayment of income taxes are classified as a component of Tax expense in the Consolidated Statement of Operations and totaled $80 million, $73 million and $45 million for the years ended December 31, 2020, 2019 and 2018. Accrued interest and penalties were $507 million, $487 million and $426 million, as of December 31, 2020, 2019 and 2018.</w:t>
      </w:r>
    </w:p>
    <w:p>
      <w:pPr>
        <w:spacing w:after="0" w:line="273" w:lineRule="exact"/>
        <w:rPr>
          <w:sz w:val="20"/>
          <w:szCs w:val="20"/>
          <w:color w:val="auto"/>
        </w:rPr>
      </w:pPr>
    </w:p>
    <w:p>
      <w:pPr>
        <w:spacing w:after="0"/>
        <w:rPr>
          <w:sz w:val="20"/>
          <w:szCs w:val="20"/>
          <w:color w:val="auto"/>
        </w:rPr>
      </w:pPr>
      <w:r>
        <w:rPr>
          <w:rFonts w:ascii="Arial" w:cs="Arial" w:eastAsia="Arial" w:hAnsi="Arial"/>
          <w:sz w:val="29"/>
          <w:szCs w:val="29"/>
          <w:b w:val="1"/>
          <w:bCs w:val="1"/>
          <w:color w:val="DC202E"/>
        </w:rPr>
        <w:t>NOTE 6. ACCOUNTS RECEIVABLE</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240" w:type="dxa"/>
            <w:vAlign w:val="bottom"/>
          </w:tcPr>
          <w:p>
            <w:pPr>
              <w:spacing w:after="0"/>
              <w:rPr>
                <w:sz w:val="17"/>
                <w:szCs w:val="17"/>
                <w:color w:val="auto"/>
              </w:rPr>
            </w:pPr>
          </w:p>
        </w:tc>
        <w:tc>
          <w:tcPr>
            <w:tcW w:w="900" w:type="dxa"/>
            <w:vAlign w:val="bottom"/>
            <w:tcBorders>
              <w:bottom w:val="single" w:sz="8" w:color="DC202E"/>
            </w:tcBorders>
          </w:tcPr>
          <w:p>
            <w:pPr>
              <w:spacing w:after="0"/>
              <w:rPr>
                <w:sz w:val="17"/>
                <w:szCs w:val="17"/>
                <w:color w:val="auto"/>
              </w:rPr>
            </w:pPr>
          </w:p>
        </w:tc>
        <w:tc>
          <w:tcPr>
            <w:tcW w:w="1140" w:type="dxa"/>
            <w:vAlign w:val="bottom"/>
            <w:tcBorders>
              <w:bottom w:val="single" w:sz="8" w:color="DC202E"/>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DC202E"/>
            </w:tcBorders>
          </w:tcPr>
          <w:p>
            <w:pPr>
              <w:spacing w:after="0"/>
              <w:rPr>
                <w:sz w:val="17"/>
                <w:szCs w:val="17"/>
                <w:color w:val="auto"/>
              </w:rPr>
            </w:pPr>
          </w:p>
        </w:tc>
      </w:tr>
      <w:tr>
        <w:trPr>
          <w:trHeight w:val="250"/>
        </w:trPr>
        <w:tc>
          <w:tcPr>
            <w:tcW w:w="8240" w:type="dxa"/>
            <w:vAlign w:val="bottom"/>
            <w:tcBorders>
              <w:bottom w:val="single" w:sz="8" w:color="DDDDDD"/>
            </w:tcBorders>
          </w:tcPr>
          <w:p>
            <w:pPr>
              <w:spacing w:after="0"/>
              <w:rPr>
                <w:sz w:val="21"/>
                <w:szCs w:val="21"/>
                <w:color w:val="auto"/>
              </w:rPr>
            </w:pPr>
          </w:p>
        </w:tc>
        <w:tc>
          <w:tcPr>
            <w:tcW w:w="90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DC202E"/>
            </w:tcBorders>
          </w:tcPr>
          <w:p>
            <w:pPr>
              <w:spacing w:after="0"/>
              <w:rPr>
                <w:sz w:val="21"/>
                <w:szCs w:val="21"/>
                <w:color w:val="auto"/>
              </w:rPr>
            </w:pPr>
          </w:p>
        </w:tc>
        <w:tc>
          <w:tcPr>
            <w:tcW w:w="120" w:type="dxa"/>
            <w:vAlign w:val="bottom"/>
            <w:tcBorders>
              <w:bottom w:val="single" w:sz="8" w:color="DDDDDD"/>
            </w:tcBorders>
          </w:tcPr>
          <w:p>
            <w:pPr>
              <w:spacing w:after="0"/>
              <w:rPr>
                <w:sz w:val="21"/>
                <w:szCs w:val="21"/>
                <w:color w:val="auto"/>
              </w:rPr>
            </w:pPr>
          </w:p>
        </w:tc>
        <w:tc>
          <w:tcPr>
            <w:tcW w:w="480" w:type="dxa"/>
            <w:vAlign w:val="bottom"/>
            <w:tcBorders>
              <w:bottom w:val="single" w:sz="8" w:color="DC202E"/>
            </w:tcBorders>
          </w:tcPr>
          <w:p>
            <w:pPr>
              <w:spacing w:after="0"/>
              <w:rPr>
                <w:sz w:val="21"/>
                <w:szCs w:val="21"/>
                <w:color w:val="auto"/>
              </w:rPr>
            </w:pPr>
          </w:p>
        </w:tc>
        <w:tc>
          <w:tcPr>
            <w:tcW w:w="960" w:type="dxa"/>
            <w:vAlign w:val="bottom"/>
            <w:tcBorders>
              <w:bottom w:val="single" w:sz="8" w:color="DC202E"/>
            </w:tcBorders>
          </w:tcPr>
          <w:p>
            <w:pPr>
              <w:jc w:val="right"/>
              <w:ind w:right="475"/>
              <w:spacing w:after="0"/>
              <w:rPr>
                <w:sz w:val="20"/>
                <w:szCs w:val="20"/>
                <w:color w:val="auto"/>
              </w:rPr>
            </w:pPr>
            <w:r>
              <w:rPr>
                <w:rFonts w:ascii="Arial" w:cs="Arial" w:eastAsia="Arial" w:hAnsi="Arial"/>
                <w:sz w:val="14"/>
                <w:szCs w:val="14"/>
                <w:b w:val="1"/>
                <w:bCs w:val="1"/>
                <w:color w:val="auto"/>
              </w:rPr>
              <w:t>2019</w:t>
            </w:r>
          </w:p>
        </w:tc>
      </w:tr>
      <w:tr>
        <w:trPr>
          <w:trHeight w:val="229"/>
        </w:trPr>
        <w:tc>
          <w:tcPr>
            <w:tcW w:w="8240" w:type="dxa"/>
            <w:vAlign w:val="bottom"/>
            <w:shd w:val="clear" w:color="auto" w:fill="DDDDDD"/>
          </w:tcPr>
          <w:p>
            <w:pPr>
              <w:ind w:left="20"/>
              <w:spacing w:after="0"/>
              <w:rPr>
                <w:sz w:val="20"/>
                <w:szCs w:val="20"/>
                <w:color w:val="auto"/>
              </w:rPr>
            </w:pPr>
            <w:r>
              <w:rPr>
                <w:rFonts w:ascii="Arial" w:cs="Arial" w:eastAsia="Arial" w:hAnsi="Arial"/>
                <w:sz w:val="18"/>
                <w:szCs w:val="18"/>
                <w:color w:val="auto"/>
              </w:rPr>
              <w:t>Trade</w:t>
            </w:r>
          </w:p>
        </w:tc>
        <w:tc>
          <w:tcPr>
            <w:tcW w:w="900" w:type="dxa"/>
            <w:vAlign w:val="bottom"/>
            <w:shd w:val="clear" w:color="auto" w:fill="DDDDDD"/>
          </w:tcPr>
          <w:p>
            <w:pPr>
              <w:jc w:val="right"/>
              <w:ind w:right="69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7,029</w:t>
            </w:r>
          </w:p>
        </w:tc>
        <w:tc>
          <w:tcPr>
            <w:tcW w:w="120" w:type="dxa"/>
            <w:vAlign w:val="bottom"/>
            <w:shd w:val="clear" w:color="auto" w:fill="DDDDDD"/>
          </w:tcPr>
          <w:p>
            <w:pPr>
              <w:spacing w:after="0"/>
              <w:rPr>
                <w:sz w:val="19"/>
                <w:szCs w:val="19"/>
                <w:color w:val="auto"/>
              </w:rPr>
            </w:pPr>
          </w:p>
        </w:tc>
        <w:tc>
          <w:tcPr>
            <w:tcW w:w="480" w:type="dxa"/>
            <w:vAlign w:val="bottom"/>
            <w:shd w:val="clear" w:color="auto" w:fill="DDDDDD"/>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7,639</w:t>
            </w:r>
          </w:p>
        </w:tc>
      </w:tr>
      <w:tr>
        <w:trPr>
          <w:trHeight w:val="230"/>
        </w:trPr>
        <w:tc>
          <w:tcPr>
            <w:tcW w:w="8240" w:type="dxa"/>
            <w:vAlign w:val="bottom"/>
            <w:tcBorders>
              <w:bottom w:val="single" w:sz="8" w:color="DDDDDD"/>
            </w:tcBorders>
          </w:tcPr>
          <w:p>
            <w:pPr>
              <w:ind w:left="20"/>
              <w:spacing w:after="0"/>
              <w:rPr>
                <w:sz w:val="20"/>
                <w:szCs w:val="20"/>
                <w:color w:val="auto"/>
              </w:rPr>
            </w:pPr>
            <w:r>
              <w:rPr>
                <w:rFonts w:ascii="Arial" w:cs="Arial" w:eastAsia="Arial" w:hAnsi="Arial"/>
                <w:sz w:val="18"/>
                <w:szCs w:val="18"/>
                <w:color w:val="auto"/>
              </w:rPr>
              <w:t>Less—Allowance for doubtful accounts</w:t>
            </w:r>
          </w:p>
        </w:tc>
        <w:tc>
          <w:tcPr>
            <w:tcW w:w="9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Borders>
              <w:bottom w:val="single" w:sz="8" w:color="DDDDDD"/>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r>
      <w:tr>
        <w:trPr>
          <w:trHeight w:val="248"/>
        </w:trPr>
        <w:tc>
          <w:tcPr>
            <w:tcW w:w="8240" w:type="dxa"/>
            <w:vAlign w:val="bottom"/>
            <w:tcBorders>
              <w:bottom w:val="single" w:sz="8" w:color="DDDDDD"/>
            </w:tcBorders>
            <w:shd w:val="clear" w:color="auto" w:fill="DDDDDD"/>
          </w:tcPr>
          <w:p>
            <w:pPr>
              <w:spacing w:after="0"/>
              <w:rPr>
                <w:sz w:val="21"/>
                <w:szCs w:val="21"/>
                <w:color w:val="auto"/>
              </w:rPr>
            </w:pPr>
          </w:p>
        </w:tc>
        <w:tc>
          <w:tcPr>
            <w:tcW w:w="900" w:type="dxa"/>
            <w:vAlign w:val="bottom"/>
            <w:tcBorders>
              <w:bottom w:val="single" w:sz="8" w:color="auto"/>
            </w:tcBorders>
            <w:shd w:val="clear" w:color="auto" w:fill="DDDDDD"/>
          </w:tcPr>
          <w:p>
            <w:pPr>
              <w:jc w:val="right"/>
              <w:ind w:right="69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6,827</w:t>
            </w:r>
          </w:p>
        </w:tc>
        <w:tc>
          <w:tcPr>
            <w:tcW w:w="120" w:type="dxa"/>
            <w:vAlign w:val="bottom"/>
            <w:tcBorders>
              <w:bottom w:val="single" w:sz="8" w:color="DDDDDD"/>
            </w:tcBorders>
            <w:shd w:val="clear" w:color="auto" w:fill="DDDDDD"/>
          </w:tcPr>
          <w:p>
            <w:pPr>
              <w:spacing w:after="0"/>
              <w:rPr>
                <w:sz w:val="21"/>
                <w:szCs w:val="21"/>
                <w:color w:val="auto"/>
              </w:rPr>
            </w:pPr>
          </w:p>
        </w:tc>
        <w:tc>
          <w:tcPr>
            <w:tcW w:w="480" w:type="dxa"/>
            <w:vAlign w:val="bottom"/>
            <w:tcBorders>
              <w:bottom w:val="single" w:sz="8" w:color="auto"/>
            </w:tcBorders>
            <w:shd w:val="clear" w:color="auto" w:fill="DDDDDD"/>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7,493</w:t>
            </w:r>
          </w:p>
        </w:tc>
      </w:tr>
      <w:tr>
        <w:trPr>
          <w:trHeight w:val="20"/>
        </w:trPr>
        <w:tc>
          <w:tcPr>
            <w:tcW w:w="8240" w:type="dxa"/>
            <w:vAlign w:val="bottom"/>
            <w:tcBorders>
              <w:top w:val="single" w:sz="8" w:color="DDDDDD"/>
            </w:tcBorders>
          </w:tcPr>
          <w:p>
            <w:pPr>
              <w:spacing w:after="0" w:line="20" w:lineRule="exact"/>
              <w:rPr>
                <w:sz w:val="1"/>
                <w:szCs w:val="1"/>
                <w:color w:val="auto"/>
              </w:rPr>
            </w:pPr>
          </w:p>
        </w:tc>
        <w:tc>
          <w:tcPr>
            <w:tcW w:w="900" w:type="dxa"/>
            <w:vAlign w:val="bottom"/>
            <w:tcBorders>
              <w:top w:val="single" w:sz="8" w:color="DDDDDD"/>
              <w:bottom w:val="single" w:sz="8" w:color="auto"/>
            </w:tcBorders>
          </w:tcPr>
          <w:p>
            <w:pPr>
              <w:spacing w:after="0" w:line="20" w:lineRule="exact"/>
              <w:rPr>
                <w:sz w:val="1"/>
                <w:szCs w:val="1"/>
                <w:color w:val="auto"/>
              </w:rPr>
            </w:pPr>
          </w:p>
        </w:tc>
        <w:tc>
          <w:tcPr>
            <w:tcW w:w="540" w:type="dxa"/>
            <w:vAlign w:val="bottom"/>
            <w:tcBorders>
              <w:top w:val="single" w:sz="8" w:color="DDDDDD"/>
              <w:bottom w:val="single" w:sz="8" w:color="auto"/>
            </w:tcBorders>
          </w:tcPr>
          <w:p>
            <w:pPr>
              <w:spacing w:after="0" w:line="20" w:lineRule="exact"/>
              <w:rPr>
                <w:sz w:val="1"/>
                <w:szCs w:val="1"/>
                <w:color w:val="auto"/>
              </w:rPr>
            </w:pPr>
          </w:p>
        </w:tc>
        <w:tc>
          <w:tcPr>
            <w:tcW w:w="120" w:type="dxa"/>
            <w:vAlign w:val="bottom"/>
            <w:tcBorders>
              <w:top w:val="single" w:sz="8" w:color="DDDDDD"/>
            </w:tcBorders>
          </w:tcPr>
          <w:p>
            <w:pPr>
              <w:spacing w:after="0" w:line="20" w:lineRule="exact"/>
              <w:rPr>
                <w:sz w:val="1"/>
                <w:szCs w:val="1"/>
                <w:color w:val="auto"/>
              </w:rPr>
            </w:pPr>
          </w:p>
        </w:tc>
        <w:tc>
          <w:tcPr>
            <w:tcW w:w="480" w:type="dxa"/>
            <w:vAlign w:val="bottom"/>
            <w:tcBorders>
              <w:top w:val="single" w:sz="8" w:color="DDDDDD"/>
              <w:bottom w:val="single" w:sz="8" w:color="auto"/>
            </w:tcBorders>
          </w:tcPr>
          <w:p>
            <w:pPr>
              <w:spacing w:after="0" w:line="20" w:lineRule="exact"/>
              <w:rPr>
                <w:sz w:val="1"/>
                <w:szCs w:val="1"/>
                <w:color w:val="auto"/>
              </w:rPr>
            </w:pPr>
          </w:p>
        </w:tc>
        <w:tc>
          <w:tcPr>
            <w:tcW w:w="960" w:type="dxa"/>
            <w:vAlign w:val="bottom"/>
            <w:tcBorders>
              <w:top w:val="single" w:sz="8" w:color="DDDDDD"/>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Trade Receivables includes $1,589 million and $1,586 million of unbilled balances under long-term contracts as of December 31, 2020 and 2019. These amounts are billed in accordance with the terms of customer contracts to which they relate.</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66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9" w:name="page70"/>
    <w:bookmarkEnd w:id="69"/>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9"/>
          <w:szCs w:val="29"/>
          <w:b w:val="1"/>
          <w:bCs w:val="1"/>
          <w:color w:val="DC202E"/>
        </w:rPr>
        <w:t>NOTE 7. INVENTORIES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240" w:type="dxa"/>
            <w:vAlign w:val="bottom"/>
          </w:tcPr>
          <w:p>
            <w:pPr>
              <w:spacing w:after="0"/>
              <w:rPr>
                <w:sz w:val="17"/>
                <w:szCs w:val="17"/>
                <w:color w:val="auto"/>
              </w:rPr>
            </w:pPr>
          </w:p>
        </w:tc>
        <w:tc>
          <w:tcPr>
            <w:tcW w:w="340" w:type="dxa"/>
            <w:vAlign w:val="bottom"/>
            <w:tcBorders>
              <w:bottom w:val="single" w:sz="8" w:color="DC202E"/>
            </w:tcBorders>
          </w:tcPr>
          <w:p>
            <w:pPr>
              <w:spacing w:after="0"/>
              <w:rPr>
                <w:sz w:val="17"/>
                <w:szCs w:val="17"/>
                <w:color w:val="auto"/>
              </w:rPr>
            </w:pPr>
          </w:p>
        </w:tc>
        <w:tc>
          <w:tcPr>
            <w:tcW w:w="1700" w:type="dxa"/>
            <w:vAlign w:val="bottom"/>
            <w:tcBorders>
              <w:bottom w:val="single" w:sz="8" w:color="DC202E"/>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DC202E"/>
            </w:tcBorders>
          </w:tcPr>
          <w:p>
            <w:pPr>
              <w:spacing w:after="0"/>
              <w:rPr>
                <w:sz w:val="17"/>
                <w:szCs w:val="17"/>
                <w:color w:val="auto"/>
              </w:rPr>
            </w:pPr>
          </w:p>
        </w:tc>
      </w:tr>
      <w:tr>
        <w:trPr>
          <w:trHeight w:val="257"/>
        </w:trPr>
        <w:tc>
          <w:tcPr>
            <w:tcW w:w="8240" w:type="dxa"/>
            <w:vAlign w:val="bottom"/>
            <w:tcBorders>
              <w:bottom w:val="single" w:sz="8" w:color="DDDDDD"/>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DDDDDD"/>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2019</w:t>
            </w:r>
          </w:p>
        </w:tc>
      </w:tr>
      <w:tr>
        <w:trPr>
          <w:trHeight w:val="223"/>
        </w:trPr>
        <w:tc>
          <w:tcPr>
            <w:tcW w:w="8240" w:type="dxa"/>
            <w:vAlign w:val="bottom"/>
            <w:shd w:val="clear" w:color="auto" w:fill="DDDDDD"/>
          </w:tcPr>
          <w:p>
            <w:pPr>
              <w:ind w:left="20"/>
              <w:spacing w:after="0"/>
              <w:rPr>
                <w:sz w:val="20"/>
                <w:szCs w:val="20"/>
                <w:color w:val="auto"/>
              </w:rPr>
            </w:pPr>
            <w:r>
              <w:rPr>
                <w:rFonts w:ascii="Arial" w:cs="Arial" w:eastAsia="Arial" w:hAnsi="Arial"/>
                <w:sz w:val="18"/>
                <w:szCs w:val="18"/>
                <w:color w:val="auto"/>
              </w:rPr>
              <w:t>Raw materials</w:t>
            </w:r>
          </w:p>
        </w:tc>
        <w:tc>
          <w:tcPr>
            <w:tcW w:w="3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1,079</w:t>
            </w:r>
          </w:p>
        </w:tc>
        <w:tc>
          <w:tcPr>
            <w:tcW w:w="120" w:type="dxa"/>
            <w:vAlign w:val="bottom"/>
            <w:shd w:val="clear" w:color="auto" w:fill="DDDDDD"/>
          </w:tcPr>
          <w:p>
            <w:pPr>
              <w:spacing w:after="0"/>
              <w:rPr>
                <w:sz w:val="19"/>
                <w:szCs w:val="19"/>
                <w:color w:val="auto"/>
              </w:rPr>
            </w:pPr>
          </w:p>
        </w:tc>
        <w:tc>
          <w:tcPr>
            <w:tcW w:w="480" w:type="dxa"/>
            <w:vAlign w:val="bottom"/>
            <w:shd w:val="clear" w:color="auto" w:fill="DDDDDD"/>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1,056</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798</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817</w:t>
            </w:r>
          </w:p>
        </w:tc>
      </w:tr>
      <w:tr>
        <w:trPr>
          <w:trHeight w:val="229"/>
        </w:trPr>
        <w:tc>
          <w:tcPr>
            <w:tcW w:w="8240" w:type="dxa"/>
            <w:vAlign w:val="bottom"/>
            <w:shd w:val="clear" w:color="auto" w:fill="DDDDDD"/>
          </w:tcPr>
          <w:p>
            <w:pPr>
              <w:ind w:left="20"/>
              <w:spacing w:after="0"/>
              <w:rPr>
                <w:sz w:val="20"/>
                <w:szCs w:val="20"/>
                <w:color w:val="auto"/>
              </w:rPr>
            </w:pPr>
            <w:r>
              <w:rPr>
                <w:rFonts w:ascii="Arial" w:cs="Arial" w:eastAsia="Arial" w:hAnsi="Arial"/>
                <w:sz w:val="18"/>
                <w:szCs w:val="18"/>
                <w:color w:val="auto"/>
              </w:rPr>
              <w:t>Finished products</w:t>
            </w:r>
          </w:p>
        </w:tc>
        <w:tc>
          <w:tcPr>
            <w:tcW w:w="340" w:type="dxa"/>
            <w:vAlign w:val="bottom"/>
            <w:tcBorders>
              <w:bottom w:val="single" w:sz="8" w:color="auto"/>
            </w:tcBorders>
            <w:shd w:val="clear" w:color="auto" w:fill="DDDDDD"/>
          </w:tcPr>
          <w:p>
            <w:pPr>
              <w:spacing w:after="0"/>
              <w:rPr>
                <w:sz w:val="19"/>
                <w:szCs w:val="19"/>
                <w:color w:val="auto"/>
              </w:rPr>
            </w:pPr>
          </w:p>
        </w:tc>
        <w:tc>
          <w:tcPr>
            <w:tcW w:w="11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2,612</w:t>
            </w:r>
          </w:p>
        </w:tc>
        <w:tc>
          <w:tcPr>
            <w:tcW w:w="120" w:type="dxa"/>
            <w:vAlign w:val="bottom"/>
            <w:shd w:val="clear" w:color="auto" w:fill="DDDDDD"/>
          </w:tcPr>
          <w:p>
            <w:pPr>
              <w:spacing w:after="0"/>
              <w:rPr>
                <w:sz w:val="19"/>
                <w:szCs w:val="19"/>
                <w:color w:val="auto"/>
              </w:rPr>
            </w:pPr>
          </w:p>
        </w:tc>
        <w:tc>
          <w:tcPr>
            <w:tcW w:w="480" w:type="dxa"/>
            <w:vAlign w:val="bottom"/>
            <w:tcBorders>
              <w:bottom w:val="single" w:sz="8" w:color="auto"/>
            </w:tcBorders>
            <w:shd w:val="clear" w:color="auto" w:fill="DDDDDD"/>
          </w:tcPr>
          <w:p>
            <w:pPr>
              <w:spacing w:after="0"/>
              <w:rPr>
                <w:sz w:val="19"/>
                <w:szCs w:val="19"/>
                <w:color w:val="auto"/>
              </w:rPr>
            </w:pPr>
          </w:p>
        </w:tc>
        <w:tc>
          <w:tcPr>
            <w:tcW w:w="9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2,593</w:t>
            </w:r>
          </w:p>
        </w:tc>
      </w:tr>
      <w:tr>
        <w:trPr>
          <w:trHeight w:val="223"/>
        </w:trPr>
        <w:tc>
          <w:tcPr>
            <w:tcW w:w="8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4,489</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4,466</w:t>
            </w:r>
          </w:p>
        </w:tc>
      </w:tr>
      <w:tr>
        <w:trPr>
          <w:trHeight w:val="229"/>
        </w:trPr>
        <w:tc>
          <w:tcPr>
            <w:tcW w:w="8240" w:type="dxa"/>
            <w:vAlign w:val="bottom"/>
            <w:shd w:val="clear" w:color="auto" w:fill="DDDDDD"/>
          </w:tcPr>
          <w:p>
            <w:pPr>
              <w:ind w:left="20"/>
              <w:spacing w:after="0"/>
              <w:rPr>
                <w:sz w:val="20"/>
                <w:szCs w:val="20"/>
                <w:color w:val="auto"/>
              </w:rPr>
            </w:pPr>
            <w:r>
              <w:rPr>
                <w:rFonts w:ascii="Arial" w:cs="Arial" w:eastAsia="Arial" w:hAnsi="Arial"/>
                <w:sz w:val="18"/>
                <w:szCs w:val="18"/>
                <w:color w:val="auto"/>
              </w:rPr>
              <w:t>Reduction to LIFO cost basis</w:t>
            </w:r>
          </w:p>
        </w:tc>
        <w:tc>
          <w:tcPr>
            <w:tcW w:w="340" w:type="dxa"/>
            <w:vAlign w:val="bottom"/>
            <w:shd w:val="clear" w:color="auto" w:fill="DDDDDD"/>
          </w:tcPr>
          <w:p>
            <w:pPr>
              <w:spacing w:after="0"/>
              <w:rPr>
                <w:sz w:val="19"/>
                <w:szCs w:val="19"/>
                <w:color w:val="auto"/>
              </w:rPr>
            </w:pPr>
          </w:p>
        </w:tc>
        <w:tc>
          <w:tcPr>
            <w:tcW w:w="1220" w:type="dxa"/>
            <w:vAlign w:val="bottom"/>
            <w:gridSpan w:val="2"/>
            <w:shd w:val="clear" w:color="auto" w:fill="DDDDDD"/>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DDDDDD"/>
          </w:tcPr>
          <w:p>
            <w:pPr>
              <w:spacing w:after="0"/>
              <w:rPr>
                <w:sz w:val="19"/>
                <w:szCs w:val="19"/>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(45)</w:t>
            </w:r>
          </w:p>
        </w:tc>
      </w:tr>
      <w:tr>
        <w:trPr>
          <w:trHeight w:val="223"/>
        </w:trPr>
        <w:tc>
          <w:tcPr>
            <w:tcW w:w="824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4,489</w:t>
            </w:r>
          </w:p>
        </w:tc>
        <w:tc>
          <w:tcPr>
            <w:tcW w:w="12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4,421</w:t>
            </w:r>
          </w:p>
        </w:tc>
      </w:tr>
      <w:tr>
        <w:trPr>
          <w:trHeight w:val="20"/>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During the third quarter of 2020, the Company changed the method of valuing inventory from the last-in, first-out (LIFO) method to the first-in, first-out (FIFO) method for inventories within our Performance Materials and Technologies segment not previously valued using FIFO. The Company believes the FIFO method is preferable and better reflects the current value of inventory reported in the Consolidated Balance Sheet. The cumulative effect of this change in accounting principle was $7 million and was recorded as a reduction to Cost of products sold for the year ended December 31, 2020. The inventories subject to this change totaled approximately 6% of consolidated inventories at the time of this change. This change was not material to the Consolidated Financial Statements, and therefore prior periods were not adjusted retrospectively. Inventories valued at LIFO amounted to $292 million at December 31, 2019. Had such LIFO inventories been valued at current costs, the carrying values would have been approximately $45 million higher at December 31, 2019. There are no remaining inventories valued at LIFO.</w:t>
      </w:r>
    </w:p>
    <w:p>
      <w:pPr>
        <w:spacing w:after="0" w:line="281" w:lineRule="exact"/>
        <w:rPr>
          <w:sz w:val="20"/>
          <w:szCs w:val="20"/>
          <w:color w:val="auto"/>
        </w:rPr>
      </w:pPr>
    </w:p>
    <w:p>
      <w:pPr>
        <w:spacing w:after="0"/>
        <w:rPr>
          <w:sz w:val="20"/>
          <w:szCs w:val="20"/>
          <w:color w:val="auto"/>
        </w:rPr>
      </w:pPr>
      <w:r>
        <w:rPr>
          <w:rFonts w:ascii="Arial" w:cs="Arial" w:eastAsia="Arial" w:hAnsi="Arial"/>
          <w:sz w:val="29"/>
          <w:szCs w:val="29"/>
          <w:b w:val="1"/>
          <w:bCs w:val="1"/>
          <w:color w:val="DC202E"/>
        </w:rPr>
        <w:t>NOTE 8. PROPERTY, PLANT AND EQUIPMENT—NET</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240" w:type="dxa"/>
            <w:vAlign w:val="bottom"/>
          </w:tcPr>
          <w:p>
            <w:pPr>
              <w:spacing w:after="0"/>
              <w:rPr>
                <w:sz w:val="17"/>
                <w:szCs w:val="17"/>
                <w:color w:val="auto"/>
              </w:rPr>
            </w:pPr>
          </w:p>
        </w:tc>
        <w:tc>
          <w:tcPr>
            <w:tcW w:w="340" w:type="dxa"/>
            <w:vAlign w:val="bottom"/>
            <w:tcBorders>
              <w:bottom w:val="single" w:sz="8" w:color="DC202E"/>
            </w:tcBorders>
          </w:tcPr>
          <w:p>
            <w:pPr>
              <w:spacing w:after="0"/>
              <w:rPr>
                <w:sz w:val="17"/>
                <w:szCs w:val="17"/>
                <w:color w:val="auto"/>
              </w:rPr>
            </w:pPr>
          </w:p>
        </w:tc>
        <w:tc>
          <w:tcPr>
            <w:tcW w:w="1700" w:type="dxa"/>
            <w:vAlign w:val="bottom"/>
            <w:tcBorders>
              <w:bottom w:val="single" w:sz="8" w:color="DC202E"/>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DC202E"/>
            </w:tcBorders>
          </w:tcPr>
          <w:p>
            <w:pPr>
              <w:spacing w:after="0"/>
              <w:rPr>
                <w:sz w:val="17"/>
                <w:szCs w:val="17"/>
                <w:color w:val="auto"/>
              </w:rPr>
            </w:pPr>
          </w:p>
        </w:tc>
      </w:tr>
      <w:tr>
        <w:trPr>
          <w:trHeight w:val="250"/>
        </w:trPr>
        <w:tc>
          <w:tcPr>
            <w:tcW w:w="8240" w:type="dxa"/>
            <w:vAlign w:val="bottom"/>
            <w:tcBorders>
              <w:bottom w:val="single" w:sz="8" w:color="DDDDDD"/>
            </w:tcBorders>
          </w:tcPr>
          <w:p>
            <w:pPr>
              <w:spacing w:after="0"/>
              <w:rPr>
                <w:sz w:val="21"/>
                <w:szCs w:val="21"/>
                <w:color w:val="auto"/>
              </w:rPr>
            </w:pPr>
          </w:p>
        </w:tc>
        <w:tc>
          <w:tcPr>
            <w:tcW w:w="340" w:type="dxa"/>
            <w:vAlign w:val="bottom"/>
            <w:tcBorders>
              <w:bottom w:val="single" w:sz="8" w:color="DC202E"/>
            </w:tcBorders>
          </w:tcPr>
          <w:p>
            <w:pPr>
              <w:spacing w:after="0"/>
              <w:rPr>
                <w:sz w:val="21"/>
                <w:szCs w:val="21"/>
                <w:color w:val="auto"/>
              </w:rPr>
            </w:pPr>
          </w:p>
        </w:tc>
        <w:tc>
          <w:tcPr>
            <w:tcW w:w="1100" w:type="dxa"/>
            <w:vAlign w:val="bottom"/>
            <w:tcBorders>
              <w:bottom w:val="single" w:sz="8" w:color="DC202E"/>
            </w:tcBorders>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DDDDDD"/>
            </w:tcBorders>
          </w:tcPr>
          <w:p>
            <w:pPr>
              <w:spacing w:after="0"/>
              <w:rPr>
                <w:sz w:val="21"/>
                <w:szCs w:val="21"/>
                <w:color w:val="auto"/>
              </w:rPr>
            </w:pPr>
          </w:p>
        </w:tc>
        <w:tc>
          <w:tcPr>
            <w:tcW w:w="480" w:type="dxa"/>
            <w:vAlign w:val="bottom"/>
            <w:tcBorders>
              <w:bottom w:val="single" w:sz="8" w:color="DC202E"/>
            </w:tcBorders>
          </w:tcPr>
          <w:p>
            <w:pPr>
              <w:spacing w:after="0"/>
              <w:rPr>
                <w:sz w:val="21"/>
                <w:szCs w:val="21"/>
                <w:color w:val="auto"/>
              </w:rPr>
            </w:pPr>
          </w:p>
        </w:tc>
        <w:tc>
          <w:tcPr>
            <w:tcW w:w="960" w:type="dxa"/>
            <w:vAlign w:val="bottom"/>
            <w:tcBorders>
              <w:bottom w:val="single" w:sz="8" w:color="DC202E"/>
            </w:tcBorders>
          </w:tcPr>
          <w:p>
            <w:pPr>
              <w:jc w:val="right"/>
              <w:ind w:right="472"/>
              <w:spacing w:after="0"/>
              <w:rPr>
                <w:sz w:val="20"/>
                <w:szCs w:val="20"/>
                <w:color w:val="auto"/>
              </w:rPr>
            </w:pPr>
            <w:r>
              <w:rPr>
                <w:rFonts w:ascii="Arial" w:cs="Arial" w:eastAsia="Arial" w:hAnsi="Arial"/>
                <w:sz w:val="14"/>
                <w:szCs w:val="14"/>
                <w:b w:val="1"/>
                <w:bCs w:val="1"/>
                <w:color w:val="auto"/>
              </w:rPr>
              <w:t>2019</w:t>
            </w:r>
          </w:p>
        </w:tc>
      </w:tr>
      <w:tr>
        <w:trPr>
          <w:trHeight w:val="230"/>
        </w:trPr>
        <w:tc>
          <w:tcPr>
            <w:tcW w:w="8240" w:type="dxa"/>
            <w:vAlign w:val="bottom"/>
            <w:shd w:val="clear" w:color="auto" w:fill="DDDDDD"/>
          </w:tcPr>
          <w:p>
            <w:pPr>
              <w:ind w:left="20"/>
              <w:spacing w:after="0"/>
              <w:rPr>
                <w:sz w:val="20"/>
                <w:szCs w:val="20"/>
                <w:color w:val="auto"/>
              </w:rPr>
            </w:pPr>
            <w:r>
              <w:rPr>
                <w:rFonts w:ascii="Arial" w:cs="Arial" w:eastAsia="Arial" w:hAnsi="Arial"/>
                <w:sz w:val="18"/>
                <w:szCs w:val="18"/>
                <w:color w:val="auto"/>
              </w:rPr>
              <w:t>Land and improvements</w:t>
            </w:r>
          </w:p>
        </w:tc>
        <w:tc>
          <w:tcPr>
            <w:tcW w:w="3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259</w:t>
            </w:r>
          </w:p>
        </w:tc>
        <w:tc>
          <w:tcPr>
            <w:tcW w:w="120" w:type="dxa"/>
            <w:vAlign w:val="bottom"/>
            <w:shd w:val="clear" w:color="auto" w:fill="DDDDDD"/>
          </w:tcPr>
          <w:p>
            <w:pPr>
              <w:spacing w:after="0"/>
              <w:rPr>
                <w:sz w:val="19"/>
                <w:szCs w:val="19"/>
                <w:color w:val="auto"/>
              </w:rPr>
            </w:pPr>
          </w:p>
        </w:tc>
        <w:tc>
          <w:tcPr>
            <w:tcW w:w="480" w:type="dxa"/>
            <w:vAlign w:val="bottom"/>
            <w:shd w:val="clear" w:color="auto" w:fill="DDDDDD"/>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251</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Machinery and equipment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10,008</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9,586</w:t>
            </w:r>
          </w:p>
        </w:tc>
      </w:tr>
      <w:tr>
        <w:trPr>
          <w:trHeight w:val="230"/>
        </w:trPr>
        <w:tc>
          <w:tcPr>
            <w:tcW w:w="8240" w:type="dxa"/>
            <w:vAlign w:val="bottom"/>
            <w:shd w:val="clear" w:color="auto" w:fill="DDDDDD"/>
          </w:tcPr>
          <w:p>
            <w:pPr>
              <w:ind w:left="20"/>
              <w:spacing w:after="0"/>
              <w:rPr>
                <w:sz w:val="20"/>
                <w:szCs w:val="20"/>
                <w:color w:val="auto"/>
              </w:rPr>
            </w:pPr>
            <w:r>
              <w:rPr>
                <w:rFonts w:ascii="Arial" w:cs="Arial" w:eastAsia="Arial" w:hAnsi="Arial"/>
                <w:sz w:val="18"/>
                <w:szCs w:val="18"/>
                <w:color w:val="auto"/>
              </w:rPr>
              <w:t>Buildings and improvements</w:t>
            </w: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3,245</w:t>
            </w:r>
          </w:p>
        </w:tc>
        <w:tc>
          <w:tcPr>
            <w:tcW w:w="120" w:type="dxa"/>
            <w:vAlign w:val="bottom"/>
            <w:shd w:val="clear" w:color="auto" w:fill="DDDDDD"/>
          </w:tcPr>
          <w:p>
            <w:pPr>
              <w:spacing w:after="0"/>
              <w:rPr>
                <w:sz w:val="19"/>
                <w:szCs w:val="19"/>
                <w:color w:val="auto"/>
              </w:rPr>
            </w:pPr>
          </w:p>
        </w:tc>
        <w:tc>
          <w:tcPr>
            <w:tcW w:w="480" w:type="dxa"/>
            <w:vAlign w:val="bottom"/>
            <w:shd w:val="clear" w:color="auto" w:fill="DDDDDD"/>
          </w:tcPr>
          <w:p>
            <w:pPr>
              <w:spacing w:after="0"/>
              <w:rPr>
                <w:sz w:val="19"/>
                <w:szCs w:val="19"/>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3,152</w:t>
            </w:r>
          </w:p>
        </w:tc>
      </w:tr>
      <w:tr>
        <w:trPr>
          <w:trHeight w:val="229"/>
        </w:trPr>
        <w:tc>
          <w:tcPr>
            <w:tcW w:w="8240" w:type="dxa"/>
            <w:vAlign w:val="bottom"/>
            <w:tcBorders>
              <w:bottom w:val="single" w:sz="8" w:color="DDDDDD"/>
            </w:tcBorders>
          </w:tcPr>
          <w:p>
            <w:pPr>
              <w:ind w:left="20"/>
              <w:spacing w:after="0"/>
              <w:rPr>
                <w:sz w:val="20"/>
                <w:szCs w:val="20"/>
                <w:color w:val="auto"/>
              </w:rPr>
            </w:pPr>
            <w:r>
              <w:rPr>
                <w:rFonts w:ascii="Arial" w:cs="Arial" w:eastAsia="Arial" w:hAnsi="Arial"/>
                <w:sz w:val="18"/>
                <w:szCs w:val="18"/>
                <w:color w:val="auto"/>
              </w:rPr>
              <w:t>Construction in progress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w:t>
            </w:r>
          </w:p>
        </w:tc>
        <w:tc>
          <w:tcPr>
            <w:tcW w:w="120" w:type="dxa"/>
            <w:vAlign w:val="bottom"/>
            <w:tcBorders>
              <w:bottom w:val="single" w:sz="8" w:color="DDDDDD"/>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w:t>
            </w:r>
          </w:p>
        </w:tc>
      </w:tr>
      <w:tr>
        <w:trPr>
          <w:trHeight w:val="223"/>
        </w:trPr>
        <w:tc>
          <w:tcPr>
            <w:tcW w:w="824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14,337</w:t>
            </w:r>
          </w:p>
        </w:tc>
        <w:tc>
          <w:tcPr>
            <w:tcW w:w="120" w:type="dxa"/>
            <w:vAlign w:val="bottom"/>
            <w:shd w:val="clear" w:color="auto" w:fill="DDDDDD"/>
          </w:tcPr>
          <w:p>
            <w:pPr>
              <w:spacing w:after="0"/>
              <w:rPr>
                <w:sz w:val="19"/>
                <w:szCs w:val="19"/>
                <w:color w:val="auto"/>
              </w:rPr>
            </w:pPr>
          </w:p>
        </w:tc>
        <w:tc>
          <w:tcPr>
            <w:tcW w:w="480" w:type="dxa"/>
            <w:vAlign w:val="bottom"/>
            <w:shd w:val="clear" w:color="auto" w:fill="DDDDDD"/>
          </w:tcPr>
          <w:p>
            <w:pPr>
              <w:spacing w:after="0"/>
              <w:rPr>
                <w:sz w:val="19"/>
                <w:szCs w:val="19"/>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13,713</w:t>
            </w:r>
          </w:p>
        </w:tc>
      </w:tr>
      <w:tr>
        <w:trPr>
          <w:trHeight w:val="229"/>
        </w:trPr>
        <w:tc>
          <w:tcPr>
            <w:tcW w:w="8240" w:type="dxa"/>
            <w:vAlign w:val="bottom"/>
            <w:tcBorders>
              <w:bottom w:val="single" w:sz="8" w:color="DDDDDD"/>
            </w:tcBorders>
          </w:tcPr>
          <w:p>
            <w:pPr>
              <w:ind w:left="20"/>
              <w:spacing w:after="0"/>
              <w:rPr>
                <w:sz w:val="20"/>
                <w:szCs w:val="20"/>
                <w:color w:val="auto"/>
              </w:rPr>
            </w:pPr>
            <w:r>
              <w:rPr>
                <w:rFonts w:ascii="Arial" w:cs="Arial" w:eastAsia="Arial" w:hAnsi="Arial"/>
                <w:sz w:val="18"/>
                <w:szCs w:val="18"/>
                <w:color w:val="auto"/>
              </w:rPr>
              <w:t>Less—Accumulated depreciation</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(8,767)</w:t>
            </w:r>
          </w:p>
        </w:tc>
        <w:tc>
          <w:tcPr>
            <w:tcW w:w="120" w:type="dxa"/>
            <w:vAlign w:val="bottom"/>
            <w:tcBorders>
              <w:bottom w:val="single" w:sz="8" w:color="DDDDDD"/>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(8,388)</w:t>
            </w:r>
          </w:p>
        </w:tc>
      </w:tr>
      <w:tr>
        <w:trPr>
          <w:trHeight w:val="248"/>
        </w:trPr>
        <w:tc>
          <w:tcPr>
            <w:tcW w:w="8240" w:type="dxa"/>
            <w:vAlign w:val="bottom"/>
            <w:tcBorders>
              <w:bottom w:val="single" w:sz="8" w:color="DDDDDD"/>
            </w:tcBorders>
            <w:shd w:val="clear" w:color="auto" w:fill="DDDDDD"/>
          </w:tcPr>
          <w:p>
            <w:pPr>
              <w:spacing w:after="0"/>
              <w:rPr>
                <w:sz w:val="21"/>
                <w:szCs w:val="21"/>
                <w:color w:val="auto"/>
              </w:rPr>
            </w:pPr>
          </w:p>
        </w:tc>
        <w:tc>
          <w:tcPr>
            <w:tcW w:w="340" w:type="dxa"/>
            <w:vAlign w:val="bottom"/>
            <w:tcBorders>
              <w:bottom w:val="single" w:sz="8" w:color="auto"/>
            </w:tcBorders>
            <w:shd w:val="clear" w:color="auto" w:fill="DDDDDD"/>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5,570</w:t>
            </w:r>
          </w:p>
        </w:tc>
        <w:tc>
          <w:tcPr>
            <w:tcW w:w="120" w:type="dxa"/>
            <w:vAlign w:val="bottom"/>
            <w:tcBorders>
              <w:bottom w:val="single" w:sz="8" w:color="DDDDDD"/>
            </w:tcBorders>
            <w:shd w:val="clear" w:color="auto" w:fill="DDDDDD"/>
          </w:tcPr>
          <w:p>
            <w:pPr>
              <w:spacing w:after="0"/>
              <w:rPr>
                <w:sz w:val="21"/>
                <w:szCs w:val="21"/>
                <w:color w:val="auto"/>
              </w:rPr>
            </w:pPr>
          </w:p>
        </w:tc>
        <w:tc>
          <w:tcPr>
            <w:tcW w:w="480" w:type="dxa"/>
            <w:vAlign w:val="bottom"/>
            <w:tcBorders>
              <w:bottom w:val="single" w:sz="8" w:color="auto"/>
            </w:tcBorders>
            <w:shd w:val="clear" w:color="auto" w:fill="DDDDDD"/>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5,325</w:t>
            </w:r>
          </w:p>
        </w:tc>
      </w:tr>
      <w:tr>
        <w:trPr>
          <w:trHeight w:val="20"/>
        </w:trPr>
        <w:tc>
          <w:tcPr>
            <w:tcW w:w="8240" w:type="dxa"/>
            <w:vAlign w:val="bottom"/>
            <w:tcBorders>
              <w:top w:val="single" w:sz="8" w:color="DDDDDD"/>
            </w:tcBorders>
          </w:tcPr>
          <w:p>
            <w:pPr>
              <w:spacing w:after="0" w:line="20" w:lineRule="exact"/>
              <w:rPr>
                <w:sz w:val="1"/>
                <w:szCs w:val="1"/>
                <w:color w:val="auto"/>
              </w:rPr>
            </w:pPr>
          </w:p>
        </w:tc>
        <w:tc>
          <w:tcPr>
            <w:tcW w:w="340" w:type="dxa"/>
            <w:vAlign w:val="bottom"/>
            <w:tcBorders>
              <w:top w:val="single" w:sz="8" w:color="DDDDDD"/>
              <w:bottom w:val="single" w:sz="8" w:color="auto"/>
            </w:tcBorders>
          </w:tcPr>
          <w:p>
            <w:pPr>
              <w:spacing w:after="0" w:line="20" w:lineRule="exact"/>
              <w:rPr>
                <w:sz w:val="1"/>
                <w:szCs w:val="1"/>
                <w:color w:val="auto"/>
              </w:rPr>
            </w:pPr>
          </w:p>
        </w:tc>
        <w:tc>
          <w:tcPr>
            <w:tcW w:w="1100" w:type="dxa"/>
            <w:vAlign w:val="bottom"/>
            <w:tcBorders>
              <w:top w:val="single" w:sz="8" w:color="DDDDDD"/>
              <w:bottom w:val="single" w:sz="8" w:color="auto"/>
            </w:tcBorders>
          </w:tcPr>
          <w:p>
            <w:pPr>
              <w:spacing w:after="0" w:line="20" w:lineRule="exact"/>
              <w:rPr>
                <w:sz w:val="1"/>
                <w:szCs w:val="1"/>
                <w:color w:val="auto"/>
              </w:rPr>
            </w:pPr>
          </w:p>
        </w:tc>
        <w:tc>
          <w:tcPr>
            <w:tcW w:w="120" w:type="dxa"/>
            <w:vAlign w:val="bottom"/>
            <w:tcBorders>
              <w:top w:val="single" w:sz="8" w:color="DDDDDD"/>
            </w:tcBorders>
          </w:tcPr>
          <w:p>
            <w:pPr>
              <w:spacing w:after="0" w:line="20" w:lineRule="exact"/>
              <w:rPr>
                <w:sz w:val="1"/>
                <w:szCs w:val="1"/>
                <w:color w:val="auto"/>
              </w:rPr>
            </w:pPr>
          </w:p>
        </w:tc>
        <w:tc>
          <w:tcPr>
            <w:tcW w:w="480" w:type="dxa"/>
            <w:vAlign w:val="bottom"/>
            <w:tcBorders>
              <w:top w:val="single" w:sz="8" w:color="DDDDDD"/>
              <w:bottom w:val="single" w:sz="8" w:color="auto"/>
            </w:tcBorders>
          </w:tcPr>
          <w:p>
            <w:pPr>
              <w:spacing w:after="0" w:line="20" w:lineRule="exact"/>
              <w:rPr>
                <w:sz w:val="1"/>
                <w:szCs w:val="1"/>
                <w:color w:val="auto"/>
              </w:rPr>
            </w:pPr>
          </w:p>
        </w:tc>
        <w:tc>
          <w:tcPr>
            <w:tcW w:w="960" w:type="dxa"/>
            <w:vAlign w:val="bottom"/>
            <w:tcBorders>
              <w:top w:val="single" w:sz="8" w:color="DDDDDD"/>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$644 million, $673 million and $721 million for the years ended December 31, 2020, 2019 and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67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0" w:name="page71"/>
    <w:bookmarkEnd w:id="70"/>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9"/>
          <w:szCs w:val="29"/>
          <w:b w:val="1"/>
          <w:bCs w:val="1"/>
          <w:color w:val="DC202E"/>
        </w:rPr>
        <w:t>NOTE 9. GOODWILL AND OTHER INTANGIBLE ASSETS—NET</w:t>
      </w:r>
    </w:p>
    <w:p>
      <w:pPr>
        <w:spacing w:after="0" w:line="15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summarizes the change in the carrying amount of goodwill for the years ended December 31, 2020 and 2019 by segment.</w:t>
      </w:r>
    </w:p>
    <w:tbl>
      <w:tblPr>
        <w:tblLayout w:type="fixed"/>
        <w:tblInd w:w="0" w:type="dxa"/>
        <w:tblCellMar>
          <w:top w:w="0" w:type="dxa"/>
          <w:left w:w="0" w:type="dxa"/>
          <w:bottom w:w="0" w:type="dxa"/>
          <w:right w:w="0" w:type="dxa"/>
        </w:tblCellMar>
      </w:tblPr>
      <w:tr>
        <w:trPr>
          <w:trHeight w:val="158"/>
        </w:trPr>
        <w:tc>
          <w:tcPr>
            <w:tcW w:w="29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Acquisitions/</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3"/>
          </w:tcPr>
          <w:p>
            <w:pPr>
              <w:jc w:val="center"/>
              <w:ind w:right="520"/>
              <w:spacing w:after="0" w:line="158" w:lineRule="exact"/>
              <w:rPr>
                <w:sz w:val="20"/>
                <w:szCs w:val="20"/>
                <w:color w:val="auto"/>
              </w:rPr>
            </w:pPr>
            <w:r>
              <w:rPr>
                <w:rFonts w:ascii="Arial" w:cs="Arial" w:eastAsia="Arial" w:hAnsi="Arial"/>
                <w:sz w:val="14"/>
                <w:szCs w:val="14"/>
                <w:b w:val="1"/>
                <w:bCs w:val="1"/>
                <w:color w:val="auto"/>
              </w:rPr>
              <w:t>Currency</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9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4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December 31, 2019</w:t>
            </w:r>
          </w:p>
        </w:tc>
        <w:tc>
          <w:tcPr>
            <w:tcW w:w="100" w:type="dxa"/>
            <w:vAlign w:val="bottom"/>
            <w:vMerge w:val="restart"/>
          </w:tcPr>
          <w:p>
            <w:pPr>
              <w:spacing w:after="0"/>
              <w:rPr>
                <w:sz w:val="11"/>
                <w:szCs w:val="11"/>
                <w:color w:val="auto"/>
              </w:rPr>
            </w:pPr>
          </w:p>
        </w:tc>
        <w:tc>
          <w:tcPr>
            <w:tcW w:w="260" w:type="dxa"/>
            <w:vAlign w:val="bottom"/>
          </w:tcPr>
          <w:p>
            <w:pPr>
              <w:spacing w:after="0"/>
              <w:rPr>
                <w:sz w:val="11"/>
                <w:szCs w:val="11"/>
                <w:color w:val="auto"/>
              </w:rPr>
            </w:pPr>
          </w:p>
        </w:tc>
        <w:tc>
          <w:tcPr>
            <w:tcW w:w="1300" w:type="dxa"/>
            <w:vAlign w:val="bottom"/>
            <w:gridSpan w:val="5"/>
            <w:vMerge w:val="continue"/>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4"/>
          </w:tcPr>
          <w:p>
            <w:pPr>
              <w:jc w:val="center"/>
              <w:ind w:right="380"/>
              <w:spacing w:after="0" w:line="135" w:lineRule="exact"/>
              <w:rPr>
                <w:sz w:val="20"/>
                <w:szCs w:val="20"/>
                <w:color w:val="auto"/>
              </w:rPr>
            </w:pPr>
            <w:r>
              <w:rPr>
                <w:rFonts w:ascii="Arial" w:cs="Arial" w:eastAsia="Arial" w:hAnsi="Arial"/>
                <w:sz w:val="14"/>
                <w:szCs w:val="14"/>
                <w:b w:val="1"/>
                <w:bCs w:val="1"/>
                <w:color w:val="auto"/>
              </w:rPr>
              <w:t>Translation</w:t>
            </w:r>
          </w:p>
        </w:tc>
        <w:tc>
          <w:tcPr>
            <w:tcW w:w="20" w:type="dxa"/>
            <w:vAlign w:val="bottom"/>
          </w:tcPr>
          <w:p>
            <w:pPr>
              <w:spacing w:after="0"/>
              <w:rPr>
                <w:sz w:val="11"/>
                <w:szCs w:val="11"/>
                <w:color w:val="auto"/>
              </w:rPr>
            </w:pPr>
          </w:p>
        </w:tc>
        <w:tc>
          <w:tcPr>
            <w:tcW w:w="14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83"/>
        </w:trPr>
        <w:tc>
          <w:tcPr>
            <w:tcW w:w="2960" w:type="dxa"/>
            <w:vAlign w:val="bottom"/>
            <w:tcBorders>
              <w:bottom w:val="single" w:sz="8" w:color="DDDDDD"/>
            </w:tcBorders>
          </w:tcPr>
          <w:p>
            <w:pPr>
              <w:spacing w:after="0"/>
              <w:rPr>
                <w:sz w:val="15"/>
                <w:szCs w:val="15"/>
                <w:color w:val="auto"/>
              </w:rPr>
            </w:pPr>
          </w:p>
        </w:tc>
        <w:tc>
          <w:tcPr>
            <w:tcW w:w="340" w:type="dxa"/>
            <w:vAlign w:val="bottom"/>
            <w:tcBorders>
              <w:bottom w:val="single" w:sz="8" w:color="DDDDDD"/>
            </w:tcBorders>
          </w:tcPr>
          <w:p>
            <w:pPr>
              <w:spacing w:after="0"/>
              <w:rPr>
                <w:sz w:val="15"/>
                <w:szCs w:val="15"/>
                <w:color w:val="auto"/>
              </w:rPr>
            </w:pPr>
          </w:p>
        </w:tc>
        <w:tc>
          <w:tcPr>
            <w:tcW w:w="940" w:type="dxa"/>
            <w:vAlign w:val="bottom"/>
            <w:tcBorders>
              <w:bottom w:val="single" w:sz="8" w:color="DDDDDD"/>
            </w:tcBorders>
          </w:tcPr>
          <w:p>
            <w:pPr>
              <w:spacing w:after="0"/>
              <w:rPr>
                <w:sz w:val="15"/>
                <w:szCs w:val="15"/>
                <w:color w:val="auto"/>
              </w:rPr>
            </w:pPr>
          </w:p>
        </w:tc>
        <w:tc>
          <w:tcPr>
            <w:tcW w:w="100" w:type="dxa"/>
            <w:vAlign w:val="bottom"/>
            <w:tcBorders>
              <w:bottom w:val="single" w:sz="8" w:color="DDDDDD"/>
            </w:tcBorders>
          </w:tcPr>
          <w:p>
            <w:pPr>
              <w:spacing w:after="0"/>
              <w:rPr>
                <w:sz w:val="15"/>
                <w:szCs w:val="15"/>
                <w:color w:val="auto"/>
              </w:rPr>
            </w:pPr>
          </w:p>
        </w:tc>
        <w:tc>
          <w:tcPr>
            <w:tcW w:w="160" w:type="dxa"/>
            <w:vAlign w:val="bottom"/>
            <w:tcBorders>
              <w:bottom w:val="single" w:sz="8" w:color="DDDDDD"/>
            </w:tcBorders>
          </w:tcPr>
          <w:p>
            <w:pPr>
              <w:spacing w:after="0"/>
              <w:rPr>
                <w:sz w:val="15"/>
                <w:szCs w:val="15"/>
                <w:color w:val="auto"/>
              </w:rPr>
            </w:pPr>
          </w:p>
        </w:tc>
        <w:tc>
          <w:tcPr>
            <w:tcW w:w="660" w:type="dxa"/>
            <w:vAlign w:val="bottom"/>
            <w:tcBorders>
              <w:bottom w:val="single" w:sz="8" w:color="DDDDDD"/>
            </w:tcBorders>
          </w:tcPr>
          <w:p>
            <w:pPr>
              <w:spacing w:after="0"/>
              <w:rPr>
                <w:sz w:val="15"/>
                <w:szCs w:val="15"/>
                <w:color w:val="auto"/>
              </w:rPr>
            </w:pPr>
          </w:p>
        </w:tc>
        <w:tc>
          <w:tcPr>
            <w:tcW w:w="1440" w:type="dxa"/>
            <w:vAlign w:val="bottom"/>
            <w:tcBorders>
              <w:bottom w:val="single" w:sz="8" w:color="DC202E"/>
            </w:tcBorders>
            <w:gridSpan w:val="4"/>
            <w:vMerge w:val="continue"/>
          </w:tcPr>
          <w:p>
            <w:pPr>
              <w:spacing w:after="0"/>
              <w:rPr>
                <w:sz w:val="15"/>
                <w:szCs w:val="15"/>
                <w:color w:val="auto"/>
              </w:rPr>
            </w:pPr>
          </w:p>
        </w:tc>
        <w:tc>
          <w:tcPr>
            <w:tcW w:w="100" w:type="dxa"/>
            <w:vAlign w:val="bottom"/>
            <w:tcBorders>
              <w:bottom w:val="single" w:sz="8" w:color="DDDDDD"/>
            </w:tcBorders>
            <w:vMerge w:val="continue"/>
          </w:tcPr>
          <w:p>
            <w:pPr>
              <w:spacing w:after="0"/>
              <w:rPr>
                <w:sz w:val="15"/>
                <w:szCs w:val="15"/>
                <w:color w:val="auto"/>
              </w:rPr>
            </w:pPr>
          </w:p>
        </w:tc>
        <w:tc>
          <w:tcPr>
            <w:tcW w:w="260" w:type="dxa"/>
            <w:vAlign w:val="bottom"/>
            <w:tcBorders>
              <w:bottom w:val="single" w:sz="8" w:color="DC202E"/>
            </w:tcBorders>
          </w:tcPr>
          <w:p>
            <w:pPr>
              <w:spacing w:after="0"/>
              <w:rPr>
                <w:sz w:val="15"/>
                <w:szCs w:val="15"/>
                <w:color w:val="auto"/>
              </w:rPr>
            </w:pPr>
          </w:p>
        </w:tc>
        <w:tc>
          <w:tcPr>
            <w:tcW w:w="1180" w:type="dxa"/>
            <w:vAlign w:val="bottom"/>
            <w:tcBorders>
              <w:bottom w:val="single" w:sz="8" w:color="DC202E"/>
            </w:tcBorders>
            <w:gridSpan w:val="4"/>
          </w:tcPr>
          <w:p>
            <w:pPr>
              <w:jc w:val="right"/>
              <w:ind w:right="214"/>
              <w:spacing w:after="0"/>
              <w:rPr>
                <w:sz w:val="20"/>
                <w:szCs w:val="20"/>
                <w:color w:val="auto"/>
              </w:rPr>
            </w:pPr>
            <w:r>
              <w:rPr>
                <w:rFonts w:ascii="Arial" w:cs="Arial" w:eastAsia="Arial" w:hAnsi="Arial"/>
                <w:sz w:val="14"/>
                <w:szCs w:val="14"/>
                <w:b w:val="1"/>
                <w:bCs w:val="1"/>
                <w:color w:val="auto"/>
              </w:rPr>
              <w:t>Divestitures</w:t>
            </w:r>
          </w:p>
        </w:tc>
        <w:tc>
          <w:tcPr>
            <w:tcW w:w="120" w:type="dxa"/>
            <w:vAlign w:val="bottom"/>
            <w:tcBorders>
              <w:bottom w:val="single" w:sz="8" w:color="DDDDDD"/>
            </w:tcBorders>
          </w:tcPr>
          <w:p>
            <w:pPr>
              <w:spacing w:after="0"/>
              <w:rPr>
                <w:sz w:val="15"/>
                <w:szCs w:val="15"/>
                <w:color w:val="auto"/>
              </w:rPr>
            </w:pPr>
          </w:p>
        </w:tc>
        <w:tc>
          <w:tcPr>
            <w:tcW w:w="160" w:type="dxa"/>
            <w:vAlign w:val="bottom"/>
            <w:tcBorders>
              <w:bottom w:val="single" w:sz="8" w:color="DC202E"/>
            </w:tcBorders>
          </w:tcPr>
          <w:p>
            <w:pPr>
              <w:spacing w:after="0"/>
              <w:rPr>
                <w:sz w:val="15"/>
                <w:szCs w:val="15"/>
                <w:color w:val="auto"/>
              </w:rPr>
            </w:pPr>
          </w:p>
        </w:tc>
        <w:tc>
          <w:tcPr>
            <w:tcW w:w="100" w:type="dxa"/>
            <w:vAlign w:val="bottom"/>
            <w:tcBorders>
              <w:bottom w:val="single" w:sz="8" w:color="DC202E"/>
            </w:tcBorders>
          </w:tcPr>
          <w:p>
            <w:pPr>
              <w:spacing w:after="0"/>
              <w:rPr>
                <w:sz w:val="15"/>
                <w:szCs w:val="15"/>
                <w:color w:val="auto"/>
              </w:rPr>
            </w:pPr>
          </w:p>
        </w:tc>
        <w:tc>
          <w:tcPr>
            <w:tcW w:w="1180" w:type="dxa"/>
            <w:vAlign w:val="bottom"/>
            <w:tcBorders>
              <w:bottom w:val="single" w:sz="8" w:color="DC202E"/>
            </w:tcBorders>
            <w:gridSpan w:val="2"/>
          </w:tcPr>
          <w:p>
            <w:pPr>
              <w:jc w:val="center"/>
              <w:ind w:right="174"/>
              <w:spacing w:after="0"/>
              <w:rPr>
                <w:sz w:val="20"/>
                <w:szCs w:val="20"/>
                <w:color w:val="auto"/>
              </w:rPr>
            </w:pPr>
            <w:r>
              <w:rPr>
                <w:rFonts w:ascii="Arial" w:cs="Arial" w:eastAsia="Arial" w:hAnsi="Arial"/>
                <w:sz w:val="14"/>
                <w:szCs w:val="14"/>
                <w:b w:val="1"/>
                <w:bCs w:val="1"/>
                <w:color w:val="auto"/>
              </w:rPr>
              <w:t>Adjustment</w:t>
            </w:r>
          </w:p>
        </w:tc>
        <w:tc>
          <w:tcPr>
            <w:tcW w:w="100" w:type="dxa"/>
            <w:vAlign w:val="bottom"/>
            <w:tcBorders>
              <w:bottom w:val="single" w:sz="8" w:color="DDDDDD"/>
            </w:tcBorders>
          </w:tcPr>
          <w:p>
            <w:pPr>
              <w:spacing w:after="0"/>
              <w:rPr>
                <w:sz w:val="15"/>
                <w:szCs w:val="15"/>
                <w:color w:val="auto"/>
              </w:rPr>
            </w:pPr>
          </w:p>
        </w:tc>
        <w:tc>
          <w:tcPr>
            <w:tcW w:w="20" w:type="dxa"/>
            <w:vAlign w:val="bottom"/>
            <w:tcBorders>
              <w:bottom w:val="single" w:sz="8" w:color="DC202E"/>
            </w:tcBorders>
          </w:tcPr>
          <w:p>
            <w:pPr>
              <w:spacing w:after="0"/>
              <w:rPr>
                <w:sz w:val="15"/>
                <w:szCs w:val="15"/>
                <w:color w:val="auto"/>
              </w:rPr>
            </w:pPr>
          </w:p>
        </w:tc>
        <w:tc>
          <w:tcPr>
            <w:tcW w:w="20" w:type="dxa"/>
            <w:vAlign w:val="bottom"/>
            <w:tcBorders>
              <w:bottom w:val="single" w:sz="8" w:color="DC202E"/>
            </w:tcBorders>
          </w:tcPr>
          <w:p>
            <w:pPr>
              <w:spacing w:after="0"/>
              <w:rPr>
                <w:sz w:val="15"/>
                <w:szCs w:val="15"/>
                <w:color w:val="auto"/>
              </w:rPr>
            </w:pPr>
          </w:p>
        </w:tc>
        <w:tc>
          <w:tcPr>
            <w:tcW w:w="1400" w:type="dxa"/>
            <w:vAlign w:val="bottom"/>
            <w:tcBorders>
              <w:bottom w:val="single" w:sz="8" w:color="DC202E"/>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960" w:type="dxa"/>
            <w:vAlign w:val="bottom"/>
            <w:shd w:val="clear" w:color="auto" w:fill="DDDDDD"/>
          </w:tcPr>
          <w:p>
            <w:pPr>
              <w:ind w:left="20"/>
              <w:spacing w:after="0"/>
              <w:rPr>
                <w:sz w:val="20"/>
                <w:szCs w:val="20"/>
                <w:color w:val="auto"/>
              </w:rPr>
            </w:pPr>
            <w:r>
              <w:rPr>
                <w:rFonts w:ascii="Arial" w:cs="Arial" w:eastAsia="Arial" w:hAnsi="Arial"/>
                <w:sz w:val="18"/>
                <w:szCs w:val="18"/>
                <w:color w:val="auto"/>
              </w:rPr>
              <w:t>Aerospace</w:t>
            </w:r>
          </w:p>
        </w:tc>
        <w:tc>
          <w:tcPr>
            <w:tcW w:w="340" w:type="dxa"/>
            <w:vAlign w:val="bottom"/>
            <w:shd w:val="clear" w:color="auto" w:fill="DDDDDD"/>
          </w:tcPr>
          <w:p>
            <w:pPr>
              <w:spacing w:after="0"/>
              <w:rPr>
                <w:sz w:val="19"/>
                <w:szCs w:val="19"/>
                <w:color w:val="auto"/>
              </w:rPr>
            </w:pPr>
          </w:p>
        </w:tc>
        <w:tc>
          <w:tcPr>
            <w:tcW w:w="94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160" w:type="dxa"/>
            <w:vAlign w:val="bottom"/>
            <w:shd w:val="clear" w:color="auto" w:fill="DDDDDD"/>
          </w:tcPr>
          <w:p>
            <w:pPr>
              <w:spacing w:after="0"/>
              <w:rPr>
                <w:sz w:val="19"/>
                <w:szCs w:val="19"/>
                <w:color w:val="auto"/>
              </w:rPr>
            </w:pPr>
          </w:p>
        </w:tc>
        <w:tc>
          <w:tcPr>
            <w:tcW w:w="1140" w:type="dxa"/>
            <w:vAlign w:val="bottom"/>
            <w:gridSpan w:val="2"/>
            <w:shd w:val="clear" w:color="auto" w:fill="DDDDDD"/>
          </w:tcPr>
          <w:p>
            <w:pPr>
              <w:jc w:val="right"/>
              <w:ind w:right="279"/>
              <w:spacing w:after="0"/>
              <w:rPr>
                <w:sz w:val="20"/>
                <w:szCs w:val="20"/>
                <w:color w:val="auto"/>
              </w:rPr>
            </w:pPr>
            <w:r>
              <w:rPr>
                <w:rFonts w:ascii="Arial" w:cs="Arial" w:eastAsia="Arial" w:hAnsi="Arial"/>
                <w:sz w:val="18"/>
                <w:szCs w:val="18"/>
                <w:color w:val="auto"/>
              </w:rPr>
              <w:t>$</w:t>
            </w:r>
          </w:p>
        </w:tc>
        <w:tc>
          <w:tcPr>
            <w:tcW w:w="100" w:type="dxa"/>
            <w:vAlign w:val="bottom"/>
            <w:shd w:val="clear" w:color="auto" w:fill="DDDDDD"/>
          </w:tcPr>
          <w:p>
            <w:pPr>
              <w:spacing w:after="0"/>
              <w:rPr>
                <w:sz w:val="19"/>
                <w:szCs w:val="19"/>
                <w:color w:val="auto"/>
              </w:rPr>
            </w:pPr>
          </w:p>
        </w:tc>
        <w:tc>
          <w:tcPr>
            <w:tcW w:w="180" w:type="dxa"/>
            <w:vAlign w:val="bottom"/>
            <w:shd w:val="clear" w:color="auto" w:fill="DDDDDD"/>
          </w:tcPr>
          <w:p>
            <w:pPr>
              <w:spacing w:after="0"/>
              <w:rPr>
                <w:sz w:val="19"/>
                <w:szCs w:val="19"/>
                <w:color w:val="auto"/>
              </w:rPr>
            </w:pPr>
          </w:p>
        </w:tc>
        <w:tc>
          <w:tcPr>
            <w:tcW w:w="6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2,266</w:t>
            </w:r>
          </w:p>
        </w:tc>
        <w:tc>
          <w:tcPr>
            <w:tcW w:w="100" w:type="dxa"/>
            <w:vAlign w:val="bottom"/>
            <w:shd w:val="clear" w:color="auto" w:fill="DDDDDD"/>
          </w:tcPr>
          <w:p>
            <w:pPr>
              <w:spacing w:after="0"/>
              <w:rPr>
                <w:sz w:val="19"/>
                <w:szCs w:val="19"/>
                <w:color w:val="auto"/>
              </w:rPr>
            </w:pPr>
          </w:p>
        </w:tc>
        <w:tc>
          <w:tcPr>
            <w:tcW w:w="260" w:type="dxa"/>
            <w:vAlign w:val="bottom"/>
            <w:shd w:val="clear" w:color="auto" w:fill="DDDDDD"/>
          </w:tcPr>
          <w:p>
            <w:pPr>
              <w:jc w:val="right"/>
              <w:ind w:right="5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220" w:type="dxa"/>
            <w:vAlign w:val="bottom"/>
            <w:shd w:val="clear" w:color="auto" w:fill="DDDDDD"/>
          </w:tcPr>
          <w:p>
            <w:pPr>
              <w:spacing w:after="0"/>
              <w:rPr>
                <w:sz w:val="19"/>
                <w:szCs w:val="19"/>
                <w:color w:val="auto"/>
              </w:rPr>
            </w:pPr>
          </w:p>
        </w:tc>
        <w:tc>
          <w:tcPr>
            <w:tcW w:w="7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DDDDDD"/>
          </w:tcPr>
          <w:p>
            <w:pPr>
              <w:spacing w:after="0"/>
              <w:rPr>
                <w:sz w:val="19"/>
                <w:szCs w:val="19"/>
                <w:color w:val="auto"/>
              </w:rPr>
            </w:pPr>
          </w:p>
        </w:tc>
        <w:tc>
          <w:tcPr>
            <w:tcW w:w="16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DDDDDD"/>
          </w:tcPr>
          <w:p>
            <w:pPr>
              <w:spacing w:after="0"/>
              <w:rPr>
                <w:sz w:val="19"/>
                <w:szCs w:val="19"/>
                <w:color w:val="auto"/>
              </w:rPr>
            </w:pPr>
          </w:p>
        </w:tc>
        <w:tc>
          <w:tcPr>
            <w:tcW w:w="140" w:type="dxa"/>
            <w:vAlign w:val="bottom"/>
            <w:shd w:val="clear" w:color="auto" w:fill="DDDDDD"/>
          </w:tcPr>
          <w:p>
            <w:pPr>
              <w:spacing w:after="0"/>
              <w:rPr>
                <w:sz w:val="19"/>
                <w:szCs w:val="19"/>
                <w:color w:val="auto"/>
              </w:rPr>
            </w:pPr>
          </w:p>
        </w:tc>
        <w:tc>
          <w:tcPr>
            <w:tcW w:w="10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120" w:type="dxa"/>
            <w:vAlign w:val="bottom"/>
            <w:gridSpan w:val="2"/>
            <w:shd w:val="clear" w:color="auto" w:fill="DDDDDD"/>
          </w:tcPr>
          <w:p>
            <w:pPr>
              <w:jc w:val="right"/>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DDDDDD"/>
          </w:tcPr>
          <w:p>
            <w:pPr>
              <w:spacing w:after="0"/>
              <w:rPr>
                <w:sz w:val="19"/>
                <w:szCs w:val="19"/>
                <w:color w:val="auto"/>
              </w:rPr>
            </w:pPr>
          </w:p>
        </w:tc>
        <w:tc>
          <w:tcPr>
            <w:tcW w:w="10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2,378</w:t>
            </w:r>
          </w:p>
        </w:tc>
        <w:tc>
          <w:tcPr>
            <w:tcW w:w="0" w:type="dxa"/>
            <w:vAlign w:val="bottom"/>
          </w:tcPr>
          <w:p>
            <w:pPr>
              <w:spacing w:after="0"/>
              <w:rPr>
                <w:sz w:val="1"/>
                <w:szCs w:val="1"/>
                <w:color w:val="auto"/>
              </w:rPr>
            </w:pPr>
          </w:p>
        </w:tc>
      </w:tr>
      <w:tr>
        <w:trPr>
          <w:trHeight w:val="229"/>
        </w:trPr>
        <w:tc>
          <w:tcPr>
            <w:tcW w:w="2960" w:type="dxa"/>
            <w:vAlign w:val="bottom"/>
          </w:tcPr>
          <w:p>
            <w:pPr>
              <w:ind w:left="20"/>
              <w:spacing w:after="0"/>
              <w:rPr>
                <w:sz w:val="20"/>
                <w:szCs w:val="20"/>
                <w:color w:val="auto"/>
              </w:rPr>
            </w:pPr>
            <w:r>
              <w:rPr>
                <w:rFonts w:ascii="Arial" w:cs="Arial" w:eastAsia="Arial" w:hAnsi="Arial"/>
                <w:sz w:val="18"/>
                <w:szCs w:val="18"/>
                <w:color w:val="auto"/>
              </w:rPr>
              <w:t>Honeywell Building Technologies</w:t>
            </w: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3,385</w:t>
            </w:r>
          </w:p>
        </w:tc>
        <w:tc>
          <w:tcPr>
            <w:tcW w:w="0" w:type="dxa"/>
            <w:vAlign w:val="bottom"/>
          </w:tcPr>
          <w:p>
            <w:pPr>
              <w:spacing w:after="0"/>
              <w:rPr>
                <w:sz w:val="1"/>
                <w:szCs w:val="1"/>
                <w:color w:val="auto"/>
              </w:rPr>
            </w:pPr>
          </w:p>
        </w:tc>
      </w:tr>
      <w:tr>
        <w:trPr>
          <w:trHeight w:val="229"/>
        </w:trPr>
        <w:tc>
          <w:tcPr>
            <w:tcW w:w="3300" w:type="dxa"/>
            <w:vAlign w:val="bottom"/>
            <w:gridSpan w:val="2"/>
            <w:shd w:val="clear" w:color="auto" w:fill="DDDDDD"/>
          </w:tcPr>
          <w:p>
            <w:pPr>
              <w:ind w:left="20"/>
              <w:spacing w:after="0"/>
              <w:rPr>
                <w:sz w:val="20"/>
                <w:szCs w:val="20"/>
                <w:color w:val="auto"/>
              </w:rPr>
            </w:pPr>
            <w:r>
              <w:rPr>
                <w:rFonts w:ascii="Arial" w:cs="Arial" w:eastAsia="Arial" w:hAnsi="Arial"/>
                <w:sz w:val="18"/>
                <w:szCs w:val="18"/>
                <w:color w:val="auto"/>
                <w:w w:val="99"/>
              </w:rPr>
              <w:t>Performance Materials and Technologies</w:t>
            </w:r>
          </w:p>
        </w:tc>
        <w:tc>
          <w:tcPr>
            <w:tcW w:w="94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160" w:type="dxa"/>
            <w:vAlign w:val="bottom"/>
            <w:shd w:val="clear" w:color="auto" w:fill="DDDDDD"/>
          </w:tcPr>
          <w:p>
            <w:pPr>
              <w:spacing w:after="0"/>
              <w:rPr>
                <w:sz w:val="19"/>
                <w:szCs w:val="19"/>
                <w:color w:val="auto"/>
              </w:rPr>
            </w:pPr>
          </w:p>
        </w:tc>
        <w:tc>
          <w:tcPr>
            <w:tcW w:w="660" w:type="dxa"/>
            <w:vAlign w:val="bottom"/>
            <w:shd w:val="clear" w:color="auto" w:fill="DDDDDD"/>
          </w:tcPr>
          <w:p>
            <w:pPr>
              <w:spacing w:after="0"/>
              <w:rPr>
                <w:sz w:val="19"/>
                <w:szCs w:val="19"/>
                <w:color w:val="auto"/>
              </w:rPr>
            </w:pPr>
          </w:p>
        </w:tc>
        <w:tc>
          <w:tcPr>
            <w:tcW w:w="48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180" w:type="dxa"/>
            <w:vAlign w:val="bottom"/>
            <w:shd w:val="clear" w:color="auto" w:fill="DDDDDD"/>
          </w:tcPr>
          <w:p>
            <w:pPr>
              <w:spacing w:after="0"/>
              <w:rPr>
                <w:sz w:val="19"/>
                <w:szCs w:val="19"/>
                <w:color w:val="auto"/>
              </w:rPr>
            </w:pPr>
          </w:p>
        </w:tc>
        <w:tc>
          <w:tcPr>
            <w:tcW w:w="6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5,105</w:t>
            </w:r>
          </w:p>
        </w:tc>
        <w:tc>
          <w:tcPr>
            <w:tcW w:w="100" w:type="dxa"/>
            <w:vAlign w:val="bottom"/>
            <w:shd w:val="clear" w:color="auto" w:fill="DDDDDD"/>
          </w:tcPr>
          <w:p>
            <w:pPr>
              <w:spacing w:after="0"/>
              <w:rPr>
                <w:sz w:val="19"/>
                <w:szCs w:val="19"/>
                <w:color w:val="auto"/>
              </w:rPr>
            </w:pPr>
          </w:p>
        </w:tc>
        <w:tc>
          <w:tcPr>
            <w:tcW w:w="260" w:type="dxa"/>
            <w:vAlign w:val="bottom"/>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220" w:type="dxa"/>
            <w:vAlign w:val="bottom"/>
            <w:shd w:val="clear" w:color="auto" w:fill="DDDDDD"/>
          </w:tcPr>
          <w:p>
            <w:pPr>
              <w:spacing w:after="0"/>
              <w:rPr>
                <w:sz w:val="19"/>
                <w:szCs w:val="19"/>
                <w:color w:val="auto"/>
              </w:rPr>
            </w:pPr>
          </w:p>
        </w:tc>
        <w:tc>
          <w:tcPr>
            <w:tcW w:w="900" w:type="dxa"/>
            <w:vAlign w:val="bottom"/>
            <w:gridSpan w:val="2"/>
            <w:shd w:val="clear" w:color="auto" w:fill="DDDDDD"/>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140" w:type="dxa"/>
            <w:vAlign w:val="bottom"/>
            <w:shd w:val="clear" w:color="auto" w:fill="DDDDDD"/>
          </w:tcPr>
          <w:p>
            <w:pPr>
              <w:spacing w:after="0"/>
              <w:rPr>
                <w:sz w:val="19"/>
                <w:szCs w:val="19"/>
                <w:color w:val="auto"/>
              </w:rPr>
            </w:pPr>
          </w:p>
        </w:tc>
        <w:tc>
          <w:tcPr>
            <w:tcW w:w="10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240" w:type="dxa"/>
            <w:vAlign w:val="bottom"/>
            <w:shd w:val="clear" w:color="auto" w:fill="DDDDDD"/>
          </w:tcPr>
          <w:p>
            <w:pPr>
              <w:spacing w:after="0"/>
              <w:rPr>
                <w:sz w:val="19"/>
                <w:szCs w:val="19"/>
                <w:color w:val="auto"/>
              </w:rPr>
            </w:pPr>
          </w:p>
        </w:tc>
        <w:tc>
          <w:tcPr>
            <w:tcW w:w="10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5,255</w:t>
            </w:r>
          </w:p>
        </w:tc>
        <w:tc>
          <w:tcPr>
            <w:tcW w:w="0" w:type="dxa"/>
            <w:vAlign w:val="bottom"/>
          </w:tcPr>
          <w:p>
            <w:pPr>
              <w:spacing w:after="0"/>
              <w:rPr>
                <w:sz w:val="1"/>
                <w:szCs w:val="1"/>
                <w:color w:val="auto"/>
              </w:rPr>
            </w:pPr>
          </w:p>
        </w:tc>
      </w:tr>
      <w:tr>
        <w:trPr>
          <w:trHeight w:val="230"/>
        </w:trPr>
        <w:tc>
          <w:tcPr>
            <w:tcW w:w="2960" w:type="dxa"/>
            <w:vAlign w:val="bottom"/>
            <w:tcBorders>
              <w:bottom w:val="single" w:sz="8" w:color="DDDDDD"/>
            </w:tcBorders>
          </w:tcPr>
          <w:p>
            <w:pPr>
              <w:ind w:left="20"/>
              <w:spacing w:after="0"/>
              <w:rPr>
                <w:sz w:val="20"/>
                <w:szCs w:val="20"/>
                <w:color w:val="auto"/>
              </w:rPr>
            </w:pPr>
            <w:r>
              <w:rPr>
                <w:rFonts w:ascii="Arial" w:cs="Arial" w:eastAsia="Arial" w:hAnsi="Arial"/>
                <w:sz w:val="18"/>
                <w:szCs w:val="18"/>
                <w:color w:val="auto"/>
              </w:rPr>
              <w:t>Safety and Productivity Solutions</w:t>
            </w:r>
          </w:p>
        </w:tc>
        <w:tc>
          <w:tcPr>
            <w:tcW w:w="340" w:type="dxa"/>
            <w:vAlign w:val="bottom"/>
            <w:tcBorders>
              <w:bottom w:val="single" w:sz="8" w:color="DDDDDD"/>
            </w:tcBorders>
          </w:tcPr>
          <w:p>
            <w:pPr>
              <w:spacing w:after="0"/>
              <w:rPr>
                <w:sz w:val="19"/>
                <w:szCs w:val="19"/>
                <w:color w:val="auto"/>
              </w:rPr>
            </w:pPr>
          </w:p>
        </w:tc>
        <w:tc>
          <w:tcPr>
            <w:tcW w:w="940" w:type="dxa"/>
            <w:vAlign w:val="bottom"/>
            <w:tcBorders>
              <w:bottom w:val="single" w:sz="8" w:color="DDDDDD"/>
            </w:tcBorders>
          </w:tcPr>
          <w:p>
            <w:pPr>
              <w:spacing w:after="0"/>
              <w:rPr>
                <w:sz w:val="19"/>
                <w:szCs w:val="19"/>
                <w:color w:val="auto"/>
              </w:rPr>
            </w:pPr>
          </w:p>
        </w:tc>
        <w:tc>
          <w:tcPr>
            <w:tcW w:w="100" w:type="dxa"/>
            <w:vAlign w:val="bottom"/>
            <w:tcBorders>
              <w:bottom w:val="single" w:sz="8" w:color="DDDDDD"/>
            </w:tcBorders>
          </w:tcPr>
          <w:p>
            <w:pPr>
              <w:spacing w:after="0"/>
              <w:rPr>
                <w:sz w:val="19"/>
                <w:szCs w:val="19"/>
                <w:color w:val="auto"/>
              </w:rPr>
            </w:pPr>
          </w:p>
        </w:tc>
        <w:tc>
          <w:tcPr>
            <w:tcW w:w="160" w:type="dxa"/>
            <w:vAlign w:val="bottom"/>
            <w:tcBorders>
              <w:bottom w:val="single" w:sz="8" w:color="DDDDDD"/>
            </w:tcBorders>
          </w:tcPr>
          <w:p>
            <w:pPr>
              <w:spacing w:after="0"/>
              <w:rPr>
                <w:sz w:val="19"/>
                <w:szCs w:val="19"/>
                <w:color w:val="auto"/>
              </w:rPr>
            </w:pPr>
          </w:p>
        </w:tc>
        <w:tc>
          <w:tcPr>
            <w:tcW w:w="660" w:type="dxa"/>
            <w:vAlign w:val="bottom"/>
            <w:tcBorders>
              <w:bottom w:val="single" w:sz="8" w:color="DDDDDD"/>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4,977</w:t>
            </w:r>
          </w:p>
        </w:tc>
        <w:tc>
          <w:tcPr>
            <w:tcW w:w="100" w:type="dxa"/>
            <w:vAlign w:val="bottom"/>
            <w:tcBorders>
              <w:bottom w:val="single" w:sz="8" w:color="DDDDDD"/>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DDDDDD"/>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DDDDDD"/>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5,040</w:t>
            </w:r>
          </w:p>
        </w:tc>
        <w:tc>
          <w:tcPr>
            <w:tcW w:w="0" w:type="dxa"/>
            <w:vAlign w:val="bottom"/>
          </w:tcPr>
          <w:p>
            <w:pPr>
              <w:spacing w:after="0"/>
              <w:rPr>
                <w:sz w:val="1"/>
                <w:szCs w:val="1"/>
                <w:color w:val="auto"/>
              </w:rPr>
            </w:pPr>
          </w:p>
        </w:tc>
      </w:tr>
      <w:tr>
        <w:trPr>
          <w:trHeight w:val="243"/>
        </w:trPr>
        <w:tc>
          <w:tcPr>
            <w:tcW w:w="2960" w:type="dxa"/>
            <w:vAlign w:val="bottom"/>
            <w:shd w:val="clear" w:color="auto" w:fill="DDDDDD"/>
          </w:tcPr>
          <w:p>
            <w:pPr>
              <w:spacing w:after="0"/>
              <w:rPr>
                <w:sz w:val="21"/>
                <w:szCs w:val="21"/>
                <w:color w:val="auto"/>
              </w:rPr>
            </w:pPr>
          </w:p>
        </w:tc>
        <w:tc>
          <w:tcPr>
            <w:tcW w:w="340" w:type="dxa"/>
            <w:vAlign w:val="bottom"/>
            <w:shd w:val="clear" w:color="auto" w:fill="DDDDDD"/>
          </w:tcPr>
          <w:p>
            <w:pPr>
              <w:spacing w:after="0"/>
              <w:rPr>
                <w:sz w:val="21"/>
                <w:szCs w:val="21"/>
                <w:color w:val="auto"/>
              </w:rPr>
            </w:pPr>
          </w:p>
        </w:tc>
        <w:tc>
          <w:tcPr>
            <w:tcW w:w="940" w:type="dxa"/>
            <w:vAlign w:val="bottom"/>
            <w:shd w:val="clear" w:color="auto" w:fill="DDDDDD"/>
          </w:tcPr>
          <w:p>
            <w:pPr>
              <w:spacing w:after="0"/>
              <w:rPr>
                <w:sz w:val="21"/>
                <w:szCs w:val="21"/>
                <w:color w:val="auto"/>
              </w:rPr>
            </w:pPr>
          </w:p>
        </w:tc>
        <w:tc>
          <w:tcPr>
            <w:tcW w:w="100" w:type="dxa"/>
            <w:vAlign w:val="bottom"/>
            <w:shd w:val="clear" w:color="auto" w:fill="DDDDDD"/>
          </w:tcPr>
          <w:p>
            <w:pPr>
              <w:spacing w:after="0"/>
              <w:rPr>
                <w:sz w:val="21"/>
                <w:szCs w:val="21"/>
                <w:color w:val="auto"/>
              </w:rPr>
            </w:pPr>
          </w:p>
        </w:tc>
        <w:tc>
          <w:tcPr>
            <w:tcW w:w="160" w:type="dxa"/>
            <w:vAlign w:val="bottom"/>
            <w:shd w:val="clear" w:color="auto" w:fill="DDDDDD"/>
          </w:tcPr>
          <w:p>
            <w:pPr>
              <w:spacing w:after="0"/>
              <w:rPr>
                <w:sz w:val="21"/>
                <w:szCs w:val="21"/>
                <w:color w:val="auto"/>
              </w:rPr>
            </w:pPr>
          </w:p>
        </w:tc>
        <w:tc>
          <w:tcPr>
            <w:tcW w:w="1140" w:type="dxa"/>
            <w:vAlign w:val="bottom"/>
            <w:gridSpan w:val="2"/>
            <w:shd w:val="clear" w:color="auto" w:fill="DDDDDD"/>
          </w:tcPr>
          <w:p>
            <w:pPr>
              <w:jc w:val="right"/>
              <w:ind w:right="279"/>
              <w:spacing w:after="0"/>
              <w:rPr>
                <w:sz w:val="20"/>
                <w:szCs w:val="20"/>
                <w:color w:val="auto"/>
              </w:rPr>
            </w:pPr>
            <w:r>
              <w:rPr>
                <w:rFonts w:ascii="Arial" w:cs="Arial" w:eastAsia="Arial" w:hAnsi="Arial"/>
                <w:sz w:val="18"/>
                <w:szCs w:val="18"/>
                <w:color w:val="auto"/>
              </w:rPr>
              <w:t>$</w:t>
            </w:r>
          </w:p>
        </w:tc>
        <w:tc>
          <w:tcPr>
            <w:tcW w:w="100" w:type="dxa"/>
            <w:vAlign w:val="bottom"/>
            <w:shd w:val="clear" w:color="auto" w:fill="DDDDDD"/>
          </w:tcPr>
          <w:p>
            <w:pPr>
              <w:spacing w:after="0"/>
              <w:rPr>
                <w:sz w:val="21"/>
                <w:szCs w:val="21"/>
                <w:color w:val="auto"/>
              </w:rPr>
            </w:pPr>
          </w:p>
        </w:tc>
        <w:tc>
          <w:tcPr>
            <w:tcW w:w="180" w:type="dxa"/>
            <w:vAlign w:val="bottom"/>
            <w:shd w:val="clear" w:color="auto" w:fill="DDDDDD"/>
          </w:tcPr>
          <w:p>
            <w:pPr>
              <w:spacing w:after="0"/>
              <w:rPr>
                <w:sz w:val="21"/>
                <w:szCs w:val="21"/>
                <w:color w:val="auto"/>
              </w:rPr>
            </w:pPr>
          </w:p>
        </w:tc>
        <w:tc>
          <w:tcPr>
            <w:tcW w:w="6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15,563</w:t>
            </w:r>
          </w:p>
        </w:tc>
        <w:tc>
          <w:tcPr>
            <w:tcW w:w="100" w:type="dxa"/>
            <w:vAlign w:val="bottom"/>
            <w:shd w:val="clear" w:color="auto" w:fill="DDDDDD"/>
          </w:tcPr>
          <w:p>
            <w:pPr>
              <w:spacing w:after="0"/>
              <w:rPr>
                <w:sz w:val="21"/>
                <w:szCs w:val="21"/>
                <w:color w:val="auto"/>
              </w:rPr>
            </w:pPr>
          </w:p>
        </w:tc>
        <w:tc>
          <w:tcPr>
            <w:tcW w:w="260" w:type="dxa"/>
            <w:vAlign w:val="bottom"/>
            <w:shd w:val="clear" w:color="auto" w:fill="DDDDDD"/>
          </w:tcPr>
          <w:p>
            <w:pPr>
              <w:jc w:val="right"/>
              <w:ind w:right="5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DDDDDD"/>
          </w:tcPr>
          <w:p>
            <w:pPr>
              <w:spacing w:after="0"/>
              <w:rPr>
                <w:sz w:val="21"/>
                <w:szCs w:val="21"/>
                <w:color w:val="auto"/>
              </w:rPr>
            </w:pPr>
          </w:p>
        </w:tc>
        <w:tc>
          <w:tcPr>
            <w:tcW w:w="120" w:type="dxa"/>
            <w:vAlign w:val="bottom"/>
            <w:shd w:val="clear" w:color="auto" w:fill="DDDDDD"/>
          </w:tcPr>
          <w:p>
            <w:pPr>
              <w:spacing w:after="0"/>
              <w:rPr>
                <w:sz w:val="21"/>
                <w:szCs w:val="21"/>
                <w:color w:val="auto"/>
              </w:rPr>
            </w:pPr>
          </w:p>
        </w:tc>
        <w:tc>
          <w:tcPr>
            <w:tcW w:w="220" w:type="dxa"/>
            <w:vAlign w:val="bottom"/>
            <w:shd w:val="clear" w:color="auto" w:fill="DDDDDD"/>
          </w:tcPr>
          <w:p>
            <w:pPr>
              <w:spacing w:after="0"/>
              <w:rPr>
                <w:sz w:val="21"/>
                <w:szCs w:val="21"/>
                <w:color w:val="auto"/>
              </w:rPr>
            </w:pPr>
          </w:p>
        </w:tc>
        <w:tc>
          <w:tcPr>
            <w:tcW w:w="7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167</w:t>
            </w:r>
          </w:p>
        </w:tc>
        <w:tc>
          <w:tcPr>
            <w:tcW w:w="120" w:type="dxa"/>
            <w:vAlign w:val="bottom"/>
            <w:shd w:val="clear" w:color="auto" w:fill="DDDDDD"/>
          </w:tcPr>
          <w:p>
            <w:pPr>
              <w:spacing w:after="0"/>
              <w:rPr>
                <w:sz w:val="21"/>
                <w:szCs w:val="21"/>
                <w:color w:val="auto"/>
              </w:rPr>
            </w:pPr>
          </w:p>
        </w:tc>
        <w:tc>
          <w:tcPr>
            <w:tcW w:w="16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DDDDDD"/>
          </w:tcPr>
          <w:p>
            <w:pPr>
              <w:spacing w:after="0"/>
              <w:rPr>
                <w:sz w:val="21"/>
                <w:szCs w:val="21"/>
                <w:color w:val="auto"/>
              </w:rPr>
            </w:pPr>
          </w:p>
        </w:tc>
        <w:tc>
          <w:tcPr>
            <w:tcW w:w="140" w:type="dxa"/>
            <w:vAlign w:val="bottom"/>
            <w:shd w:val="clear" w:color="auto" w:fill="DDDDDD"/>
          </w:tcPr>
          <w:p>
            <w:pPr>
              <w:spacing w:after="0"/>
              <w:rPr>
                <w:sz w:val="21"/>
                <w:szCs w:val="21"/>
                <w:color w:val="auto"/>
              </w:rPr>
            </w:pPr>
          </w:p>
        </w:tc>
        <w:tc>
          <w:tcPr>
            <w:tcW w:w="10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328</w:t>
            </w:r>
          </w:p>
        </w:tc>
        <w:tc>
          <w:tcPr>
            <w:tcW w:w="10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120" w:type="dxa"/>
            <w:vAlign w:val="bottom"/>
            <w:gridSpan w:val="2"/>
            <w:shd w:val="clear" w:color="auto" w:fill="DDDDDD"/>
          </w:tcPr>
          <w:p>
            <w:pPr>
              <w:jc w:val="right"/>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DDDDDD"/>
          </w:tcPr>
          <w:p>
            <w:pPr>
              <w:spacing w:after="0"/>
              <w:rPr>
                <w:sz w:val="21"/>
                <w:szCs w:val="21"/>
                <w:color w:val="auto"/>
              </w:rPr>
            </w:pPr>
          </w:p>
        </w:tc>
        <w:tc>
          <w:tcPr>
            <w:tcW w:w="10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16,058</w:t>
            </w:r>
          </w:p>
        </w:tc>
        <w:tc>
          <w:tcPr>
            <w:tcW w:w="0" w:type="dxa"/>
            <w:vAlign w:val="bottom"/>
          </w:tcPr>
          <w:p>
            <w:pPr>
              <w:spacing w:after="0"/>
              <w:rPr>
                <w:sz w:val="1"/>
                <w:szCs w:val="1"/>
                <w:color w:val="auto"/>
              </w:rPr>
            </w:pPr>
          </w:p>
        </w:tc>
      </w:tr>
      <w:tr>
        <w:trPr>
          <w:trHeight w:val="20"/>
        </w:trPr>
        <w:tc>
          <w:tcPr>
            <w:tcW w:w="3300" w:type="dxa"/>
            <w:vAlign w:val="bottom"/>
            <w:tcBorders>
              <w:top w:val="single" w:sz="8" w:color="DDDDDD"/>
              <w:bottom w:val="single" w:sz="8" w:color="DDDDDD"/>
            </w:tcBorders>
            <w:gridSpan w:val="2"/>
            <w:vMerge w:val="restart"/>
          </w:tcPr>
          <w:p>
            <w:pPr>
              <w:spacing w:after="0"/>
              <w:rPr>
                <w:sz w:val="20"/>
                <w:szCs w:val="20"/>
                <w:color w:val="auto"/>
              </w:rPr>
            </w:pPr>
            <w:r>
              <w:rPr>
                <w:rFonts w:ascii="Arial" w:cs="Arial" w:eastAsia="Arial" w:hAnsi="Arial"/>
                <w:sz w:val="18"/>
                <w:szCs w:val="18"/>
                <w:color w:val="auto"/>
                <w:w w:val="99"/>
              </w:rPr>
              <w:t>Other intangible assets are comprised of:</w:t>
            </w:r>
          </w:p>
        </w:tc>
        <w:tc>
          <w:tcPr>
            <w:tcW w:w="940" w:type="dxa"/>
            <w:vAlign w:val="bottom"/>
            <w:tcBorders>
              <w:top w:val="single" w:sz="8" w:color="DDDDDD"/>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160" w:type="dxa"/>
            <w:vAlign w:val="bottom"/>
            <w:tcBorders>
              <w:top w:val="single" w:sz="8" w:color="DDDDDD"/>
            </w:tcBorders>
          </w:tcPr>
          <w:p>
            <w:pPr>
              <w:spacing w:after="0" w:line="20" w:lineRule="exact"/>
              <w:rPr>
                <w:sz w:val="1"/>
                <w:szCs w:val="1"/>
                <w:color w:val="auto"/>
              </w:rPr>
            </w:pPr>
          </w:p>
        </w:tc>
        <w:tc>
          <w:tcPr>
            <w:tcW w:w="660" w:type="dxa"/>
            <w:vAlign w:val="bottom"/>
            <w:tcBorders>
              <w:top w:val="single" w:sz="8" w:color="DDDDDD"/>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DDDDD"/>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3300" w:type="dxa"/>
            <w:vAlign w:val="bottom"/>
            <w:gridSpan w:val="2"/>
            <w:vMerge w:val="continue"/>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960" w:type="dxa"/>
            <w:vAlign w:val="bottom"/>
          </w:tcPr>
          <w:p>
            <w:pPr>
              <w:spacing w:after="0"/>
              <w:rPr>
                <w:sz w:val="20"/>
                <w:szCs w:val="20"/>
                <w:color w:val="auto"/>
              </w:rPr>
            </w:pPr>
          </w:p>
        </w:tc>
        <w:tc>
          <w:tcPr>
            <w:tcW w:w="340" w:type="dxa"/>
            <w:vAlign w:val="bottom"/>
            <w:tcBorders>
              <w:bottom w:val="single" w:sz="8" w:color="DC202E"/>
            </w:tcBorders>
          </w:tcPr>
          <w:p>
            <w:pPr>
              <w:spacing w:after="0"/>
              <w:rPr>
                <w:sz w:val="20"/>
                <w:szCs w:val="20"/>
                <w:color w:val="auto"/>
              </w:rPr>
            </w:pPr>
          </w:p>
        </w:tc>
        <w:tc>
          <w:tcPr>
            <w:tcW w:w="940" w:type="dxa"/>
            <w:vAlign w:val="bottom"/>
            <w:tcBorders>
              <w:bottom w:val="single" w:sz="8" w:color="DC202E"/>
            </w:tcBorders>
          </w:tcPr>
          <w:p>
            <w:pPr>
              <w:spacing w:after="0"/>
              <w:rPr>
                <w:sz w:val="20"/>
                <w:szCs w:val="20"/>
                <w:color w:val="auto"/>
              </w:rPr>
            </w:pPr>
          </w:p>
        </w:tc>
        <w:tc>
          <w:tcPr>
            <w:tcW w:w="100" w:type="dxa"/>
            <w:vAlign w:val="bottom"/>
            <w:tcBorders>
              <w:bottom w:val="single" w:sz="8" w:color="DC202E"/>
            </w:tcBorders>
          </w:tcPr>
          <w:p>
            <w:pPr>
              <w:spacing w:after="0"/>
              <w:rPr>
                <w:sz w:val="20"/>
                <w:szCs w:val="20"/>
                <w:color w:val="auto"/>
              </w:rPr>
            </w:pPr>
          </w:p>
        </w:tc>
        <w:tc>
          <w:tcPr>
            <w:tcW w:w="1400" w:type="dxa"/>
            <w:vAlign w:val="bottom"/>
            <w:tcBorders>
              <w:bottom w:val="single" w:sz="8" w:color="DC202E"/>
            </w:tcBorders>
            <w:gridSpan w:val="4"/>
          </w:tcPr>
          <w:p>
            <w:pPr>
              <w:spacing w:after="0"/>
              <w:rPr>
                <w:sz w:val="20"/>
                <w:szCs w:val="20"/>
                <w:color w:val="auto"/>
              </w:rPr>
            </w:pPr>
            <w:r>
              <w:rPr>
                <w:rFonts w:ascii="Arial" w:cs="Arial" w:eastAsia="Arial" w:hAnsi="Arial"/>
                <w:sz w:val="14"/>
                <w:szCs w:val="14"/>
                <w:b w:val="1"/>
                <w:bCs w:val="1"/>
                <w:color w:val="auto"/>
              </w:rPr>
              <w:t>December 31, 2020</w:t>
            </w:r>
          </w:p>
        </w:tc>
        <w:tc>
          <w:tcPr>
            <w:tcW w:w="180" w:type="dxa"/>
            <w:vAlign w:val="bottom"/>
            <w:tcBorders>
              <w:bottom w:val="single" w:sz="8" w:color="DC202E"/>
            </w:tcBorders>
          </w:tcPr>
          <w:p>
            <w:pPr>
              <w:spacing w:after="0"/>
              <w:rPr>
                <w:sz w:val="20"/>
                <w:szCs w:val="20"/>
                <w:color w:val="auto"/>
              </w:rPr>
            </w:pPr>
          </w:p>
        </w:tc>
        <w:tc>
          <w:tcPr>
            <w:tcW w:w="680" w:type="dxa"/>
            <w:vAlign w:val="bottom"/>
            <w:tcBorders>
              <w:bottom w:val="single" w:sz="8" w:color="DC202E"/>
            </w:tcBorders>
          </w:tcPr>
          <w:p>
            <w:pPr>
              <w:spacing w:after="0"/>
              <w:rPr>
                <w:sz w:val="20"/>
                <w:szCs w:val="20"/>
                <w:color w:val="auto"/>
              </w:rPr>
            </w:pPr>
          </w:p>
        </w:tc>
        <w:tc>
          <w:tcPr>
            <w:tcW w:w="100" w:type="dxa"/>
            <w:vAlign w:val="bottom"/>
            <w:tcBorders>
              <w:bottom w:val="single" w:sz="8" w:color="DC202E"/>
            </w:tcBorders>
          </w:tcPr>
          <w:p>
            <w:pPr>
              <w:spacing w:after="0"/>
              <w:rPr>
                <w:sz w:val="20"/>
                <w:szCs w:val="20"/>
                <w:color w:val="auto"/>
              </w:rPr>
            </w:pPr>
          </w:p>
        </w:tc>
        <w:tc>
          <w:tcPr>
            <w:tcW w:w="260" w:type="dxa"/>
            <w:vAlign w:val="bottom"/>
            <w:tcBorders>
              <w:bottom w:val="single" w:sz="8" w:color="DC202E"/>
            </w:tcBorders>
          </w:tcPr>
          <w:p>
            <w:pPr>
              <w:spacing w:after="0"/>
              <w:rPr>
                <w:sz w:val="20"/>
                <w:szCs w:val="20"/>
                <w:color w:val="auto"/>
              </w:rPr>
            </w:pPr>
          </w:p>
        </w:tc>
        <w:tc>
          <w:tcPr>
            <w:tcW w:w="60" w:type="dxa"/>
            <w:vAlign w:val="bottom"/>
            <w:tcBorders>
              <w:bottom w:val="single" w:sz="8" w:color="DC202E"/>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DC202E"/>
            </w:tcBorders>
          </w:tcPr>
          <w:p>
            <w:pPr>
              <w:spacing w:after="0"/>
              <w:rPr>
                <w:sz w:val="20"/>
                <w:szCs w:val="20"/>
                <w:color w:val="auto"/>
              </w:rPr>
            </w:pPr>
          </w:p>
        </w:tc>
        <w:tc>
          <w:tcPr>
            <w:tcW w:w="780" w:type="dxa"/>
            <w:vAlign w:val="bottom"/>
            <w:tcBorders>
              <w:bottom w:val="single" w:sz="8" w:color="DC202E"/>
            </w:tcBorders>
          </w:tcPr>
          <w:p>
            <w:pPr>
              <w:spacing w:after="0"/>
              <w:rPr>
                <w:sz w:val="20"/>
                <w:szCs w:val="20"/>
                <w:color w:val="auto"/>
              </w:rPr>
            </w:pPr>
          </w:p>
        </w:tc>
        <w:tc>
          <w:tcPr>
            <w:tcW w:w="120" w:type="dxa"/>
            <w:vAlign w:val="bottom"/>
            <w:tcBorders>
              <w:bottom w:val="single" w:sz="8" w:color="DC202E"/>
            </w:tcBorders>
          </w:tcPr>
          <w:p>
            <w:pPr>
              <w:spacing w:after="0"/>
              <w:rPr>
                <w:sz w:val="20"/>
                <w:szCs w:val="20"/>
                <w:color w:val="auto"/>
              </w:rPr>
            </w:pPr>
          </w:p>
        </w:tc>
        <w:tc>
          <w:tcPr>
            <w:tcW w:w="160" w:type="dxa"/>
            <w:vAlign w:val="bottom"/>
            <w:tcBorders>
              <w:bottom w:val="single" w:sz="8" w:color="DC202E"/>
            </w:tcBorders>
          </w:tcPr>
          <w:p>
            <w:pPr>
              <w:spacing w:after="0"/>
              <w:rPr>
                <w:sz w:val="20"/>
                <w:szCs w:val="20"/>
                <w:color w:val="auto"/>
              </w:rPr>
            </w:pPr>
          </w:p>
        </w:tc>
        <w:tc>
          <w:tcPr>
            <w:tcW w:w="100" w:type="dxa"/>
            <w:vAlign w:val="bottom"/>
            <w:tcBorders>
              <w:bottom w:val="single" w:sz="8" w:color="DC202E"/>
            </w:tcBorders>
          </w:tcPr>
          <w:p>
            <w:pPr>
              <w:spacing w:after="0"/>
              <w:rPr>
                <w:sz w:val="20"/>
                <w:szCs w:val="20"/>
                <w:color w:val="auto"/>
              </w:rPr>
            </w:pPr>
          </w:p>
        </w:tc>
        <w:tc>
          <w:tcPr>
            <w:tcW w:w="1660" w:type="dxa"/>
            <w:vAlign w:val="bottom"/>
            <w:tcBorders>
              <w:bottom w:val="single" w:sz="8" w:color="DC202E"/>
            </w:tcBorders>
            <w:gridSpan w:val="7"/>
          </w:tcPr>
          <w:p>
            <w:pPr>
              <w:ind w:left="20"/>
              <w:spacing w:after="0"/>
              <w:rPr>
                <w:sz w:val="20"/>
                <w:szCs w:val="20"/>
                <w:color w:val="auto"/>
              </w:rPr>
            </w:pPr>
            <w:r>
              <w:rPr>
                <w:rFonts w:ascii="Arial" w:cs="Arial" w:eastAsia="Arial" w:hAnsi="Arial"/>
                <w:sz w:val="14"/>
                <w:szCs w:val="14"/>
                <w:b w:val="1"/>
                <w:bCs w:val="1"/>
                <w:color w:val="auto"/>
              </w:rPr>
              <w:t>December 31, 2019</w:t>
            </w:r>
          </w:p>
        </w:tc>
        <w:tc>
          <w:tcPr>
            <w:tcW w:w="1060" w:type="dxa"/>
            <w:vAlign w:val="bottom"/>
            <w:tcBorders>
              <w:bottom w:val="single" w:sz="8" w:color="DC202E"/>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Gross</w:t>
            </w:r>
          </w:p>
        </w:tc>
        <w:tc>
          <w:tcPr>
            <w:tcW w:w="160" w:type="dxa"/>
            <w:vAlign w:val="bottom"/>
          </w:tcPr>
          <w:p>
            <w:pPr>
              <w:spacing w:after="0"/>
              <w:rPr>
                <w:sz w:val="16"/>
                <w:szCs w:val="16"/>
                <w:color w:val="auto"/>
              </w:rPr>
            </w:pPr>
          </w:p>
        </w:tc>
        <w:tc>
          <w:tcPr>
            <w:tcW w:w="12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6"/>
                <w:szCs w:val="16"/>
                <w:color w:val="auto"/>
              </w:rPr>
            </w:pPr>
          </w:p>
        </w:tc>
        <w:tc>
          <w:tcPr>
            <w:tcW w:w="780" w:type="dxa"/>
            <w:vAlign w:val="bottom"/>
            <w:gridSpan w:val="2"/>
          </w:tcPr>
          <w:p>
            <w:pPr>
              <w:jc w:val="center"/>
              <w:ind w:left="74"/>
              <w:spacing w:after="0"/>
              <w:rPr>
                <w:sz w:val="20"/>
                <w:szCs w:val="20"/>
                <w:color w:val="auto"/>
              </w:rPr>
            </w:pPr>
            <w:r>
              <w:rPr>
                <w:rFonts w:ascii="Arial" w:cs="Arial" w:eastAsia="Arial" w:hAnsi="Arial"/>
                <w:sz w:val="14"/>
                <w:szCs w:val="14"/>
                <w:b w:val="1"/>
                <w:bCs w:val="1"/>
                <w:color w:val="auto"/>
                <w:w w:val="97"/>
              </w:rPr>
              <w:t>Net</w:t>
            </w: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Gross</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center"/>
              <w:ind w:right="154"/>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35"/>
        </w:trPr>
        <w:tc>
          <w:tcPr>
            <w:tcW w:w="29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gridSpan w:val="2"/>
          </w:tcPr>
          <w:p>
            <w:pPr>
              <w:jc w:val="center"/>
              <w:ind w:right="460"/>
              <w:spacing w:after="0" w:line="135" w:lineRule="exact"/>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1"/>
                <w:szCs w:val="11"/>
                <w:color w:val="auto"/>
              </w:rPr>
            </w:pPr>
          </w:p>
        </w:tc>
        <w:tc>
          <w:tcPr>
            <w:tcW w:w="124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jc w:val="center"/>
              <w:ind w:left="74"/>
              <w:spacing w:after="0" w:line="135" w:lineRule="exact"/>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gridSpan w:val="2"/>
          </w:tcPr>
          <w:p>
            <w:pPr>
              <w:jc w:val="center"/>
              <w:ind w:right="60"/>
              <w:spacing w:after="0" w:line="135" w:lineRule="exact"/>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tcPr>
          <w:p>
            <w:pPr>
              <w:jc w:val="center"/>
              <w:ind w:right="154"/>
              <w:spacing w:after="0" w:line="135"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82"/>
        </w:trPr>
        <w:tc>
          <w:tcPr>
            <w:tcW w:w="2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5"/>
                <w:szCs w:val="15"/>
                <w:color w:val="auto"/>
              </w:rPr>
            </w:pPr>
          </w:p>
        </w:tc>
        <w:tc>
          <w:tcPr>
            <w:tcW w:w="1240" w:type="dxa"/>
            <w:vAlign w:val="bottom"/>
            <w:gridSpan w:val="3"/>
          </w:tcPr>
          <w:p>
            <w:pPr>
              <w:ind w:left="60"/>
              <w:spacing w:after="0"/>
              <w:rPr>
                <w:sz w:val="20"/>
                <w:szCs w:val="20"/>
                <w:color w:val="auto"/>
              </w:rPr>
            </w:pPr>
            <w:r>
              <w:rPr>
                <w:rFonts w:ascii="Arial" w:cs="Arial" w:eastAsia="Arial" w:hAnsi="Arial"/>
                <w:sz w:val="14"/>
                <w:szCs w:val="14"/>
                <w:b w:val="1"/>
                <w:bCs w:val="1"/>
                <w:color w:val="auto"/>
              </w:rPr>
              <w:t>Amortization</w:t>
            </w:r>
          </w:p>
        </w:tc>
        <w:tc>
          <w:tcPr>
            <w:tcW w:w="180" w:type="dxa"/>
            <w:vAlign w:val="bottom"/>
          </w:tcPr>
          <w:p>
            <w:pPr>
              <w:spacing w:after="0"/>
              <w:rPr>
                <w:sz w:val="15"/>
                <w:szCs w:val="15"/>
                <w:color w:val="auto"/>
              </w:rPr>
            </w:pPr>
          </w:p>
        </w:tc>
        <w:tc>
          <w:tcPr>
            <w:tcW w:w="780" w:type="dxa"/>
            <w:vAlign w:val="bottom"/>
            <w:gridSpan w:val="2"/>
          </w:tcPr>
          <w:p>
            <w:pPr>
              <w:jc w:val="center"/>
              <w:ind w:left="74"/>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Amortization</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center"/>
              <w:ind w:right="154"/>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30"/>
        </w:trPr>
        <w:tc>
          <w:tcPr>
            <w:tcW w:w="2960" w:type="dxa"/>
            <w:vAlign w:val="bottom"/>
            <w:tcBorders>
              <w:top w:val="single" w:sz="8" w:color="DDDDDD"/>
            </w:tcBorders>
            <w:shd w:val="clear" w:color="auto" w:fill="DDDDDD"/>
          </w:tcPr>
          <w:p>
            <w:pPr>
              <w:ind w:left="20"/>
              <w:spacing w:after="0"/>
              <w:rPr>
                <w:sz w:val="20"/>
                <w:szCs w:val="20"/>
                <w:color w:val="auto"/>
              </w:rPr>
            </w:pPr>
            <w:r>
              <w:rPr>
                <w:rFonts w:ascii="Arial" w:cs="Arial" w:eastAsia="Arial" w:hAnsi="Arial"/>
                <w:sz w:val="18"/>
                <w:szCs w:val="18"/>
                <w:color w:val="auto"/>
              </w:rPr>
              <w:t>Determinable life intangibles:</w:t>
            </w:r>
          </w:p>
        </w:tc>
        <w:tc>
          <w:tcPr>
            <w:tcW w:w="340" w:type="dxa"/>
            <w:vAlign w:val="bottom"/>
            <w:tcBorders>
              <w:top w:val="single" w:sz="8" w:color="DC202E"/>
            </w:tcBorders>
            <w:shd w:val="clear" w:color="auto" w:fill="DDDDDD"/>
          </w:tcPr>
          <w:p>
            <w:pPr>
              <w:spacing w:after="0"/>
              <w:rPr>
                <w:sz w:val="19"/>
                <w:szCs w:val="19"/>
                <w:color w:val="auto"/>
              </w:rPr>
            </w:pPr>
          </w:p>
        </w:tc>
        <w:tc>
          <w:tcPr>
            <w:tcW w:w="940" w:type="dxa"/>
            <w:vAlign w:val="bottom"/>
            <w:tcBorders>
              <w:top w:val="single" w:sz="8" w:color="DC202E"/>
            </w:tcBorders>
            <w:shd w:val="clear" w:color="auto" w:fill="DDDDDD"/>
          </w:tcPr>
          <w:p>
            <w:pPr>
              <w:spacing w:after="0"/>
              <w:rPr>
                <w:sz w:val="19"/>
                <w:szCs w:val="19"/>
                <w:color w:val="auto"/>
              </w:rPr>
            </w:pPr>
          </w:p>
        </w:tc>
        <w:tc>
          <w:tcPr>
            <w:tcW w:w="100" w:type="dxa"/>
            <w:vAlign w:val="bottom"/>
            <w:tcBorders>
              <w:top w:val="single" w:sz="8" w:color="DDDDDD"/>
            </w:tcBorders>
            <w:shd w:val="clear" w:color="auto" w:fill="DDDDDD"/>
          </w:tcPr>
          <w:p>
            <w:pPr>
              <w:spacing w:after="0"/>
              <w:rPr>
                <w:sz w:val="19"/>
                <w:szCs w:val="19"/>
                <w:color w:val="auto"/>
              </w:rPr>
            </w:pPr>
          </w:p>
        </w:tc>
        <w:tc>
          <w:tcPr>
            <w:tcW w:w="160" w:type="dxa"/>
            <w:vAlign w:val="bottom"/>
            <w:tcBorders>
              <w:top w:val="single" w:sz="8" w:color="DC202E"/>
            </w:tcBorders>
            <w:shd w:val="clear" w:color="auto" w:fill="DDDDDD"/>
          </w:tcPr>
          <w:p>
            <w:pPr>
              <w:spacing w:after="0"/>
              <w:rPr>
                <w:sz w:val="19"/>
                <w:szCs w:val="19"/>
                <w:color w:val="auto"/>
              </w:rPr>
            </w:pPr>
          </w:p>
        </w:tc>
        <w:tc>
          <w:tcPr>
            <w:tcW w:w="660" w:type="dxa"/>
            <w:vAlign w:val="bottom"/>
            <w:tcBorders>
              <w:top w:val="single" w:sz="8" w:color="DC202E"/>
            </w:tcBorders>
            <w:shd w:val="clear" w:color="auto" w:fill="DDDDDD"/>
          </w:tcPr>
          <w:p>
            <w:pPr>
              <w:spacing w:after="0"/>
              <w:rPr>
                <w:sz w:val="19"/>
                <w:szCs w:val="19"/>
                <w:color w:val="auto"/>
              </w:rPr>
            </w:pPr>
          </w:p>
        </w:tc>
        <w:tc>
          <w:tcPr>
            <w:tcW w:w="480" w:type="dxa"/>
            <w:vAlign w:val="bottom"/>
            <w:tcBorders>
              <w:top w:val="single" w:sz="8" w:color="DC202E"/>
            </w:tcBorders>
            <w:shd w:val="clear" w:color="auto" w:fill="DDDDDD"/>
          </w:tcPr>
          <w:p>
            <w:pPr>
              <w:spacing w:after="0"/>
              <w:rPr>
                <w:sz w:val="19"/>
                <w:szCs w:val="19"/>
                <w:color w:val="auto"/>
              </w:rPr>
            </w:pPr>
          </w:p>
        </w:tc>
        <w:tc>
          <w:tcPr>
            <w:tcW w:w="100" w:type="dxa"/>
            <w:vAlign w:val="bottom"/>
            <w:tcBorders>
              <w:top w:val="single" w:sz="8" w:color="DDDDDD"/>
            </w:tcBorders>
            <w:shd w:val="clear" w:color="auto" w:fill="DDDDDD"/>
          </w:tcPr>
          <w:p>
            <w:pPr>
              <w:spacing w:after="0"/>
              <w:rPr>
                <w:sz w:val="19"/>
                <w:szCs w:val="19"/>
                <w:color w:val="auto"/>
              </w:rPr>
            </w:pPr>
          </w:p>
        </w:tc>
        <w:tc>
          <w:tcPr>
            <w:tcW w:w="180" w:type="dxa"/>
            <w:vAlign w:val="bottom"/>
            <w:tcBorders>
              <w:top w:val="single" w:sz="8" w:color="DC202E"/>
            </w:tcBorders>
            <w:shd w:val="clear" w:color="auto" w:fill="DDDDDD"/>
          </w:tcPr>
          <w:p>
            <w:pPr>
              <w:spacing w:after="0"/>
              <w:rPr>
                <w:sz w:val="19"/>
                <w:szCs w:val="19"/>
                <w:color w:val="auto"/>
              </w:rPr>
            </w:pPr>
          </w:p>
        </w:tc>
        <w:tc>
          <w:tcPr>
            <w:tcW w:w="680" w:type="dxa"/>
            <w:vAlign w:val="bottom"/>
            <w:tcBorders>
              <w:top w:val="single" w:sz="8" w:color="DC202E"/>
            </w:tcBorders>
            <w:shd w:val="clear" w:color="auto" w:fill="DDDDDD"/>
          </w:tcPr>
          <w:p>
            <w:pPr>
              <w:spacing w:after="0"/>
              <w:rPr>
                <w:sz w:val="19"/>
                <w:szCs w:val="19"/>
                <w:color w:val="auto"/>
              </w:rPr>
            </w:pPr>
          </w:p>
        </w:tc>
        <w:tc>
          <w:tcPr>
            <w:tcW w:w="100" w:type="dxa"/>
            <w:vAlign w:val="bottom"/>
            <w:tcBorders>
              <w:top w:val="single" w:sz="8" w:color="DC202E"/>
            </w:tcBorders>
            <w:shd w:val="clear" w:color="auto" w:fill="DDDDDD"/>
          </w:tcPr>
          <w:p>
            <w:pPr>
              <w:spacing w:after="0"/>
              <w:rPr>
                <w:sz w:val="19"/>
                <w:szCs w:val="19"/>
                <w:color w:val="auto"/>
              </w:rPr>
            </w:pPr>
          </w:p>
        </w:tc>
        <w:tc>
          <w:tcPr>
            <w:tcW w:w="260" w:type="dxa"/>
            <w:vAlign w:val="bottom"/>
            <w:tcBorders>
              <w:top w:val="single" w:sz="8" w:color="DC202E"/>
            </w:tcBorders>
            <w:shd w:val="clear" w:color="auto" w:fill="DDDDDD"/>
          </w:tcPr>
          <w:p>
            <w:pPr>
              <w:spacing w:after="0"/>
              <w:rPr>
                <w:sz w:val="19"/>
                <w:szCs w:val="19"/>
                <w:color w:val="auto"/>
              </w:rPr>
            </w:pPr>
          </w:p>
        </w:tc>
        <w:tc>
          <w:tcPr>
            <w:tcW w:w="60" w:type="dxa"/>
            <w:vAlign w:val="bottom"/>
            <w:tcBorders>
              <w:top w:val="single" w:sz="8" w:color="DC202E"/>
            </w:tcBorders>
            <w:shd w:val="clear" w:color="auto" w:fill="DDDDDD"/>
          </w:tcPr>
          <w:p>
            <w:pPr>
              <w:spacing w:after="0"/>
              <w:rPr>
                <w:sz w:val="19"/>
                <w:szCs w:val="19"/>
                <w:color w:val="auto"/>
              </w:rPr>
            </w:pPr>
          </w:p>
        </w:tc>
        <w:tc>
          <w:tcPr>
            <w:tcW w:w="120" w:type="dxa"/>
            <w:vAlign w:val="bottom"/>
            <w:tcBorders>
              <w:top w:val="single" w:sz="8" w:color="DDDDDD"/>
            </w:tcBorders>
            <w:shd w:val="clear" w:color="auto" w:fill="DDDDDD"/>
          </w:tcPr>
          <w:p>
            <w:pPr>
              <w:spacing w:after="0"/>
              <w:rPr>
                <w:sz w:val="19"/>
                <w:szCs w:val="19"/>
                <w:color w:val="auto"/>
              </w:rPr>
            </w:pPr>
          </w:p>
        </w:tc>
        <w:tc>
          <w:tcPr>
            <w:tcW w:w="220" w:type="dxa"/>
            <w:vAlign w:val="bottom"/>
            <w:tcBorders>
              <w:top w:val="single" w:sz="8" w:color="DC202E"/>
            </w:tcBorders>
            <w:shd w:val="clear" w:color="auto" w:fill="DDDDDD"/>
          </w:tcPr>
          <w:p>
            <w:pPr>
              <w:spacing w:after="0"/>
              <w:rPr>
                <w:sz w:val="19"/>
                <w:szCs w:val="19"/>
                <w:color w:val="auto"/>
              </w:rPr>
            </w:pPr>
          </w:p>
        </w:tc>
        <w:tc>
          <w:tcPr>
            <w:tcW w:w="780" w:type="dxa"/>
            <w:vAlign w:val="bottom"/>
            <w:tcBorders>
              <w:top w:val="single" w:sz="8" w:color="DC202E"/>
            </w:tcBorders>
            <w:shd w:val="clear" w:color="auto" w:fill="DDDDDD"/>
          </w:tcPr>
          <w:p>
            <w:pPr>
              <w:spacing w:after="0"/>
              <w:rPr>
                <w:sz w:val="19"/>
                <w:szCs w:val="19"/>
                <w:color w:val="auto"/>
              </w:rPr>
            </w:pPr>
          </w:p>
        </w:tc>
        <w:tc>
          <w:tcPr>
            <w:tcW w:w="120" w:type="dxa"/>
            <w:vAlign w:val="bottom"/>
            <w:tcBorders>
              <w:top w:val="single" w:sz="8" w:color="DC202E"/>
            </w:tcBorders>
            <w:shd w:val="clear" w:color="auto" w:fill="DDDDDD"/>
          </w:tcPr>
          <w:p>
            <w:pPr>
              <w:spacing w:after="0"/>
              <w:rPr>
                <w:sz w:val="19"/>
                <w:szCs w:val="19"/>
                <w:color w:val="auto"/>
              </w:rPr>
            </w:pPr>
          </w:p>
        </w:tc>
        <w:tc>
          <w:tcPr>
            <w:tcW w:w="160" w:type="dxa"/>
            <w:vAlign w:val="bottom"/>
            <w:tcBorders>
              <w:top w:val="single" w:sz="8" w:color="DC202E"/>
            </w:tcBorders>
            <w:shd w:val="clear" w:color="auto" w:fill="DDDDDD"/>
          </w:tcPr>
          <w:p>
            <w:pPr>
              <w:spacing w:after="0"/>
              <w:rPr>
                <w:sz w:val="19"/>
                <w:szCs w:val="19"/>
                <w:color w:val="auto"/>
              </w:rPr>
            </w:pPr>
          </w:p>
        </w:tc>
        <w:tc>
          <w:tcPr>
            <w:tcW w:w="100" w:type="dxa"/>
            <w:vAlign w:val="bottom"/>
            <w:tcBorders>
              <w:top w:val="single" w:sz="8" w:color="DDDDDD"/>
            </w:tcBorders>
            <w:shd w:val="clear" w:color="auto" w:fill="DDDDDD"/>
          </w:tcPr>
          <w:p>
            <w:pPr>
              <w:spacing w:after="0"/>
              <w:rPr>
                <w:sz w:val="19"/>
                <w:szCs w:val="19"/>
                <w:color w:val="auto"/>
              </w:rPr>
            </w:pPr>
          </w:p>
        </w:tc>
        <w:tc>
          <w:tcPr>
            <w:tcW w:w="140" w:type="dxa"/>
            <w:vAlign w:val="bottom"/>
            <w:tcBorders>
              <w:top w:val="single" w:sz="8" w:color="DC202E"/>
            </w:tcBorders>
            <w:shd w:val="clear" w:color="auto" w:fill="DDDDDD"/>
          </w:tcPr>
          <w:p>
            <w:pPr>
              <w:spacing w:after="0"/>
              <w:rPr>
                <w:sz w:val="19"/>
                <w:szCs w:val="19"/>
                <w:color w:val="auto"/>
              </w:rPr>
            </w:pPr>
          </w:p>
        </w:tc>
        <w:tc>
          <w:tcPr>
            <w:tcW w:w="1040" w:type="dxa"/>
            <w:vAlign w:val="bottom"/>
            <w:tcBorders>
              <w:top w:val="single" w:sz="8" w:color="DC202E"/>
            </w:tcBorders>
            <w:shd w:val="clear" w:color="auto" w:fill="DDDDDD"/>
          </w:tcPr>
          <w:p>
            <w:pPr>
              <w:spacing w:after="0"/>
              <w:rPr>
                <w:sz w:val="19"/>
                <w:szCs w:val="19"/>
                <w:color w:val="auto"/>
              </w:rPr>
            </w:pPr>
          </w:p>
        </w:tc>
        <w:tc>
          <w:tcPr>
            <w:tcW w:w="100" w:type="dxa"/>
            <w:vAlign w:val="bottom"/>
            <w:tcBorders>
              <w:top w:val="single" w:sz="8" w:color="DC202E"/>
            </w:tcBorders>
            <w:shd w:val="clear" w:color="auto" w:fill="DDDDDD"/>
          </w:tcPr>
          <w:p>
            <w:pPr>
              <w:spacing w:after="0"/>
              <w:rPr>
                <w:sz w:val="19"/>
                <w:szCs w:val="19"/>
                <w:color w:val="auto"/>
              </w:rPr>
            </w:pPr>
          </w:p>
        </w:tc>
        <w:tc>
          <w:tcPr>
            <w:tcW w:w="20" w:type="dxa"/>
            <w:vAlign w:val="bottom"/>
            <w:tcBorders>
              <w:top w:val="single" w:sz="8" w:color="DC202E"/>
            </w:tcBorders>
            <w:shd w:val="clear" w:color="auto" w:fill="DDDDDD"/>
          </w:tcPr>
          <w:p>
            <w:pPr>
              <w:spacing w:after="0"/>
              <w:rPr>
                <w:sz w:val="19"/>
                <w:szCs w:val="19"/>
                <w:color w:val="auto"/>
              </w:rPr>
            </w:pPr>
          </w:p>
        </w:tc>
        <w:tc>
          <w:tcPr>
            <w:tcW w:w="20" w:type="dxa"/>
            <w:vAlign w:val="bottom"/>
            <w:tcBorders>
              <w:top w:val="single" w:sz="8" w:color="DC202E"/>
            </w:tcBorders>
            <w:shd w:val="clear" w:color="auto" w:fill="DDDDDD"/>
          </w:tcPr>
          <w:p>
            <w:pPr>
              <w:spacing w:after="0"/>
              <w:rPr>
                <w:sz w:val="19"/>
                <w:szCs w:val="19"/>
                <w:color w:val="auto"/>
              </w:rPr>
            </w:pPr>
          </w:p>
        </w:tc>
        <w:tc>
          <w:tcPr>
            <w:tcW w:w="100" w:type="dxa"/>
            <w:vAlign w:val="bottom"/>
            <w:tcBorders>
              <w:top w:val="single" w:sz="8" w:color="DDDDDD"/>
            </w:tcBorders>
            <w:shd w:val="clear" w:color="auto" w:fill="DDDDDD"/>
          </w:tcPr>
          <w:p>
            <w:pPr>
              <w:spacing w:after="0"/>
              <w:rPr>
                <w:sz w:val="19"/>
                <w:szCs w:val="19"/>
                <w:color w:val="auto"/>
              </w:rPr>
            </w:pPr>
          </w:p>
        </w:tc>
        <w:tc>
          <w:tcPr>
            <w:tcW w:w="240" w:type="dxa"/>
            <w:vAlign w:val="bottom"/>
            <w:tcBorders>
              <w:top w:val="single" w:sz="8" w:color="DC202E"/>
            </w:tcBorders>
            <w:shd w:val="clear" w:color="auto" w:fill="DDDDDD"/>
          </w:tcPr>
          <w:p>
            <w:pPr>
              <w:spacing w:after="0"/>
              <w:rPr>
                <w:sz w:val="19"/>
                <w:szCs w:val="19"/>
                <w:color w:val="auto"/>
              </w:rPr>
            </w:pPr>
          </w:p>
        </w:tc>
        <w:tc>
          <w:tcPr>
            <w:tcW w:w="1060" w:type="dxa"/>
            <w:vAlign w:val="bottom"/>
            <w:tcBorders>
              <w:top w:val="single" w:sz="8" w:color="DC202E"/>
            </w:tcBorders>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60" w:type="dxa"/>
            <w:vAlign w:val="bottom"/>
          </w:tcPr>
          <w:p>
            <w:pPr>
              <w:ind w:left="220"/>
              <w:spacing w:after="0"/>
              <w:rPr>
                <w:sz w:val="20"/>
                <w:szCs w:val="20"/>
                <w:color w:val="auto"/>
              </w:rPr>
            </w:pPr>
            <w:r>
              <w:rPr>
                <w:rFonts w:ascii="Arial" w:cs="Arial" w:eastAsia="Arial" w:hAnsi="Arial"/>
                <w:sz w:val="18"/>
                <w:szCs w:val="18"/>
                <w:color w:val="auto"/>
              </w:rPr>
              <w:t>Patents and technology</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2,159</w:t>
            </w:r>
          </w:p>
        </w:tc>
        <w:tc>
          <w:tcPr>
            <w:tcW w:w="10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(1,595)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564</w:t>
            </w:r>
          </w:p>
        </w:tc>
        <w:tc>
          <w:tcPr>
            <w:tcW w:w="4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2,060</w:t>
            </w:r>
          </w:p>
        </w:tc>
        <w:tc>
          <w:tcPr>
            <w:tcW w:w="10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(1,481)</w:t>
            </w:r>
          </w:p>
        </w:tc>
        <w:tc>
          <w:tcPr>
            <w:tcW w:w="3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30"/>
        </w:trPr>
        <w:tc>
          <w:tcPr>
            <w:tcW w:w="2960" w:type="dxa"/>
            <w:vAlign w:val="bottom"/>
            <w:shd w:val="clear" w:color="auto" w:fill="DDDDDD"/>
          </w:tcPr>
          <w:p>
            <w:pPr>
              <w:ind w:left="220"/>
              <w:spacing w:after="0"/>
              <w:rPr>
                <w:sz w:val="20"/>
                <w:szCs w:val="20"/>
                <w:color w:val="auto"/>
              </w:rPr>
            </w:pPr>
            <w:r>
              <w:rPr>
                <w:rFonts w:ascii="Arial" w:cs="Arial" w:eastAsia="Arial" w:hAnsi="Arial"/>
                <w:sz w:val="18"/>
                <w:szCs w:val="18"/>
                <w:color w:val="auto"/>
              </w:rPr>
              <w:t>Customer relationships</w:t>
            </w:r>
          </w:p>
        </w:tc>
        <w:tc>
          <w:tcPr>
            <w:tcW w:w="340" w:type="dxa"/>
            <w:vAlign w:val="bottom"/>
            <w:shd w:val="clear" w:color="auto" w:fill="DDDDDD"/>
          </w:tcPr>
          <w:p>
            <w:pPr>
              <w:spacing w:after="0"/>
              <w:rPr>
                <w:sz w:val="19"/>
                <w:szCs w:val="19"/>
                <w:color w:val="auto"/>
              </w:rPr>
            </w:pPr>
          </w:p>
        </w:tc>
        <w:tc>
          <w:tcPr>
            <w:tcW w:w="9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3,889</w:t>
            </w:r>
          </w:p>
        </w:tc>
        <w:tc>
          <w:tcPr>
            <w:tcW w:w="100" w:type="dxa"/>
            <w:vAlign w:val="bottom"/>
            <w:shd w:val="clear" w:color="auto" w:fill="DDDDDD"/>
          </w:tcPr>
          <w:p>
            <w:pPr>
              <w:spacing w:after="0"/>
              <w:rPr>
                <w:sz w:val="19"/>
                <w:szCs w:val="19"/>
                <w:color w:val="auto"/>
              </w:rPr>
            </w:pPr>
          </w:p>
        </w:tc>
        <w:tc>
          <w:tcPr>
            <w:tcW w:w="160" w:type="dxa"/>
            <w:vAlign w:val="bottom"/>
            <w:shd w:val="clear" w:color="auto" w:fill="DDDDDD"/>
          </w:tcPr>
          <w:p>
            <w:pPr>
              <w:spacing w:after="0"/>
              <w:rPr>
                <w:sz w:val="19"/>
                <w:szCs w:val="19"/>
                <w:color w:val="auto"/>
              </w:rPr>
            </w:pPr>
          </w:p>
        </w:tc>
        <w:tc>
          <w:tcPr>
            <w:tcW w:w="1140" w:type="dxa"/>
            <w:vAlign w:val="bottom"/>
            <w:gridSpan w:val="2"/>
            <w:shd w:val="clear" w:color="auto" w:fill="DDDDDD"/>
          </w:tcPr>
          <w:p>
            <w:pPr>
              <w:jc w:val="right"/>
              <w:spacing w:after="0"/>
              <w:rPr>
                <w:sz w:val="20"/>
                <w:szCs w:val="20"/>
                <w:color w:val="auto"/>
              </w:rPr>
            </w:pPr>
            <w:r>
              <w:rPr>
                <w:rFonts w:ascii="Arial" w:cs="Arial" w:eastAsia="Arial" w:hAnsi="Arial"/>
                <w:sz w:val="18"/>
                <w:szCs w:val="18"/>
                <w:color w:val="auto"/>
              </w:rPr>
              <w:t>(2,050)</w:t>
            </w:r>
          </w:p>
        </w:tc>
        <w:tc>
          <w:tcPr>
            <w:tcW w:w="100" w:type="dxa"/>
            <w:vAlign w:val="bottom"/>
            <w:shd w:val="clear" w:color="auto" w:fill="DDDDDD"/>
          </w:tcPr>
          <w:p>
            <w:pPr>
              <w:spacing w:after="0"/>
              <w:rPr>
                <w:sz w:val="19"/>
                <w:szCs w:val="19"/>
                <w:color w:val="auto"/>
              </w:rPr>
            </w:pPr>
          </w:p>
        </w:tc>
        <w:tc>
          <w:tcPr>
            <w:tcW w:w="180" w:type="dxa"/>
            <w:vAlign w:val="bottom"/>
            <w:shd w:val="clear" w:color="auto" w:fill="DDDDDD"/>
          </w:tcPr>
          <w:p>
            <w:pPr>
              <w:spacing w:after="0"/>
              <w:rPr>
                <w:sz w:val="19"/>
                <w:szCs w:val="19"/>
                <w:color w:val="auto"/>
              </w:rPr>
            </w:pPr>
          </w:p>
        </w:tc>
        <w:tc>
          <w:tcPr>
            <w:tcW w:w="1040" w:type="dxa"/>
            <w:vAlign w:val="bottom"/>
            <w:gridSpan w:val="3"/>
            <w:shd w:val="clear" w:color="auto" w:fill="DDDDDD"/>
          </w:tcPr>
          <w:p>
            <w:pPr>
              <w:jc w:val="right"/>
              <w:spacing w:after="0"/>
              <w:rPr>
                <w:sz w:val="20"/>
                <w:szCs w:val="20"/>
                <w:color w:val="auto"/>
              </w:rPr>
            </w:pPr>
            <w:r>
              <w:rPr>
                <w:rFonts w:ascii="Arial" w:cs="Arial" w:eastAsia="Arial" w:hAnsi="Arial"/>
                <w:sz w:val="18"/>
                <w:szCs w:val="18"/>
                <w:color w:val="auto"/>
              </w:rPr>
              <w:t>1,839</w:t>
            </w:r>
          </w:p>
        </w:tc>
        <w:tc>
          <w:tcPr>
            <w:tcW w:w="6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220" w:type="dxa"/>
            <w:vAlign w:val="bottom"/>
            <w:shd w:val="clear" w:color="auto" w:fill="DDDDDD"/>
          </w:tcPr>
          <w:p>
            <w:pPr>
              <w:spacing w:after="0"/>
              <w:rPr>
                <w:sz w:val="19"/>
                <w:szCs w:val="19"/>
                <w:color w:val="auto"/>
              </w:rPr>
            </w:pPr>
          </w:p>
        </w:tc>
        <w:tc>
          <w:tcPr>
            <w:tcW w:w="1060" w:type="dxa"/>
            <w:vAlign w:val="bottom"/>
            <w:gridSpan w:val="3"/>
            <w:shd w:val="clear" w:color="auto" w:fill="DDDDDD"/>
          </w:tcPr>
          <w:p>
            <w:pPr>
              <w:jc w:val="right"/>
              <w:spacing w:after="0"/>
              <w:rPr>
                <w:sz w:val="20"/>
                <w:szCs w:val="20"/>
                <w:color w:val="auto"/>
              </w:rPr>
            </w:pPr>
            <w:r>
              <w:rPr>
                <w:rFonts w:ascii="Arial" w:cs="Arial" w:eastAsia="Arial" w:hAnsi="Arial"/>
                <w:sz w:val="18"/>
                <w:szCs w:val="18"/>
                <w:color w:val="auto"/>
              </w:rPr>
              <w:t>3,769</w:t>
            </w:r>
          </w:p>
        </w:tc>
        <w:tc>
          <w:tcPr>
            <w:tcW w:w="100" w:type="dxa"/>
            <w:vAlign w:val="bottom"/>
            <w:shd w:val="clear" w:color="auto" w:fill="DDDDDD"/>
          </w:tcPr>
          <w:p>
            <w:pPr>
              <w:spacing w:after="0"/>
              <w:rPr>
                <w:sz w:val="19"/>
                <w:szCs w:val="19"/>
                <w:color w:val="auto"/>
              </w:rPr>
            </w:pPr>
          </w:p>
        </w:tc>
        <w:tc>
          <w:tcPr>
            <w:tcW w:w="140" w:type="dxa"/>
            <w:vAlign w:val="bottom"/>
            <w:shd w:val="clear" w:color="auto" w:fill="DDDDDD"/>
          </w:tcPr>
          <w:p>
            <w:pPr>
              <w:spacing w:after="0"/>
              <w:rPr>
                <w:sz w:val="19"/>
                <w:szCs w:val="19"/>
                <w:color w:val="auto"/>
              </w:rPr>
            </w:pPr>
          </w:p>
        </w:tc>
        <w:tc>
          <w:tcPr>
            <w:tcW w:w="1160" w:type="dxa"/>
            <w:vAlign w:val="bottom"/>
            <w:gridSpan w:val="3"/>
            <w:shd w:val="clear" w:color="auto" w:fill="DDDDDD"/>
          </w:tcPr>
          <w:p>
            <w:pPr>
              <w:jc w:val="right"/>
              <w:ind w:right="20"/>
              <w:spacing w:after="0"/>
              <w:rPr>
                <w:sz w:val="20"/>
                <w:szCs w:val="20"/>
                <w:color w:val="auto"/>
              </w:rPr>
            </w:pPr>
            <w:r>
              <w:rPr>
                <w:rFonts w:ascii="Arial" w:cs="Arial" w:eastAsia="Arial" w:hAnsi="Arial"/>
                <w:sz w:val="18"/>
                <w:szCs w:val="18"/>
                <w:color w:val="auto"/>
              </w:rPr>
              <w:t>(1,766)</w:t>
            </w:r>
          </w:p>
        </w:tc>
        <w:tc>
          <w:tcPr>
            <w:tcW w:w="2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240" w:type="dxa"/>
            <w:vAlign w:val="bottom"/>
            <w:shd w:val="clear" w:color="auto" w:fill="DDDDDD"/>
          </w:tcPr>
          <w:p>
            <w:pPr>
              <w:spacing w:after="0"/>
              <w:rPr>
                <w:sz w:val="19"/>
                <w:szCs w:val="19"/>
                <w:color w:val="auto"/>
              </w:rPr>
            </w:pPr>
          </w:p>
        </w:tc>
        <w:tc>
          <w:tcPr>
            <w:tcW w:w="10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229"/>
        </w:trPr>
        <w:tc>
          <w:tcPr>
            <w:tcW w:w="2960" w:type="dxa"/>
            <w:vAlign w:val="bottom"/>
          </w:tcPr>
          <w:p>
            <w:pPr>
              <w:ind w:left="220"/>
              <w:spacing w:after="0"/>
              <w:rPr>
                <w:sz w:val="20"/>
                <w:szCs w:val="20"/>
                <w:color w:val="auto"/>
              </w:rPr>
            </w:pPr>
            <w:r>
              <w:rPr>
                <w:rFonts w:ascii="Arial" w:cs="Arial" w:eastAsia="Arial" w:hAnsi="Arial"/>
                <w:sz w:val="18"/>
                <w:szCs w:val="18"/>
                <w:color w:val="auto"/>
              </w:rPr>
              <w:t>Trademarks</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80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(228)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30"/>
        </w:trPr>
        <w:tc>
          <w:tcPr>
            <w:tcW w:w="2960" w:type="dxa"/>
            <w:vAlign w:val="bottom"/>
            <w:shd w:val="clear" w:color="auto" w:fill="DDDDDD"/>
          </w:tcPr>
          <w:p>
            <w:pPr>
              <w:ind w:left="2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DDDDDD"/>
          </w:tcPr>
          <w:p>
            <w:pPr>
              <w:spacing w:after="0"/>
              <w:rPr>
                <w:sz w:val="19"/>
                <w:szCs w:val="19"/>
                <w:color w:val="auto"/>
              </w:rPr>
            </w:pPr>
          </w:p>
        </w:tc>
        <w:tc>
          <w:tcPr>
            <w:tcW w:w="9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298</w:t>
            </w:r>
          </w:p>
        </w:tc>
        <w:tc>
          <w:tcPr>
            <w:tcW w:w="100" w:type="dxa"/>
            <w:vAlign w:val="bottom"/>
            <w:shd w:val="clear" w:color="auto" w:fill="DDDDDD"/>
          </w:tcPr>
          <w:p>
            <w:pPr>
              <w:spacing w:after="0"/>
              <w:rPr>
                <w:sz w:val="19"/>
                <w:szCs w:val="19"/>
                <w:color w:val="auto"/>
              </w:rPr>
            </w:pPr>
          </w:p>
        </w:tc>
        <w:tc>
          <w:tcPr>
            <w:tcW w:w="160" w:type="dxa"/>
            <w:vAlign w:val="bottom"/>
            <w:tcBorders>
              <w:bottom w:val="single" w:sz="8" w:color="auto"/>
            </w:tcBorders>
            <w:shd w:val="clear" w:color="auto" w:fill="DDDDDD"/>
          </w:tcPr>
          <w:p>
            <w:pPr>
              <w:spacing w:after="0"/>
              <w:rPr>
                <w:sz w:val="19"/>
                <w:szCs w:val="19"/>
                <w:color w:val="auto"/>
              </w:rPr>
            </w:pPr>
          </w:p>
        </w:tc>
        <w:tc>
          <w:tcPr>
            <w:tcW w:w="1140" w:type="dxa"/>
            <w:vAlign w:val="bottom"/>
            <w:tcBorders>
              <w:bottom w:val="single" w:sz="8" w:color="auto"/>
            </w:tcBorders>
            <w:gridSpan w:val="2"/>
            <w:shd w:val="clear" w:color="auto" w:fill="DDDDDD"/>
          </w:tcPr>
          <w:p>
            <w:pPr>
              <w:jc w:val="right"/>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DDDDDD"/>
          </w:tcPr>
          <w:p>
            <w:pPr>
              <w:spacing w:after="0"/>
              <w:rPr>
                <w:sz w:val="19"/>
                <w:szCs w:val="19"/>
                <w:color w:val="auto"/>
              </w:rPr>
            </w:pPr>
          </w:p>
        </w:tc>
        <w:tc>
          <w:tcPr>
            <w:tcW w:w="180" w:type="dxa"/>
            <w:vAlign w:val="bottom"/>
            <w:tcBorders>
              <w:bottom w:val="single" w:sz="8" w:color="auto"/>
            </w:tcBorders>
            <w:shd w:val="clear" w:color="auto" w:fill="DDDDDD"/>
          </w:tcPr>
          <w:p>
            <w:pPr>
              <w:spacing w:after="0"/>
              <w:rPr>
                <w:sz w:val="19"/>
                <w:szCs w:val="19"/>
                <w:color w:val="auto"/>
              </w:rPr>
            </w:pPr>
          </w:p>
        </w:tc>
        <w:tc>
          <w:tcPr>
            <w:tcW w:w="680" w:type="dxa"/>
            <w:vAlign w:val="bottom"/>
            <w:tcBorders>
              <w:bottom w:val="single" w:sz="8" w:color="auto"/>
            </w:tcBorders>
            <w:shd w:val="clear" w:color="auto" w:fill="DDDDDD"/>
          </w:tcPr>
          <w:p>
            <w:pPr>
              <w:spacing w:after="0"/>
              <w:rPr>
                <w:sz w:val="19"/>
                <w:szCs w:val="19"/>
                <w:color w:val="auto"/>
              </w:rPr>
            </w:pPr>
          </w:p>
        </w:tc>
        <w:tc>
          <w:tcPr>
            <w:tcW w:w="100" w:type="dxa"/>
            <w:vAlign w:val="bottom"/>
            <w:tcBorders>
              <w:bottom w:val="single" w:sz="8" w:color="auto"/>
            </w:tcBorders>
            <w:shd w:val="clear" w:color="auto" w:fill="DDDDDD"/>
          </w:tcPr>
          <w:p>
            <w:pPr>
              <w:spacing w:after="0"/>
              <w:rPr>
                <w:sz w:val="19"/>
                <w:szCs w:val="19"/>
                <w:color w:val="auto"/>
              </w:rPr>
            </w:pPr>
          </w:p>
        </w:tc>
        <w:tc>
          <w:tcPr>
            <w:tcW w:w="2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31</w:t>
            </w:r>
          </w:p>
        </w:tc>
        <w:tc>
          <w:tcPr>
            <w:tcW w:w="60" w:type="dxa"/>
            <w:vAlign w:val="bottom"/>
            <w:tcBorders>
              <w:bottom w:val="single" w:sz="8" w:color="auto"/>
            </w:tcBorders>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220" w:type="dxa"/>
            <w:vAlign w:val="bottom"/>
            <w:tcBorders>
              <w:bottom w:val="single" w:sz="8" w:color="auto"/>
            </w:tcBorders>
            <w:shd w:val="clear" w:color="auto" w:fill="DDDDDD"/>
          </w:tcPr>
          <w:p>
            <w:pPr>
              <w:spacing w:after="0"/>
              <w:rPr>
                <w:sz w:val="19"/>
                <w:szCs w:val="19"/>
                <w:color w:val="auto"/>
              </w:rPr>
            </w:pPr>
          </w:p>
        </w:tc>
        <w:tc>
          <w:tcPr>
            <w:tcW w:w="1060" w:type="dxa"/>
            <w:vAlign w:val="bottom"/>
            <w:tcBorders>
              <w:bottom w:val="single" w:sz="8" w:color="auto"/>
            </w:tcBorders>
            <w:gridSpan w:val="3"/>
            <w:shd w:val="clear" w:color="auto" w:fill="DDDDDD"/>
          </w:tcPr>
          <w:p>
            <w:pPr>
              <w:jc w:val="right"/>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DDDDDD"/>
          </w:tcPr>
          <w:p>
            <w:pPr>
              <w:spacing w:after="0"/>
              <w:rPr>
                <w:sz w:val="19"/>
                <w:szCs w:val="19"/>
                <w:color w:val="auto"/>
              </w:rPr>
            </w:pPr>
          </w:p>
        </w:tc>
        <w:tc>
          <w:tcPr>
            <w:tcW w:w="140" w:type="dxa"/>
            <w:vAlign w:val="bottom"/>
            <w:tcBorders>
              <w:bottom w:val="single" w:sz="8" w:color="auto"/>
            </w:tcBorders>
            <w:shd w:val="clear" w:color="auto" w:fill="DDDDDD"/>
          </w:tcPr>
          <w:p>
            <w:pPr>
              <w:spacing w:after="0"/>
              <w:rPr>
                <w:sz w:val="19"/>
                <w:szCs w:val="19"/>
                <w:color w:val="auto"/>
              </w:rPr>
            </w:pPr>
          </w:p>
        </w:tc>
        <w:tc>
          <w:tcPr>
            <w:tcW w:w="1160" w:type="dxa"/>
            <w:vAlign w:val="bottom"/>
            <w:tcBorders>
              <w:bottom w:val="single" w:sz="8" w:color="auto"/>
            </w:tcBorders>
            <w:gridSpan w:val="3"/>
            <w:shd w:val="clear" w:color="auto" w:fill="DDDDDD"/>
          </w:tcPr>
          <w:p>
            <w:pPr>
              <w:jc w:val="right"/>
              <w:ind w:right="20"/>
              <w:spacing w:after="0"/>
              <w:rPr>
                <w:sz w:val="20"/>
                <w:szCs w:val="20"/>
                <w:color w:val="auto"/>
              </w:rPr>
            </w:pPr>
            <w:r>
              <w:rPr>
                <w:rFonts w:ascii="Arial" w:cs="Arial" w:eastAsia="Arial" w:hAnsi="Arial"/>
                <w:sz w:val="18"/>
                <w:szCs w:val="18"/>
                <w:color w:val="auto"/>
              </w:rPr>
              <w:t>(262)</w:t>
            </w:r>
          </w:p>
        </w:tc>
        <w:tc>
          <w:tcPr>
            <w:tcW w:w="20" w:type="dxa"/>
            <w:vAlign w:val="bottom"/>
            <w:tcBorders>
              <w:bottom w:val="single" w:sz="8" w:color="auto"/>
            </w:tcBorders>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240" w:type="dxa"/>
            <w:vAlign w:val="bottom"/>
            <w:tcBorders>
              <w:bottom w:val="single" w:sz="8" w:color="auto"/>
            </w:tcBorders>
            <w:shd w:val="clear" w:color="auto" w:fill="DDDDDD"/>
          </w:tcPr>
          <w:p>
            <w:pPr>
              <w:spacing w:after="0"/>
              <w:rPr>
                <w:sz w:val="19"/>
                <w:szCs w:val="19"/>
                <w:color w:val="auto"/>
              </w:rPr>
            </w:pPr>
          </w:p>
        </w:tc>
        <w:tc>
          <w:tcPr>
            <w:tcW w:w="10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3"/>
        </w:trPr>
        <w:tc>
          <w:tcPr>
            <w:tcW w:w="2960" w:type="dxa"/>
            <w:vAlign w:val="bottom"/>
            <w:tcBorders>
              <w:bottom w:val="single" w:sz="8" w:color="DDDDDD"/>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6,673</w:t>
            </w:r>
          </w:p>
        </w:tc>
        <w:tc>
          <w:tcPr>
            <w:tcW w:w="100" w:type="dxa"/>
            <w:vAlign w:val="bottom"/>
            <w:tcBorders>
              <w:bottom w:val="single" w:sz="8" w:color="DDDDDD"/>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(4,159)</w:t>
            </w:r>
          </w:p>
        </w:tc>
        <w:tc>
          <w:tcPr>
            <w:tcW w:w="100" w:type="dxa"/>
            <w:vAlign w:val="bottom"/>
            <w:tcBorders>
              <w:bottom w:val="single" w:sz="8" w:color="DDDDDD"/>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2,514</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DDDDDD"/>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6,443</w:t>
            </w:r>
          </w:p>
        </w:tc>
        <w:tc>
          <w:tcPr>
            <w:tcW w:w="100" w:type="dxa"/>
            <w:vAlign w:val="bottom"/>
            <w:tcBorders>
              <w:bottom w:val="single" w:sz="8" w:color="DDDDDD"/>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(3,737)</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DDDDDD"/>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2,706</w:t>
            </w:r>
          </w:p>
        </w:tc>
        <w:tc>
          <w:tcPr>
            <w:tcW w:w="0" w:type="dxa"/>
            <w:vAlign w:val="bottom"/>
          </w:tcPr>
          <w:p>
            <w:pPr>
              <w:spacing w:after="0"/>
              <w:rPr>
                <w:sz w:val="1"/>
                <w:szCs w:val="1"/>
                <w:color w:val="auto"/>
              </w:rPr>
            </w:pPr>
          </w:p>
        </w:tc>
      </w:tr>
      <w:tr>
        <w:trPr>
          <w:trHeight w:val="210"/>
        </w:trPr>
        <w:tc>
          <w:tcPr>
            <w:tcW w:w="2960" w:type="dxa"/>
            <w:vAlign w:val="bottom"/>
            <w:shd w:val="clear" w:color="auto" w:fill="DDDDDD"/>
          </w:tcPr>
          <w:p>
            <w:pPr>
              <w:ind w:left="20"/>
              <w:spacing w:after="0"/>
              <w:rPr>
                <w:sz w:val="20"/>
                <w:szCs w:val="20"/>
                <w:color w:val="auto"/>
              </w:rPr>
            </w:pPr>
            <w:r>
              <w:rPr>
                <w:rFonts w:ascii="Arial" w:cs="Arial" w:eastAsia="Arial" w:hAnsi="Arial"/>
                <w:sz w:val="18"/>
                <w:szCs w:val="18"/>
                <w:color w:val="auto"/>
              </w:rPr>
              <w:t>Indefinite life intangibles:</w:t>
            </w:r>
          </w:p>
        </w:tc>
        <w:tc>
          <w:tcPr>
            <w:tcW w:w="340" w:type="dxa"/>
            <w:vAlign w:val="bottom"/>
            <w:shd w:val="clear" w:color="auto" w:fill="DDDDDD"/>
          </w:tcPr>
          <w:p>
            <w:pPr>
              <w:spacing w:after="0"/>
              <w:rPr>
                <w:sz w:val="18"/>
                <w:szCs w:val="18"/>
                <w:color w:val="auto"/>
              </w:rPr>
            </w:pPr>
          </w:p>
        </w:tc>
        <w:tc>
          <w:tcPr>
            <w:tcW w:w="94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60" w:type="dxa"/>
            <w:vAlign w:val="bottom"/>
            <w:shd w:val="clear" w:color="auto" w:fill="DDDDDD"/>
          </w:tcPr>
          <w:p>
            <w:pPr>
              <w:spacing w:after="0"/>
              <w:rPr>
                <w:sz w:val="18"/>
                <w:szCs w:val="18"/>
                <w:color w:val="auto"/>
              </w:rPr>
            </w:pPr>
          </w:p>
        </w:tc>
        <w:tc>
          <w:tcPr>
            <w:tcW w:w="660" w:type="dxa"/>
            <w:vAlign w:val="bottom"/>
            <w:shd w:val="clear" w:color="auto" w:fill="DDDDDD"/>
          </w:tcPr>
          <w:p>
            <w:pPr>
              <w:spacing w:after="0"/>
              <w:rPr>
                <w:sz w:val="18"/>
                <w:szCs w:val="18"/>
                <w:color w:val="auto"/>
              </w:rPr>
            </w:pPr>
          </w:p>
        </w:tc>
        <w:tc>
          <w:tcPr>
            <w:tcW w:w="48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80" w:type="dxa"/>
            <w:vAlign w:val="bottom"/>
            <w:shd w:val="clear" w:color="auto" w:fill="DDDDDD"/>
          </w:tcPr>
          <w:p>
            <w:pPr>
              <w:spacing w:after="0"/>
              <w:rPr>
                <w:sz w:val="18"/>
                <w:szCs w:val="18"/>
                <w:color w:val="auto"/>
              </w:rPr>
            </w:pPr>
          </w:p>
        </w:tc>
        <w:tc>
          <w:tcPr>
            <w:tcW w:w="68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260" w:type="dxa"/>
            <w:vAlign w:val="bottom"/>
            <w:shd w:val="clear" w:color="auto" w:fill="DDDDDD"/>
          </w:tcPr>
          <w:p>
            <w:pPr>
              <w:spacing w:after="0"/>
              <w:rPr>
                <w:sz w:val="18"/>
                <w:szCs w:val="18"/>
                <w:color w:val="auto"/>
              </w:rPr>
            </w:pPr>
          </w:p>
        </w:tc>
        <w:tc>
          <w:tcPr>
            <w:tcW w:w="6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220" w:type="dxa"/>
            <w:vAlign w:val="bottom"/>
            <w:shd w:val="clear" w:color="auto" w:fill="DDDDDD"/>
          </w:tcPr>
          <w:p>
            <w:pPr>
              <w:spacing w:after="0"/>
              <w:rPr>
                <w:sz w:val="18"/>
                <w:szCs w:val="18"/>
                <w:color w:val="auto"/>
              </w:rPr>
            </w:pPr>
          </w:p>
        </w:tc>
        <w:tc>
          <w:tcPr>
            <w:tcW w:w="78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16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40" w:type="dxa"/>
            <w:vAlign w:val="bottom"/>
            <w:shd w:val="clear" w:color="auto" w:fill="DDDDDD"/>
          </w:tcPr>
          <w:p>
            <w:pPr>
              <w:spacing w:after="0"/>
              <w:rPr>
                <w:sz w:val="18"/>
                <w:szCs w:val="18"/>
                <w:color w:val="auto"/>
              </w:rPr>
            </w:pPr>
          </w:p>
        </w:tc>
        <w:tc>
          <w:tcPr>
            <w:tcW w:w="104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240" w:type="dxa"/>
            <w:vAlign w:val="bottom"/>
            <w:shd w:val="clear" w:color="auto" w:fill="DDDDDD"/>
          </w:tcPr>
          <w:p>
            <w:pPr>
              <w:spacing w:after="0"/>
              <w:rPr>
                <w:sz w:val="18"/>
                <w:szCs w:val="18"/>
                <w:color w:val="auto"/>
              </w:rPr>
            </w:pPr>
          </w:p>
        </w:tc>
        <w:tc>
          <w:tcPr>
            <w:tcW w:w="1060" w:type="dxa"/>
            <w:vAlign w:val="bottom"/>
            <w:shd w:val="clear" w:color="auto" w:fill="DDDDDD"/>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960" w:type="dxa"/>
            <w:vAlign w:val="bottom"/>
            <w:tcBorders>
              <w:bottom w:val="single" w:sz="8" w:color="DDDDDD"/>
            </w:tcBorders>
          </w:tcPr>
          <w:p>
            <w:pPr>
              <w:ind w:left="220"/>
              <w:spacing w:after="0"/>
              <w:rPr>
                <w:sz w:val="20"/>
                <w:szCs w:val="20"/>
                <w:color w:val="auto"/>
              </w:rPr>
            </w:pPr>
            <w:r>
              <w:rPr>
                <w:rFonts w:ascii="Arial" w:cs="Arial" w:eastAsia="Arial" w:hAnsi="Arial"/>
                <w:sz w:val="18"/>
                <w:szCs w:val="18"/>
                <w:color w:val="auto"/>
              </w:rPr>
              <w:t>Trademarks</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1,046</w:t>
            </w:r>
          </w:p>
        </w:tc>
        <w:tc>
          <w:tcPr>
            <w:tcW w:w="100" w:type="dxa"/>
            <w:vAlign w:val="bottom"/>
            <w:tcBorders>
              <w:bottom w:val="single" w:sz="8" w:color="DDDDDD"/>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DDDDD"/>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1,046</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DDDDDD"/>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1,028</w:t>
            </w:r>
          </w:p>
        </w:tc>
        <w:tc>
          <w:tcPr>
            <w:tcW w:w="100" w:type="dxa"/>
            <w:vAlign w:val="bottom"/>
            <w:tcBorders>
              <w:bottom w:val="single" w:sz="8" w:color="DDDDDD"/>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DDDDDD"/>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43"/>
        </w:trPr>
        <w:tc>
          <w:tcPr>
            <w:tcW w:w="2960" w:type="dxa"/>
            <w:vAlign w:val="bottom"/>
            <w:shd w:val="clear" w:color="auto" w:fill="DDDDDD"/>
          </w:tcPr>
          <w:p>
            <w:pPr>
              <w:spacing w:after="0"/>
              <w:rPr>
                <w:sz w:val="21"/>
                <w:szCs w:val="21"/>
                <w:color w:val="auto"/>
              </w:rPr>
            </w:pPr>
          </w:p>
        </w:tc>
        <w:tc>
          <w:tcPr>
            <w:tcW w:w="34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7,719</w:t>
            </w:r>
          </w:p>
        </w:tc>
        <w:tc>
          <w:tcPr>
            <w:tcW w:w="100" w:type="dxa"/>
            <w:vAlign w:val="bottom"/>
            <w:shd w:val="clear" w:color="auto" w:fill="DDDDDD"/>
          </w:tcPr>
          <w:p>
            <w:pPr>
              <w:spacing w:after="0"/>
              <w:rPr>
                <w:sz w:val="21"/>
                <w:szCs w:val="21"/>
                <w:color w:val="auto"/>
              </w:rPr>
            </w:pPr>
          </w:p>
        </w:tc>
        <w:tc>
          <w:tcPr>
            <w:tcW w:w="160" w:type="dxa"/>
            <w:vAlign w:val="bottom"/>
            <w:shd w:val="clear" w:color="auto" w:fill="DDDDDD"/>
          </w:tcPr>
          <w:p>
            <w:pPr>
              <w:ind w:lef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DDDDDD"/>
          </w:tcPr>
          <w:p>
            <w:pPr>
              <w:jc w:val="right"/>
              <w:spacing w:after="0"/>
              <w:rPr>
                <w:sz w:val="20"/>
                <w:szCs w:val="20"/>
                <w:color w:val="auto"/>
              </w:rPr>
            </w:pPr>
            <w:r>
              <w:rPr>
                <w:rFonts w:ascii="Arial" w:cs="Arial" w:eastAsia="Arial" w:hAnsi="Arial"/>
                <w:sz w:val="18"/>
                <w:szCs w:val="18"/>
                <w:color w:val="auto"/>
              </w:rPr>
              <w:t>(4,159)</w:t>
            </w:r>
          </w:p>
        </w:tc>
        <w:tc>
          <w:tcPr>
            <w:tcW w:w="100" w:type="dxa"/>
            <w:vAlign w:val="bottom"/>
            <w:shd w:val="clear" w:color="auto" w:fill="DDDDDD"/>
          </w:tcPr>
          <w:p>
            <w:pPr>
              <w:spacing w:after="0"/>
              <w:rPr>
                <w:sz w:val="21"/>
                <w:szCs w:val="21"/>
                <w:color w:val="auto"/>
              </w:rPr>
            </w:pPr>
          </w:p>
        </w:tc>
        <w:tc>
          <w:tcPr>
            <w:tcW w:w="18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3"/>
            <w:shd w:val="clear" w:color="auto" w:fill="DDDDDD"/>
          </w:tcPr>
          <w:p>
            <w:pPr>
              <w:jc w:val="right"/>
              <w:spacing w:after="0"/>
              <w:rPr>
                <w:sz w:val="20"/>
                <w:szCs w:val="20"/>
                <w:color w:val="auto"/>
              </w:rPr>
            </w:pPr>
            <w:r>
              <w:rPr>
                <w:rFonts w:ascii="Arial" w:cs="Arial" w:eastAsia="Arial" w:hAnsi="Arial"/>
                <w:sz w:val="18"/>
                <w:szCs w:val="18"/>
                <w:color w:val="auto"/>
              </w:rPr>
              <w:t>3,560</w:t>
            </w:r>
          </w:p>
        </w:tc>
        <w:tc>
          <w:tcPr>
            <w:tcW w:w="400" w:type="dxa"/>
            <w:vAlign w:val="bottom"/>
            <w:gridSpan w:val="3"/>
            <w:shd w:val="clear" w:color="auto" w:fill="DDDDDD"/>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DDDDDD"/>
          </w:tcPr>
          <w:p>
            <w:pPr>
              <w:jc w:val="right"/>
              <w:spacing w:after="0"/>
              <w:rPr>
                <w:sz w:val="20"/>
                <w:szCs w:val="20"/>
                <w:color w:val="auto"/>
              </w:rPr>
            </w:pPr>
            <w:r>
              <w:rPr>
                <w:rFonts w:ascii="Arial" w:cs="Arial" w:eastAsia="Arial" w:hAnsi="Arial"/>
                <w:sz w:val="18"/>
                <w:szCs w:val="18"/>
                <w:color w:val="auto"/>
              </w:rPr>
              <w:t>7,471</w:t>
            </w:r>
          </w:p>
        </w:tc>
        <w:tc>
          <w:tcPr>
            <w:tcW w:w="100" w:type="dxa"/>
            <w:vAlign w:val="bottom"/>
            <w:shd w:val="clear" w:color="auto" w:fill="DDDDDD"/>
          </w:tcPr>
          <w:p>
            <w:pPr>
              <w:spacing w:after="0"/>
              <w:rPr>
                <w:sz w:val="21"/>
                <w:szCs w:val="21"/>
                <w:color w:val="auto"/>
              </w:rPr>
            </w:pPr>
          </w:p>
        </w:tc>
        <w:tc>
          <w:tcPr>
            <w:tcW w:w="140" w:type="dxa"/>
            <w:vAlign w:val="bottom"/>
            <w:shd w:val="clear" w:color="auto" w:fill="DDDDDD"/>
          </w:tcPr>
          <w:p>
            <w:pPr>
              <w:ind w:left="20"/>
              <w:spacing w:after="0"/>
              <w:rPr>
                <w:sz w:val="20"/>
                <w:szCs w:val="20"/>
                <w:color w:val="auto"/>
              </w:rPr>
            </w:pPr>
            <w:r>
              <w:rPr>
                <w:rFonts w:ascii="Arial" w:cs="Arial" w:eastAsia="Arial" w:hAnsi="Arial"/>
                <w:sz w:val="18"/>
                <w:szCs w:val="18"/>
                <w:color w:val="auto"/>
                <w:w w:val="99"/>
              </w:rPr>
              <w:t>$</w:t>
            </w:r>
          </w:p>
        </w:tc>
        <w:tc>
          <w:tcPr>
            <w:tcW w:w="1160" w:type="dxa"/>
            <w:vAlign w:val="bottom"/>
            <w:gridSpan w:val="3"/>
            <w:shd w:val="clear" w:color="auto" w:fill="DDDDDD"/>
          </w:tcPr>
          <w:p>
            <w:pPr>
              <w:jc w:val="right"/>
              <w:ind w:right="20"/>
              <w:spacing w:after="0"/>
              <w:rPr>
                <w:sz w:val="20"/>
                <w:szCs w:val="20"/>
                <w:color w:val="auto"/>
              </w:rPr>
            </w:pPr>
            <w:r>
              <w:rPr>
                <w:rFonts w:ascii="Arial" w:cs="Arial" w:eastAsia="Arial" w:hAnsi="Arial"/>
                <w:sz w:val="18"/>
                <w:szCs w:val="18"/>
                <w:color w:val="auto"/>
              </w:rPr>
              <w:t>(3,737)</w:t>
            </w:r>
          </w:p>
        </w:tc>
        <w:tc>
          <w:tcPr>
            <w:tcW w:w="360" w:type="dxa"/>
            <w:vAlign w:val="bottom"/>
            <w:gridSpan w:val="3"/>
            <w:shd w:val="clear" w:color="auto" w:fill="DDDDDD"/>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3,734</w:t>
            </w:r>
          </w:p>
        </w:tc>
        <w:tc>
          <w:tcPr>
            <w:tcW w:w="0" w:type="dxa"/>
            <w:vAlign w:val="bottom"/>
          </w:tcPr>
          <w:p>
            <w:pPr>
              <w:spacing w:after="0"/>
              <w:rPr>
                <w:sz w:val="1"/>
                <w:szCs w:val="1"/>
                <w:color w:val="auto"/>
              </w:rPr>
            </w:pPr>
          </w:p>
        </w:tc>
      </w:tr>
      <w:tr>
        <w:trPr>
          <w:trHeight w:val="20"/>
        </w:trPr>
        <w:tc>
          <w:tcPr>
            <w:tcW w:w="2960" w:type="dxa"/>
            <w:vAlign w:val="bottom"/>
            <w:tcBorders>
              <w:top w:val="single" w:sz="8" w:color="DDDDDD"/>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DDDDD"/>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Intangible assets amortization expense was $358 million, $ 415 million and $ 395 million for the years ended December 31, 2020, 2019 and 2018. Estimated intangible asset amortization expense for each of the next five years approximates $335 million in 2021, $311 million in 2022, $272 million in 2023, $250 million in 2024 and $239 million in 2025.</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68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1" w:name="page72"/>
    <w:bookmarkEnd w:id="71"/>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9"/>
          <w:szCs w:val="29"/>
          <w:b w:val="1"/>
          <w:bCs w:val="1"/>
          <w:color w:val="DC202E"/>
        </w:rPr>
        <w:t>NOTE 10. LONG-TERM DEBT AND CREDIT AGREEMENTS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240" w:type="dxa"/>
            <w:vAlign w:val="bottom"/>
          </w:tcPr>
          <w:p>
            <w:pPr>
              <w:spacing w:after="0"/>
              <w:rPr>
                <w:sz w:val="17"/>
                <w:szCs w:val="17"/>
                <w:color w:val="auto"/>
              </w:rPr>
            </w:pPr>
          </w:p>
        </w:tc>
        <w:tc>
          <w:tcPr>
            <w:tcW w:w="340" w:type="dxa"/>
            <w:vAlign w:val="bottom"/>
            <w:tcBorders>
              <w:bottom w:val="single" w:sz="8" w:color="DC202E"/>
            </w:tcBorders>
          </w:tcPr>
          <w:p>
            <w:pPr>
              <w:spacing w:after="0"/>
              <w:rPr>
                <w:sz w:val="17"/>
                <w:szCs w:val="17"/>
                <w:color w:val="auto"/>
              </w:rPr>
            </w:pPr>
          </w:p>
        </w:tc>
        <w:tc>
          <w:tcPr>
            <w:tcW w:w="1700" w:type="dxa"/>
            <w:vAlign w:val="bottom"/>
            <w:tcBorders>
              <w:bottom w:val="single" w:sz="8" w:color="DC202E"/>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DC202E"/>
            </w:tcBorders>
          </w:tcPr>
          <w:p>
            <w:pPr>
              <w:spacing w:after="0"/>
              <w:rPr>
                <w:sz w:val="17"/>
                <w:szCs w:val="17"/>
                <w:color w:val="auto"/>
              </w:rPr>
            </w:pPr>
          </w:p>
        </w:tc>
      </w:tr>
      <w:tr>
        <w:trPr>
          <w:trHeight w:val="250"/>
        </w:trPr>
        <w:tc>
          <w:tcPr>
            <w:tcW w:w="8240" w:type="dxa"/>
            <w:vAlign w:val="bottom"/>
            <w:tcBorders>
              <w:bottom w:val="single" w:sz="8" w:color="DDDDDD"/>
            </w:tcBorders>
          </w:tcPr>
          <w:p>
            <w:pPr>
              <w:spacing w:after="0"/>
              <w:rPr>
                <w:sz w:val="21"/>
                <w:szCs w:val="21"/>
                <w:color w:val="auto"/>
              </w:rPr>
            </w:pPr>
          </w:p>
        </w:tc>
        <w:tc>
          <w:tcPr>
            <w:tcW w:w="340" w:type="dxa"/>
            <w:vAlign w:val="bottom"/>
            <w:tcBorders>
              <w:bottom w:val="single" w:sz="8" w:color="DC202E"/>
            </w:tcBorders>
          </w:tcPr>
          <w:p>
            <w:pPr>
              <w:spacing w:after="0"/>
              <w:rPr>
                <w:sz w:val="21"/>
                <w:szCs w:val="21"/>
                <w:color w:val="auto"/>
              </w:rPr>
            </w:pPr>
          </w:p>
        </w:tc>
        <w:tc>
          <w:tcPr>
            <w:tcW w:w="1100" w:type="dxa"/>
            <w:vAlign w:val="bottom"/>
            <w:tcBorders>
              <w:bottom w:val="single" w:sz="8" w:color="DC202E"/>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DDDDDD"/>
            </w:tcBorders>
          </w:tcPr>
          <w:p>
            <w:pPr>
              <w:spacing w:after="0"/>
              <w:rPr>
                <w:sz w:val="21"/>
                <w:szCs w:val="21"/>
                <w:color w:val="auto"/>
              </w:rPr>
            </w:pPr>
          </w:p>
        </w:tc>
        <w:tc>
          <w:tcPr>
            <w:tcW w:w="480" w:type="dxa"/>
            <w:vAlign w:val="bottom"/>
            <w:tcBorders>
              <w:bottom w:val="single" w:sz="8" w:color="DC202E"/>
            </w:tcBorders>
          </w:tcPr>
          <w:p>
            <w:pPr>
              <w:spacing w:after="0"/>
              <w:rPr>
                <w:sz w:val="21"/>
                <w:szCs w:val="21"/>
                <w:color w:val="auto"/>
              </w:rPr>
            </w:pPr>
          </w:p>
        </w:tc>
        <w:tc>
          <w:tcPr>
            <w:tcW w:w="960" w:type="dxa"/>
            <w:vAlign w:val="bottom"/>
            <w:tcBorders>
              <w:bottom w:val="single" w:sz="8" w:color="DC202E"/>
            </w:tcBorders>
          </w:tcPr>
          <w:p>
            <w:pPr>
              <w:jc w:val="right"/>
              <w:ind w:right="470"/>
              <w:spacing w:after="0"/>
              <w:rPr>
                <w:sz w:val="20"/>
                <w:szCs w:val="20"/>
                <w:color w:val="auto"/>
              </w:rPr>
            </w:pPr>
            <w:r>
              <w:rPr>
                <w:rFonts w:ascii="Arial" w:cs="Arial" w:eastAsia="Arial" w:hAnsi="Arial"/>
                <w:sz w:val="14"/>
                <w:szCs w:val="14"/>
                <w:b w:val="1"/>
                <w:bCs w:val="1"/>
                <w:color w:val="auto"/>
              </w:rPr>
              <w:t>2019</w:t>
            </w:r>
          </w:p>
        </w:tc>
      </w:tr>
      <w:tr>
        <w:trPr>
          <w:trHeight w:val="229"/>
        </w:trPr>
        <w:tc>
          <w:tcPr>
            <w:tcW w:w="8240" w:type="dxa"/>
            <w:vAlign w:val="bottom"/>
            <w:shd w:val="clear" w:color="auto" w:fill="DDDDDD"/>
          </w:tcPr>
          <w:p>
            <w:pPr>
              <w:ind w:left="20"/>
              <w:spacing w:after="0"/>
              <w:rPr>
                <w:sz w:val="20"/>
                <w:szCs w:val="20"/>
                <w:color w:val="auto"/>
              </w:rPr>
            </w:pPr>
            <w:r>
              <w:rPr>
                <w:rFonts w:ascii="Arial" w:cs="Arial" w:eastAsia="Arial" w:hAnsi="Arial"/>
                <w:sz w:val="18"/>
                <w:szCs w:val="18"/>
                <w:color w:val="auto"/>
              </w:rPr>
              <w:t>0.65% Euro notes due 2020</w:t>
            </w:r>
          </w:p>
        </w:tc>
        <w:tc>
          <w:tcPr>
            <w:tcW w:w="3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DDDDDD"/>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DDDDDD"/>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1,123</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4.25% notes due 2021</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800</w:t>
            </w:r>
          </w:p>
        </w:tc>
      </w:tr>
      <w:tr>
        <w:trPr>
          <w:trHeight w:val="229"/>
        </w:trPr>
        <w:tc>
          <w:tcPr>
            <w:tcW w:w="8240" w:type="dxa"/>
            <w:vAlign w:val="bottom"/>
            <w:shd w:val="clear" w:color="auto" w:fill="DDDDDD"/>
          </w:tcPr>
          <w:p>
            <w:pPr>
              <w:ind w:left="20"/>
              <w:spacing w:after="0"/>
              <w:rPr>
                <w:sz w:val="20"/>
                <w:szCs w:val="20"/>
                <w:color w:val="auto"/>
              </w:rPr>
            </w:pPr>
            <w:r>
              <w:rPr>
                <w:rFonts w:ascii="Arial" w:cs="Arial" w:eastAsia="Arial" w:hAnsi="Arial"/>
                <w:sz w:val="18"/>
                <w:szCs w:val="18"/>
                <w:color w:val="auto"/>
              </w:rPr>
              <w:t>1.85% notes due 2021</w:t>
            </w: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1,500</w:t>
            </w:r>
          </w:p>
        </w:tc>
        <w:tc>
          <w:tcPr>
            <w:tcW w:w="120" w:type="dxa"/>
            <w:vAlign w:val="bottom"/>
            <w:shd w:val="clear" w:color="auto" w:fill="DDDDDD"/>
          </w:tcPr>
          <w:p>
            <w:pPr>
              <w:spacing w:after="0"/>
              <w:rPr>
                <w:sz w:val="19"/>
                <w:szCs w:val="19"/>
                <w:color w:val="auto"/>
              </w:rPr>
            </w:pPr>
          </w:p>
        </w:tc>
        <w:tc>
          <w:tcPr>
            <w:tcW w:w="480" w:type="dxa"/>
            <w:vAlign w:val="bottom"/>
            <w:shd w:val="clear" w:color="auto" w:fill="DDDDDD"/>
          </w:tcPr>
          <w:p>
            <w:pPr>
              <w:spacing w:after="0"/>
              <w:rPr>
                <w:sz w:val="19"/>
                <w:szCs w:val="19"/>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1,500</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0.483% notes due 2022</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2,500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40" w:type="dxa"/>
            <w:vAlign w:val="bottom"/>
            <w:shd w:val="clear" w:color="auto" w:fill="DDDDDD"/>
          </w:tcPr>
          <w:p>
            <w:pPr>
              <w:ind w:left="20"/>
              <w:spacing w:after="0"/>
              <w:rPr>
                <w:sz w:val="20"/>
                <w:szCs w:val="20"/>
                <w:color w:val="auto"/>
              </w:rPr>
            </w:pPr>
            <w:r>
              <w:rPr>
                <w:rFonts w:ascii="Arial" w:cs="Arial" w:eastAsia="Arial" w:hAnsi="Arial"/>
                <w:sz w:val="18"/>
                <w:szCs w:val="18"/>
                <w:color w:val="auto"/>
              </w:rPr>
              <w:t>2.15% notes due 2022</w:t>
            </w: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600</w:t>
            </w:r>
          </w:p>
        </w:tc>
        <w:tc>
          <w:tcPr>
            <w:tcW w:w="120" w:type="dxa"/>
            <w:vAlign w:val="bottom"/>
            <w:shd w:val="clear" w:color="auto" w:fill="DDDDDD"/>
          </w:tcPr>
          <w:p>
            <w:pPr>
              <w:spacing w:after="0"/>
              <w:rPr>
                <w:sz w:val="19"/>
                <w:szCs w:val="19"/>
                <w:color w:val="auto"/>
              </w:rPr>
            </w:pPr>
          </w:p>
        </w:tc>
        <w:tc>
          <w:tcPr>
            <w:tcW w:w="480" w:type="dxa"/>
            <w:vAlign w:val="bottom"/>
            <w:shd w:val="clear" w:color="auto" w:fill="DDDDDD"/>
          </w:tcPr>
          <w:p>
            <w:pPr>
              <w:spacing w:after="0"/>
              <w:rPr>
                <w:sz w:val="19"/>
                <w:szCs w:val="19"/>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600</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Floating rate notes due 2022</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1,100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600</w:t>
            </w:r>
          </w:p>
        </w:tc>
      </w:tr>
      <w:tr>
        <w:trPr>
          <w:trHeight w:val="230"/>
        </w:trPr>
        <w:tc>
          <w:tcPr>
            <w:tcW w:w="8240" w:type="dxa"/>
            <w:vAlign w:val="bottom"/>
            <w:shd w:val="clear" w:color="auto" w:fill="DDDDDD"/>
          </w:tcPr>
          <w:p>
            <w:pPr>
              <w:ind w:left="20"/>
              <w:spacing w:after="0"/>
              <w:rPr>
                <w:sz w:val="20"/>
                <w:szCs w:val="20"/>
                <w:color w:val="auto"/>
              </w:rPr>
            </w:pPr>
            <w:r>
              <w:rPr>
                <w:rFonts w:ascii="Arial" w:cs="Arial" w:eastAsia="Arial" w:hAnsi="Arial"/>
                <w:sz w:val="18"/>
                <w:szCs w:val="18"/>
                <w:color w:val="auto"/>
              </w:rPr>
              <w:t>1.30% Euro notes due 2023</w:t>
            </w: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1,534</w:t>
            </w:r>
          </w:p>
        </w:tc>
        <w:tc>
          <w:tcPr>
            <w:tcW w:w="120" w:type="dxa"/>
            <w:vAlign w:val="bottom"/>
            <w:shd w:val="clear" w:color="auto" w:fill="DDDDDD"/>
          </w:tcPr>
          <w:p>
            <w:pPr>
              <w:spacing w:after="0"/>
              <w:rPr>
                <w:sz w:val="19"/>
                <w:szCs w:val="19"/>
                <w:color w:val="auto"/>
              </w:rPr>
            </w:pPr>
          </w:p>
        </w:tc>
        <w:tc>
          <w:tcPr>
            <w:tcW w:w="480" w:type="dxa"/>
            <w:vAlign w:val="bottom"/>
            <w:shd w:val="clear" w:color="auto" w:fill="DDDDDD"/>
          </w:tcPr>
          <w:p>
            <w:pPr>
              <w:spacing w:after="0"/>
              <w:rPr>
                <w:sz w:val="19"/>
                <w:szCs w:val="19"/>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1,404</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3.35% notes due 2023</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29"/>
        </w:trPr>
        <w:tc>
          <w:tcPr>
            <w:tcW w:w="8240" w:type="dxa"/>
            <w:vAlign w:val="bottom"/>
            <w:shd w:val="clear" w:color="auto" w:fill="DDDDDD"/>
          </w:tcPr>
          <w:p>
            <w:pPr>
              <w:ind w:left="20"/>
              <w:spacing w:after="0"/>
              <w:rPr>
                <w:sz w:val="20"/>
                <w:szCs w:val="20"/>
                <w:color w:val="auto"/>
              </w:rPr>
            </w:pPr>
            <w:r>
              <w:rPr>
                <w:rFonts w:ascii="Arial" w:cs="Arial" w:eastAsia="Arial" w:hAnsi="Arial"/>
                <w:sz w:val="18"/>
                <w:szCs w:val="18"/>
                <w:color w:val="auto"/>
              </w:rPr>
              <w:t>0.00% Euro notes due 2024</w:t>
            </w: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614</w:t>
            </w:r>
          </w:p>
        </w:tc>
        <w:tc>
          <w:tcPr>
            <w:tcW w:w="120" w:type="dxa"/>
            <w:vAlign w:val="bottom"/>
            <w:shd w:val="clear" w:color="auto" w:fill="DDDDDD"/>
          </w:tcPr>
          <w:p>
            <w:pPr>
              <w:spacing w:after="0"/>
              <w:rPr>
                <w:sz w:val="19"/>
                <w:szCs w:val="19"/>
                <w:color w:val="auto"/>
              </w:rPr>
            </w:pPr>
          </w:p>
        </w:tc>
        <w:tc>
          <w:tcPr>
            <w:tcW w:w="480" w:type="dxa"/>
            <w:vAlign w:val="bottom"/>
            <w:shd w:val="clear" w:color="auto" w:fill="DDDDDD"/>
          </w:tcPr>
          <w:p>
            <w:pPr>
              <w:spacing w:after="0"/>
              <w:rPr>
                <w:sz w:val="19"/>
                <w:szCs w:val="19"/>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2.30% notes due 2024</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750</w:t>
            </w:r>
          </w:p>
        </w:tc>
      </w:tr>
      <w:tr>
        <w:trPr>
          <w:trHeight w:val="229"/>
        </w:trPr>
        <w:tc>
          <w:tcPr>
            <w:tcW w:w="8240" w:type="dxa"/>
            <w:vAlign w:val="bottom"/>
            <w:shd w:val="clear" w:color="auto" w:fill="DDDDDD"/>
          </w:tcPr>
          <w:p>
            <w:pPr>
              <w:ind w:left="20"/>
              <w:spacing w:after="0"/>
              <w:rPr>
                <w:sz w:val="20"/>
                <w:szCs w:val="20"/>
                <w:color w:val="auto"/>
              </w:rPr>
            </w:pPr>
            <w:r>
              <w:rPr>
                <w:rFonts w:ascii="Arial" w:cs="Arial" w:eastAsia="Arial" w:hAnsi="Arial"/>
                <w:sz w:val="18"/>
                <w:szCs w:val="18"/>
                <w:color w:val="auto"/>
              </w:rPr>
              <w:t>1.35% notes due 2025</w:t>
            </w: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1,250</w:t>
            </w:r>
          </w:p>
        </w:tc>
        <w:tc>
          <w:tcPr>
            <w:tcW w:w="120" w:type="dxa"/>
            <w:vAlign w:val="bottom"/>
            <w:shd w:val="clear" w:color="auto" w:fill="DDDDDD"/>
          </w:tcPr>
          <w:p>
            <w:pPr>
              <w:spacing w:after="0"/>
              <w:rPr>
                <w:sz w:val="19"/>
                <w:szCs w:val="19"/>
                <w:color w:val="auto"/>
              </w:rPr>
            </w:pPr>
          </w:p>
        </w:tc>
        <w:tc>
          <w:tcPr>
            <w:tcW w:w="480" w:type="dxa"/>
            <w:vAlign w:val="bottom"/>
            <w:shd w:val="clear" w:color="auto" w:fill="DDDDDD"/>
          </w:tcPr>
          <w:p>
            <w:pPr>
              <w:spacing w:after="0"/>
              <w:rPr>
                <w:sz w:val="19"/>
                <w:szCs w:val="19"/>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2.50% notes due 2026</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1,500</w:t>
            </w:r>
          </w:p>
        </w:tc>
      </w:tr>
      <w:tr>
        <w:trPr>
          <w:trHeight w:val="229"/>
        </w:trPr>
        <w:tc>
          <w:tcPr>
            <w:tcW w:w="8240" w:type="dxa"/>
            <w:vAlign w:val="bottom"/>
            <w:shd w:val="clear" w:color="auto" w:fill="DDDDDD"/>
          </w:tcPr>
          <w:p>
            <w:pPr>
              <w:ind w:left="20"/>
              <w:spacing w:after="0"/>
              <w:rPr>
                <w:sz w:val="20"/>
                <w:szCs w:val="20"/>
                <w:color w:val="auto"/>
              </w:rPr>
            </w:pPr>
            <w:r>
              <w:rPr>
                <w:rFonts w:ascii="Arial" w:cs="Arial" w:eastAsia="Arial" w:hAnsi="Arial"/>
                <w:sz w:val="18"/>
                <w:szCs w:val="18"/>
                <w:color w:val="auto"/>
              </w:rPr>
              <w:t>2.25% Euro notes due 2028</w:t>
            </w: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920</w:t>
            </w:r>
          </w:p>
        </w:tc>
        <w:tc>
          <w:tcPr>
            <w:tcW w:w="120" w:type="dxa"/>
            <w:vAlign w:val="bottom"/>
            <w:shd w:val="clear" w:color="auto" w:fill="DDDDDD"/>
          </w:tcPr>
          <w:p>
            <w:pPr>
              <w:spacing w:after="0"/>
              <w:rPr>
                <w:sz w:val="19"/>
                <w:szCs w:val="19"/>
                <w:color w:val="auto"/>
              </w:rPr>
            </w:pPr>
          </w:p>
        </w:tc>
        <w:tc>
          <w:tcPr>
            <w:tcW w:w="480" w:type="dxa"/>
            <w:vAlign w:val="bottom"/>
            <w:shd w:val="clear" w:color="auto" w:fill="DDDDDD"/>
          </w:tcPr>
          <w:p>
            <w:pPr>
              <w:spacing w:after="0"/>
              <w:rPr>
                <w:sz w:val="19"/>
                <w:szCs w:val="19"/>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842</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2.70% notes due 2029</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750</w:t>
            </w:r>
          </w:p>
        </w:tc>
      </w:tr>
      <w:tr>
        <w:trPr>
          <w:trHeight w:val="230"/>
        </w:trPr>
        <w:tc>
          <w:tcPr>
            <w:tcW w:w="8240" w:type="dxa"/>
            <w:vAlign w:val="bottom"/>
            <w:shd w:val="clear" w:color="auto" w:fill="DDDDDD"/>
          </w:tcPr>
          <w:p>
            <w:pPr>
              <w:ind w:left="20"/>
              <w:spacing w:after="0"/>
              <w:rPr>
                <w:sz w:val="20"/>
                <w:szCs w:val="20"/>
                <w:color w:val="auto"/>
              </w:rPr>
            </w:pPr>
            <w:r>
              <w:rPr>
                <w:rFonts w:ascii="Arial" w:cs="Arial" w:eastAsia="Arial" w:hAnsi="Arial"/>
                <w:sz w:val="18"/>
                <w:szCs w:val="18"/>
                <w:color w:val="auto"/>
              </w:rPr>
              <w:t>1.95% notes due 2030</w:t>
            </w: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DDDDDD"/>
          </w:tcPr>
          <w:p>
            <w:pPr>
              <w:spacing w:after="0"/>
              <w:rPr>
                <w:sz w:val="19"/>
                <w:szCs w:val="19"/>
                <w:color w:val="auto"/>
              </w:rPr>
            </w:pPr>
          </w:p>
        </w:tc>
        <w:tc>
          <w:tcPr>
            <w:tcW w:w="480" w:type="dxa"/>
            <w:vAlign w:val="bottom"/>
            <w:shd w:val="clear" w:color="auto" w:fill="DDDDDD"/>
          </w:tcPr>
          <w:p>
            <w:pPr>
              <w:spacing w:after="0"/>
              <w:rPr>
                <w:sz w:val="19"/>
                <w:szCs w:val="19"/>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0.75% Euro notes due 2032</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614</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40" w:type="dxa"/>
            <w:vAlign w:val="bottom"/>
            <w:shd w:val="clear" w:color="auto" w:fill="DDDDDD"/>
          </w:tcPr>
          <w:p>
            <w:pPr>
              <w:ind w:left="20"/>
              <w:spacing w:after="0"/>
              <w:rPr>
                <w:sz w:val="20"/>
                <w:szCs w:val="20"/>
                <w:color w:val="auto"/>
              </w:rPr>
            </w:pPr>
            <w:r>
              <w:rPr>
                <w:rFonts w:ascii="Arial" w:cs="Arial" w:eastAsia="Arial" w:hAnsi="Arial"/>
                <w:sz w:val="18"/>
                <w:szCs w:val="18"/>
                <w:color w:val="auto"/>
              </w:rPr>
              <w:t>5.70% notes due 2036</w:t>
            </w: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441</w:t>
            </w:r>
          </w:p>
        </w:tc>
        <w:tc>
          <w:tcPr>
            <w:tcW w:w="120" w:type="dxa"/>
            <w:vAlign w:val="bottom"/>
            <w:shd w:val="clear" w:color="auto" w:fill="DDDDDD"/>
          </w:tcPr>
          <w:p>
            <w:pPr>
              <w:spacing w:after="0"/>
              <w:rPr>
                <w:sz w:val="19"/>
                <w:szCs w:val="19"/>
                <w:color w:val="auto"/>
              </w:rPr>
            </w:pPr>
          </w:p>
        </w:tc>
        <w:tc>
          <w:tcPr>
            <w:tcW w:w="480" w:type="dxa"/>
            <w:vAlign w:val="bottom"/>
            <w:shd w:val="clear" w:color="auto" w:fill="DDDDDD"/>
          </w:tcPr>
          <w:p>
            <w:pPr>
              <w:spacing w:after="0"/>
              <w:rPr>
                <w:sz w:val="19"/>
                <w:szCs w:val="19"/>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441</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5.70% notes due 2037</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462</w:t>
            </w:r>
          </w:p>
        </w:tc>
      </w:tr>
      <w:tr>
        <w:trPr>
          <w:trHeight w:val="229"/>
        </w:trPr>
        <w:tc>
          <w:tcPr>
            <w:tcW w:w="8240" w:type="dxa"/>
            <w:vAlign w:val="bottom"/>
            <w:shd w:val="clear" w:color="auto" w:fill="DDDDDD"/>
          </w:tcPr>
          <w:p>
            <w:pPr>
              <w:ind w:left="20"/>
              <w:spacing w:after="0"/>
              <w:rPr>
                <w:sz w:val="20"/>
                <w:szCs w:val="20"/>
                <w:color w:val="auto"/>
              </w:rPr>
            </w:pPr>
            <w:r>
              <w:rPr>
                <w:rFonts w:ascii="Arial" w:cs="Arial" w:eastAsia="Arial" w:hAnsi="Arial"/>
                <w:sz w:val="18"/>
                <w:szCs w:val="18"/>
                <w:color w:val="auto"/>
              </w:rPr>
              <w:t>5.375% notes due 2041</w:t>
            </w: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417</w:t>
            </w:r>
          </w:p>
        </w:tc>
        <w:tc>
          <w:tcPr>
            <w:tcW w:w="120" w:type="dxa"/>
            <w:vAlign w:val="bottom"/>
            <w:shd w:val="clear" w:color="auto" w:fill="DDDDDD"/>
          </w:tcPr>
          <w:p>
            <w:pPr>
              <w:spacing w:after="0"/>
              <w:rPr>
                <w:sz w:val="19"/>
                <w:szCs w:val="19"/>
                <w:color w:val="auto"/>
              </w:rPr>
            </w:pPr>
          </w:p>
        </w:tc>
        <w:tc>
          <w:tcPr>
            <w:tcW w:w="480" w:type="dxa"/>
            <w:vAlign w:val="bottom"/>
            <w:shd w:val="clear" w:color="auto" w:fill="DDDDDD"/>
          </w:tcPr>
          <w:p>
            <w:pPr>
              <w:spacing w:after="0"/>
              <w:rPr>
                <w:sz w:val="19"/>
                <w:szCs w:val="19"/>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417</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3.812% notes due 2047</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445</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445</w:t>
            </w:r>
          </w:p>
        </w:tc>
      </w:tr>
      <w:tr>
        <w:trPr>
          <w:trHeight w:val="243"/>
        </w:trPr>
        <w:tc>
          <w:tcPr>
            <w:tcW w:w="8240" w:type="dxa"/>
            <w:vAlign w:val="bottom"/>
            <w:shd w:val="clear" w:color="auto" w:fill="DDDDDD"/>
          </w:tcPr>
          <w:p>
            <w:pPr>
              <w:ind w:left="20"/>
              <w:spacing w:after="0"/>
              <w:rPr>
                <w:sz w:val="20"/>
                <w:szCs w:val="20"/>
                <w:color w:val="auto"/>
              </w:rPr>
            </w:pPr>
            <w:r>
              <w:rPr>
                <w:rFonts w:ascii="Arial" w:cs="Arial" w:eastAsia="Arial" w:hAnsi="Arial"/>
                <w:sz w:val="18"/>
                <w:szCs w:val="18"/>
                <w:color w:val="auto"/>
              </w:rPr>
              <w:t>2.80% notes due 2050</w:t>
            </w:r>
          </w:p>
        </w:tc>
        <w:tc>
          <w:tcPr>
            <w:tcW w:w="340" w:type="dxa"/>
            <w:vAlign w:val="bottom"/>
            <w:shd w:val="clear" w:color="auto" w:fill="DDDDDD"/>
          </w:tcPr>
          <w:p>
            <w:pPr>
              <w:spacing w:after="0"/>
              <w:rPr>
                <w:sz w:val="21"/>
                <w:szCs w:val="21"/>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750</w:t>
            </w:r>
          </w:p>
        </w:tc>
        <w:tc>
          <w:tcPr>
            <w:tcW w:w="120" w:type="dxa"/>
            <w:vAlign w:val="bottom"/>
            <w:shd w:val="clear" w:color="auto" w:fill="DDDDDD"/>
          </w:tcPr>
          <w:p>
            <w:pPr>
              <w:spacing w:after="0"/>
              <w:rPr>
                <w:sz w:val="21"/>
                <w:szCs w:val="21"/>
                <w:color w:val="auto"/>
              </w:rPr>
            </w:pPr>
          </w:p>
        </w:tc>
        <w:tc>
          <w:tcPr>
            <w:tcW w:w="480" w:type="dxa"/>
            <w:vAlign w:val="bottom"/>
            <w:shd w:val="clear" w:color="auto" w:fill="DDDDDD"/>
          </w:tcPr>
          <w:p>
            <w:pPr>
              <w:spacing w:after="0"/>
              <w:rPr>
                <w:sz w:val="21"/>
                <w:szCs w:val="21"/>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20"/>
                <w:szCs w:val="20"/>
                <w:color w:val="auto"/>
              </w:rPr>
              <w:t>—</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Industrial development bond obligations, floating rate maturing at various dates through 2037</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8240" w:type="dxa"/>
            <w:vAlign w:val="bottom"/>
            <w:shd w:val="clear" w:color="auto" w:fill="DDDDDD"/>
          </w:tcPr>
          <w:p>
            <w:pPr>
              <w:ind w:left="20"/>
              <w:spacing w:after="0"/>
              <w:rPr>
                <w:sz w:val="20"/>
                <w:szCs w:val="20"/>
                <w:color w:val="auto"/>
              </w:rPr>
            </w:pPr>
            <w:r>
              <w:rPr>
                <w:rFonts w:ascii="Arial" w:cs="Arial" w:eastAsia="Arial" w:hAnsi="Arial"/>
                <w:sz w:val="18"/>
                <w:szCs w:val="18"/>
                <w:color w:val="auto"/>
              </w:rPr>
              <w:t>6.625% debentures due 2028</w:t>
            </w: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201</w:t>
            </w:r>
          </w:p>
        </w:tc>
        <w:tc>
          <w:tcPr>
            <w:tcW w:w="120" w:type="dxa"/>
            <w:vAlign w:val="bottom"/>
            <w:shd w:val="clear" w:color="auto" w:fill="DDDDDD"/>
          </w:tcPr>
          <w:p>
            <w:pPr>
              <w:spacing w:after="0"/>
              <w:rPr>
                <w:sz w:val="19"/>
                <w:szCs w:val="19"/>
                <w:color w:val="auto"/>
              </w:rPr>
            </w:pPr>
          </w:p>
        </w:tc>
        <w:tc>
          <w:tcPr>
            <w:tcW w:w="480" w:type="dxa"/>
            <w:vAlign w:val="bottom"/>
            <w:shd w:val="clear" w:color="auto" w:fill="DDDDDD"/>
          </w:tcPr>
          <w:p>
            <w:pPr>
              <w:spacing w:after="0"/>
              <w:rPr>
                <w:sz w:val="19"/>
                <w:szCs w:val="19"/>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201</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9.065% debentures due 2033</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188"/>
        </w:trPr>
        <w:tc>
          <w:tcPr>
            <w:tcW w:w="8240" w:type="dxa"/>
            <w:vAlign w:val="bottom"/>
            <w:shd w:val="clear" w:color="auto" w:fill="DDDDDD"/>
          </w:tcPr>
          <w:p>
            <w:pPr>
              <w:ind w:left="20"/>
              <w:spacing w:after="0" w:line="189" w:lineRule="exact"/>
              <w:rPr>
                <w:sz w:val="20"/>
                <w:szCs w:val="20"/>
                <w:color w:val="auto"/>
              </w:rPr>
            </w:pPr>
            <w:r>
              <w:rPr>
                <w:rFonts w:ascii="Arial" w:cs="Arial" w:eastAsia="Arial" w:hAnsi="Arial"/>
                <w:sz w:val="18"/>
                <w:szCs w:val="18"/>
                <w:color w:val="auto"/>
              </w:rPr>
              <w:t>Other (including capitalized leases and debt issuance costs), 8.9% weighted average interest rate</w:t>
            </w:r>
          </w:p>
        </w:tc>
        <w:tc>
          <w:tcPr>
            <w:tcW w:w="340" w:type="dxa"/>
            <w:vAlign w:val="bottom"/>
            <w:shd w:val="clear" w:color="auto" w:fill="DDDDDD"/>
          </w:tcPr>
          <w:p>
            <w:pPr>
              <w:spacing w:after="0"/>
              <w:rPr>
                <w:sz w:val="16"/>
                <w:szCs w:val="16"/>
                <w:color w:val="auto"/>
              </w:rPr>
            </w:pPr>
          </w:p>
        </w:tc>
        <w:tc>
          <w:tcPr>
            <w:tcW w:w="110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480" w:type="dxa"/>
            <w:vAlign w:val="bottom"/>
            <w:shd w:val="clear" w:color="auto" w:fill="DDDDDD"/>
          </w:tcPr>
          <w:p>
            <w:pPr>
              <w:spacing w:after="0"/>
              <w:rPr>
                <w:sz w:val="16"/>
                <w:szCs w:val="16"/>
                <w:color w:val="auto"/>
              </w:rPr>
            </w:pPr>
          </w:p>
        </w:tc>
        <w:tc>
          <w:tcPr>
            <w:tcW w:w="960" w:type="dxa"/>
            <w:vAlign w:val="bottom"/>
            <w:shd w:val="clear" w:color="auto" w:fill="DDDDDD"/>
          </w:tcPr>
          <w:p>
            <w:pPr>
              <w:spacing w:after="0"/>
              <w:rPr>
                <w:sz w:val="16"/>
                <w:szCs w:val="16"/>
                <w:color w:val="auto"/>
              </w:rPr>
            </w:pPr>
          </w:p>
        </w:tc>
      </w:tr>
      <w:tr>
        <w:trPr>
          <w:trHeight w:val="217"/>
        </w:trPr>
        <w:tc>
          <w:tcPr>
            <w:tcW w:w="8240" w:type="dxa"/>
            <w:vAlign w:val="bottom"/>
            <w:shd w:val="clear" w:color="auto" w:fill="DDDDDD"/>
          </w:tcPr>
          <w:p>
            <w:pPr>
              <w:ind w:left="20"/>
              <w:spacing w:after="0"/>
              <w:rPr>
                <w:sz w:val="20"/>
                <w:szCs w:val="20"/>
                <w:color w:val="auto"/>
              </w:rPr>
            </w:pPr>
            <w:r>
              <w:rPr>
                <w:rFonts w:ascii="Arial" w:cs="Arial" w:eastAsia="Arial" w:hAnsi="Arial"/>
                <w:sz w:val="18"/>
                <w:szCs w:val="18"/>
                <w:color w:val="auto"/>
              </w:rPr>
              <w:t>maturing at various dates through 2025</w:t>
            </w:r>
          </w:p>
        </w:tc>
        <w:tc>
          <w:tcPr>
            <w:tcW w:w="340" w:type="dxa"/>
            <w:vAlign w:val="bottom"/>
            <w:tcBorders>
              <w:bottom w:val="single" w:sz="8" w:color="auto"/>
            </w:tcBorders>
            <w:shd w:val="clear" w:color="auto" w:fill="DDDDDD"/>
          </w:tcPr>
          <w:p>
            <w:pPr>
              <w:spacing w:after="0"/>
              <w:rPr>
                <w:sz w:val="18"/>
                <w:szCs w:val="18"/>
                <w:color w:val="auto"/>
              </w:rPr>
            </w:pPr>
          </w:p>
        </w:tc>
        <w:tc>
          <w:tcPr>
            <w:tcW w:w="11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266</w:t>
            </w:r>
          </w:p>
        </w:tc>
        <w:tc>
          <w:tcPr>
            <w:tcW w:w="120" w:type="dxa"/>
            <w:vAlign w:val="bottom"/>
            <w:shd w:val="clear" w:color="auto" w:fill="DDDDDD"/>
          </w:tcPr>
          <w:p>
            <w:pPr>
              <w:spacing w:after="0"/>
              <w:rPr>
                <w:sz w:val="18"/>
                <w:szCs w:val="18"/>
                <w:color w:val="auto"/>
              </w:rPr>
            </w:pPr>
          </w:p>
        </w:tc>
        <w:tc>
          <w:tcPr>
            <w:tcW w:w="480" w:type="dxa"/>
            <w:vAlign w:val="bottom"/>
            <w:tcBorders>
              <w:bottom w:val="single" w:sz="8" w:color="auto"/>
            </w:tcBorders>
            <w:shd w:val="clear" w:color="auto" w:fill="DDDDDD"/>
          </w:tcPr>
          <w:p>
            <w:pPr>
              <w:spacing w:after="0"/>
              <w:rPr>
                <w:sz w:val="18"/>
                <w:szCs w:val="18"/>
                <w:color w:val="auto"/>
              </w:rPr>
            </w:pPr>
          </w:p>
        </w:tc>
        <w:tc>
          <w:tcPr>
            <w:tcW w:w="9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278</w:t>
            </w:r>
          </w:p>
        </w:tc>
      </w:tr>
      <w:tr>
        <w:trPr>
          <w:trHeight w:val="223"/>
        </w:trPr>
        <w:tc>
          <w:tcPr>
            <w:tcW w:w="8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18,787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12,486</w:t>
            </w:r>
          </w:p>
        </w:tc>
      </w:tr>
      <w:tr>
        <w:trPr>
          <w:trHeight w:val="229"/>
        </w:trPr>
        <w:tc>
          <w:tcPr>
            <w:tcW w:w="8240" w:type="dxa"/>
            <w:vAlign w:val="bottom"/>
            <w:shd w:val="clear" w:color="auto" w:fill="DDDDDD"/>
          </w:tcPr>
          <w:p>
            <w:pPr>
              <w:ind w:left="20"/>
              <w:spacing w:after="0"/>
              <w:rPr>
                <w:sz w:val="20"/>
                <w:szCs w:val="20"/>
                <w:color w:val="auto"/>
              </w:rPr>
            </w:pPr>
            <w:r>
              <w:rPr>
                <w:rFonts w:ascii="Arial" w:cs="Arial" w:eastAsia="Arial" w:hAnsi="Arial"/>
                <w:sz w:val="18"/>
                <w:szCs w:val="18"/>
                <w:color w:val="auto"/>
              </w:rPr>
              <w:t>Less-current portion</w:t>
            </w:r>
          </w:p>
        </w:tc>
        <w:tc>
          <w:tcPr>
            <w:tcW w:w="340" w:type="dxa"/>
            <w:vAlign w:val="bottom"/>
            <w:tcBorders>
              <w:bottom w:val="single" w:sz="8" w:color="auto"/>
            </w:tcBorders>
            <w:shd w:val="clear" w:color="auto" w:fill="DDDDDD"/>
          </w:tcPr>
          <w:p>
            <w:pPr>
              <w:spacing w:after="0"/>
              <w:rPr>
                <w:sz w:val="19"/>
                <w:szCs w:val="19"/>
                <w:color w:val="auto"/>
              </w:rPr>
            </w:pPr>
          </w:p>
        </w:tc>
        <w:tc>
          <w:tcPr>
            <w:tcW w:w="11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(2,445)</w:t>
            </w:r>
          </w:p>
        </w:tc>
        <w:tc>
          <w:tcPr>
            <w:tcW w:w="120" w:type="dxa"/>
            <w:vAlign w:val="bottom"/>
            <w:shd w:val="clear" w:color="auto" w:fill="DDDDDD"/>
          </w:tcPr>
          <w:p>
            <w:pPr>
              <w:spacing w:after="0"/>
              <w:rPr>
                <w:sz w:val="19"/>
                <w:szCs w:val="19"/>
                <w:color w:val="auto"/>
              </w:rPr>
            </w:pPr>
          </w:p>
        </w:tc>
        <w:tc>
          <w:tcPr>
            <w:tcW w:w="480" w:type="dxa"/>
            <w:vAlign w:val="bottom"/>
            <w:tcBorders>
              <w:bottom w:val="single" w:sz="8" w:color="auto"/>
            </w:tcBorders>
            <w:shd w:val="clear" w:color="auto" w:fill="DDDDDD"/>
          </w:tcPr>
          <w:p>
            <w:pPr>
              <w:spacing w:after="0"/>
              <w:rPr>
                <w:sz w:val="19"/>
                <w:szCs w:val="19"/>
                <w:color w:val="auto"/>
              </w:rPr>
            </w:pPr>
          </w:p>
        </w:tc>
        <w:tc>
          <w:tcPr>
            <w:tcW w:w="9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(1,376)</w:t>
            </w:r>
          </w:p>
        </w:tc>
      </w:tr>
      <w:tr>
        <w:trPr>
          <w:trHeight w:val="223"/>
        </w:trPr>
        <w:tc>
          <w:tcPr>
            <w:tcW w:w="824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16,342</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11,110</w:t>
            </w:r>
          </w:p>
        </w:tc>
      </w:tr>
      <w:tr>
        <w:trPr>
          <w:trHeight w:val="20"/>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69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66"/>
        </w:trPr>
        <w:tc>
          <w:tcPr>
            <w:tcW w:w="9800" w:type="dxa"/>
            <w:vAlign w:val="bottom"/>
          </w:tcPr>
          <w:p>
            <w:pPr>
              <w:jc w:val="center"/>
              <w:ind w:left="1368"/>
              <w:spacing w:after="0"/>
              <w:rPr>
                <w:sz w:val="20"/>
                <w:szCs w:val="20"/>
                <w:color w:val="auto"/>
              </w:rPr>
            </w:pPr>
            <w:r>
              <w:rPr>
                <w:rFonts w:ascii="Arial" w:cs="Arial" w:eastAsia="Arial" w:hAnsi="Arial"/>
                <w:sz w:val="23"/>
                <w:szCs w:val="23"/>
                <w:b w:val="1"/>
                <w:bCs w:val="1"/>
                <w:color w:val="auto"/>
              </w:rPr>
              <w:t>HONEYWELL INTERNATIONAL INC.</w:t>
            </w:r>
          </w:p>
        </w:tc>
        <w:tc>
          <w:tcPr>
            <w:tcW w:w="46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39"/>
        </w:trPr>
        <w:tc>
          <w:tcPr>
            <w:tcW w:w="9800" w:type="dxa"/>
            <w:vAlign w:val="bottom"/>
          </w:tcPr>
          <w:p>
            <w:pPr>
              <w:jc w:val="center"/>
              <w:ind w:left="1368"/>
              <w:spacing w:after="0"/>
              <w:rPr>
                <w:sz w:val="20"/>
                <w:szCs w:val="20"/>
                <w:color w:val="auto"/>
              </w:rPr>
            </w:pPr>
            <w:r>
              <w:rPr>
                <w:rFonts w:ascii="Arial" w:cs="Arial" w:eastAsia="Arial" w:hAnsi="Arial"/>
                <w:sz w:val="20"/>
                <w:szCs w:val="20"/>
                <w:b w:val="1"/>
                <w:bCs w:val="1"/>
                <w:color w:val="auto"/>
                <w:w w:val="98"/>
              </w:rPr>
              <w:t>NOTES TO CONSOLIDATED FINANCIAL STATEMENTS—(Continued)</w:t>
            </w: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15"/>
        </w:trPr>
        <w:tc>
          <w:tcPr>
            <w:tcW w:w="9800" w:type="dxa"/>
            <w:vAlign w:val="bottom"/>
          </w:tcPr>
          <w:p>
            <w:pPr>
              <w:jc w:val="center"/>
              <w:ind w:left="1368"/>
              <w:spacing w:after="0"/>
              <w:rPr>
                <w:sz w:val="20"/>
                <w:szCs w:val="20"/>
                <w:color w:val="auto"/>
              </w:rPr>
            </w:pPr>
            <w:r>
              <w:rPr>
                <w:rFonts w:ascii="Arial" w:cs="Arial" w:eastAsia="Arial" w:hAnsi="Arial"/>
                <w:sz w:val="16"/>
                <w:szCs w:val="16"/>
                <w:b w:val="1"/>
                <w:bCs w:val="1"/>
                <w:color w:val="auto"/>
              </w:rPr>
              <w:t>(Dollars in tables in millions, except per share amounts)</w:t>
            </w: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762"/>
        </w:trPr>
        <w:tc>
          <w:tcPr>
            <w:tcW w:w="9800" w:type="dxa"/>
            <w:vAlign w:val="bottom"/>
          </w:tcPr>
          <w:p>
            <w:pPr>
              <w:spacing w:after="0"/>
              <w:rPr>
                <w:sz w:val="20"/>
                <w:szCs w:val="20"/>
                <w:color w:val="auto"/>
              </w:rPr>
            </w:pPr>
            <w:r>
              <w:rPr>
                <w:rFonts w:ascii="Arial" w:cs="Arial" w:eastAsia="Arial" w:hAnsi="Arial"/>
                <w:sz w:val="18"/>
                <w:szCs w:val="18"/>
                <w:color w:val="auto"/>
              </w:rPr>
              <w:t>The schedule of principal payments on long-term debt is as follows:</w:t>
            </w: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31"/>
        </w:trPr>
        <w:tc>
          <w:tcPr>
            <w:tcW w:w="9800" w:type="dxa"/>
            <w:vAlign w:val="bottom"/>
            <w:tcBorders>
              <w:bottom w:val="single" w:sz="8" w:color="DDDDDD"/>
            </w:tcBorders>
          </w:tcPr>
          <w:p>
            <w:pPr>
              <w:spacing w:after="0"/>
              <w:rPr>
                <w:sz w:val="24"/>
                <w:szCs w:val="24"/>
                <w:color w:val="auto"/>
              </w:rPr>
            </w:pPr>
          </w:p>
        </w:tc>
        <w:tc>
          <w:tcPr>
            <w:tcW w:w="1440" w:type="dxa"/>
            <w:vAlign w:val="bottom"/>
            <w:tcBorders>
              <w:bottom w:val="single" w:sz="8" w:color="DC202E"/>
            </w:tcBorders>
            <w:gridSpan w:val="2"/>
          </w:tcPr>
          <w:p>
            <w:pPr>
              <w:jc w:val="right"/>
              <w:spacing w:after="0"/>
              <w:rPr>
                <w:sz w:val="20"/>
                <w:szCs w:val="20"/>
                <w:color w:val="auto"/>
              </w:rPr>
            </w:pPr>
            <w:r>
              <w:rPr>
                <w:rFonts w:ascii="Arial" w:cs="Arial" w:eastAsia="Arial" w:hAnsi="Arial"/>
                <w:sz w:val="14"/>
                <w:szCs w:val="14"/>
                <w:b w:val="1"/>
                <w:bCs w:val="1"/>
                <w:color w:val="auto"/>
              </w:rPr>
              <w:t>December 31, 2020</w:t>
            </w:r>
          </w:p>
        </w:tc>
      </w:tr>
      <w:tr>
        <w:trPr>
          <w:trHeight w:val="229"/>
        </w:trPr>
        <w:tc>
          <w:tcPr>
            <w:tcW w:w="9800" w:type="dxa"/>
            <w:vAlign w:val="bottom"/>
            <w:shd w:val="clear" w:color="auto" w:fill="DDDDDD"/>
          </w:tcPr>
          <w:p>
            <w:pPr>
              <w:ind w:left="20"/>
              <w:spacing w:after="0"/>
              <w:rPr>
                <w:sz w:val="20"/>
                <w:szCs w:val="20"/>
                <w:color w:val="auto"/>
              </w:rPr>
            </w:pPr>
            <w:r>
              <w:rPr>
                <w:rFonts w:ascii="Arial" w:cs="Arial" w:eastAsia="Arial" w:hAnsi="Arial"/>
                <w:sz w:val="18"/>
                <w:szCs w:val="18"/>
                <w:color w:val="auto"/>
              </w:rPr>
              <w:t>2021</w:t>
            </w:r>
          </w:p>
        </w:tc>
        <w:tc>
          <w:tcPr>
            <w:tcW w:w="460" w:type="dxa"/>
            <w:vAlign w:val="bottom"/>
            <w:shd w:val="clear" w:color="auto" w:fill="DDDDDD"/>
          </w:tcPr>
          <w:p>
            <w:pPr>
              <w:jc w:val="right"/>
              <w:ind w:right="256"/>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2,445</w:t>
            </w:r>
          </w:p>
        </w:tc>
      </w:tr>
      <w:tr>
        <w:trPr>
          <w:trHeight w:val="230"/>
        </w:trPr>
        <w:tc>
          <w:tcPr>
            <w:tcW w:w="9800" w:type="dxa"/>
            <w:vAlign w:val="bottom"/>
          </w:tcPr>
          <w:p>
            <w:pPr>
              <w:ind w:left="20"/>
              <w:spacing w:after="0"/>
              <w:rPr>
                <w:sz w:val="20"/>
                <w:szCs w:val="20"/>
                <w:color w:val="auto"/>
              </w:rPr>
            </w:pPr>
            <w:r>
              <w:rPr>
                <w:rFonts w:ascii="Arial" w:cs="Arial" w:eastAsia="Arial" w:hAnsi="Arial"/>
                <w:sz w:val="18"/>
                <w:szCs w:val="18"/>
                <w:color w:val="auto"/>
              </w:rPr>
              <w:t>2022</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4,240</w:t>
            </w:r>
          </w:p>
        </w:tc>
      </w:tr>
      <w:tr>
        <w:trPr>
          <w:trHeight w:val="229"/>
        </w:trPr>
        <w:tc>
          <w:tcPr>
            <w:tcW w:w="9800" w:type="dxa"/>
            <w:vAlign w:val="bottom"/>
            <w:shd w:val="clear" w:color="auto" w:fill="DDDDDD"/>
          </w:tcPr>
          <w:p>
            <w:pPr>
              <w:ind w:left="20"/>
              <w:spacing w:after="0"/>
              <w:rPr>
                <w:sz w:val="20"/>
                <w:szCs w:val="20"/>
                <w:color w:val="auto"/>
              </w:rPr>
            </w:pPr>
            <w:r>
              <w:rPr>
                <w:rFonts w:ascii="Arial" w:cs="Arial" w:eastAsia="Arial" w:hAnsi="Arial"/>
                <w:sz w:val="18"/>
                <w:szCs w:val="18"/>
                <w:color w:val="auto"/>
              </w:rPr>
              <w:t>2023</w:t>
            </w:r>
          </w:p>
        </w:tc>
        <w:tc>
          <w:tcPr>
            <w:tcW w:w="460" w:type="dxa"/>
            <w:vAlign w:val="bottom"/>
            <w:shd w:val="clear" w:color="auto" w:fill="DDDDDD"/>
          </w:tcPr>
          <w:p>
            <w:pPr>
              <w:spacing w:after="0"/>
              <w:rPr>
                <w:sz w:val="19"/>
                <w:szCs w:val="19"/>
                <w:color w:val="auto"/>
              </w:rPr>
            </w:pPr>
          </w:p>
        </w:tc>
        <w:tc>
          <w:tcPr>
            <w:tcW w:w="9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1,862</w:t>
            </w:r>
          </w:p>
        </w:tc>
      </w:tr>
      <w:tr>
        <w:trPr>
          <w:trHeight w:val="229"/>
        </w:trPr>
        <w:tc>
          <w:tcPr>
            <w:tcW w:w="9800" w:type="dxa"/>
            <w:vAlign w:val="bottom"/>
          </w:tcPr>
          <w:p>
            <w:pPr>
              <w:ind w:left="20"/>
              <w:spacing w:after="0"/>
              <w:rPr>
                <w:sz w:val="20"/>
                <w:szCs w:val="20"/>
                <w:color w:val="auto"/>
              </w:rPr>
            </w:pPr>
            <w:r>
              <w:rPr>
                <w:rFonts w:ascii="Arial" w:cs="Arial" w:eastAsia="Arial" w:hAnsi="Arial"/>
                <w:sz w:val="18"/>
                <w:szCs w:val="18"/>
                <w:color w:val="auto"/>
              </w:rPr>
              <w:t>2024</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1,392</w:t>
            </w:r>
          </w:p>
        </w:tc>
      </w:tr>
      <w:tr>
        <w:trPr>
          <w:trHeight w:val="230"/>
        </w:trPr>
        <w:tc>
          <w:tcPr>
            <w:tcW w:w="9800" w:type="dxa"/>
            <w:vAlign w:val="bottom"/>
            <w:shd w:val="clear" w:color="auto" w:fill="DDDDDD"/>
          </w:tcPr>
          <w:p>
            <w:pPr>
              <w:ind w:left="20"/>
              <w:spacing w:after="0"/>
              <w:rPr>
                <w:sz w:val="20"/>
                <w:szCs w:val="20"/>
                <w:color w:val="auto"/>
              </w:rPr>
            </w:pPr>
            <w:r>
              <w:rPr>
                <w:rFonts w:ascii="Arial" w:cs="Arial" w:eastAsia="Arial" w:hAnsi="Arial"/>
                <w:sz w:val="18"/>
                <w:szCs w:val="18"/>
                <w:color w:val="auto"/>
              </w:rPr>
              <w:t>2025</w:t>
            </w:r>
          </w:p>
        </w:tc>
        <w:tc>
          <w:tcPr>
            <w:tcW w:w="460" w:type="dxa"/>
            <w:vAlign w:val="bottom"/>
            <w:shd w:val="clear" w:color="auto" w:fill="DDDDDD"/>
          </w:tcPr>
          <w:p>
            <w:pPr>
              <w:spacing w:after="0"/>
              <w:rPr>
                <w:sz w:val="19"/>
                <w:szCs w:val="19"/>
                <w:color w:val="auto"/>
              </w:rPr>
            </w:pPr>
          </w:p>
        </w:tc>
        <w:tc>
          <w:tcPr>
            <w:tcW w:w="9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1,255</w:t>
            </w:r>
          </w:p>
        </w:tc>
      </w:tr>
      <w:tr>
        <w:trPr>
          <w:trHeight w:val="229"/>
        </w:trPr>
        <w:tc>
          <w:tcPr>
            <w:tcW w:w="9800" w:type="dxa"/>
            <w:vAlign w:val="bottom"/>
            <w:tcBorders>
              <w:bottom w:val="single" w:sz="8" w:color="DDDDDD"/>
            </w:tcBorders>
          </w:tcPr>
          <w:p>
            <w:pPr>
              <w:ind w:left="20"/>
              <w:spacing w:after="0"/>
              <w:rPr>
                <w:sz w:val="20"/>
                <w:szCs w:val="20"/>
                <w:color w:val="auto"/>
              </w:rPr>
            </w:pPr>
            <w:r>
              <w:rPr>
                <w:rFonts w:ascii="Arial" w:cs="Arial" w:eastAsia="Arial" w:hAnsi="Arial"/>
                <w:sz w:val="18"/>
                <w:szCs w:val="18"/>
                <w:color w:val="auto"/>
              </w:rPr>
              <w:t>Thereafter</w:t>
            </w: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7,593</w:t>
            </w:r>
          </w:p>
        </w:tc>
      </w:tr>
      <w:tr>
        <w:trPr>
          <w:trHeight w:val="223"/>
        </w:trPr>
        <w:tc>
          <w:tcPr>
            <w:tcW w:w="9800" w:type="dxa"/>
            <w:vAlign w:val="bottom"/>
            <w:shd w:val="clear" w:color="auto" w:fill="DDDDDD"/>
          </w:tcPr>
          <w:p>
            <w:pPr>
              <w:spacing w:after="0"/>
              <w:rPr>
                <w:sz w:val="19"/>
                <w:szCs w:val="19"/>
                <w:color w:val="auto"/>
              </w:rPr>
            </w:pPr>
          </w:p>
        </w:tc>
        <w:tc>
          <w:tcPr>
            <w:tcW w:w="460" w:type="dxa"/>
            <w:vAlign w:val="bottom"/>
            <w:shd w:val="clear" w:color="auto" w:fill="DDDDDD"/>
          </w:tcPr>
          <w:p>
            <w:pPr>
              <w:spacing w:after="0"/>
              <w:rPr>
                <w:sz w:val="19"/>
                <w:szCs w:val="19"/>
                <w:color w:val="auto"/>
              </w:rPr>
            </w:pPr>
          </w:p>
        </w:tc>
        <w:tc>
          <w:tcPr>
            <w:tcW w:w="9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18,787</w:t>
            </w:r>
          </w:p>
        </w:tc>
      </w:tr>
      <w:tr>
        <w:trPr>
          <w:trHeight w:val="229"/>
        </w:trPr>
        <w:tc>
          <w:tcPr>
            <w:tcW w:w="9800" w:type="dxa"/>
            <w:vAlign w:val="bottom"/>
            <w:tcBorders>
              <w:bottom w:val="single" w:sz="8" w:color="DDDDDD"/>
            </w:tcBorders>
          </w:tcPr>
          <w:p>
            <w:pPr>
              <w:ind w:left="20"/>
              <w:spacing w:after="0"/>
              <w:rPr>
                <w:sz w:val="20"/>
                <w:szCs w:val="20"/>
                <w:color w:val="auto"/>
              </w:rPr>
            </w:pPr>
            <w:r>
              <w:rPr>
                <w:rFonts w:ascii="Arial" w:cs="Arial" w:eastAsia="Arial" w:hAnsi="Arial"/>
                <w:sz w:val="18"/>
                <w:szCs w:val="18"/>
                <w:color w:val="auto"/>
              </w:rPr>
              <w:t>Less-current portion</w:t>
            </w: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(2,445)</w:t>
            </w:r>
          </w:p>
        </w:tc>
      </w:tr>
      <w:tr>
        <w:trPr>
          <w:trHeight w:val="248"/>
        </w:trPr>
        <w:tc>
          <w:tcPr>
            <w:tcW w:w="9800" w:type="dxa"/>
            <w:vAlign w:val="bottom"/>
            <w:tcBorders>
              <w:bottom w:val="single" w:sz="8" w:color="DDDDDD"/>
            </w:tcBorders>
            <w:shd w:val="clear" w:color="auto" w:fill="DDDDDD"/>
          </w:tcPr>
          <w:p>
            <w:pPr>
              <w:spacing w:after="0"/>
              <w:rPr>
                <w:sz w:val="21"/>
                <w:szCs w:val="21"/>
                <w:color w:val="auto"/>
              </w:rPr>
            </w:pPr>
          </w:p>
        </w:tc>
        <w:tc>
          <w:tcPr>
            <w:tcW w:w="460" w:type="dxa"/>
            <w:vAlign w:val="bottom"/>
            <w:tcBorders>
              <w:bottom w:val="single" w:sz="8" w:color="auto"/>
            </w:tcBorders>
            <w:shd w:val="clear" w:color="auto" w:fill="DDDDDD"/>
          </w:tcPr>
          <w:p>
            <w:pPr>
              <w:jc w:val="right"/>
              <w:ind w:right="256"/>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16,342</w:t>
            </w:r>
          </w:p>
        </w:tc>
      </w:tr>
      <w:tr>
        <w:trPr>
          <w:trHeight w:val="20"/>
        </w:trPr>
        <w:tc>
          <w:tcPr>
            <w:tcW w:w="9800" w:type="dxa"/>
            <w:vAlign w:val="bottom"/>
            <w:tcBorders>
              <w:top w:val="single" w:sz="8" w:color="DDDDDD"/>
            </w:tcBorders>
          </w:tcPr>
          <w:p>
            <w:pPr>
              <w:spacing w:after="0" w:line="20" w:lineRule="exact"/>
              <w:rPr>
                <w:sz w:val="1"/>
                <w:szCs w:val="1"/>
                <w:color w:val="auto"/>
              </w:rPr>
            </w:pPr>
          </w:p>
        </w:tc>
        <w:tc>
          <w:tcPr>
            <w:tcW w:w="460" w:type="dxa"/>
            <w:vAlign w:val="bottom"/>
            <w:tcBorders>
              <w:top w:val="single" w:sz="8" w:color="DDDDDD"/>
              <w:bottom w:val="single" w:sz="8" w:color="auto"/>
            </w:tcBorders>
          </w:tcPr>
          <w:p>
            <w:pPr>
              <w:spacing w:after="0" w:line="20" w:lineRule="exact"/>
              <w:rPr>
                <w:sz w:val="1"/>
                <w:szCs w:val="1"/>
                <w:color w:val="auto"/>
              </w:rPr>
            </w:pPr>
          </w:p>
        </w:tc>
        <w:tc>
          <w:tcPr>
            <w:tcW w:w="980" w:type="dxa"/>
            <w:vAlign w:val="bottom"/>
            <w:tcBorders>
              <w:top w:val="single" w:sz="8" w:color="DDDDDD"/>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August 19, 2020, the Company issued $2.5 billion 0.483% Senior Notes due 2022 and $500 million Floating Rate Senior Notes due 2022 (collectively, the 2022 Callable Notes). The $500 million Floating Rate Senior Notes due 2022 were issued at a variable interest rate equal to the three-month LIBOR plus the applicable margin of 0.23%. The Company may redeem the 2022 fixed rate notes at any time, in whole or in part, at the Company's option. The Company may redeem the 2022 floating rate notes at any time, in whole or in part, on or after August 19, 2021. The 2022 Callable Notes resulted in gross proceeds of $3.0 billion, offset by $10 million in discount and closing costs related to the offering. The Company used the proceeds of the offering to repay $3.0 billion of borrowings under the Term Loan Agreement (defined below).</w:t>
      </w:r>
    </w:p>
    <w:p>
      <w:pPr>
        <w:spacing w:after="0" w:line="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May 18, 2020, the Company issued $1.25 billion 1.35% Senior Notes due 2025, $ 1.0 billion 1.95% Senior Notes due 2030, and $750 million 2.80% Senior Notes due 2050 (collectively, the 2020 Notes) to replace and, accordingly, permanently reduce $3.0 billion of undrawn commitments under the Term Loan Agreement, referenced below. The Company may redeem the 2020 Notes at any time, in whole or in part, at the Company's option. The offering provided gross proceeds of $3.0 billion, offset by $27 million in discount and closing costs related to the offering.</w:t>
      </w:r>
    </w:p>
    <w:p>
      <w:pPr>
        <w:spacing w:after="0" w:line="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March 10, 2020, the Company issued €500 million 0.00% Senior Notes due 2024 and € 500 million 0.75% Senior Notes due 2032 (collectively, the 2020 Euro Notes). The offering provided gross proceeds of $1.1 billion, offset by $9 million in discount and closing costs related to the offering.</w:t>
      </w:r>
    </w:p>
    <w:p>
      <w:pPr>
        <w:spacing w:after="0" w:line="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2022 Callable Notes, 2020 Notes, and 2020 Euro Notes are senior unsecured and unsubordinated obligations of the Company and rank equally with each other and with all of the Company's existing and future senior unsecured debt and senior to all of the Company's subordinated debt.</w:t>
      </w:r>
    </w:p>
    <w:p>
      <w:pPr>
        <w:spacing w:after="0" w:line="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April 10, 2020, the Company entered into a $1.5 billion 364-Day Credit Agreement (the 364-Day Credit Agreement) with a syndicate of banks. This 364-Day Credit Agreement is maintained for general corporate purposes. The 364-Day Credit Agreement replaced the previous 364-day credit agreement dated as of April 26, 2019, which was terminated on April 10, 2020.</w:t>
      </w:r>
    </w:p>
    <w:p>
      <w:pPr>
        <w:spacing w:after="0" w:line="9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March 26, 2020, the Company entered into a Delayed Draw Term Loan Agreement (the Term Loan Agreement) with a syndicate of banks. The Term Loan Agreement provided for a two-year, delayed draw term loan facility in the aggregate principal amount of $6.0 billion. Effective May 22, 2020, the Company permanently reduced the undrawn commitments under the Term Loan Agreement by an aggregate amount of $3.0 billion. On June 24, 2020, the Company drew on the remaining $3.0 billion of commitments under the Term Loan Agreement at a variable interest rate equal to the one-month LIBOR plus the applicable margin of 1.25%. The draw provided gross proceeds of $ 3.0 billion, offset by $7 million in closing costs related to the borrowing. On August 20, 2020, the Company prepaid the outstanding principal amount of $3.0 billion, using the proceeds from the offering of the 2022 Callable Notes.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On February 21, 2020, the Company paid its 0.65% Euro notes due 2020.</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April 26, 2019, the Company entered into a $4.0 billion Five Year Credit Agreement (the 5-Year Credit Agreement) with a syndicate of banks, dated April 26, 2019. This 5-Year Credit Agreement is maintained for general corporate purposes. Commitments under the 5-Year Credit Agreement can be increased pursuant to the terms of the 5-Year Credit Agreement to an aggregate amount not to exceed $4.5 billion.</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70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3" w:name="page74"/>
    <w:bookmarkEnd w:id="73"/>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5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of December 31, 2020, there were no outstanding borrowings under the 364-Day Credit Agreement, Term Loan Agreement, or 5-Year Credit Agreement.</w:t>
      </w:r>
    </w:p>
    <w:p>
      <w:pPr>
        <w:spacing w:after="0" w:line="267" w:lineRule="exact"/>
        <w:rPr>
          <w:sz w:val="20"/>
          <w:szCs w:val="20"/>
          <w:color w:val="auto"/>
        </w:rPr>
      </w:pPr>
    </w:p>
    <w:p>
      <w:pPr>
        <w:spacing w:after="0"/>
        <w:rPr>
          <w:sz w:val="20"/>
          <w:szCs w:val="20"/>
          <w:color w:val="auto"/>
        </w:rPr>
      </w:pPr>
      <w:r>
        <w:rPr>
          <w:rFonts w:ascii="Arial" w:cs="Arial" w:eastAsia="Arial" w:hAnsi="Arial"/>
          <w:sz w:val="29"/>
          <w:szCs w:val="29"/>
          <w:b w:val="1"/>
          <w:bCs w:val="1"/>
          <w:color w:val="DC202E"/>
        </w:rPr>
        <w:t>NOTE 11. LEASES</w:t>
      </w:r>
    </w:p>
    <w:p>
      <w:pPr>
        <w:spacing w:after="0" w:line="15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 significant portion of the Company's operating and finance lease portfolio includes corporate offices, research and development facilities, manufacturing sites, information technology equipment, and automobiles. The majority of our leases have remaining lease terms of 1 year to 20 years, some of which include options to extend the leases for 5 years or more. Operating lease ROU assets are included in Other assets. The current portion of operating lease liabilities are included in Accrued liabilities, and the non-current portion of operating lease liabilities are included in Other liabilities on the Consolidated Balance Sheet. Finance lease ROU assets are included in Property, plant and equipment— net. The current portion of finance lease liabilities are included in Current maturities of long-term debt, and the non-current portion of finance lease liabilities are included in Long-term debt on the Consolidated Balance Sheet.</w:t>
      </w:r>
    </w:p>
    <w:p>
      <w:pPr>
        <w:spacing w:after="0" w:line="23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portion of the Company's real estate leases is generally subject to annual changes in the Consumer Price Index (CPI). The changes to the CPI are treated as variable lease payments and recognized in the period in which the obligation for those payments was incurred. In addition, a subset of our automobile leases is considered variable. The variable lease payments for such automobiles leases are based on actual mileage incurred at the stated contractual rate and recognized in the period in which the obligation for those payments was incurred.</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240" w:type="dxa"/>
            <w:vAlign w:val="bottom"/>
          </w:tcPr>
          <w:p>
            <w:pPr>
              <w:spacing w:after="0"/>
              <w:rPr>
                <w:sz w:val="17"/>
                <w:szCs w:val="17"/>
                <w:color w:val="auto"/>
              </w:rPr>
            </w:pPr>
          </w:p>
        </w:tc>
        <w:tc>
          <w:tcPr>
            <w:tcW w:w="2540" w:type="dxa"/>
            <w:vAlign w:val="bottom"/>
            <w:tcBorders>
              <w:bottom w:val="single" w:sz="8" w:color="DC202E"/>
            </w:tcBorders>
            <w:gridSpan w:val="4"/>
          </w:tcPr>
          <w:p>
            <w:pPr>
              <w:ind w:left="580"/>
              <w:spacing w:after="0"/>
              <w:rPr>
                <w:sz w:val="20"/>
                <w:szCs w:val="20"/>
                <w:color w:val="auto"/>
              </w:rPr>
            </w:pPr>
            <w:r>
              <w:rPr>
                <w:rFonts w:ascii="Arial" w:cs="Arial" w:eastAsia="Arial" w:hAnsi="Arial"/>
                <w:sz w:val="14"/>
                <w:szCs w:val="14"/>
                <w:b w:val="1"/>
                <w:bCs w:val="1"/>
                <w:color w:val="auto"/>
              </w:rPr>
              <w:t>Years Ended December 31,</w:t>
            </w:r>
          </w:p>
        </w:tc>
        <w:tc>
          <w:tcPr>
            <w:tcW w:w="460" w:type="dxa"/>
            <w:vAlign w:val="bottom"/>
            <w:tcBorders>
              <w:bottom w:val="single" w:sz="8" w:color="DC202E"/>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40" w:type="dxa"/>
            <w:vAlign w:val="bottom"/>
            <w:tcBorders>
              <w:bottom w:val="single" w:sz="8" w:color="DDDDDD"/>
            </w:tcBorders>
          </w:tcPr>
          <w:p>
            <w:pPr>
              <w:spacing w:after="0"/>
              <w:rPr>
                <w:sz w:val="17"/>
                <w:szCs w:val="17"/>
                <w:color w:val="auto"/>
              </w:rPr>
            </w:pPr>
          </w:p>
        </w:tc>
        <w:tc>
          <w:tcPr>
            <w:tcW w:w="980" w:type="dxa"/>
            <w:vAlign w:val="bottom"/>
            <w:tcBorders>
              <w:bottom w:val="single" w:sz="8" w:color="DC202E"/>
            </w:tcBorders>
          </w:tcPr>
          <w:p>
            <w:pPr>
              <w:ind w:left="560"/>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DC202E"/>
            </w:tcBorders>
          </w:tcPr>
          <w:p>
            <w:pPr>
              <w:spacing w:after="0"/>
              <w:rPr>
                <w:sz w:val="17"/>
                <w:szCs w:val="17"/>
                <w:color w:val="auto"/>
              </w:rPr>
            </w:pPr>
          </w:p>
        </w:tc>
        <w:tc>
          <w:tcPr>
            <w:tcW w:w="120" w:type="dxa"/>
            <w:vAlign w:val="bottom"/>
            <w:tcBorders>
              <w:bottom w:val="single" w:sz="8" w:color="DDDDDD"/>
            </w:tcBorders>
          </w:tcPr>
          <w:p>
            <w:pPr>
              <w:spacing w:after="0"/>
              <w:rPr>
                <w:sz w:val="17"/>
                <w:szCs w:val="17"/>
                <w:color w:val="auto"/>
              </w:rPr>
            </w:pPr>
          </w:p>
        </w:tc>
        <w:tc>
          <w:tcPr>
            <w:tcW w:w="980" w:type="dxa"/>
            <w:vAlign w:val="bottom"/>
            <w:tcBorders>
              <w:bottom w:val="single" w:sz="8" w:color="DC202E"/>
            </w:tcBorders>
          </w:tcPr>
          <w:p>
            <w:pPr>
              <w:jc w:val="right"/>
              <w:ind w:right="16"/>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DC202E"/>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DDDDDD"/>
          </w:tcPr>
          <w:p>
            <w:pPr>
              <w:ind w:left="20"/>
              <w:spacing w:after="0"/>
              <w:rPr>
                <w:sz w:val="20"/>
                <w:szCs w:val="20"/>
                <w:color w:val="auto"/>
              </w:rPr>
            </w:pPr>
            <w:r>
              <w:rPr>
                <w:rFonts w:ascii="Arial" w:cs="Arial" w:eastAsia="Arial" w:hAnsi="Arial"/>
                <w:sz w:val="18"/>
                <w:szCs w:val="18"/>
                <w:color w:val="auto"/>
              </w:rPr>
              <w:t>Operating lease cost</w:t>
            </w:r>
          </w:p>
        </w:tc>
        <w:tc>
          <w:tcPr>
            <w:tcW w:w="980" w:type="dxa"/>
            <w:vAlign w:val="bottom"/>
            <w:shd w:val="clear" w:color="auto" w:fill="DDDDDD"/>
          </w:tcPr>
          <w:p>
            <w:pPr>
              <w:jc w:val="right"/>
              <w:ind w:right="779"/>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214</w:t>
            </w:r>
          </w:p>
        </w:tc>
        <w:tc>
          <w:tcPr>
            <w:tcW w:w="120" w:type="dxa"/>
            <w:vAlign w:val="bottom"/>
            <w:shd w:val="clear" w:color="auto" w:fill="DDDDDD"/>
          </w:tcPr>
          <w:p>
            <w:pPr>
              <w:spacing w:after="0"/>
              <w:rPr>
                <w:sz w:val="19"/>
                <w:szCs w:val="19"/>
                <w:color w:val="auto"/>
              </w:rPr>
            </w:pPr>
          </w:p>
        </w:tc>
        <w:tc>
          <w:tcPr>
            <w:tcW w:w="980" w:type="dxa"/>
            <w:vAlign w:val="bottom"/>
            <w:shd w:val="clear" w:color="auto" w:fill="DDDDDD"/>
          </w:tcPr>
          <w:p>
            <w:pPr>
              <w:jc w:val="right"/>
              <w:ind w:right="776"/>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Variable lease cost</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8240" w:type="dxa"/>
            <w:vAlign w:val="bottom"/>
            <w:shd w:val="clear" w:color="auto" w:fill="DDDDDD"/>
          </w:tcPr>
          <w:p>
            <w:pPr>
              <w:ind w:left="20"/>
              <w:spacing w:after="0"/>
              <w:rPr>
                <w:sz w:val="20"/>
                <w:szCs w:val="20"/>
                <w:color w:val="auto"/>
              </w:rPr>
            </w:pPr>
            <w:r>
              <w:rPr>
                <w:rFonts w:ascii="Arial" w:cs="Arial" w:eastAsia="Arial" w:hAnsi="Arial"/>
                <w:sz w:val="18"/>
                <w:szCs w:val="18"/>
                <w:color w:val="auto"/>
              </w:rPr>
              <w:t>Short-term lease cost</w:t>
            </w:r>
          </w:p>
        </w:tc>
        <w:tc>
          <w:tcPr>
            <w:tcW w:w="980" w:type="dxa"/>
            <w:vAlign w:val="bottom"/>
            <w:shd w:val="clear" w:color="auto" w:fill="DDDDDD"/>
          </w:tcPr>
          <w:p>
            <w:pPr>
              <w:spacing w:after="0"/>
              <w:rPr>
                <w:sz w:val="19"/>
                <w:szCs w:val="19"/>
                <w:color w:val="auto"/>
              </w:rPr>
            </w:pPr>
          </w:p>
        </w:tc>
        <w:tc>
          <w:tcPr>
            <w:tcW w:w="4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DDDDDD"/>
          </w:tcPr>
          <w:p>
            <w:pPr>
              <w:spacing w:after="0"/>
              <w:rPr>
                <w:sz w:val="19"/>
                <w:szCs w:val="19"/>
                <w:color w:val="auto"/>
              </w:rPr>
            </w:pPr>
          </w:p>
        </w:tc>
        <w:tc>
          <w:tcPr>
            <w:tcW w:w="980" w:type="dxa"/>
            <w:vAlign w:val="bottom"/>
            <w:shd w:val="clear" w:color="auto" w:fill="DDDDDD"/>
          </w:tcPr>
          <w:p>
            <w:pPr>
              <w:spacing w:after="0"/>
              <w:rPr>
                <w:sz w:val="19"/>
                <w:szCs w:val="19"/>
                <w:color w:val="auto"/>
              </w:rPr>
            </w:pPr>
          </w:p>
        </w:tc>
        <w:tc>
          <w:tcPr>
            <w:tcW w:w="4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8240" w:type="dxa"/>
            <w:vAlign w:val="bottom"/>
          </w:tcPr>
          <w:p>
            <w:pPr>
              <w:ind w:left="220"/>
              <w:spacing w:after="0"/>
              <w:rPr>
                <w:sz w:val="20"/>
                <w:szCs w:val="20"/>
                <w:color w:val="auto"/>
              </w:rPr>
            </w:pPr>
            <w:r>
              <w:rPr>
                <w:rFonts w:ascii="Arial" w:cs="Arial" w:eastAsia="Arial" w:hAnsi="Arial"/>
                <w:sz w:val="18"/>
                <w:szCs w:val="18"/>
                <w:color w:val="auto"/>
              </w:rPr>
              <w:t>Finance lease cost:</w:t>
            </w:r>
          </w:p>
        </w:tc>
        <w:tc>
          <w:tcPr>
            <w:tcW w:w="9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DDDDDD"/>
          </w:tcPr>
          <w:p>
            <w:pPr>
              <w:ind w:left="480"/>
              <w:spacing w:after="0"/>
              <w:rPr>
                <w:sz w:val="20"/>
                <w:szCs w:val="20"/>
                <w:color w:val="auto"/>
              </w:rPr>
            </w:pPr>
            <w:r>
              <w:rPr>
                <w:rFonts w:ascii="Arial" w:cs="Arial" w:eastAsia="Arial" w:hAnsi="Arial"/>
                <w:sz w:val="18"/>
                <w:szCs w:val="18"/>
                <w:color w:val="auto"/>
              </w:rPr>
              <w:t>Amortization of right-of-use assets</w:t>
            </w:r>
          </w:p>
        </w:tc>
        <w:tc>
          <w:tcPr>
            <w:tcW w:w="980" w:type="dxa"/>
            <w:vAlign w:val="bottom"/>
            <w:shd w:val="clear" w:color="auto" w:fill="DDDDDD"/>
          </w:tcPr>
          <w:p>
            <w:pPr>
              <w:spacing w:after="0"/>
              <w:rPr>
                <w:sz w:val="19"/>
                <w:szCs w:val="19"/>
                <w:color w:val="auto"/>
              </w:rPr>
            </w:pPr>
          </w:p>
        </w:tc>
        <w:tc>
          <w:tcPr>
            <w:tcW w:w="4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69</w:t>
            </w:r>
          </w:p>
        </w:tc>
        <w:tc>
          <w:tcPr>
            <w:tcW w:w="120" w:type="dxa"/>
            <w:vAlign w:val="bottom"/>
            <w:shd w:val="clear" w:color="auto" w:fill="DDDDDD"/>
          </w:tcPr>
          <w:p>
            <w:pPr>
              <w:spacing w:after="0"/>
              <w:rPr>
                <w:sz w:val="19"/>
                <w:szCs w:val="19"/>
                <w:color w:val="auto"/>
              </w:rPr>
            </w:pPr>
          </w:p>
        </w:tc>
        <w:tc>
          <w:tcPr>
            <w:tcW w:w="980" w:type="dxa"/>
            <w:vAlign w:val="bottom"/>
            <w:shd w:val="clear" w:color="auto" w:fill="DDDDDD"/>
          </w:tcPr>
          <w:p>
            <w:pPr>
              <w:spacing w:after="0"/>
              <w:rPr>
                <w:sz w:val="19"/>
                <w:szCs w:val="19"/>
                <w:color w:val="auto"/>
              </w:rPr>
            </w:pPr>
          </w:p>
        </w:tc>
        <w:tc>
          <w:tcPr>
            <w:tcW w:w="4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DDDDDD"/>
            </w:tcBorders>
          </w:tcPr>
          <w:p>
            <w:pPr>
              <w:ind w:left="480"/>
              <w:spacing w:after="0"/>
              <w:rPr>
                <w:sz w:val="20"/>
                <w:szCs w:val="20"/>
                <w:color w:val="auto"/>
              </w:rPr>
            </w:pPr>
            <w:r>
              <w:rPr>
                <w:rFonts w:ascii="Arial" w:cs="Arial" w:eastAsia="Arial" w:hAnsi="Arial"/>
                <w:sz w:val="18"/>
                <w:szCs w:val="18"/>
                <w:color w:val="auto"/>
              </w:rPr>
              <w:t>Interest on lease liability</w:t>
            </w: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DDDDDD"/>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3"/>
        </w:trPr>
        <w:tc>
          <w:tcPr>
            <w:tcW w:w="8240" w:type="dxa"/>
            <w:vAlign w:val="bottom"/>
            <w:shd w:val="clear" w:color="auto" w:fill="DDDDDD"/>
          </w:tcPr>
          <w:p>
            <w:pPr>
              <w:ind w:left="220"/>
              <w:spacing w:after="0"/>
              <w:rPr>
                <w:sz w:val="20"/>
                <w:szCs w:val="20"/>
                <w:color w:val="auto"/>
              </w:rPr>
            </w:pPr>
            <w:r>
              <w:rPr>
                <w:rFonts w:ascii="Arial" w:cs="Arial" w:eastAsia="Arial" w:hAnsi="Arial"/>
                <w:sz w:val="18"/>
                <w:szCs w:val="18"/>
                <w:color w:val="auto"/>
              </w:rPr>
              <w:t>Total finance lease cost</w:t>
            </w:r>
          </w:p>
        </w:tc>
        <w:tc>
          <w:tcPr>
            <w:tcW w:w="980" w:type="dxa"/>
            <w:vAlign w:val="bottom"/>
            <w:tcBorders>
              <w:bottom w:val="single" w:sz="8" w:color="auto"/>
            </w:tcBorders>
            <w:shd w:val="clear" w:color="auto" w:fill="DDDDDD"/>
          </w:tcPr>
          <w:p>
            <w:pPr>
              <w:spacing w:after="0"/>
              <w:rPr>
                <w:sz w:val="19"/>
                <w:szCs w:val="19"/>
                <w:color w:val="auto"/>
              </w:rPr>
            </w:pPr>
          </w:p>
        </w:tc>
        <w:tc>
          <w:tcPr>
            <w:tcW w:w="4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96</w:t>
            </w:r>
          </w:p>
        </w:tc>
        <w:tc>
          <w:tcPr>
            <w:tcW w:w="120" w:type="dxa"/>
            <w:vAlign w:val="bottom"/>
            <w:shd w:val="clear" w:color="auto" w:fill="DDDDDD"/>
          </w:tcPr>
          <w:p>
            <w:pPr>
              <w:spacing w:after="0"/>
              <w:rPr>
                <w:sz w:val="19"/>
                <w:szCs w:val="19"/>
                <w:color w:val="auto"/>
              </w:rPr>
            </w:pPr>
          </w:p>
        </w:tc>
        <w:tc>
          <w:tcPr>
            <w:tcW w:w="980" w:type="dxa"/>
            <w:vAlign w:val="bottom"/>
            <w:tcBorders>
              <w:bottom w:val="single" w:sz="8" w:color="auto"/>
            </w:tcBorders>
            <w:shd w:val="clear" w:color="auto" w:fill="DDDDDD"/>
          </w:tcPr>
          <w:p>
            <w:pPr>
              <w:spacing w:after="0"/>
              <w:rPr>
                <w:sz w:val="19"/>
                <w:szCs w:val="19"/>
                <w:color w:val="auto"/>
              </w:rPr>
            </w:pPr>
          </w:p>
        </w:tc>
        <w:tc>
          <w:tcPr>
            <w:tcW w:w="4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Total lease cost</w:t>
            </w:r>
          </w:p>
        </w:tc>
        <w:tc>
          <w:tcPr>
            <w:tcW w:w="980" w:type="dxa"/>
            <w:vAlign w:val="bottom"/>
            <w:tcBorders>
              <w:bottom w:val="single" w:sz="8" w:color="auto"/>
            </w:tcBorders>
          </w:tcPr>
          <w:p>
            <w:pPr>
              <w:jc w:val="right"/>
              <w:ind w:right="77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120" w:type="dxa"/>
            <w:vAlign w:val="bottom"/>
          </w:tcPr>
          <w:p>
            <w:pPr>
              <w:spacing w:after="0"/>
              <w:rPr>
                <w:sz w:val="19"/>
                <w:szCs w:val="19"/>
                <w:color w:val="auto"/>
              </w:rPr>
            </w:pPr>
          </w:p>
        </w:tc>
        <w:tc>
          <w:tcPr>
            <w:tcW w:w="980" w:type="dxa"/>
            <w:vAlign w:val="bottom"/>
            <w:tcBorders>
              <w:bottom w:val="single" w:sz="8" w:color="auto"/>
            </w:tcBorders>
          </w:tcPr>
          <w:p>
            <w:pPr>
              <w:jc w:val="right"/>
              <w:ind w:right="77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0"/>
        </w:trPr>
        <w:tc>
          <w:tcPr>
            <w:tcW w:w="8240" w:type="dxa"/>
            <w:vAlign w:val="bottom"/>
            <w:vMerge w:val="restart"/>
          </w:tcPr>
          <w:p>
            <w:pPr>
              <w:spacing w:after="0"/>
              <w:rPr>
                <w:sz w:val="20"/>
                <w:szCs w:val="20"/>
                <w:color w:val="auto"/>
              </w:rPr>
            </w:pPr>
            <w:r>
              <w:rPr>
                <w:rFonts w:ascii="Arial" w:cs="Arial" w:eastAsia="Arial" w:hAnsi="Arial"/>
                <w:sz w:val="18"/>
                <w:szCs w:val="18"/>
                <w:color w:val="auto"/>
              </w:rPr>
              <w:t>Supplemental cash flow information related to leases was as follows:</w:t>
            </w: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824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240" w:type="dxa"/>
            <w:vAlign w:val="bottom"/>
          </w:tcPr>
          <w:p>
            <w:pPr>
              <w:spacing w:after="0"/>
              <w:rPr>
                <w:sz w:val="19"/>
                <w:szCs w:val="19"/>
                <w:color w:val="auto"/>
              </w:rPr>
            </w:pPr>
          </w:p>
        </w:tc>
        <w:tc>
          <w:tcPr>
            <w:tcW w:w="2540" w:type="dxa"/>
            <w:vAlign w:val="bottom"/>
            <w:tcBorders>
              <w:bottom w:val="single" w:sz="8" w:color="DC202E"/>
            </w:tcBorders>
            <w:gridSpan w:val="4"/>
          </w:tcPr>
          <w:p>
            <w:pPr>
              <w:ind w:left="580"/>
              <w:spacing w:after="0"/>
              <w:rPr>
                <w:sz w:val="20"/>
                <w:szCs w:val="20"/>
                <w:color w:val="auto"/>
              </w:rPr>
            </w:pPr>
            <w:r>
              <w:rPr>
                <w:rFonts w:ascii="Arial" w:cs="Arial" w:eastAsia="Arial" w:hAnsi="Arial"/>
                <w:sz w:val="14"/>
                <w:szCs w:val="14"/>
                <w:b w:val="1"/>
                <w:bCs w:val="1"/>
                <w:color w:val="auto"/>
              </w:rPr>
              <w:t>Years Ended December 31,</w:t>
            </w:r>
          </w:p>
        </w:tc>
        <w:tc>
          <w:tcPr>
            <w:tcW w:w="460" w:type="dxa"/>
            <w:vAlign w:val="bottom"/>
            <w:tcBorders>
              <w:bottom w:val="single" w:sz="8" w:color="DC202E"/>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240" w:type="dxa"/>
            <w:vAlign w:val="bottom"/>
            <w:tcBorders>
              <w:bottom w:val="single" w:sz="8" w:color="DDDDDD"/>
            </w:tcBorders>
          </w:tcPr>
          <w:p>
            <w:pPr>
              <w:spacing w:after="0"/>
              <w:rPr>
                <w:sz w:val="17"/>
                <w:szCs w:val="17"/>
                <w:color w:val="auto"/>
              </w:rPr>
            </w:pPr>
          </w:p>
        </w:tc>
        <w:tc>
          <w:tcPr>
            <w:tcW w:w="980" w:type="dxa"/>
            <w:vAlign w:val="bottom"/>
            <w:tcBorders>
              <w:bottom w:val="single" w:sz="8" w:color="DC202E"/>
            </w:tcBorders>
          </w:tcPr>
          <w:p>
            <w:pPr>
              <w:ind w:left="560"/>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DC202E"/>
            </w:tcBorders>
          </w:tcPr>
          <w:p>
            <w:pPr>
              <w:spacing w:after="0"/>
              <w:rPr>
                <w:sz w:val="17"/>
                <w:szCs w:val="17"/>
                <w:color w:val="auto"/>
              </w:rPr>
            </w:pPr>
          </w:p>
        </w:tc>
        <w:tc>
          <w:tcPr>
            <w:tcW w:w="120" w:type="dxa"/>
            <w:vAlign w:val="bottom"/>
            <w:tcBorders>
              <w:bottom w:val="single" w:sz="8" w:color="DDDDDD"/>
            </w:tcBorders>
          </w:tcPr>
          <w:p>
            <w:pPr>
              <w:spacing w:after="0"/>
              <w:rPr>
                <w:sz w:val="17"/>
                <w:szCs w:val="17"/>
                <w:color w:val="auto"/>
              </w:rPr>
            </w:pPr>
          </w:p>
        </w:tc>
        <w:tc>
          <w:tcPr>
            <w:tcW w:w="980" w:type="dxa"/>
            <w:vAlign w:val="bottom"/>
            <w:tcBorders>
              <w:bottom w:val="single" w:sz="8" w:color="DC202E"/>
            </w:tcBorders>
          </w:tcPr>
          <w:p>
            <w:pPr>
              <w:jc w:val="right"/>
              <w:ind w:right="16"/>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DC202E"/>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DDDDDD"/>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980" w:type="dxa"/>
            <w:vAlign w:val="bottom"/>
            <w:shd w:val="clear" w:color="auto" w:fill="DDDDDD"/>
          </w:tcPr>
          <w:p>
            <w:pPr>
              <w:spacing w:after="0"/>
              <w:rPr>
                <w:sz w:val="18"/>
                <w:szCs w:val="18"/>
                <w:color w:val="auto"/>
              </w:rPr>
            </w:pPr>
          </w:p>
        </w:tc>
        <w:tc>
          <w:tcPr>
            <w:tcW w:w="46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980" w:type="dxa"/>
            <w:vAlign w:val="bottom"/>
            <w:shd w:val="clear" w:color="auto" w:fill="DDDDDD"/>
          </w:tcPr>
          <w:p>
            <w:pPr>
              <w:spacing w:after="0"/>
              <w:rPr>
                <w:sz w:val="18"/>
                <w:szCs w:val="18"/>
                <w:color w:val="auto"/>
              </w:rPr>
            </w:pPr>
          </w:p>
        </w:tc>
        <w:tc>
          <w:tcPr>
            <w:tcW w:w="460" w:type="dxa"/>
            <w:vAlign w:val="bottom"/>
            <w:shd w:val="clear" w:color="auto" w:fill="DDDDDD"/>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220"/>
              <w:spacing w:after="0"/>
              <w:rPr>
                <w:sz w:val="20"/>
                <w:szCs w:val="20"/>
                <w:color w:val="auto"/>
              </w:rPr>
            </w:pPr>
            <w:r>
              <w:rPr>
                <w:rFonts w:ascii="Arial" w:cs="Arial" w:eastAsia="Arial" w:hAnsi="Arial"/>
                <w:sz w:val="18"/>
                <w:szCs w:val="18"/>
                <w:color w:val="auto"/>
              </w:rPr>
              <w:t>Operating cash flows for operating leases</w:t>
            </w:r>
          </w:p>
        </w:tc>
        <w:tc>
          <w:tcPr>
            <w:tcW w:w="980" w:type="dxa"/>
            <w:vAlign w:val="bottom"/>
          </w:tcPr>
          <w:p>
            <w:pPr>
              <w:jc w:val="right"/>
              <w:ind w:right="779"/>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19"/>
                <w:szCs w:val="19"/>
                <w:color w:val="auto"/>
              </w:rPr>
            </w:pPr>
          </w:p>
        </w:tc>
        <w:tc>
          <w:tcPr>
            <w:tcW w:w="980" w:type="dxa"/>
            <w:vAlign w:val="bottom"/>
          </w:tcPr>
          <w:p>
            <w:pPr>
              <w:jc w:val="right"/>
              <w:ind w:right="776"/>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30"/>
        </w:trPr>
        <w:tc>
          <w:tcPr>
            <w:tcW w:w="8240" w:type="dxa"/>
            <w:vAlign w:val="bottom"/>
            <w:shd w:val="clear" w:color="auto" w:fill="DDDDDD"/>
          </w:tcPr>
          <w:p>
            <w:pPr>
              <w:ind w:left="220"/>
              <w:spacing w:after="0"/>
              <w:rPr>
                <w:sz w:val="20"/>
                <w:szCs w:val="20"/>
                <w:color w:val="auto"/>
              </w:rPr>
            </w:pPr>
            <w:r>
              <w:rPr>
                <w:rFonts w:ascii="Arial" w:cs="Arial" w:eastAsia="Arial" w:hAnsi="Arial"/>
                <w:sz w:val="18"/>
                <w:szCs w:val="18"/>
                <w:color w:val="auto"/>
              </w:rPr>
              <w:t>Operating cash flows for finance leases</w:t>
            </w:r>
          </w:p>
        </w:tc>
        <w:tc>
          <w:tcPr>
            <w:tcW w:w="980" w:type="dxa"/>
            <w:vAlign w:val="bottom"/>
            <w:shd w:val="clear" w:color="auto" w:fill="DDDDDD"/>
          </w:tcPr>
          <w:p>
            <w:pPr>
              <w:spacing w:after="0"/>
              <w:rPr>
                <w:sz w:val="19"/>
                <w:szCs w:val="19"/>
                <w:color w:val="auto"/>
              </w:rPr>
            </w:pPr>
          </w:p>
        </w:tc>
        <w:tc>
          <w:tcPr>
            <w:tcW w:w="4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DDDDDD"/>
          </w:tcPr>
          <w:p>
            <w:pPr>
              <w:spacing w:after="0"/>
              <w:rPr>
                <w:sz w:val="19"/>
                <w:szCs w:val="19"/>
                <w:color w:val="auto"/>
              </w:rPr>
            </w:pPr>
          </w:p>
        </w:tc>
        <w:tc>
          <w:tcPr>
            <w:tcW w:w="980" w:type="dxa"/>
            <w:vAlign w:val="bottom"/>
            <w:shd w:val="clear" w:color="auto" w:fill="DDDDDD"/>
          </w:tcPr>
          <w:p>
            <w:pPr>
              <w:spacing w:after="0"/>
              <w:rPr>
                <w:sz w:val="19"/>
                <w:szCs w:val="19"/>
                <w:color w:val="auto"/>
              </w:rPr>
            </w:pPr>
          </w:p>
        </w:tc>
        <w:tc>
          <w:tcPr>
            <w:tcW w:w="4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8240" w:type="dxa"/>
            <w:vAlign w:val="bottom"/>
          </w:tcPr>
          <w:p>
            <w:pPr>
              <w:ind w:left="220"/>
              <w:spacing w:after="0"/>
              <w:rPr>
                <w:sz w:val="20"/>
                <w:szCs w:val="20"/>
                <w:color w:val="auto"/>
              </w:rPr>
            </w:pPr>
            <w:r>
              <w:rPr>
                <w:rFonts w:ascii="Arial" w:cs="Arial" w:eastAsia="Arial" w:hAnsi="Arial"/>
                <w:sz w:val="18"/>
                <w:szCs w:val="18"/>
                <w:color w:val="auto"/>
              </w:rPr>
              <w:t>Financing cash flows for finance leases</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9"/>
        </w:trPr>
        <w:tc>
          <w:tcPr>
            <w:tcW w:w="8240" w:type="dxa"/>
            <w:vAlign w:val="bottom"/>
            <w:shd w:val="clear" w:color="auto" w:fill="DDDDDD"/>
          </w:tcPr>
          <w:p>
            <w:pPr>
              <w:ind w:left="20"/>
              <w:spacing w:after="0"/>
              <w:rPr>
                <w:sz w:val="20"/>
                <w:szCs w:val="20"/>
                <w:color w:val="auto"/>
              </w:rPr>
            </w:pPr>
            <w:r>
              <w:rPr>
                <w:rFonts w:ascii="Arial" w:cs="Arial" w:eastAsia="Arial" w:hAnsi="Arial"/>
                <w:sz w:val="18"/>
                <w:szCs w:val="18"/>
                <w:color w:val="auto"/>
              </w:rPr>
              <w:t>Right-of-use assets obtained in exchange for lease obligations:</w:t>
            </w:r>
          </w:p>
        </w:tc>
        <w:tc>
          <w:tcPr>
            <w:tcW w:w="980" w:type="dxa"/>
            <w:vAlign w:val="bottom"/>
            <w:shd w:val="clear" w:color="auto" w:fill="DDDDDD"/>
          </w:tcPr>
          <w:p>
            <w:pPr>
              <w:spacing w:after="0"/>
              <w:rPr>
                <w:sz w:val="19"/>
                <w:szCs w:val="19"/>
                <w:color w:val="auto"/>
              </w:rPr>
            </w:pPr>
          </w:p>
        </w:tc>
        <w:tc>
          <w:tcPr>
            <w:tcW w:w="46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980" w:type="dxa"/>
            <w:vAlign w:val="bottom"/>
            <w:shd w:val="clear" w:color="auto" w:fill="DDDDDD"/>
          </w:tcPr>
          <w:p>
            <w:pPr>
              <w:spacing w:after="0"/>
              <w:rPr>
                <w:sz w:val="19"/>
                <w:szCs w:val="19"/>
                <w:color w:val="auto"/>
              </w:rPr>
            </w:pPr>
          </w:p>
        </w:tc>
        <w:tc>
          <w:tcPr>
            <w:tcW w:w="46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220"/>
              <w:spacing w:after="0"/>
              <w:rPr>
                <w:sz w:val="20"/>
                <w:szCs w:val="20"/>
                <w:color w:val="auto"/>
              </w:rPr>
            </w:pPr>
            <w:r>
              <w:rPr>
                <w:rFonts w:ascii="Arial" w:cs="Arial" w:eastAsia="Arial" w:hAnsi="Arial"/>
                <w:sz w:val="18"/>
                <w:szCs w:val="18"/>
                <w:color w:val="auto"/>
              </w:rPr>
              <w:t>Operating leases</w:t>
            </w:r>
          </w:p>
        </w:tc>
        <w:tc>
          <w:tcPr>
            <w:tcW w:w="980" w:type="dxa"/>
            <w:vAlign w:val="bottom"/>
          </w:tcPr>
          <w:p>
            <w:pPr>
              <w:jc w:val="right"/>
              <w:ind w:right="779"/>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19"/>
                <w:szCs w:val="19"/>
                <w:color w:val="auto"/>
              </w:rPr>
            </w:pPr>
          </w:p>
        </w:tc>
        <w:tc>
          <w:tcPr>
            <w:tcW w:w="980" w:type="dxa"/>
            <w:vAlign w:val="bottom"/>
          </w:tcPr>
          <w:p>
            <w:pPr>
              <w:jc w:val="right"/>
              <w:ind w:right="776"/>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30"/>
        </w:trPr>
        <w:tc>
          <w:tcPr>
            <w:tcW w:w="8240" w:type="dxa"/>
            <w:vAlign w:val="bottom"/>
            <w:shd w:val="clear" w:color="auto" w:fill="DDDDDD"/>
          </w:tcPr>
          <w:p>
            <w:pPr>
              <w:ind w:left="220"/>
              <w:spacing w:after="0"/>
              <w:rPr>
                <w:sz w:val="20"/>
                <w:szCs w:val="20"/>
                <w:color w:val="auto"/>
              </w:rPr>
            </w:pPr>
            <w:r>
              <w:rPr>
                <w:rFonts w:ascii="Arial" w:cs="Arial" w:eastAsia="Arial" w:hAnsi="Arial"/>
                <w:sz w:val="18"/>
                <w:szCs w:val="18"/>
                <w:color w:val="auto"/>
              </w:rPr>
              <w:t>Finance leases</w:t>
            </w:r>
          </w:p>
        </w:tc>
        <w:tc>
          <w:tcPr>
            <w:tcW w:w="980" w:type="dxa"/>
            <w:vAlign w:val="bottom"/>
            <w:shd w:val="clear" w:color="auto" w:fill="DDDDDD"/>
          </w:tcPr>
          <w:p>
            <w:pPr>
              <w:spacing w:after="0"/>
              <w:rPr>
                <w:sz w:val="19"/>
                <w:szCs w:val="19"/>
                <w:color w:val="auto"/>
              </w:rPr>
            </w:pPr>
          </w:p>
        </w:tc>
        <w:tc>
          <w:tcPr>
            <w:tcW w:w="4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DDDDDD"/>
          </w:tcPr>
          <w:p>
            <w:pPr>
              <w:spacing w:after="0"/>
              <w:rPr>
                <w:sz w:val="19"/>
                <w:szCs w:val="19"/>
                <w:color w:val="auto"/>
              </w:rPr>
            </w:pPr>
          </w:p>
        </w:tc>
        <w:tc>
          <w:tcPr>
            <w:tcW w:w="980" w:type="dxa"/>
            <w:vAlign w:val="bottom"/>
            <w:shd w:val="clear" w:color="auto" w:fill="DDDDDD"/>
          </w:tcPr>
          <w:p>
            <w:pPr>
              <w:spacing w:after="0"/>
              <w:rPr>
                <w:sz w:val="19"/>
                <w:szCs w:val="19"/>
                <w:color w:val="auto"/>
              </w:rPr>
            </w:pPr>
          </w:p>
        </w:tc>
        <w:tc>
          <w:tcPr>
            <w:tcW w:w="4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71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4" w:name="page75"/>
    <w:bookmarkEnd w:id="74"/>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leases was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20" w:type="dxa"/>
            <w:vAlign w:val="bottom"/>
          </w:tcPr>
          <w:p>
            <w:pPr>
              <w:spacing w:after="0"/>
              <w:rPr>
                <w:sz w:val="17"/>
                <w:szCs w:val="17"/>
                <w:color w:val="auto"/>
              </w:rPr>
            </w:pPr>
          </w:p>
        </w:tc>
        <w:tc>
          <w:tcPr>
            <w:tcW w:w="240" w:type="dxa"/>
            <w:vAlign w:val="bottom"/>
            <w:tcBorders>
              <w:bottom w:val="single" w:sz="8" w:color="DC202E"/>
            </w:tcBorders>
          </w:tcPr>
          <w:p>
            <w:pPr>
              <w:spacing w:after="0"/>
              <w:rPr>
                <w:sz w:val="17"/>
                <w:szCs w:val="17"/>
                <w:color w:val="auto"/>
              </w:rPr>
            </w:pPr>
          </w:p>
        </w:tc>
        <w:tc>
          <w:tcPr>
            <w:tcW w:w="120" w:type="dxa"/>
            <w:vAlign w:val="bottom"/>
            <w:tcBorders>
              <w:bottom w:val="single" w:sz="8" w:color="DC202E"/>
            </w:tcBorders>
          </w:tcPr>
          <w:p>
            <w:pPr>
              <w:spacing w:after="0"/>
              <w:rPr>
                <w:sz w:val="17"/>
                <w:szCs w:val="17"/>
                <w:color w:val="auto"/>
              </w:rPr>
            </w:pPr>
          </w:p>
        </w:tc>
        <w:tc>
          <w:tcPr>
            <w:tcW w:w="2880" w:type="dxa"/>
            <w:vAlign w:val="bottom"/>
            <w:tcBorders>
              <w:bottom w:val="single" w:sz="8" w:color="DC202E"/>
            </w:tcBorders>
            <w:gridSpan w:val="6"/>
          </w:tcPr>
          <w:p>
            <w:pPr>
              <w:jc w:val="right"/>
              <w:ind w:right="1071"/>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20" w:type="dxa"/>
            <w:vAlign w:val="bottom"/>
            <w:tcBorders>
              <w:bottom w:val="single" w:sz="8" w:color="DDDDDD"/>
            </w:tcBorders>
          </w:tcPr>
          <w:p>
            <w:pPr>
              <w:spacing w:after="0"/>
              <w:rPr>
                <w:sz w:val="17"/>
                <w:szCs w:val="17"/>
                <w:color w:val="auto"/>
              </w:rPr>
            </w:pPr>
          </w:p>
        </w:tc>
        <w:tc>
          <w:tcPr>
            <w:tcW w:w="1220" w:type="dxa"/>
            <w:vAlign w:val="bottom"/>
            <w:tcBorders>
              <w:bottom w:val="single" w:sz="8" w:color="DDDDDD"/>
            </w:tcBorders>
          </w:tcPr>
          <w:p>
            <w:pPr>
              <w:spacing w:after="0"/>
              <w:rPr>
                <w:sz w:val="17"/>
                <w:szCs w:val="17"/>
                <w:color w:val="auto"/>
              </w:rPr>
            </w:pPr>
          </w:p>
        </w:tc>
        <w:tc>
          <w:tcPr>
            <w:tcW w:w="140" w:type="dxa"/>
            <w:vAlign w:val="bottom"/>
            <w:tcBorders>
              <w:bottom w:val="single" w:sz="8" w:color="DDDDDD"/>
            </w:tcBorders>
          </w:tcPr>
          <w:p>
            <w:pPr>
              <w:spacing w:after="0"/>
              <w:rPr>
                <w:sz w:val="17"/>
                <w:szCs w:val="17"/>
                <w:color w:val="auto"/>
              </w:rPr>
            </w:pPr>
          </w:p>
        </w:tc>
        <w:tc>
          <w:tcPr>
            <w:tcW w:w="6620" w:type="dxa"/>
            <w:vAlign w:val="bottom"/>
            <w:tcBorders>
              <w:bottom w:val="single" w:sz="8" w:color="DDDDDD"/>
            </w:tcBorders>
          </w:tcPr>
          <w:p>
            <w:pPr>
              <w:spacing w:after="0"/>
              <w:rPr>
                <w:sz w:val="17"/>
                <w:szCs w:val="17"/>
                <w:color w:val="auto"/>
              </w:rPr>
            </w:pPr>
          </w:p>
        </w:tc>
        <w:tc>
          <w:tcPr>
            <w:tcW w:w="240" w:type="dxa"/>
            <w:vAlign w:val="bottom"/>
            <w:tcBorders>
              <w:bottom w:val="single" w:sz="8" w:color="DC202E"/>
            </w:tcBorders>
          </w:tcPr>
          <w:p>
            <w:pPr>
              <w:spacing w:after="0"/>
              <w:rPr>
                <w:sz w:val="17"/>
                <w:szCs w:val="17"/>
                <w:color w:val="auto"/>
              </w:rPr>
            </w:pPr>
          </w:p>
        </w:tc>
        <w:tc>
          <w:tcPr>
            <w:tcW w:w="120" w:type="dxa"/>
            <w:vAlign w:val="bottom"/>
            <w:tcBorders>
              <w:bottom w:val="single" w:sz="8" w:color="DC202E"/>
            </w:tcBorders>
          </w:tcPr>
          <w:p>
            <w:pPr>
              <w:spacing w:after="0"/>
              <w:rPr>
                <w:sz w:val="17"/>
                <w:szCs w:val="17"/>
                <w:color w:val="auto"/>
              </w:rPr>
            </w:pPr>
          </w:p>
        </w:tc>
        <w:tc>
          <w:tcPr>
            <w:tcW w:w="1200" w:type="dxa"/>
            <w:vAlign w:val="bottom"/>
            <w:tcBorders>
              <w:bottom w:val="single" w:sz="8" w:color="DC202E"/>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DBDBDB"/>
            </w:tcBorders>
          </w:tcPr>
          <w:p>
            <w:pPr>
              <w:spacing w:after="0"/>
              <w:rPr>
                <w:sz w:val="17"/>
                <w:szCs w:val="17"/>
                <w:color w:val="auto"/>
              </w:rPr>
            </w:pPr>
          </w:p>
        </w:tc>
        <w:tc>
          <w:tcPr>
            <w:tcW w:w="20" w:type="dxa"/>
            <w:vAlign w:val="bottom"/>
            <w:tcBorders>
              <w:bottom w:val="single" w:sz="8" w:color="DC202E"/>
            </w:tcBorders>
          </w:tcPr>
          <w:p>
            <w:pPr>
              <w:spacing w:after="0"/>
              <w:rPr>
                <w:sz w:val="17"/>
                <w:szCs w:val="17"/>
                <w:color w:val="auto"/>
              </w:rPr>
            </w:pPr>
          </w:p>
        </w:tc>
        <w:tc>
          <w:tcPr>
            <w:tcW w:w="100" w:type="dxa"/>
            <w:vAlign w:val="bottom"/>
            <w:tcBorders>
              <w:bottom w:val="single" w:sz="8" w:color="DC202E"/>
            </w:tcBorders>
          </w:tcPr>
          <w:p>
            <w:pPr>
              <w:spacing w:after="0"/>
              <w:rPr>
                <w:sz w:val="17"/>
                <w:szCs w:val="17"/>
                <w:color w:val="auto"/>
              </w:rPr>
            </w:pPr>
          </w:p>
        </w:tc>
        <w:tc>
          <w:tcPr>
            <w:tcW w:w="140" w:type="dxa"/>
            <w:vAlign w:val="bottom"/>
            <w:tcBorders>
              <w:bottom w:val="single" w:sz="8" w:color="DC202E"/>
            </w:tcBorders>
          </w:tcPr>
          <w:p>
            <w:pPr>
              <w:spacing w:after="0"/>
              <w:rPr>
                <w:sz w:val="17"/>
                <w:szCs w:val="17"/>
                <w:color w:val="auto"/>
              </w:rPr>
            </w:pPr>
          </w:p>
        </w:tc>
        <w:tc>
          <w:tcPr>
            <w:tcW w:w="1300" w:type="dxa"/>
            <w:vAlign w:val="bottom"/>
            <w:tcBorders>
              <w:bottom w:val="single" w:sz="8" w:color="DC202E"/>
            </w:tcBorders>
          </w:tcPr>
          <w:p>
            <w:pPr>
              <w:jc w:val="right"/>
              <w:ind w:right="531"/>
              <w:spacing w:after="0"/>
              <w:rPr>
                <w:sz w:val="20"/>
                <w:szCs w:val="20"/>
                <w:color w:val="auto"/>
              </w:rPr>
            </w:pPr>
            <w:r>
              <w:rPr>
                <w:rFonts w:ascii="Arial" w:cs="Arial" w:eastAsia="Arial" w:hAnsi="Arial"/>
                <w:sz w:val="14"/>
                <w:szCs w:val="14"/>
                <w:b w:val="1"/>
                <w:bCs w:val="1"/>
                <w:color w:val="auto"/>
              </w:rPr>
              <w:t>2019</w:t>
            </w:r>
          </w:p>
        </w:tc>
      </w:tr>
      <w:tr>
        <w:trPr>
          <w:trHeight w:val="196"/>
        </w:trPr>
        <w:tc>
          <w:tcPr>
            <w:tcW w:w="20" w:type="dxa"/>
            <w:vAlign w:val="bottom"/>
            <w:shd w:val="clear" w:color="auto" w:fill="DDDDDD"/>
          </w:tcPr>
          <w:p>
            <w:pPr>
              <w:spacing w:after="0"/>
              <w:rPr>
                <w:sz w:val="17"/>
                <w:szCs w:val="17"/>
                <w:color w:val="auto"/>
              </w:rPr>
            </w:pPr>
          </w:p>
        </w:tc>
        <w:tc>
          <w:tcPr>
            <w:tcW w:w="7980" w:type="dxa"/>
            <w:vAlign w:val="bottom"/>
            <w:gridSpan w:val="3"/>
            <w:shd w:val="clear" w:color="auto" w:fill="DDDDDD"/>
          </w:tcPr>
          <w:p>
            <w:pPr>
              <w:spacing w:after="0" w:line="176" w:lineRule="exact"/>
              <w:rPr>
                <w:sz w:val="20"/>
                <w:szCs w:val="20"/>
                <w:color w:val="auto"/>
              </w:rPr>
            </w:pPr>
            <w:r>
              <w:rPr>
                <w:rFonts w:ascii="Arial" w:cs="Arial" w:eastAsia="Arial" w:hAnsi="Arial"/>
                <w:sz w:val="18"/>
                <w:szCs w:val="18"/>
                <w:color w:val="auto"/>
              </w:rPr>
              <w:t>Operating leases</w:t>
            </w:r>
          </w:p>
        </w:tc>
        <w:tc>
          <w:tcPr>
            <w:tcW w:w="24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1200" w:type="dxa"/>
            <w:vAlign w:val="bottom"/>
            <w:shd w:val="clear" w:color="auto" w:fill="DDDDDD"/>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300" w:type="dxa"/>
            <w:vAlign w:val="bottom"/>
            <w:shd w:val="clear" w:color="auto" w:fill="DBDBDB"/>
          </w:tcPr>
          <w:p>
            <w:pPr>
              <w:spacing w:after="0"/>
              <w:rPr>
                <w:sz w:val="17"/>
                <w:szCs w:val="17"/>
                <w:color w:val="auto"/>
              </w:rPr>
            </w:pPr>
          </w:p>
        </w:tc>
      </w:tr>
      <w:tr>
        <w:trPr>
          <w:trHeight w:val="229"/>
        </w:trPr>
        <w:tc>
          <w:tcPr>
            <w:tcW w:w="20" w:type="dxa"/>
            <w:vAlign w:val="bottom"/>
            <w:tcBorders>
              <w:top w:val="single" w:sz="8" w:color="DDDDDD"/>
              <w:bottom w:val="single" w:sz="8" w:color="DDDDDD"/>
            </w:tcBorders>
          </w:tcPr>
          <w:p>
            <w:pPr>
              <w:spacing w:after="0"/>
              <w:rPr>
                <w:sz w:val="19"/>
                <w:szCs w:val="19"/>
                <w:color w:val="auto"/>
              </w:rPr>
            </w:pPr>
          </w:p>
        </w:tc>
        <w:tc>
          <w:tcPr>
            <w:tcW w:w="1360" w:type="dxa"/>
            <w:vAlign w:val="bottom"/>
            <w:tcBorders>
              <w:top w:val="single" w:sz="8" w:color="auto"/>
              <w:bottom w:val="single" w:sz="8" w:color="DDDDDD"/>
            </w:tcBorders>
            <w:gridSpan w:val="2"/>
          </w:tcPr>
          <w:p>
            <w:pPr>
              <w:spacing w:after="0"/>
              <w:rPr>
                <w:sz w:val="20"/>
                <w:szCs w:val="20"/>
                <w:color w:val="auto"/>
              </w:rPr>
            </w:pPr>
            <w:r>
              <w:rPr>
                <w:rFonts w:ascii="Arial" w:cs="Arial" w:eastAsia="Arial" w:hAnsi="Arial"/>
                <w:sz w:val="18"/>
                <w:szCs w:val="18"/>
                <w:color w:val="auto"/>
              </w:rPr>
              <w:t>Other assets</w:t>
            </w:r>
          </w:p>
        </w:tc>
        <w:tc>
          <w:tcPr>
            <w:tcW w:w="6620" w:type="dxa"/>
            <w:vAlign w:val="bottom"/>
            <w:tcBorders>
              <w:top w:val="single" w:sz="8" w:color="DDDDDD"/>
              <w:bottom w:val="single" w:sz="8" w:color="DDDDDD"/>
            </w:tcBorders>
          </w:tcPr>
          <w:p>
            <w:pPr>
              <w:spacing w:after="0"/>
              <w:rPr>
                <w:sz w:val="19"/>
                <w:szCs w:val="19"/>
                <w:color w:val="auto"/>
              </w:rPr>
            </w:pPr>
          </w:p>
        </w:tc>
        <w:tc>
          <w:tcPr>
            <w:tcW w:w="240" w:type="dxa"/>
            <w:vAlign w:val="bottom"/>
            <w:tcBorders>
              <w:top w:val="single" w:sz="8" w:color="DDDDDD"/>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DDDDDD"/>
              <w:bottom w:val="single" w:sz="8" w:color="auto"/>
            </w:tcBorders>
          </w:tcPr>
          <w:p>
            <w:pPr>
              <w:spacing w:after="0"/>
              <w:rPr>
                <w:sz w:val="19"/>
                <w:szCs w:val="19"/>
                <w:color w:val="auto"/>
              </w:rPr>
            </w:pPr>
          </w:p>
        </w:tc>
        <w:tc>
          <w:tcPr>
            <w:tcW w:w="1200" w:type="dxa"/>
            <w:vAlign w:val="bottom"/>
            <w:tcBorders>
              <w:top w:val="single" w:sz="8" w:color="DDDDDD"/>
              <w:bottom w:val="single" w:sz="8" w:color="auto"/>
            </w:tcBorders>
          </w:tcPr>
          <w:p>
            <w:pPr>
              <w:jc w:val="right"/>
              <w:ind w:right="152"/>
              <w:spacing w:after="0"/>
              <w:rPr>
                <w:sz w:val="20"/>
                <w:szCs w:val="20"/>
                <w:color w:val="auto"/>
              </w:rPr>
            </w:pPr>
            <w:r>
              <w:rPr>
                <w:rFonts w:ascii="Arial" w:cs="Arial" w:eastAsia="Arial" w:hAnsi="Arial"/>
                <w:sz w:val="18"/>
                <w:szCs w:val="18"/>
                <w:color w:val="auto"/>
              </w:rPr>
              <w:t>773</w:t>
            </w:r>
          </w:p>
        </w:tc>
        <w:tc>
          <w:tcPr>
            <w:tcW w:w="120" w:type="dxa"/>
            <w:vAlign w:val="bottom"/>
            <w:tcBorders>
              <w:top w:val="single" w:sz="8" w:color="DBDBDB"/>
              <w:bottom w:val="single" w:sz="8" w:color="DBDBDB"/>
            </w:tcBorders>
          </w:tcPr>
          <w:p>
            <w:pPr>
              <w:spacing w:after="0"/>
              <w:rPr>
                <w:sz w:val="19"/>
                <w:szCs w:val="19"/>
                <w:color w:val="auto"/>
              </w:rPr>
            </w:pPr>
          </w:p>
        </w:tc>
        <w:tc>
          <w:tcPr>
            <w:tcW w:w="120" w:type="dxa"/>
            <w:vAlign w:val="bottom"/>
            <w:tcBorders>
              <w:top w:val="single" w:sz="8" w:color="DBDBDB"/>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DBDBDB"/>
              <w:bottom w:val="single" w:sz="8" w:color="auto"/>
            </w:tcBorders>
          </w:tcPr>
          <w:p>
            <w:pPr>
              <w:spacing w:after="0"/>
              <w:rPr>
                <w:sz w:val="19"/>
                <w:szCs w:val="19"/>
                <w:color w:val="auto"/>
              </w:rPr>
            </w:pPr>
          </w:p>
        </w:tc>
        <w:tc>
          <w:tcPr>
            <w:tcW w:w="1300" w:type="dxa"/>
            <w:vAlign w:val="bottom"/>
            <w:tcBorders>
              <w:top w:val="single" w:sz="8" w:color="DBDBDB"/>
              <w:bottom w:val="single" w:sz="8" w:color="auto"/>
            </w:tcBorders>
          </w:tcPr>
          <w:p>
            <w:pPr>
              <w:jc w:val="right"/>
              <w:ind w:right="151"/>
              <w:spacing w:after="0"/>
              <w:rPr>
                <w:sz w:val="20"/>
                <w:szCs w:val="20"/>
                <w:color w:val="auto"/>
              </w:rPr>
            </w:pPr>
            <w:r>
              <w:rPr>
                <w:rFonts w:ascii="Arial" w:cs="Arial" w:eastAsia="Arial" w:hAnsi="Arial"/>
                <w:sz w:val="18"/>
                <w:szCs w:val="18"/>
                <w:color w:val="auto"/>
              </w:rPr>
              <w:t>673</w:t>
            </w:r>
          </w:p>
        </w:tc>
      </w:tr>
      <w:tr>
        <w:trPr>
          <w:trHeight w:val="223"/>
        </w:trPr>
        <w:tc>
          <w:tcPr>
            <w:tcW w:w="20" w:type="dxa"/>
            <w:vAlign w:val="bottom"/>
            <w:shd w:val="clear" w:color="auto" w:fill="DDDDDD"/>
          </w:tcPr>
          <w:p>
            <w:pPr>
              <w:spacing w:after="0"/>
              <w:rPr>
                <w:sz w:val="19"/>
                <w:szCs w:val="19"/>
                <w:color w:val="auto"/>
              </w:rPr>
            </w:pPr>
          </w:p>
        </w:tc>
        <w:tc>
          <w:tcPr>
            <w:tcW w:w="7980" w:type="dxa"/>
            <w:vAlign w:val="bottom"/>
            <w:gridSpan w:val="3"/>
            <w:shd w:val="clear" w:color="auto" w:fill="DDDDDD"/>
          </w:tcPr>
          <w:p>
            <w:pPr>
              <w:ind w:left="200"/>
              <w:spacing w:after="0"/>
              <w:rPr>
                <w:sz w:val="20"/>
                <w:szCs w:val="20"/>
                <w:color w:val="auto"/>
              </w:rPr>
            </w:pPr>
            <w:r>
              <w:rPr>
                <w:rFonts w:ascii="Arial" w:cs="Arial" w:eastAsia="Arial" w:hAnsi="Arial"/>
                <w:sz w:val="18"/>
                <w:szCs w:val="18"/>
                <w:color w:val="auto"/>
              </w:rPr>
              <w:t>Accrued liabilities</w:t>
            </w:r>
          </w:p>
        </w:tc>
        <w:tc>
          <w:tcPr>
            <w:tcW w:w="24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1200" w:type="dxa"/>
            <w:vAlign w:val="bottom"/>
            <w:shd w:val="clear" w:color="auto" w:fill="DDDDDD"/>
          </w:tcPr>
          <w:p>
            <w:pPr>
              <w:jc w:val="right"/>
              <w:ind w:right="152"/>
              <w:spacing w:after="0"/>
              <w:rPr>
                <w:sz w:val="20"/>
                <w:szCs w:val="20"/>
                <w:color w:val="auto"/>
              </w:rPr>
            </w:pPr>
            <w:r>
              <w:rPr>
                <w:rFonts w:ascii="Arial" w:cs="Arial" w:eastAsia="Arial" w:hAnsi="Arial"/>
                <w:sz w:val="18"/>
                <w:szCs w:val="18"/>
                <w:color w:val="auto"/>
              </w:rPr>
              <w:t>187</w:t>
            </w:r>
          </w:p>
        </w:tc>
        <w:tc>
          <w:tcPr>
            <w:tcW w:w="12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300" w:type="dxa"/>
            <w:vAlign w:val="bottom"/>
            <w:shd w:val="clear" w:color="auto" w:fill="DBDBDB"/>
          </w:tcPr>
          <w:p>
            <w:pPr>
              <w:jc w:val="right"/>
              <w:ind w:right="151"/>
              <w:spacing w:after="0"/>
              <w:rPr>
                <w:sz w:val="20"/>
                <w:szCs w:val="20"/>
                <w:color w:val="auto"/>
              </w:rPr>
            </w:pPr>
            <w:r>
              <w:rPr>
                <w:rFonts w:ascii="Arial" w:cs="Arial" w:eastAsia="Arial" w:hAnsi="Arial"/>
                <w:sz w:val="18"/>
                <w:szCs w:val="18"/>
                <w:color w:val="auto"/>
              </w:rPr>
              <w:t>171</w:t>
            </w:r>
          </w:p>
        </w:tc>
      </w:tr>
      <w:tr>
        <w:trPr>
          <w:trHeight w:val="229"/>
        </w:trPr>
        <w:tc>
          <w:tcPr>
            <w:tcW w:w="20" w:type="dxa"/>
            <w:vAlign w:val="bottom"/>
            <w:tcBorders>
              <w:bottom w:val="single" w:sz="8" w:color="DDDDDD"/>
            </w:tcBorders>
          </w:tcPr>
          <w:p>
            <w:pPr>
              <w:spacing w:after="0"/>
              <w:rPr>
                <w:sz w:val="19"/>
                <w:szCs w:val="19"/>
                <w:color w:val="auto"/>
              </w:rPr>
            </w:pPr>
          </w:p>
        </w:tc>
        <w:tc>
          <w:tcPr>
            <w:tcW w:w="7980" w:type="dxa"/>
            <w:vAlign w:val="bottom"/>
            <w:tcBorders>
              <w:bottom w:val="single" w:sz="8" w:color="DDDDDD"/>
            </w:tcBorders>
            <w:gridSpan w:val="3"/>
          </w:tcPr>
          <w:p>
            <w:pPr>
              <w:ind w:left="200"/>
              <w:spacing w:after="0"/>
              <w:rPr>
                <w:sz w:val="20"/>
                <w:szCs w:val="20"/>
                <w:color w:val="auto"/>
              </w:rPr>
            </w:pPr>
            <w:r>
              <w:rPr>
                <w:rFonts w:ascii="Arial" w:cs="Arial" w:eastAsia="Arial" w:hAnsi="Arial"/>
                <w:sz w:val="18"/>
                <w:szCs w:val="18"/>
                <w:color w:val="auto"/>
              </w:rPr>
              <w:t>Other liabilities</w:t>
            </w: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641</w:t>
            </w:r>
          </w:p>
        </w:tc>
        <w:tc>
          <w:tcPr>
            <w:tcW w:w="120" w:type="dxa"/>
            <w:vAlign w:val="bottom"/>
            <w:tcBorders>
              <w:bottom w:val="single" w:sz="8" w:color="DBDBDB"/>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534</w:t>
            </w:r>
          </w:p>
        </w:tc>
      </w:tr>
      <w:tr>
        <w:trPr>
          <w:trHeight w:val="223"/>
        </w:trPr>
        <w:tc>
          <w:tcPr>
            <w:tcW w:w="20" w:type="dxa"/>
            <w:vAlign w:val="bottom"/>
            <w:shd w:val="clear" w:color="auto" w:fill="DDDDDD"/>
          </w:tcPr>
          <w:p>
            <w:pPr>
              <w:spacing w:after="0"/>
              <w:rPr>
                <w:sz w:val="19"/>
                <w:szCs w:val="19"/>
                <w:color w:val="auto"/>
              </w:rPr>
            </w:pPr>
          </w:p>
        </w:tc>
        <w:tc>
          <w:tcPr>
            <w:tcW w:w="7980" w:type="dxa"/>
            <w:vAlign w:val="bottom"/>
            <w:gridSpan w:val="3"/>
            <w:shd w:val="clear" w:color="auto" w:fill="DDDDDD"/>
          </w:tcPr>
          <w:p>
            <w:pPr>
              <w:spacing w:after="0"/>
              <w:rPr>
                <w:sz w:val="20"/>
                <w:szCs w:val="20"/>
                <w:color w:val="auto"/>
              </w:rPr>
            </w:pPr>
            <w:r>
              <w:rPr>
                <w:rFonts w:ascii="Arial" w:cs="Arial" w:eastAsia="Arial" w:hAnsi="Arial"/>
                <w:sz w:val="18"/>
                <w:szCs w:val="18"/>
                <w:color w:val="auto"/>
              </w:rPr>
              <w:t>Total operating lease liabilities</w:t>
            </w:r>
          </w:p>
        </w:tc>
        <w:tc>
          <w:tcPr>
            <w:tcW w:w="240" w:type="dxa"/>
            <w:vAlign w:val="bottom"/>
            <w:tcBorders>
              <w:bottom w:val="single" w:sz="8" w:color="auto"/>
            </w:tcBorders>
            <w:shd w:val="clear" w:color="auto" w:fill="DDDDDD"/>
          </w:tcPr>
          <w:p>
            <w:pPr>
              <w:jc w:val="right"/>
              <w:ind w:right="3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DDDDDD"/>
          </w:tcPr>
          <w:p>
            <w:pPr>
              <w:spacing w:after="0"/>
              <w:rPr>
                <w:sz w:val="19"/>
                <w:szCs w:val="19"/>
                <w:color w:val="auto"/>
              </w:rPr>
            </w:pPr>
          </w:p>
        </w:tc>
        <w:tc>
          <w:tcPr>
            <w:tcW w:w="1200" w:type="dxa"/>
            <w:vAlign w:val="bottom"/>
            <w:tcBorders>
              <w:bottom w:val="single" w:sz="8" w:color="auto"/>
            </w:tcBorders>
            <w:shd w:val="clear" w:color="auto" w:fill="DDDDDD"/>
          </w:tcPr>
          <w:p>
            <w:pPr>
              <w:jc w:val="right"/>
              <w:ind w:right="152"/>
              <w:spacing w:after="0"/>
              <w:rPr>
                <w:sz w:val="20"/>
                <w:szCs w:val="20"/>
                <w:color w:val="auto"/>
              </w:rPr>
            </w:pPr>
            <w:r>
              <w:rPr>
                <w:rFonts w:ascii="Arial" w:cs="Arial" w:eastAsia="Arial" w:hAnsi="Arial"/>
                <w:sz w:val="18"/>
                <w:szCs w:val="18"/>
                <w:color w:val="auto"/>
              </w:rPr>
              <w:t>828</w:t>
            </w:r>
          </w:p>
        </w:tc>
        <w:tc>
          <w:tcPr>
            <w:tcW w:w="120" w:type="dxa"/>
            <w:vAlign w:val="bottom"/>
            <w:shd w:val="clear" w:color="auto" w:fill="DBDBDB"/>
          </w:tcPr>
          <w:p>
            <w:pPr>
              <w:spacing w:after="0"/>
              <w:rPr>
                <w:sz w:val="19"/>
                <w:szCs w:val="19"/>
                <w:color w:val="auto"/>
              </w:rPr>
            </w:pPr>
          </w:p>
        </w:tc>
        <w:tc>
          <w:tcPr>
            <w:tcW w:w="120" w:type="dxa"/>
            <w:vAlign w:val="bottom"/>
            <w:tcBorders>
              <w:bottom w:val="single" w:sz="8" w:color="auto"/>
            </w:tcBorders>
            <w:gridSpan w:val="2"/>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tcBorders>
            <w:shd w:val="clear" w:color="auto" w:fill="DBDBDB"/>
          </w:tcPr>
          <w:p>
            <w:pPr>
              <w:spacing w:after="0"/>
              <w:rPr>
                <w:sz w:val="19"/>
                <w:szCs w:val="19"/>
                <w:color w:val="auto"/>
              </w:rPr>
            </w:pPr>
          </w:p>
        </w:tc>
        <w:tc>
          <w:tcPr>
            <w:tcW w:w="1300" w:type="dxa"/>
            <w:vAlign w:val="bottom"/>
            <w:tcBorders>
              <w:bottom w:val="single" w:sz="8" w:color="auto"/>
            </w:tcBorders>
            <w:shd w:val="clear" w:color="auto" w:fill="DBDBDB"/>
          </w:tcPr>
          <w:p>
            <w:pPr>
              <w:jc w:val="right"/>
              <w:ind w:right="151"/>
              <w:spacing w:after="0"/>
              <w:rPr>
                <w:sz w:val="20"/>
                <w:szCs w:val="20"/>
                <w:color w:val="auto"/>
              </w:rPr>
            </w:pPr>
            <w:r>
              <w:rPr>
                <w:rFonts w:ascii="Arial" w:cs="Arial" w:eastAsia="Arial" w:hAnsi="Arial"/>
                <w:sz w:val="18"/>
                <w:szCs w:val="18"/>
                <w:color w:val="auto"/>
              </w:rPr>
              <w:t>705</w:t>
            </w:r>
          </w:p>
        </w:tc>
      </w:tr>
      <w:tr>
        <w:trPr>
          <w:trHeight w:val="169"/>
        </w:trPr>
        <w:tc>
          <w:tcPr>
            <w:tcW w:w="20" w:type="dxa"/>
            <w:vAlign w:val="bottom"/>
          </w:tcPr>
          <w:p>
            <w:pPr>
              <w:spacing w:after="0"/>
              <w:rPr>
                <w:sz w:val="14"/>
                <w:szCs w:val="14"/>
                <w:color w:val="auto"/>
              </w:rPr>
            </w:pPr>
          </w:p>
        </w:tc>
        <w:tc>
          <w:tcPr>
            <w:tcW w:w="7980" w:type="dxa"/>
            <w:vAlign w:val="bottom"/>
            <w:gridSpan w:val="3"/>
          </w:tcPr>
          <w:p>
            <w:pPr>
              <w:spacing w:after="0" w:line="169" w:lineRule="exact"/>
              <w:rPr>
                <w:sz w:val="20"/>
                <w:szCs w:val="20"/>
                <w:color w:val="auto"/>
              </w:rPr>
            </w:pPr>
            <w:r>
              <w:rPr>
                <w:rFonts w:ascii="Arial" w:cs="Arial" w:eastAsia="Arial" w:hAnsi="Arial"/>
                <w:sz w:val="18"/>
                <w:szCs w:val="18"/>
                <w:color w:val="auto"/>
              </w:rPr>
              <w:t>Finance leases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30"/>
        </w:trPr>
        <w:tc>
          <w:tcPr>
            <w:tcW w:w="20" w:type="dxa"/>
            <w:vAlign w:val="bottom"/>
            <w:shd w:val="clear" w:color="auto" w:fill="DDDDDD"/>
          </w:tcPr>
          <w:p>
            <w:pPr>
              <w:spacing w:after="0"/>
              <w:rPr>
                <w:sz w:val="19"/>
                <w:szCs w:val="19"/>
                <w:color w:val="auto"/>
              </w:rPr>
            </w:pPr>
          </w:p>
        </w:tc>
        <w:tc>
          <w:tcPr>
            <w:tcW w:w="7980" w:type="dxa"/>
            <w:vAlign w:val="bottom"/>
            <w:gridSpan w:val="3"/>
            <w:shd w:val="clear" w:color="auto" w:fill="DDDDDD"/>
          </w:tcPr>
          <w:p>
            <w:pPr>
              <w:ind w:left="200"/>
              <w:spacing w:after="0"/>
              <w:rPr>
                <w:sz w:val="20"/>
                <w:szCs w:val="20"/>
                <w:color w:val="auto"/>
              </w:rPr>
            </w:pPr>
            <w:r>
              <w:rPr>
                <w:rFonts w:ascii="Arial" w:cs="Arial" w:eastAsia="Arial" w:hAnsi="Arial"/>
                <w:sz w:val="18"/>
                <w:szCs w:val="18"/>
                <w:color w:val="auto"/>
              </w:rPr>
              <w:t>Property, plant and equipment</w:t>
            </w:r>
          </w:p>
        </w:tc>
        <w:tc>
          <w:tcPr>
            <w:tcW w:w="24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DDDDDD"/>
          </w:tcPr>
          <w:p>
            <w:pPr>
              <w:spacing w:after="0"/>
              <w:rPr>
                <w:sz w:val="19"/>
                <w:szCs w:val="19"/>
                <w:color w:val="auto"/>
              </w:rPr>
            </w:pPr>
          </w:p>
        </w:tc>
        <w:tc>
          <w:tcPr>
            <w:tcW w:w="1200" w:type="dxa"/>
            <w:vAlign w:val="bottom"/>
            <w:shd w:val="clear" w:color="auto" w:fill="DDDDDD"/>
          </w:tcPr>
          <w:p>
            <w:pPr>
              <w:jc w:val="right"/>
              <w:ind w:right="152"/>
              <w:spacing w:after="0"/>
              <w:rPr>
                <w:sz w:val="20"/>
                <w:szCs w:val="20"/>
                <w:color w:val="auto"/>
              </w:rPr>
            </w:pPr>
            <w:r>
              <w:rPr>
                <w:rFonts w:ascii="Arial" w:cs="Arial" w:eastAsia="Arial" w:hAnsi="Arial"/>
                <w:sz w:val="18"/>
                <w:szCs w:val="18"/>
                <w:color w:val="auto"/>
              </w:rPr>
              <w:t>357</w:t>
            </w:r>
          </w:p>
        </w:tc>
        <w:tc>
          <w:tcPr>
            <w:tcW w:w="120" w:type="dxa"/>
            <w:vAlign w:val="bottom"/>
            <w:shd w:val="clear" w:color="auto" w:fill="DBDBDB"/>
          </w:tcPr>
          <w:p>
            <w:pPr>
              <w:spacing w:after="0"/>
              <w:rPr>
                <w:sz w:val="19"/>
                <w:szCs w:val="19"/>
                <w:color w:val="auto"/>
              </w:rPr>
            </w:pPr>
          </w:p>
        </w:tc>
        <w:tc>
          <w:tcPr>
            <w:tcW w:w="12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DBDBDB"/>
          </w:tcPr>
          <w:p>
            <w:pPr>
              <w:spacing w:after="0"/>
              <w:rPr>
                <w:sz w:val="19"/>
                <w:szCs w:val="19"/>
                <w:color w:val="auto"/>
              </w:rPr>
            </w:pPr>
          </w:p>
        </w:tc>
        <w:tc>
          <w:tcPr>
            <w:tcW w:w="1300" w:type="dxa"/>
            <w:vAlign w:val="bottom"/>
            <w:shd w:val="clear" w:color="auto" w:fill="DBDBDB"/>
          </w:tcPr>
          <w:p>
            <w:pPr>
              <w:jc w:val="right"/>
              <w:ind w:right="151"/>
              <w:spacing w:after="0"/>
              <w:rPr>
                <w:sz w:val="20"/>
                <w:szCs w:val="20"/>
                <w:color w:val="auto"/>
              </w:rPr>
            </w:pPr>
            <w:r>
              <w:rPr>
                <w:rFonts w:ascii="Arial" w:cs="Arial" w:eastAsia="Arial" w:hAnsi="Arial"/>
                <w:sz w:val="18"/>
                <w:szCs w:val="18"/>
                <w:color w:val="auto"/>
              </w:rPr>
              <w:t>361</w:t>
            </w:r>
          </w:p>
        </w:tc>
      </w:tr>
      <w:tr>
        <w:trPr>
          <w:trHeight w:val="229"/>
        </w:trPr>
        <w:tc>
          <w:tcPr>
            <w:tcW w:w="20" w:type="dxa"/>
            <w:vAlign w:val="bottom"/>
            <w:tcBorders>
              <w:bottom w:val="single" w:sz="8" w:color="DDDDDD"/>
            </w:tcBorders>
          </w:tcPr>
          <w:p>
            <w:pPr>
              <w:spacing w:after="0"/>
              <w:rPr>
                <w:sz w:val="19"/>
                <w:szCs w:val="19"/>
                <w:color w:val="auto"/>
              </w:rPr>
            </w:pPr>
          </w:p>
        </w:tc>
        <w:tc>
          <w:tcPr>
            <w:tcW w:w="7980" w:type="dxa"/>
            <w:vAlign w:val="bottom"/>
            <w:tcBorders>
              <w:bottom w:val="single" w:sz="8" w:color="DDDDDD"/>
            </w:tcBorders>
            <w:gridSpan w:val="3"/>
          </w:tcPr>
          <w:p>
            <w:pPr>
              <w:ind w:left="200"/>
              <w:spacing w:after="0"/>
              <w:rPr>
                <w:sz w:val="20"/>
                <w:szCs w:val="20"/>
                <w:color w:val="auto"/>
              </w:rPr>
            </w:pPr>
            <w:r>
              <w:rPr>
                <w:rFonts w:ascii="Arial" w:cs="Arial" w:eastAsia="Arial" w:hAnsi="Arial"/>
                <w:sz w:val="18"/>
                <w:szCs w:val="18"/>
                <w:color w:val="auto"/>
              </w:rPr>
              <w:t>Accumulated depreciation</w:t>
            </w: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(180)</w:t>
            </w:r>
          </w:p>
        </w:tc>
        <w:tc>
          <w:tcPr>
            <w:tcW w:w="120" w:type="dxa"/>
            <w:vAlign w:val="bottom"/>
            <w:tcBorders>
              <w:bottom w:val="single" w:sz="8" w:color="DBDBDB"/>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(152)</w:t>
            </w:r>
          </w:p>
        </w:tc>
      </w:tr>
      <w:tr>
        <w:trPr>
          <w:trHeight w:val="223"/>
        </w:trPr>
        <w:tc>
          <w:tcPr>
            <w:tcW w:w="20" w:type="dxa"/>
            <w:vAlign w:val="bottom"/>
            <w:shd w:val="clear" w:color="auto" w:fill="DDDDDD"/>
          </w:tcPr>
          <w:p>
            <w:pPr>
              <w:spacing w:after="0"/>
              <w:rPr>
                <w:sz w:val="19"/>
                <w:szCs w:val="19"/>
                <w:color w:val="auto"/>
              </w:rPr>
            </w:pPr>
          </w:p>
        </w:tc>
        <w:tc>
          <w:tcPr>
            <w:tcW w:w="7980" w:type="dxa"/>
            <w:vAlign w:val="bottom"/>
            <w:gridSpan w:val="3"/>
            <w:shd w:val="clear" w:color="auto" w:fill="DDDDDD"/>
          </w:tcPr>
          <w:p>
            <w:pPr>
              <w:spacing w:after="0"/>
              <w:rPr>
                <w:sz w:val="20"/>
                <w:szCs w:val="20"/>
                <w:color w:val="auto"/>
              </w:rPr>
            </w:pPr>
            <w:r>
              <w:rPr>
                <w:rFonts w:ascii="Arial" w:cs="Arial" w:eastAsia="Arial" w:hAnsi="Arial"/>
                <w:sz w:val="18"/>
                <w:szCs w:val="18"/>
                <w:color w:val="auto"/>
              </w:rPr>
              <w:t>Property, plant and equipment—net</w:t>
            </w:r>
          </w:p>
        </w:tc>
        <w:tc>
          <w:tcPr>
            <w:tcW w:w="240" w:type="dxa"/>
            <w:vAlign w:val="bottom"/>
            <w:tcBorders>
              <w:bottom w:val="single" w:sz="8" w:color="auto"/>
            </w:tcBorders>
            <w:shd w:val="clear" w:color="auto" w:fill="DDDDDD"/>
          </w:tcPr>
          <w:p>
            <w:pPr>
              <w:jc w:val="right"/>
              <w:ind w:right="3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DDDDDD"/>
          </w:tcPr>
          <w:p>
            <w:pPr>
              <w:spacing w:after="0"/>
              <w:rPr>
                <w:sz w:val="19"/>
                <w:szCs w:val="19"/>
                <w:color w:val="auto"/>
              </w:rPr>
            </w:pPr>
          </w:p>
        </w:tc>
        <w:tc>
          <w:tcPr>
            <w:tcW w:w="1200" w:type="dxa"/>
            <w:vAlign w:val="bottom"/>
            <w:tcBorders>
              <w:bottom w:val="single" w:sz="8" w:color="auto"/>
            </w:tcBorders>
            <w:shd w:val="clear" w:color="auto" w:fill="DDDDDD"/>
          </w:tcPr>
          <w:p>
            <w:pPr>
              <w:jc w:val="right"/>
              <w:ind w:right="152"/>
              <w:spacing w:after="0"/>
              <w:rPr>
                <w:sz w:val="20"/>
                <w:szCs w:val="20"/>
                <w:color w:val="auto"/>
              </w:rPr>
            </w:pPr>
            <w:r>
              <w:rPr>
                <w:rFonts w:ascii="Arial" w:cs="Arial" w:eastAsia="Arial" w:hAnsi="Arial"/>
                <w:sz w:val="18"/>
                <w:szCs w:val="18"/>
                <w:color w:val="auto"/>
              </w:rPr>
              <w:t>177</w:t>
            </w:r>
          </w:p>
        </w:tc>
        <w:tc>
          <w:tcPr>
            <w:tcW w:w="120" w:type="dxa"/>
            <w:vAlign w:val="bottom"/>
            <w:shd w:val="clear" w:color="auto" w:fill="DBDBDB"/>
          </w:tcPr>
          <w:p>
            <w:pPr>
              <w:spacing w:after="0"/>
              <w:rPr>
                <w:sz w:val="19"/>
                <w:szCs w:val="19"/>
                <w:color w:val="auto"/>
              </w:rPr>
            </w:pPr>
          </w:p>
        </w:tc>
        <w:tc>
          <w:tcPr>
            <w:tcW w:w="120" w:type="dxa"/>
            <w:vAlign w:val="bottom"/>
            <w:tcBorders>
              <w:bottom w:val="single" w:sz="8" w:color="auto"/>
            </w:tcBorders>
            <w:gridSpan w:val="2"/>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tcBorders>
            <w:shd w:val="clear" w:color="auto" w:fill="DBDBDB"/>
          </w:tcPr>
          <w:p>
            <w:pPr>
              <w:spacing w:after="0"/>
              <w:rPr>
                <w:sz w:val="19"/>
                <w:szCs w:val="19"/>
                <w:color w:val="auto"/>
              </w:rPr>
            </w:pPr>
          </w:p>
        </w:tc>
        <w:tc>
          <w:tcPr>
            <w:tcW w:w="1300" w:type="dxa"/>
            <w:vAlign w:val="bottom"/>
            <w:tcBorders>
              <w:bottom w:val="single" w:sz="8" w:color="auto"/>
            </w:tcBorders>
            <w:shd w:val="clear" w:color="auto" w:fill="DBDBDB"/>
          </w:tcPr>
          <w:p>
            <w:pPr>
              <w:jc w:val="right"/>
              <w:ind w:right="151"/>
              <w:spacing w:after="0"/>
              <w:rPr>
                <w:sz w:val="20"/>
                <w:szCs w:val="20"/>
                <w:color w:val="auto"/>
              </w:rPr>
            </w:pPr>
            <w:r>
              <w:rPr>
                <w:rFonts w:ascii="Arial" w:cs="Arial" w:eastAsia="Arial" w:hAnsi="Arial"/>
                <w:sz w:val="18"/>
                <w:szCs w:val="18"/>
                <w:color w:val="auto"/>
              </w:rPr>
              <w:t>209</w:t>
            </w:r>
          </w:p>
        </w:tc>
      </w:tr>
      <w:tr>
        <w:trPr>
          <w:trHeight w:val="223"/>
        </w:trPr>
        <w:tc>
          <w:tcPr>
            <w:tcW w:w="20" w:type="dxa"/>
            <w:vAlign w:val="bottom"/>
          </w:tcPr>
          <w:p>
            <w:pPr>
              <w:spacing w:after="0"/>
              <w:rPr>
                <w:sz w:val="19"/>
                <w:szCs w:val="19"/>
                <w:color w:val="auto"/>
              </w:rPr>
            </w:pPr>
          </w:p>
        </w:tc>
        <w:tc>
          <w:tcPr>
            <w:tcW w:w="7980" w:type="dxa"/>
            <w:vAlign w:val="bottom"/>
            <w:gridSpan w:val="3"/>
          </w:tcPr>
          <w:p>
            <w:pPr>
              <w:ind w:left="200"/>
              <w:spacing w:after="0"/>
              <w:rPr>
                <w:sz w:val="20"/>
                <w:szCs w:val="20"/>
                <w:color w:val="auto"/>
              </w:rPr>
            </w:pPr>
            <w:r>
              <w:rPr>
                <w:rFonts w:ascii="Arial" w:cs="Arial" w:eastAsia="Arial" w:hAnsi="Arial"/>
                <w:sz w:val="18"/>
                <w:szCs w:val="18"/>
                <w:color w:val="auto"/>
              </w:rPr>
              <w:t>Current maturities of long-term debt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ind w:right="151"/>
              <w:spacing w:after="0"/>
              <w:rPr>
                <w:sz w:val="20"/>
                <w:szCs w:val="20"/>
                <w:color w:val="auto"/>
              </w:rPr>
            </w:pPr>
            <w:r>
              <w:rPr>
                <w:rFonts w:ascii="Arial" w:cs="Arial" w:eastAsia="Arial" w:hAnsi="Arial"/>
                <w:sz w:val="18"/>
                <w:szCs w:val="18"/>
                <w:color w:val="auto"/>
              </w:rPr>
              <w:t>59</w:t>
            </w:r>
          </w:p>
        </w:tc>
      </w:tr>
      <w:tr>
        <w:trPr>
          <w:trHeight w:val="229"/>
        </w:trPr>
        <w:tc>
          <w:tcPr>
            <w:tcW w:w="20" w:type="dxa"/>
            <w:vAlign w:val="bottom"/>
            <w:shd w:val="clear" w:color="auto" w:fill="DDDDDD"/>
          </w:tcPr>
          <w:p>
            <w:pPr>
              <w:spacing w:after="0"/>
              <w:rPr>
                <w:sz w:val="19"/>
                <w:szCs w:val="19"/>
                <w:color w:val="auto"/>
              </w:rPr>
            </w:pPr>
          </w:p>
        </w:tc>
        <w:tc>
          <w:tcPr>
            <w:tcW w:w="7980" w:type="dxa"/>
            <w:vAlign w:val="bottom"/>
            <w:gridSpan w:val="3"/>
            <w:shd w:val="clear" w:color="auto" w:fill="DDDDDD"/>
          </w:tcPr>
          <w:p>
            <w:pPr>
              <w:ind w:left="200"/>
              <w:spacing w:after="0"/>
              <w:rPr>
                <w:sz w:val="20"/>
                <w:szCs w:val="20"/>
                <w:color w:val="auto"/>
              </w:rPr>
            </w:pPr>
            <w:r>
              <w:rPr>
                <w:rFonts w:ascii="Arial" w:cs="Arial" w:eastAsia="Arial" w:hAnsi="Arial"/>
                <w:sz w:val="18"/>
                <w:szCs w:val="18"/>
                <w:color w:val="auto"/>
              </w:rPr>
              <w:t>Long-term debt</w:t>
            </w:r>
          </w:p>
        </w:tc>
        <w:tc>
          <w:tcPr>
            <w:tcW w:w="240" w:type="dxa"/>
            <w:vAlign w:val="bottom"/>
            <w:tcBorders>
              <w:bottom w:val="single" w:sz="8" w:color="auto"/>
            </w:tcBorders>
            <w:shd w:val="clear" w:color="auto" w:fill="DDDDDD"/>
          </w:tcPr>
          <w:p>
            <w:pPr>
              <w:spacing w:after="0"/>
              <w:rPr>
                <w:sz w:val="19"/>
                <w:szCs w:val="19"/>
                <w:color w:val="auto"/>
              </w:rPr>
            </w:pPr>
          </w:p>
        </w:tc>
        <w:tc>
          <w:tcPr>
            <w:tcW w:w="120" w:type="dxa"/>
            <w:vAlign w:val="bottom"/>
            <w:tcBorders>
              <w:bottom w:val="single" w:sz="8" w:color="auto"/>
            </w:tcBorders>
            <w:shd w:val="clear" w:color="auto" w:fill="DDDDDD"/>
          </w:tcPr>
          <w:p>
            <w:pPr>
              <w:spacing w:after="0"/>
              <w:rPr>
                <w:sz w:val="19"/>
                <w:szCs w:val="19"/>
                <w:color w:val="auto"/>
              </w:rPr>
            </w:pPr>
          </w:p>
        </w:tc>
        <w:tc>
          <w:tcPr>
            <w:tcW w:w="1200" w:type="dxa"/>
            <w:vAlign w:val="bottom"/>
            <w:tcBorders>
              <w:bottom w:val="single" w:sz="8" w:color="auto"/>
            </w:tcBorders>
            <w:shd w:val="clear" w:color="auto" w:fill="DDDDDD"/>
          </w:tcPr>
          <w:p>
            <w:pPr>
              <w:jc w:val="right"/>
              <w:ind w:right="152"/>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DBDBDB"/>
          </w:tcPr>
          <w:p>
            <w:pPr>
              <w:spacing w:after="0"/>
              <w:rPr>
                <w:sz w:val="19"/>
                <w:szCs w:val="19"/>
                <w:color w:val="auto"/>
              </w:rPr>
            </w:pPr>
          </w:p>
        </w:tc>
        <w:tc>
          <w:tcPr>
            <w:tcW w:w="20" w:type="dxa"/>
            <w:vAlign w:val="bottom"/>
            <w:tcBorders>
              <w:bottom w:val="single" w:sz="8" w:color="auto"/>
            </w:tcBorders>
            <w:shd w:val="clear" w:color="auto" w:fill="DBDBDB"/>
          </w:tcPr>
          <w:p>
            <w:pPr>
              <w:spacing w:after="0"/>
              <w:rPr>
                <w:sz w:val="19"/>
                <w:szCs w:val="19"/>
                <w:color w:val="auto"/>
              </w:rPr>
            </w:pPr>
          </w:p>
        </w:tc>
        <w:tc>
          <w:tcPr>
            <w:tcW w:w="100" w:type="dxa"/>
            <w:vAlign w:val="bottom"/>
            <w:tcBorders>
              <w:bottom w:val="single" w:sz="8" w:color="auto"/>
            </w:tcBorders>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spacing w:after="0"/>
              <w:rPr>
                <w:sz w:val="19"/>
                <w:szCs w:val="19"/>
                <w:color w:val="auto"/>
              </w:rPr>
            </w:pPr>
          </w:p>
        </w:tc>
        <w:tc>
          <w:tcPr>
            <w:tcW w:w="1300" w:type="dxa"/>
            <w:vAlign w:val="bottom"/>
            <w:tcBorders>
              <w:bottom w:val="single" w:sz="8" w:color="auto"/>
            </w:tcBorders>
            <w:shd w:val="clear" w:color="auto" w:fill="DBDBDB"/>
          </w:tcPr>
          <w:p>
            <w:pPr>
              <w:jc w:val="right"/>
              <w:ind w:right="151"/>
              <w:spacing w:after="0"/>
              <w:rPr>
                <w:sz w:val="20"/>
                <w:szCs w:val="20"/>
                <w:color w:val="auto"/>
              </w:rPr>
            </w:pPr>
            <w:r>
              <w:rPr>
                <w:rFonts w:ascii="Arial" w:cs="Arial" w:eastAsia="Arial" w:hAnsi="Arial"/>
                <w:sz w:val="18"/>
                <w:szCs w:val="18"/>
                <w:color w:val="auto"/>
              </w:rPr>
              <w:t>156</w:t>
            </w:r>
          </w:p>
        </w:tc>
      </w:tr>
      <w:tr>
        <w:trPr>
          <w:trHeight w:val="223"/>
        </w:trPr>
        <w:tc>
          <w:tcPr>
            <w:tcW w:w="20" w:type="dxa"/>
            <w:vAlign w:val="bottom"/>
            <w:tcBorders>
              <w:bottom w:val="single" w:sz="8" w:color="DDDDDD"/>
            </w:tcBorders>
          </w:tcPr>
          <w:p>
            <w:pPr>
              <w:spacing w:after="0"/>
              <w:rPr>
                <w:sz w:val="19"/>
                <w:szCs w:val="19"/>
                <w:color w:val="auto"/>
              </w:rPr>
            </w:pPr>
          </w:p>
        </w:tc>
        <w:tc>
          <w:tcPr>
            <w:tcW w:w="7980" w:type="dxa"/>
            <w:vAlign w:val="bottom"/>
            <w:tcBorders>
              <w:bottom w:val="single" w:sz="8" w:color="DDDDDD"/>
            </w:tcBorders>
            <w:gridSpan w:val="3"/>
          </w:tcPr>
          <w:p>
            <w:pPr>
              <w:spacing w:after="0"/>
              <w:rPr>
                <w:sz w:val="20"/>
                <w:szCs w:val="20"/>
                <w:color w:val="auto"/>
              </w:rPr>
            </w:pPr>
            <w:r>
              <w:rPr>
                <w:rFonts w:ascii="Arial" w:cs="Arial" w:eastAsia="Arial" w:hAnsi="Arial"/>
                <w:sz w:val="18"/>
                <w:szCs w:val="18"/>
                <w:color w:val="auto"/>
              </w:rPr>
              <w:t>Total finance lease liabilities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184</w:t>
            </w:r>
          </w:p>
        </w:tc>
        <w:tc>
          <w:tcPr>
            <w:tcW w:w="120" w:type="dxa"/>
            <w:vAlign w:val="bottom"/>
            <w:tcBorders>
              <w:bottom w:val="single" w:sz="8" w:color="DBDBDB"/>
            </w:tcBorders>
          </w:tcPr>
          <w:p>
            <w:pPr>
              <w:spacing w:after="0"/>
              <w:rPr>
                <w:sz w:val="19"/>
                <w:szCs w:val="19"/>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215</w:t>
            </w:r>
          </w:p>
        </w:tc>
      </w:tr>
      <w:tr>
        <w:trPr>
          <w:trHeight w:val="209"/>
        </w:trPr>
        <w:tc>
          <w:tcPr>
            <w:tcW w:w="20" w:type="dxa"/>
            <w:vAlign w:val="bottom"/>
            <w:shd w:val="clear" w:color="auto" w:fill="DDDDDD"/>
          </w:tcPr>
          <w:p>
            <w:pPr>
              <w:spacing w:after="0"/>
              <w:rPr>
                <w:sz w:val="18"/>
                <w:szCs w:val="18"/>
                <w:color w:val="auto"/>
              </w:rPr>
            </w:pPr>
          </w:p>
        </w:tc>
        <w:tc>
          <w:tcPr>
            <w:tcW w:w="7980" w:type="dxa"/>
            <w:vAlign w:val="bottom"/>
            <w:gridSpan w:val="3"/>
            <w:shd w:val="clear" w:color="auto" w:fill="DDDDDD"/>
          </w:tcPr>
          <w:p>
            <w:pPr>
              <w:spacing w:after="0"/>
              <w:rPr>
                <w:sz w:val="20"/>
                <w:szCs w:val="20"/>
                <w:color w:val="auto"/>
              </w:rPr>
            </w:pPr>
            <w:r>
              <w:rPr>
                <w:rFonts w:ascii="Arial" w:cs="Arial" w:eastAsia="Arial" w:hAnsi="Arial"/>
                <w:sz w:val="18"/>
                <w:szCs w:val="18"/>
                <w:color w:val="auto"/>
              </w:rPr>
              <w:t>Weighted-average remaining lease term</w:t>
            </w:r>
          </w:p>
        </w:tc>
        <w:tc>
          <w:tcPr>
            <w:tcW w:w="24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1200" w:type="dxa"/>
            <w:vAlign w:val="bottom"/>
            <w:shd w:val="clear" w:color="auto" w:fill="DDDDDD"/>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300" w:type="dxa"/>
            <w:vAlign w:val="bottom"/>
            <w:shd w:val="clear" w:color="auto" w:fill="DBDBDB"/>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7980" w:type="dxa"/>
            <w:vAlign w:val="bottom"/>
            <w:gridSpan w:val="3"/>
          </w:tcPr>
          <w:p>
            <w:pPr>
              <w:ind w:left="200"/>
              <w:spacing w:after="0"/>
              <w:rPr>
                <w:sz w:val="20"/>
                <w:szCs w:val="20"/>
                <w:color w:val="auto"/>
              </w:rPr>
            </w:pPr>
            <w:r>
              <w:rPr>
                <w:rFonts w:ascii="Arial" w:cs="Arial" w:eastAsia="Arial" w:hAnsi="Arial"/>
                <w:sz w:val="18"/>
                <w:szCs w:val="18"/>
                <w:color w:val="auto"/>
              </w:rPr>
              <w:t>Operating leases</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ind w:left="600"/>
              <w:spacing w:after="0"/>
              <w:rPr>
                <w:sz w:val="20"/>
                <w:szCs w:val="20"/>
                <w:color w:val="auto"/>
              </w:rPr>
            </w:pPr>
            <w:r>
              <w:rPr>
                <w:rFonts w:ascii="Arial" w:cs="Arial" w:eastAsia="Arial" w:hAnsi="Arial"/>
                <w:sz w:val="18"/>
                <w:szCs w:val="18"/>
                <w:color w:val="auto"/>
              </w:rPr>
              <w:t>7 years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ind w:left="700"/>
              <w:spacing w:after="0"/>
              <w:rPr>
                <w:sz w:val="20"/>
                <w:szCs w:val="20"/>
                <w:color w:val="auto"/>
              </w:rPr>
            </w:pPr>
            <w:r>
              <w:rPr>
                <w:rFonts w:ascii="Arial" w:cs="Arial" w:eastAsia="Arial" w:hAnsi="Arial"/>
                <w:sz w:val="18"/>
                <w:szCs w:val="18"/>
                <w:color w:val="auto"/>
                <w:w w:val="98"/>
              </w:rPr>
              <w:t>6 years</w:t>
            </w:r>
          </w:p>
        </w:tc>
      </w:tr>
      <w:tr>
        <w:trPr>
          <w:trHeight w:val="229"/>
        </w:trPr>
        <w:tc>
          <w:tcPr>
            <w:tcW w:w="20" w:type="dxa"/>
            <w:vAlign w:val="bottom"/>
            <w:shd w:val="clear" w:color="auto" w:fill="DDDDDD"/>
          </w:tcPr>
          <w:p>
            <w:pPr>
              <w:spacing w:after="0"/>
              <w:rPr>
                <w:sz w:val="19"/>
                <w:szCs w:val="19"/>
                <w:color w:val="auto"/>
              </w:rPr>
            </w:pPr>
          </w:p>
        </w:tc>
        <w:tc>
          <w:tcPr>
            <w:tcW w:w="7980" w:type="dxa"/>
            <w:vAlign w:val="bottom"/>
            <w:gridSpan w:val="3"/>
            <w:shd w:val="clear" w:color="auto" w:fill="DDDDDD"/>
          </w:tcPr>
          <w:p>
            <w:pPr>
              <w:ind w:left="200"/>
              <w:spacing w:after="0"/>
              <w:rPr>
                <w:sz w:val="20"/>
                <w:szCs w:val="20"/>
                <w:color w:val="auto"/>
              </w:rPr>
            </w:pPr>
            <w:r>
              <w:rPr>
                <w:rFonts w:ascii="Arial" w:cs="Arial" w:eastAsia="Arial" w:hAnsi="Arial"/>
                <w:sz w:val="18"/>
                <w:szCs w:val="18"/>
                <w:color w:val="auto"/>
              </w:rPr>
              <w:t>Finance leases</w:t>
            </w:r>
          </w:p>
        </w:tc>
        <w:tc>
          <w:tcPr>
            <w:tcW w:w="24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1200" w:type="dxa"/>
            <w:vAlign w:val="bottom"/>
            <w:shd w:val="clear" w:color="auto" w:fill="DDDDDD"/>
          </w:tcPr>
          <w:p>
            <w:pPr>
              <w:ind w:left="600"/>
              <w:spacing w:after="0"/>
              <w:rPr>
                <w:sz w:val="20"/>
                <w:szCs w:val="20"/>
                <w:color w:val="auto"/>
              </w:rPr>
            </w:pPr>
            <w:r>
              <w:rPr>
                <w:rFonts w:ascii="Arial" w:cs="Arial" w:eastAsia="Arial" w:hAnsi="Arial"/>
                <w:sz w:val="18"/>
                <w:szCs w:val="18"/>
                <w:color w:val="auto"/>
                <w:w w:val="98"/>
              </w:rPr>
              <w:t>3 years</w:t>
            </w:r>
          </w:p>
        </w:tc>
        <w:tc>
          <w:tcPr>
            <w:tcW w:w="12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300" w:type="dxa"/>
            <w:vAlign w:val="bottom"/>
            <w:shd w:val="clear" w:color="auto" w:fill="DBDBDB"/>
          </w:tcPr>
          <w:p>
            <w:pPr>
              <w:ind w:left="700"/>
              <w:spacing w:after="0"/>
              <w:rPr>
                <w:sz w:val="20"/>
                <w:szCs w:val="20"/>
                <w:color w:val="auto"/>
              </w:rPr>
            </w:pPr>
            <w:r>
              <w:rPr>
                <w:rFonts w:ascii="Arial" w:cs="Arial" w:eastAsia="Arial" w:hAnsi="Arial"/>
                <w:sz w:val="18"/>
                <w:szCs w:val="18"/>
                <w:color w:val="auto"/>
                <w:w w:val="98"/>
              </w:rPr>
              <w:t>4 years</w:t>
            </w:r>
          </w:p>
        </w:tc>
      </w:tr>
      <w:tr>
        <w:trPr>
          <w:trHeight w:val="230"/>
        </w:trPr>
        <w:tc>
          <w:tcPr>
            <w:tcW w:w="20" w:type="dxa"/>
            <w:vAlign w:val="bottom"/>
          </w:tcPr>
          <w:p>
            <w:pPr>
              <w:spacing w:after="0"/>
              <w:rPr>
                <w:sz w:val="19"/>
                <w:szCs w:val="19"/>
                <w:color w:val="auto"/>
              </w:rPr>
            </w:pPr>
          </w:p>
        </w:tc>
        <w:tc>
          <w:tcPr>
            <w:tcW w:w="7980" w:type="dxa"/>
            <w:vAlign w:val="bottom"/>
            <w:gridSpan w:val="3"/>
          </w:tcPr>
          <w:p>
            <w:pPr>
              <w:spacing w:after="0"/>
              <w:rPr>
                <w:sz w:val="20"/>
                <w:szCs w:val="20"/>
                <w:color w:val="auto"/>
              </w:rPr>
            </w:pPr>
            <w:r>
              <w:rPr>
                <w:rFonts w:ascii="Arial" w:cs="Arial" w:eastAsia="Arial" w:hAnsi="Arial"/>
                <w:sz w:val="18"/>
                <w:szCs w:val="18"/>
                <w:color w:val="auto"/>
              </w:rPr>
              <w:t>Weighted-average discount rate</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20" w:type="dxa"/>
            <w:vAlign w:val="bottom"/>
            <w:shd w:val="clear" w:color="auto" w:fill="DDDDDD"/>
          </w:tcPr>
          <w:p>
            <w:pPr>
              <w:spacing w:after="0"/>
              <w:rPr>
                <w:sz w:val="19"/>
                <w:szCs w:val="19"/>
                <w:color w:val="auto"/>
              </w:rPr>
            </w:pPr>
          </w:p>
        </w:tc>
        <w:tc>
          <w:tcPr>
            <w:tcW w:w="7980" w:type="dxa"/>
            <w:vAlign w:val="bottom"/>
            <w:gridSpan w:val="3"/>
            <w:shd w:val="clear" w:color="auto" w:fill="DDDDDD"/>
          </w:tcPr>
          <w:p>
            <w:pPr>
              <w:ind w:left="200"/>
              <w:spacing w:after="0"/>
              <w:rPr>
                <w:sz w:val="20"/>
                <w:szCs w:val="20"/>
                <w:color w:val="auto"/>
              </w:rPr>
            </w:pPr>
            <w:r>
              <w:rPr>
                <w:rFonts w:ascii="Arial" w:cs="Arial" w:eastAsia="Arial" w:hAnsi="Arial"/>
                <w:sz w:val="18"/>
                <w:szCs w:val="18"/>
                <w:color w:val="auto"/>
              </w:rPr>
              <w:t>Operating leases</w:t>
            </w:r>
          </w:p>
        </w:tc>
        <w:tc>
          <w:tcPr>
            <w:tcW w:w="24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12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2.9 %</w:t>
            </w:r>
          </w:p>
        </w:tc>
        <w:tc>
          <w:tcPr>
            <w:tcW w:w="12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3.3 %</w:t>
            </w:r>
          </w:p>
        </w:tc>
      </w:tr>
      <w:tr>
        <w:trPr>
          <w:trHeight w:val="230"/>
        </w:trPr>
        <w:tc>
          <w:tcPr>
            <w:tcW w:w="20" w:type="dxa"/>
            <w:vAlign w:val="bottom"/>
          </w:tcPr>
          <w:p>
            <w:pPr>
              <w:spacing w:after="0"/>
              <w:rPr>
                <w:sz w:val="19"/>
                <w:szCs w:val="19"/>
                <w:color w:val="auto"/>
              </w:rPr>
            </w:pPr>
          </w:p>
        </w:tc>
        <w:tc>
          <w:tcPr>
            <w:tcW w:w="7980" w:type="dxa"/>
            <w:vAlign w:val="bottom"/>
            <w:gridSpan w:val="3"/>
          </w:tcPr>
          <w:p>
            <w:pPr>
              <w:ind w:left="200"/>
              <w:spacing w:after="0"/>
              <w:rPr>
                <w:sz w:val="20"/>
                <w:szCs w:val="20"/>
                <w:color w:val="auto"/>
              </w:rPr>
            </w:pPr>
            <w:r>
              <w:rPr>
                <w:rFonts w:ascii="Arial" w:cs="Arial" w:eastAsia="Arial" w:hAnsi="Arial"/>
                <w:sz w:val="18"/>
                <w:szCs w:val="18"/>
                <w:color w:val="auto"/>
              </w:rPr>
              <w:t>Finance leases</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16.3 %</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16.2 %</w:t>
            </w:r>
          </w:p>
        </w:tc>
      </w:tr>
      <w:tr>
        <w:trPr>
          <w:trHeight w:val="540"/>
        </w:trPr>
        <w:tc>
          <w:tcPr>
            <w:tcW w:w="8000" w:type="dxa"/>
            <w:vAlign w:val="bottom"/>
            <w:gridSpan w:val="4"/>
          </w:tcPr>
          <w:p>
            <w:pPr>
              <w:spacing w:after="0"/>
              <w:rPr>
                <w:sz w:val="20"/>
                <w:szCs w:val="20"/>
                <w:color w:val="auto"/>
              </w:rPr>
            </w:pPr>
            <w:r>
              <w:rPr>
                <w:rFonts w:ascii="Arial" w:cs="Arial" w:eastAsia="Arial" w:hAnsi="Arial"/>
                <w:sz w:val="18"/>
                <w:szCs w:val="18"/>
                <w:color w:val="auto"/>
              </w:rPr>
              <w:t>As of December 31, 2020, maturities of lease liabilities were as follows:</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23"/>
        </w:trPr>
        <w:tc>
          <w:tcPr>
            <w:tcW w:w="20" w:type="dxa"/>
            <w:vAlign w:val="bottom"/>
            <w:tcBorders>
              <w:bottom w:val="single" w:sz="8" w:color="DDDDDD"/>
            </w:tcBorders>
          </w:tcPr>
          <w:p>
            <w:pPr>
              <w:spacing w:after="0"/>
              <w:rPr>
                <w:sz w:val="19"/>
                <w:szCs w:val="19"/>
                <w:color w:val="auto"/>
              </w:rPr>
            </w:pPr>
          </w:p>
        </w:tc>
        <w:tc>
          <w:tcPr>
            <w:tcW w:w="1220" w:type="dxa"/>
            <w:vAlign w:val="bottom"/>
            <w:tcBorders>
              <w:bottom w:val="single" w:sz="8" w:color="DDDDDD"/>
            </w:tcBorders>
          </w:tcPr>
          <w:p>
            <w:pPr>
              <w:spacing w:after="0"/>
              <w:rPr>
                <w:sz w:val="19"/>
                <w:szCs w:val="19"/>
                <w:color w:val="auto"/>
              </w:rPr>
            </w:pPr>
          </w:p>
        </w:tc>
        <w:tc>
          <w:tcPr>
            <w:tcW w:w="140" w:type="dxa"/>
            <w:vAlign w:val="bottom"/>
            <w:tcBorders>
              <w:bottom w:val="single" w:sz="8" w:color="DDDDDD"/>
            </w:tcBorders>
          </w:tcPr>
          <w:p>
            <w:pPr>
              <w:spacing w:after="0"/>
              <w:rPr>
                <w:sz w:val="19"/>
                <w:szCs w:val="19"/>
                <w:color w:val="auto"/>
              </w:rPr>
            </w:pPr>
          </w:p>
        </w:tc>
        <w:tc>
          <w:tcPr>
            <w:tcW w:w="6620" w:type="dxa"/>
            <w:vAlign w:val="bottom"/>
            <w:tcBorders>
              <w:bottom w:val="single" w:sz="8" w:color="DDDDDD"/>
            </w:tcBorders>
          </w:tcPr>
          <w:p>
            <w:pPr>
              <w:spacing w:after="0"/>
              <w:rPr>
                <w:sz w:val="19"/>
                <w:szCs w:val="19"/>
                <w:color w:val="auto"/>
              </w:rPr>
            </w:pPr>
          </w:p>
        </w:tc>
        <w:tc>
          <w:tcPr>
            <w:tcW w:w="240" w:type="dxa"/>
            <w:vAlign w:val="bottom"/>
            <w:tcBorders>
              <w:bottom w:val="single" w:sz="8" w:color="DDDDDD"/>
            </w:tcBorders>
          </w:tcPr>
          <w:p>
            <w:pPr>
              <w:spacing w:after="0"/>
              <w:rPr>
                <w:sz w:val="19"/>
                <w:szCs w:val="19"/>
                <w:color w:val="auto"/>
              </w:rPr>
            </w:pPr>
          </w:p>
        </w:tc>
        <w:tc>
          <w:tcPr>
            <w:tcW w:w="120" w:type="dxa"/>
            <w:vAlign w:val="bottom"/>
            <w:tcBorders>
              <w:bottom w:val="single" w:sz="8" w:color="DC202E"/>
            </w:tcBorders>
          </w:tcPr>
          <w:p>
            <w:pPr>
              <w:spacing w:after="0"/>
              <w:rPr>
                <w:sz w:val="19"/>
                <w:szCs w:val="19"/>
                <w:color w:val="auto"/>
              </w:rPr>
            </w:pPr>
          </w:p>
        </w:tc>
        <w:tc>
          <w:tcPr>
            <w:tcW w:w="1320" w:type="dxa"/>
            <w:vAlign w:val="bottom"/>
            <w:tcBorders>
              <w:bottom w:val="single" w:sz="8" w:color="DC202E"/>
            </w:tcBorders>
            <w:gridSpan w:val="2"/>
          </w:tcPr>
          <w:p>
            <w:pPr>
              <w:jc w:val="right"/>
              <w:ind w:right="120"/>
              <w:spacing w:after="0"/>
              <w:rPr>
                <w:sz w:val="20"/>
                <w:szCs w:val="20"/>
                <w:color w:val="auto"/>
              </w:rPr>
            </w:pPr>
            <w:r>
              <w:rPr>
                <w:rFonts w:ascii="Arial" w:cs="Arial" w:eastAsia="Arial" w:hAnsi="Arial"/>
                <w:sz w:val="14"/>
                <w:szCs w:val="14"/>
                <w:b w:val="1"/>
                <w:bCs w:val="1"/>
                <w:color w:val="auto"/>
              </w:rPr>
              <w:t>Operating Leases</w:t>
            </w:r>
          </w:p>
        </w:tc>
        <w:tc>
          <w:tcPr>
            <w:tcW w:w="20" w:type="dxa"/>
            <w:vAlign w:val="bottom"/>
            <w:tcBorders>
              <w:bottom w:val="single" w:sz="8" w:color="DC202E"/>
            </w:tcBorders>
          </w:tcPr>
          <w:p>
            <w:pPr>
              <w:spacing w:after="0"/>
              <w:rPr>
                <w:sz w:val="19"/>
                <w:szCs w:val="19"/>
                <w:color w:val="auto"/>
              </w:rPr>
            </w:pPr>
          </w:p>
        </w:tc>
        <w:tc>
          <w:tcPr>
            <w:tcW w:w="100" w:type="dxa"/>
            <w:vAlign w:val="bottom"/>
            <w:tcBorders>
              <w:bottom w:val="single" w:sz="8" w:color="DDDDDD"/>
            </w:tcBorders>
          </w:tcPr>
          <w:p>
            <w:pPr>
              <w:spacing w:after="0"/>
              <w:rPr>
                <w:sz w:val="19"/>
                <w:szCs w:val="19"/>
                <w:color w:val="auto"/>
              </w:rPr>
            </w:pPr>
          </w:p>
        </w:tc>
        <w:tc>
          <w:tcPr>
            <w:tcW w:w="140" w:type="dxa"/>
            <w:vAlign w:val="bottom"/>
            <w:tcBorders>
              <w:bottom w:val="single" w:sz="8" w:color="DC202E"/>
            </w:tcBorders>
          </w:tcPr>
          <w:p>
            <w:pPr>
              <w:spacing w:after="0"/>
              <w:rPr>
                <w:sz w:val="19"/>
                <w:szCs w:val="19"/>
                <w:color w:val="auto"/>
              </w:rPr>
            </w:pPr>
          </w:p>
        </w:tc>
        <w:tc>
          <w:tcPr>
            <w:tcW w:w="1300" w:type="dxa"/>
            <w:vAlign w:val="bottom"/>
            <w:tcBorders>
              <w:bottom w:val="single" w:sz="8" w:color="DC202E"/>
            </w:tcBorders>
          </w:tcPr>
          <w:p>
            <w:pPr>
              <w:jc w:val="right"/>
              <w:ind w:right="91"/>
              <w:spacing w:after="0"/>
              <w:rPr>
                <w:sz w:val="20"/>
                <w:szCs w:val="20"/>
                <w:color w:val="auto"/>
              </w:rPr>
            </w:pPr>
            <w:r>
              <w:rPr>
                <w:rFonts w:ascii="Arial" w:cs="Arial" w:eastAsia="Arial" w:hAnsi="Arial"/>
                <w:sz w:val="14"/>
                <w:szCs w:val="14"/>
                <w:b w:val="1"/>
                <w:bCs w:val="1"/>
                <w:color w:val="auto"/>
              </w:rPr>
              <w:t>Finance Leases</w:t>
            </w:r>
          </w:p>
        </w:tc>
      </w:tr>
      <w:tr>
        <w:trPr>
          <w:trHeight w:val="230"/>
        </w:trPr>
        <w:tc>
          <w:tcPr>
            <w:tcW w:w="1240" w:type="dxa"/>
            <w:vAlign w:val="bottom"/>
            <w:gridSpan w:val="2"/>
            <w:shd w:val="clear" w:color="auto" w:fill="DDDDDD"/>
          </w:tcPr>
          <w:p>
            <w:pPr>
              <w:ind w:left="220"/>
              <w:spacing w:after="0"/>
              <w:rPr>
                <w:sz w:val="20"/>
                <w:szCs w:val="20"/>
                <w:color w:val="auto"/>
              </w:rPr>
            </w:pPr>
            <w:r>
              <w:rPr>
                <w:rFonts w:ascii="Arial" w:cs="Arial" w:eastAsia="Arial" w:hAnsi="Arial"/>
                <w:sz w:val="18"/>
                <w:szCs w:val="18"/>
                <w:color w:val="auto"/>
              </w:rPr>
              <w:t>2021</w:t>
            </w:r>
          </w:p>
        </w:tc>
        <w:tc>
          <w:tcPr>
            <w:tcW w:w="140" w:type="dxa"/>
            <w:vAlign w:val="bottom"/>
            <w:shd w:val="clear" w:color="auto" w:fill="DDDDDD"/>
          </w:tcPr>
          <w:p>
            <w:pPr>
              <w:spacing w:after="0"/>
              <w:rPr>
                <w:sz w:val="19"/>
                <w:szCs w:val="19"/>
                <w:color w:val="auto"/>
              </w:rPr>
            </w:pPr>
          </w:p>
        </w:tc>
        <w:tc>
          <w:tcPr>
            <w:tcW w:w="6620" w:type="dxa"/>
            <w:vAlign w:val="bottom"/>
            <w:shd w:val="clear" w:color="auto" w:fill="DDDDDD"/>
          </w:tcPr>
          <w:p>
            <w:pPr>
              <w:spacing w:after="0"/>
              <w:rPr>
                <w:sz w:val="19"/>
                <w:szCs w:val="19"/>
                <w:color w:val="auto"/>
              </w:rPr>
            </w:pPr>
          </w:p>
        </w:tc>
        <w:tc>
          <w:tcPr>
            <w:tcW w:w="360" w:type="dxa"/>
            <w:vAlign w:val="bottom"/>
            <w:gridSpan w:val="2"/>
            <w:shd w:val="clear" w:color="auto" w:fill="DDDDDD"/>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DDDDDD"/>
          </w:tcPr>
          <w:p>
            <w:pPr>
              <w:jc w:val="right"/>
              <w:ind w:right="60"/>
              <w:spacing w:after="0"/>
              <w:rPr>
                <w:sz w:val="20"/>
                <w:szCs w:val="20"/>
                <w:color w:val="auto"/>
              </w:rPr>
            </w:pPr>
            <w:r>
              <w:rPr>
                <w:rFonts w:ascii="Arial" w:cs="Arial" w:eastAsia="Arial" w:hAnsi="Arial"/>
                <w:sz w:val="18"/>
                <w:szCs w:val="18"/>
                <w:color w:val="auto"/>
              </w:rPr>
              <w:t>204</w:t>
            </w:r>
          </w:p>
        </w:tc>
        <w:tc>
          <w:tcPr>
            <w:tcW w:w="260" w:type="dxa"/>
            <w:vAlign w:val="bottom"/>
            <w:gridSpan w:val="3"/>
            <w:shd w:val="clear" w:color="auto" w:fill="DDDDDD"/>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83</w:t>
            </w:r>
          </w:p>
        </w:tc>
      </w:tr>
      <w:tr>
        <w:trPr>
          <w:trHeight w:val="229"/>
        </w:trPr>
        <w:tc>
          <w:tcPr>
            <w:tcW w:w="1240" w:type="dxa"/>
            <w:vAlign w:val="bottom"/>
            <w:gridSpan w:val="2"/>
          </w:tcPr>
          <w:p>
            <w:pPr>
              <w:ind w:left="220"/>
              <w:spacing w:after="0"/>
              <w:rPr>
                <w:sz w:val="20"/>
                <w:szCs w:val="20"/>
                <w:color w:val="auto"/>
              </w:rPr>
            </w:pPr>
            <w:r>
              <w:rPr>
                <w:rFonts w:ascii="Arial" w:cs="Arial" w:eastAsia="Arial" w:hAnsi="Arial"/>
                <w:sz w:val="18"/>
                <w:szCs w:val="18"/>
                <w:color w:val="auto"/>
              </w:rPr>
              <w:t>2022</w:t>
            </w:r>
          </w:p>
        </w:tc>
        <w:tc>
          <w:tcPr>
            <w:tcW w:w="140" w:type="dxa"/>
            <w:vAlign w:val="bottom"/>
          </w:tcPr>
          <w:p>
            <w:pPr>
              <w:spacing w:after="0"/>
              <w:rPr>
                <w:sz w:val="19"/>
                <w:szCs w:val="19"/>
                <w:color w:val="auto"/>
              </w:rPr>
            </w:pPr>
          </w:p>
        </w:tc>
        <w:tc>
          <w:tcPr>
            <w:tcW w:w="6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169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30"/>
        </w:trPr>
        <w:tc>
          <w:tcPr>
            <w:tcW w:w="1240" w:type="dxa"/>
            <w:vAlign w:val="bottom"/>
            <w:gridSpan w:val="2"/>
            <w:shd w:val="clear" w:color="auto" w:fill="DDDDDD"/>
          </w:tcPr>
          <w:p>
            <w:pPr>
              <w:ind w:left="220"/>
              <w:spacing w:after="0"/>
              <w:rPr>
                <w:sz w:val="20"/>
                <w:szCs w:val="20"/>
                <w:color w:val="auto"/>
              </w:rPr>
            </w:pPr>
            <w:r>
              <w:rPr>
                <w:rFonts w:ascii="Arial" w:cs="Arial" w:eastAsia="Arial" w:hAnsi="Arial"/>
                <w:sz w:val="18"/>
                <w:szCs w:val="18"/>
                <w:color w:val="auto"/>
              </w:rPr>
              <w:t>2023</w:t>
            </w:r>
          </w:p>
        </w:tc>
        <w:tc>
          <w:tcPr>
            <w:tcW w:w="140" w:type="dxa"/>
            <w:vAlign w:val="bottom"/>
            <w:shd w:val="clear" w:color="auto" w:fill="DDDDDD"/>
          </w:tcPr>
          <w:p>
            <w:pPr>
              <w:spacing w:after="0"/>
              <w:rPr>
                <w:sz w:val="19"/>
                <w:szCs w:val="19"/>
                <w:color w:val="auto"/>
              </w:rPr>
            </w:pPr>
          </w:p>
        </w:tc>
        <w:tc>
          <w:tcPr>
            <w:tcW w:w="6620" w:type="dxa"/>
            <w:vAlign w:val="bottom"/>
            <w:shd w:val="clear" w:color="auto" w:fill="DDDDDD"/>
          </w:tcPr>
          <w:p>
            <w:pPr>
              <w:spacing w:after="0"/>
              <w:rPr>
                <w:sz w:val="19"/>
                <w:szCs w:val="19"/>
                <w:color w:val="auto"/>
              </w:rPr>
            </w:pPr>
          </w:p>
        </w:tc>
        <w:tc>
          <w:tcPr>
            <w:tcW w:w="24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1320" w:type="dxa"/>
            <w:vAlign w:val="bottom"/>
            <w:gridSpan w:val="2"/>
            <w:shd w:val="clear" w:color="auto" w:fill="DDDDDD"/>
          </w:tcPr>
          <w:p>
            <w:pPr>
              <w:jc w:val="right"/>
              <w:ind w:right="60"/>
              <w:spacing w:after="0"/>
              <w:rPr>
                <w:sz w:val="20"/>
                <w:szCs w:val="20"/>
                <w:color w:val="auto"/>
              </w:rPr>
            </w:pPr>
            <w:r>
              <w:rPr>
                <w:rFonts w:ascii="Arial" w:cs="Arial" w:eastAsia="Arial" w:hAnsi="Arial"/>
                <w:sz w:val="18"/>
                <w:szCs w:val="18"/>
                <w:color w:val="auto"/>
              </w:rPr>
              <w:t>137</w:t>
            </w:r>
          </w:p>
        </w:tc>
        <w:tc>
          <w:tcPr>
            <w:tcW w:w="2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140" w:type="dxa"/>
            <w:vAlign w:val="bottom"/>
            <w:shd w:val="clear" w:color="auto" w:fill="DDDDDD"/>
          </w:tcPr>
          <w:p>
            <w:pPr>
              <w:spacing w:after="0"/>
              <w:rPr>
                <w:sz w:val="19"/>
                <w:szCs w:val="19"/>
                <w:color w:val="auto"/>
              </w:rPr>
            </w:pPr>
          </w:p>
        </w:tc>
        <w:tc>
          <w:tcPr>
            <w:tcW w:w="13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1240" w:type="dxa"/>
            <w:vAlign w:val="bottom"/>
            <w:gridSpan w:val="2"/>
          </w:tcPr>
          <w:p>
            <w:pPr>
              <w:ind w:left="220"/>
              <w:spacing w:after="0"/>
              <w:rPr>
                <w:sz w:val="20"/>
                <w:szCs w:val="20"/>
                <w:color w:val="auto"/>
              </w:rPr>
            </w:pPr>
            <w:r>
              <w:rPr>
                <w:rFonts w:ascii="Arial" w:cs="Arial" w:eastAsia="Arial" w:hAnsi="Arial"/>
                <w:sz w:val="18"/>
                <w:szCs w:val="18"/>
                <w:color w:val="auto"/>
              </w:rPr>
              <w:t>2024</w:t>
            </w:r>
          </w:p>
        </w:tc>
        <w:tc>
          <w:tcPr>
            <w:tcW w:w="140" w:type="dxa"/>
            <w:vAlign w:val="bottom"/>
          </w:tcPr>
          <w:p>
            <w:pPr>
              <w:spacing w:after="0"/>
              <w:rPr>
                <w:sz w:val="19"/>
                <w:szCs w:val="19"/>
                <w:color w:val="auto"/>
              </w:rPr>
            </w:pPr>
          </w:p>
        </w:tc>
        <w:tc>
          <w:tcPr>
            <w:tcW w:w="6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1240" w:type="dxa"/>
            <w:vAlign w:val="bottom"/>
            <w:gridSpan w:val="2"/>
            <w:shd w:val="clear" w:color="auto" w:fill="DDDDDD"/>
          </w:tcPr>
          <w:p>
            <w:pPr>
              <w:ind w:left="220"/>
              <w:spacing w:after="0"/>
              <w:rPr>
                <w:sz w:val="20"/>
                <w:szCs w:val="20"/>
                <w:color w:val="auto"/>
              </w:rPr>
            </w:pPr>
            <w:r>
              <w:rPr>
                <w:rFonts w:ascii="Arial" w:cs="Arial" w:eastAsia="Arial" w:hAnsi="Arial"/>
                <w:sz w:val="18"/>
                <w:szCs w:val="18"/>
                <w:color w:val="auto"/>
              </w:rPr>
              <w:t>2025</w:t>
            </w:r>
          </w:p>
        </w:tc>
        <w:tc>
          <w:tcPr>
            <w:tcW w:w="140" w:type="dxa"/>
            <w:vAlign w:val="bottom"/>
            <w:shd w:val="clear" w:color="auto" w:fill="DDDDDD"/>
          </w:tcPr>
          <w:p>
            <w:pPr>
              <w:spacing w:after="0"/>
              <w:rPr>
                <w:sz w:val="19"/>
                <w:szCs w:val="19"/>
                <w:color w:val="auto"/>
              </w:rPr>
            </w:pPr>
          </w:p>
        </w:tc>
        <w:tc>
          <w:tcPr>
            <w:tcW w:w="6620" w:type="dxa"/>
            <w:vAlign w:val="bottom"/>
            <w:shd w:val="clear" w:color="auto" w:fill="DDDDDD"/>
          </w:tcPr>
          <w:p>
            <w:pPr>
              <w:spacing w:after="0"/>
              <w:rPr>
                <w:sz w:val="19"/>
                <w:szCs w:val="19"/>
                <w:color w:val="auto"/>
              </w:rPr>
            </w:pPr>
          </w:p>
        </w:tc>
        <w:tc>
          <w:tcPr>
            <w:tcW w:w="24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1320" w:type="dxa"/>
            <w:vAlign w:val="bottom"/>
            <w:gridSpan w:val="2"/>
            <w:shd w:val="clear" w:color="auto" w:fill="DDDDDD"/>
          </w:tcPr>
          <w:p>
            <w:pPr>
              <w:jc w:val="right"/>
              <w:ind w:right="60"/>
              <w:spacing w:after="0"/>
              <w:rPr>
                <w:sz w:val="20"/>
                <w:szCs w:val="20"/>
                <w:color w:val="auto"/>
              </w:rPr>
            </w:pPr>
            <w:r>
              <w:rPr>
                <w:rFonts w:ascii="Arial" w:cs="Arial" w:eastAsia="Arial" w:hAnsi="Arial"/>
                <w:sz w:val="18"/>
                <w:szCs w:val="18"/>
                <w:color w:val="auto"/>
              </w:rPr>
              <w:t>69</w:t>
            </w:r>
          </w:p>
        </w:tc>
        <w:tc>
          <w:tcPr>
            <w:tcW w:w="2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140" w:type="dxa"/>
            <w:vAlign w:val="bottom"/>
            <w:shd w:val="clear" w:color="auto" w:fill="DDDDDD"/>
          </w:tcPr>
          <w:p>
            <w:pPr>
              <w:spacing w:after="0"/>
              <w:rPr>
                <w:sz w:val="19"/>
                <w:szCs w:val="19"/>
                <w:color w:val="auto"/>
              </w:rPr>
            </w:pPr>
          </w:p>
        </w:tc>
        <w:tc>
          <w:tcPr>
            <w:tcW w:w="13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20" w:type="dxa"/>
            <w:vAlign w:val="bottom"/>
            <w:tcBorders>
              <w:bottom w:val="single" w:sz="8" w:color="DDDDDD"/>
            </w:tcBorders>
          </w:tcPr>
          <w:p>
            <w:pPr>
              <w:spacing w:after="0"/>
              <w:rPr>
                <w:sz w:val="19"/>
                <w:szCs w:val="19"/>
                <w:color w:val="auto"/>
              </w:rPr>
            </w:pPr>
          </w:p>
        </w:tc>
        <w:tc>
          <w:tcPr>
            <w:tcW w:w="7980" w:type="dxa"/>
            <w:vAlign w:val="bottom"/>
            <w:tcBorders>
              <w:bottom w:val="single" w:sz="8" w:color="DDDDDD"/>
            </w:tcBorders>
            <w:gridSpan w:val="3"/>
          </w:tcPr>
          <w:p>
            <w:pPr>
              <w:ind w:left="200"/>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DDDDDD"/>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231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DDDDDD"/>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shd w:val="clear" w:color="auto" w:fill="DDDDDD"/>
          </w:tcPr>
          <w:p>
            <w:pPr>
              <w:spacing w:after="0"/>
              <w:rPr>
                <w:sz w:val="19"/>
                <w:szCs w:val="19"/>
                <w:color w:val="auto"/>
              </w:rPr>
            </w:pPr>
          </w:p>
        </w:tc>
        <w:tc>
          <w:tcPr>
            <w:tcW w:w="7980" w:type="dxa"/>
            <w:vAlign w:val="bottom"/>
            <w:gridSpan w:val="3"/>
            <w:shd w:val="clear" w:color="auto" w:fill="DDDDDD"/>
          </w:tcPr>
          <w:p>
            <w:pPr>
              <w:spacing w:after="0"/>
              <w:rPr>
                <w:sz w:val="20"/>
                <w:szCs w:val="20"/>
                <w:color w:val="auto"/>
              </w:rPr>
            </w:pPr>
            <w:r>
              <w:rPr>
                <w:rFonts w:ascii="Arial" w:cs="Arial" w:eastAsia="Arial" w:hAnsi="Arial"/>
                <w:sz w:val="18"/>
                <w:szCs w:val="18"/>
                <w:color w:val="auto"/>
              </w:rPr>
              <w:t>Total lease payments</w:t>
            </w:r>
          </w:p>
        </w:tc>
        <w:tc>
          <w:tcPr>
            <w:tcW w:w="24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1320" w:type="dxa"/>
            <w:vAlign w:val="bottom"/>
            <w:gridSpan w:val="2"/>
            <w:shd w:val="clear" w:color="auto" w:fill="DDDDDD"/>
          </w:tcPr>
          <w:p>
            <w:pPr>
              <w:jc w:val="right"/>
              <w:ind w:right="60"/>
              <w:spacing w:after="0"/>
              <w:rPr>
                <w:sz w:val="20"/>
                <w:szCs w:val="20"/>
                <w:color w:val="auto"/>
              </w:rPr>
            </w:pPr>
            <w:r>
              <w:rPr>
                <w:rFonts w:ascii="Arial" w:cs="Arial" w:eastAsia="Arial" w:hAnsi="Arial"/>
                <w:sz w:val="18"/>
                <w:szCs w:val="18"/>
                <w:color w:val="auto"/>
              </w:rPr>
              <w:t>913</w:t>
            </w:r>
          </w:p>
        </w:tc>
        <w:tc>
          <w:tcPr>
            <w:tcW w:w="2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140" w:type="dxa"/>
            <w:vAlign w:val="bottom"/>
            <w:shd w:val="clear" w:color="auto" w:fill="DDDDDD"/>
          </w:tcPr>
          <w:p>
            <w:pPr>
              <w:spacing w:after="0"/>
              <w:rPr>
                <w:sz w:val="19"/>
                <w:szCs w:val="19"/>
                <w:color w:val="auto"/>
              </w:rPr>
            </w:pPr>
          </w:p>
        </w:tc>
        <w:tc>
          <w:tcPr>
            <w:tcW w:w="13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245</w:t>
            </w:r>
          </w:p>
        </w:tc>
      </w:tr>
      <w:tr>
        <w:trPr>
          <w:trHeight w:val="230"/>
        </w:trPr>
        <w:tc>
          <w:tcPr>
            <w:tcW w:w="20" w:type="dxa"/>
            <w:vAlign w:val="bottom"/>
            <w:tcBorders>
              <w:bottom w:val="single" w:sz="8" w:color="DDDDDD"/>
            </w:tcBorders>
          </w:tcPr>
          <w:p>
            <w:pPr>
              <w:spacing w:after="0"/>
              <w:rPr>
                <w:sz w:val="19"/>
                <w:szCs w:val="19"/>
                <w:color w:val="auto"/>
              </w:rPr>
            </w:pPr>
          </w:p>
        </w:tc>
        <w:tc>
          <w:tcPr>
            <w:tcW w:w="7980" w:type="dxa"/>
            <w:vAlign w:val="bottom"/>
            <w:tcBorders>
              <w:bottom w:val="single" w:sz="8" w:color="DDDDDD"/>
            </w:tcBorders>
            <w:gridSpan w:val="3"/>
          </w:tcPr>
          <w:p>
            <w:pPr>
              <w:ind w:left="200"/>
              <w:spacing w:after="0"/>
              <w:rPr>
                <w:sz w:val="20"/>
                <w:szCs w:val="20"/>
                <w:color w:val="auto"/>
              </w:rPr>
            </w:pPr>
            <w:r>
              <w:rPr>
                <w:rFonts w:ascii="Arial" w:cs="Arial" w:eastAsia="Arial" w:hAnsi="Arial"/>
                <w:sz w:val="18"/>
                <w:szCs w:val="18"/>
                <w:color w:val="auto"/>
              </w:rPr>
              <w:t>Less-interest</w:t>
            </w:r>
          </w:p>
        </w:tc>
        <w:tc>
          <w:tcPr>
            <w:tcW w:w="240" w:type="dxa"/>
            <w:vAlign w:val="bottom"/>
            <w:tcBorders>
              <w:bottom w:val="single" w:sz="8" w:color="DDDDDD"/>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(85)</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DDDDDD"/>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r>
      <w:tr>
        <w:trPr>
          <w:trHeight w:val="243"/>
        </w:trPr>
        <w:tc>
          <w:tcPr>
            <w:tcW w:w="20" w:type="dxa"/>
            <w:vAlign w:val="bottom"/>
            <w:shd w:val="clear" w:color="auto" w:fill="DDDDDD"/>
          </w:tcPr>
          <w:p>
            <w:pPr>
              <w:spacing w:after="0"/>
              <w:rPr>
                <w:sz w:val="21"/>
                <w:szCs w:val="21"/>
                <w:color w:val="auto"/>
              </w:rPr>
            </w:pPr>
          </w:p>
        </w:tc>
        <w:tc>
          <w:tcPr>
            <w:tcW w:w="7980" w:type="dxa"/>
            <w:vAlign w:val="bottom"/>
            <w:gridSpan w:val="3"/>
            <w:shd w:val="clear" w:color="auto" w:fill="DDDDDD"/>
          </w:tcPr>
          <w:p>
            <w:pPr>
              <w:spacing w:after="0"/>
              <w:rPr>
                <w:sz w:val="20"/>
                <w:szCs w:val="20"/>
                <w:color w:val="auto"/>
              </w:rPr>
            </w:pPr>
            <w:r>
              <w:rPr>
                <w:rFonts w:ascii="Arial" w:cs="Arial" w:eastAsia="Arial" w:hAnsi="Arial"/>
                <w:sz w:val="18"/>
                <w:szCs w:val="18"/>
                <w:color w:val="auto"/>
              </w:rPr>
              <w:t>Total</w:t>
            </w:r>
          </w:p>
        </w:tc>
        <w:tc>
          <w:tcPr>
            <w:tcW w:w="360" w:type="dxa"/>
            <w:vAlign w:val="bottom"/>
            <w:gridSpan w:val="2"/>
            <w:shd w:val="clear" w:color="auto" w:fill="DDDDDD"/>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DDDDDD"/>
          </w:tcPr>
          <w:p>
            <w:pPr>
              <w:jc w:val="right"/>
              <w:ind w:right="60"/>
              <w:spacing w:after="0"/>
              <w:rPr>
                <w:sz w:val="20"/>
                <w:szCs w:val="20"/>
                <w:color w:val="auto"/>
              </w:rPr>
            </w:pPr>
            <w:r>
              <w:rPr>
                <w:rFonts w:ascii="Arial" w:cs="Arial" w:eastAsia="Arial" w:hAnsi="Arial"/>
                <w:sz w:val="18"/>
                <w:szCs w:val="18"/>
                <w:color w:val="auto"/>
              </w:rPr>
              <w:t>828</w:t>
            </w:r>
          </w:p>
        </w:tc>
        <w:tc>
          <w:tcPr>
            <w:tcW w:w="260" w:type="dxa"/>
            <w:vAlign w:val="bottom"/>
            <w:gridSpan w:val="3"/>
            <w:shd w:val="clear" w:color="auto" w:fill="DDDDDD"/>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184</w:t>
            </w:r>
          </w:p>
        </w:tc>
      </w:tr>
      <w:tr>
        <w:trPr>
          <w:trHeight w:val="20"/>
        </w:trPr>
        <w:tc>
          <w:tcPr>
            <w:tcW w:w="20" w:type="dxa"/>
            <w:vAlign w:val="bottom"/>
            <w:tcBorders>
              <w:top w:val="single" w:sz="8" w:color="DDDDDD"/>
            </w:tcBorders>
          </w:tcPr>
          <w:p>
            <w:pPr>
              <w:spacing w:after="0" w:line="20" w:lineRule="exact"/>
              <w:rPr>
                <w:sz w:val="1"/>
                <w:szCs w:val="1"/>
                <w:color w:val="auto"/>
              </w:rPr>
            </w:pPr>
          </w:p>
        </w:tc>
        <w:tc>
          <w:tcPr>
            <w:tcW w:w="1220" w:type="dxa"/>
            <w:vAlign w:val="bottom"/>
            <w:tcBorders>
              <w:top w:val="single" w:sz="8" w:color="DDDDDD"/>
            </w:tcBorders>
          </w:tcPr>
          <w:p>
            <w:pPr>
              <w:spacing w:after="0" w:line="20" w:lineRule="exact"/>
              <w:rPr>
                <w:sz w:val="1"/>
                <w:szCs w:val="1"/>
                <w:color w:val="auto"/>
              </w:rPr>
            </w:pPr>
          </w:p>
        </w:tc>
        <w:tc>
          <w:tcPr>
            <w:tcW w:w="140" w:type="dxa"/>
            <w:vAlign w:val="bottom"/>
            <w:tcBorders>
              <w:top w:val="single" w:sz="8" w:color="DDDDDD"/>
            </w:tcBorders>
          </w:tcPr>
          <w:p>
            <w:pPr>
              <w:spacing w:after="0" w:line="20" w:lineRule="exact"/>
              <w:rPr>
                <w:sz w:val="1"/>
                <w:szCs w:val="1"/>
                <w:color w:val="auto"/>
              </w:rPr>
            </w:pPr>
          </w:p>
        </w:tc>
        <w:tc>
          <w:tcPr>
            <w:tcW w:w="6620" w:type="dxa"/>
            <w:vAlign w:val="bottom"/>
            <w:tcBorders>
              <w:top w:val="single" w:sz="8" w:color="DDDDDD"/>
            </w:tcBorders>
          </w:tcPr>
          <w:p>
            <w:pPr>
              <w:spacing w:after="0" w:line="20" w:lineRule="exact"/>
              <w:rPr>
                <w:sz w:val="1"/>
                <w:szCs w:val="1"/>
                <w:color w:val="auto"/>
              </w:rPr>
            </w:pPr>
          </w:p>
        </w:tc>
        <w:tc>
          <w:tcPr>
            <w:tcW w:w="240" w:type="dxa"/>
            <w:vAlign w:val="bottom"/>
            <w:tcBorders>
              <w:top w:val="single" w:sz="8" w:color="DDDDDD"/>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9"/>
          <w:szCs w:val="29"/>
          <w:b w:val="1"/>
          <w:bCs w:val="1"/>
          <w:color w:val="DC202E"/>
        </w:rPr>
        <w:t>NOTE 12. DERIVATIVE INSTRUMENTS AND HEDGING TRANSACTIONS</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DERIVATIVES AND HEDGING ACTIVITIES</w:t>
      </w:r>
    </w:p>
    <w:p>
      <w:pPr>
        <w:spacing w:after="0" w:line="13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uses derivative financial instruments to manage its risks related to interest rates and foreign currency exchange rate fluctuations. Derivative financial instruments are not used for trading or other speculative purposes. To qualify as a hedge, derivative financial instruments must be evaluated for hedge effectiveness at the inception of the contract and designated as a hedge. Changes in fair value of the derivative contract must be highly correlated with changes in fair value of the underlying hedged item at inception and over the life of the hedge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72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5" w:name="page76"/>
    <w:bookmarkEnd w:id="75"/>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FOREIGN CURRENCY RISK MANAGEMENT</w:t>
      </w:r>
    </w:p>
    <w:p>
      <w:pPr>
        <w:spacing w:after="0" w:line="13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operates a global business in a wide variety of foreign currencies. Our exposure to market risk for changes in foreign currency exchange rates arises from international financing activities between subsidiaries, foreign currency denominated monetary assets and liabilities and transactions arising from international trade. The Company's objective is to preserve the U.S. Dollar value of foreign currency denominated cash flows and earnings. The Company monitors its collective foreign currency exposure and enters into foreign currency exchange forward and option contracts (foreign currency exchange contracts) with third parties, when necessary, to minimize the impact of changes in foreign currency exchange rates.</w:t>
      </w:r>
    </w:p>
    <w:p>
      <w:pPr>
        <w:spacing w:after="0" w:line="10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has monetary assets and liabilities denominated in non-functional currencies. Prior to conversion into U.S. dollars, these assets and liabilities are remeasured at spot exchange rates in effect on the balance sheet date. The effects of changes in spot rates are recognized in earnings and included in Other (income) expense. We use foreign currency exchange contracts to hedge our foreign currency exposure. These contracts are marked-to-market with the resulting gains and losses recognized in earnings offsetting the gains and losses</w:t>
      </w:r>
    </w:p>
    <w:p>
      <w:pPr>
        <w:spacing w:after="0" w:line="2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the non-functional currency denominated monetary assets and liabilities being hedged. The Company uses foreign currency contracts to hedge forecasted sales and purchases, which are denominated in non-functional currencies. Changes in the forecasted non-functional currency cash flows due to movements in exchange rates are substantially offset by changes in the fair value of these foreign currency exchange contracts designated as hedges. Market value gains and losses on these contracts are recognized in earnings when the hedged transaction is recognized. As of December 31, 2020 and 2019, the Company held contracts with notional amounts of $16,123 million and $12,746 million to exchange foreign currencies, principally the U.S. Dollar, Euro, Canadian Dollar, British Pound, Swiss Franc, Mexican Peso, Chinese Renminbi, Indian Rupee, and Malaysian Ringgit.</w:t>
      </w:r>
    </w:p>
    <w:p>
      <w:pPr>
        <w:spacing w:after="0" w:line="9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also designates certain foreign currency debt and derivative contracts as hedges against portions of its net investment in foreign operations. Gains or losses of the foreign currency debt and derivative contracts designated as net investment hedges are recorded in the same manner as foreign currency translation adjustments.</w:t>
      </w: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INTEREST RATE RISK MANAGEMENT</w:t>
      </w:r>
    </w:p>
    <w:p>
      <w:pPr>
        <w:spacing w:after="0" w:line="13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Financial instruments, including derivatives, expose the Company to market risk related to changes in interest rates. The Company uses a combination of financial instruments, including long-term, medium-term and short-term financing, variable-rate commercial paper, and interest rate swaps to convert the interest rate mix of our total debt portfolio and related overall cost of borrowing.</w:t>
      </w: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CREDIT RISK MANAGEMENT</w:t>
      </w:r>
    </w:p>
    <w:p>
      <w:pPr>
        <w:spacing w:after="0" w:line="13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continues to monitor the creditworthiness of its counterparties to mitigate the risk of nonperformance. Financial instruments, including derivatives, expose the Company to counterparty credit risk. In addition, the Company grants credit terms to its customers in the normal course of business. The terms and conditions of our credit sales are designed to mitigate or eliminate concentrations of credit risk with any single customer. Our sales are not materially dependent on a single customer or a small group of customers.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73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6" w:name="page77"/>
    <w:bookmarkEnd w:id="76"/>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DERIVATIVE AND HEDGING INSTRUMENTS</w:t>
      </w:r>
    </w:p>
    <w:p>
      <w:pPr>
        <w:spacing w:after="0" w:line="13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summarizes the notional amounts and fair values of the Company’s outstanding derivatives by risk category and instrument type within the Consolidated Balance Sheet as of December 31, 2020 and 2019:</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160" w:type="dxa"/>
            <w:vAlign w:val="bottom"/>
          </w:tcPr>
          <w:p>
            <w:pPr>
              <w:spacing w:after="0"/>
              <w:rPr>
                <w:sz w:val="17"/>
                <w:szCs w:val="17"/>
                <w:color w:val="auto"/>
              </w:rPr>
            </w:pPr>
          </w:p>
        </w:tc>
        <w:tc>
          <w:tcPr>
            <w:tcW w:w="140" w:type="dxa"/>
            <w:vAlign w:val="bottom"/>
            <w:tcBorders>
              <w:bottom w:val="single" w:sz="8" w:color="DC202E"/>
            </w:tcBorders>
          </w:tcPr>
          <w:p>
            <w:pPr>
              <w:spacing w:after="0"/>
              <w:rPr>
                <w:sz w:val="17"/>
                <w:szCs w:val="17"/>
                <w:color w:val="auto"/>
              </w:rPr>
            </w:pPr>
          </w:p>
        </w:tc>
        <w:tc>
          <w:tcPr>
            <w:tcW w:w="2460" w:type="dxa"/>
            <w:vAlign w:val="bottom"/>
            <w:tcBorders>
              <w:bottom w:val="single" w:sz="8" w:color="DC202E"/>
            </w:tcBorders>
            <w:gridSpan w:val="4"/>
          </w:tcPr>
          <w:p>
            <w:pPr>
              <w:jc w:val="right"/>
              <w:ind w:right="934"/>
              <w:spacing w:after="0"/>
              <w:rPr>
                <w:sz w:val="20"/>
                <w:szCs w:val="20"/>
                <w:color w:val="auto"/>
              </w:rPr>
            </w:pPr>
            <w:r>
              <w:rPr>
                <w:rFonts w:ascii="Arial" w:cs="Arial" w:eastAsia="Arial" w:hAnsi="Arial"/>
                <w:sz w:val="14"/>
                <w:szCs w:val="14"/>
                <w:b w:val="1"/>
                <w:bCs w:val="1"/>
                <w:color w:val="auto"/>
              </w:rPr>
              <w:t>Notional</w:t>
            </w:r>
          </w:p>
        </w:tc>
        <w:tc>
          <w:tcPr>
            <w:tcW w:w="100" w:type="dxa"/>
            <w:vAlign w:val="bottom"/>
          </w:tcPr>
          <w:p>
            <w:pPr>
              <w:spacing w:after="0"/>
              <w:rPr>
                <w:sz w:val="17"/>
                <w:szCs w:val="17"/>
                <w:color w:val="auto"/>
              </w:rPr>
            </w:pPr>
          </w:p>
        </w:tc>
        <w:tc>
          <w:tcPr>
            <w:tcW w:w="140" w:type="dxa"/>
            <w:vAlign w:val="bottom"/>
            <w:tcBorders>
              <w:bottom w:val="single" w:sz="8" w:color="DC202E"/>
            </w:tcBorders>
          </w:tcPr>
          <w:p>
            <w:pPr>
              <w:spacing w:after="0"/>
              <w:rPr>
                <w:sz w:val="17"/>
                <w:szCs w:val="17"/>
                <w:color w:val="auto"/>
              </w:rPr>
            </w:pPr>
          </w:p>
        </w:tc>
        <w:tc>
          <w:tcPr>
            <w:tcW w:w="2480" w:type="dxa"/>
            <w:vAlign w:val="bottom"/>
            <w:tcBorders>
              <w:bottom w:val="single" w:sz="8" w:color="DC202E"/>
            </w:tcBorders>
            <w:gridSpan w:val="4"/>
          </w:tcPr>
          <w:p>
            <w:pPr>
              <w:jc w:val="right"/>
              <w:ind w:right="674"/>
              <w:spacing w:after="0"/>
              <w:rPr>
                <w:sz w:val="20"/>
                <w:szCs w:val="20"/>
                <w:color w:val="auto"/>
              </w:rPr>
            </w:pPr>
            <w:r>
              <w:rPr>
                <w:rFonts w:ascii="Arial" w:cs="Arial" w:eastAsia="Arial" w:hAnsi="Arial"/>
                <w:sz w:val="14"/>
                <w:szCs w:val="14"/>
                <w:b w:val="1"/>
                <w:bCs w:val="1"/>
                <w:color w:val="auto"/>
              </w:rPr>
              <w:t>Fair Value Asset</w:t>
            </w:r>
          </w:p>
        </w:tc>
        <w:tc>
          <w:tcPr>
            <w:tcW w:w="120" w:type="dxa"/>
            <w:vAlign w:val="bottom"/>
          </w:tcPr>
          <w:p>
            <w:pPr>
              <w:spacing w:after="0"/>
              <w:rPr>
                <w:sz w:val="17"/>
                <w:szCs w:val="17"/>
                <w:color w:val="auto"/>
              </w:rPr>
            </w:pPr>
          </w:p>
        </w:tc>
        <w:tc>
          <w:tcPr>
            <w:tcW w:w="140" w:type="dxa"/>
            <w:vAlign w:val="bottom"/>
            <w:tcBorders>
              <w:bottom w:val="single" w:sz="8" w:color="DC202E"/>
            </w:tcBorders>
          </w:tcPr>
          <w:p>
            <w:pPr>
              <w:spacing w:after="0"/>
              <w:rPr>
                <w:sz w:val="17"/>
                <w:szCs w:val="17"/>
                <w:color w:val="auto"/>
              </w:rPr>
            </w:pPr>
          </w:p>
        </w:tc>
        <w:tc>
          <w:tcPr>
            <w:tcW w:w="2500" w:type="dxa"/>
            <w:vAlign w:val="bottom"/>
            <w:tcBorders>
              <w:bottom w:val="single" w:sz="8" w:color="DC202E"/>
            </w:tcBorders>
            <w:gridSpan w:val="4"/>
          </w:tcPr>
          <w:p>
            <w:pPr>
              <w:jc w:val="right"/>
              <w:ind w:right="554"/>
              <w:spacing w:after="0"/>
              <w:rPr>
                <w:sz w:val="20"/>
                <w:szCs w:val="20"/>
                <w:color w:val="auto"/>
              </w:rPr>
            </w:pPr>
            <w:r>
              <w:rPr>
                <w:rFonts w:ascii="Arial" w:cs="Arial" w:eastAsia="Arial" w:hAnsi="Arial"/>
                <w:sz w:val="14"/>
                <w:szCs w:val="14"/>
                <w:b w:val="1"/>
                <w:bCs w:val="1"/>
                <w:color w:val="auto"/>
              </w:rPr>
              <w:t>Fair Value (Liability)</w:t>
            </w:r>
          </w:p>
        </w:tc>
      </w:tr>
      <w:tr>
        <w:trPr>
          <w:trHeight w:val="175"/>
        </w:trPr>
        <w:tc>
          <w:tcPr>
            <w:tcW w:w="3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5"/>
                <w:szCs w:val="15"/>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5"/>
                <w:szCs w:val="15"/>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5"/>
                <w:szCs w:val="15"/>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5"/>
                <w:szCs w:val="15"/>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5"/>
                <w:szCs w:val="15"/>
                <w:color w:val="auto"/>
              </w:rPr>
            </w:pPr>
          </w:p>
        </w:tc>
        <w:tc>
          <w:tcPr>
            <w:tcW w:w="1120" w:type="dxa"/>
            <w:vAlign w:val="bottom"/>
          </w:tcPr>
          <w:p>
            <w:pPr>
              <w:jc w:val="right"/>
              <w:ind w:right="74"/>
              <w:spacing w:after="0"/>
              <w:rPr>
                <w:sz w:val="20"/>
                <w:szCs w:val="20"/>
                <w:color w:val="auto"/>
              </w:rPr>
            </w:pPr>
            <w:r>
              <w:rPr>
                <w:rFonts w:ascii="Arial" w:cs="Arial" w:eastAsia="Arial" w:hAnsi="Arial"/>
                <w:sz w:val="14"/>
                <w:szCs w:val="14"/>
                <w:b w:val="1"/>
                <w:bCs w:val="1"/>
                <w:color w:val="auto"/>
              </w:rPr>
              <w:t>December 31,</w:t>
            </w:r>
          </w:p>
        </w:tc>
      </w:tr>
      <w:tr>
        <w:trPr>
          <w:trHeight w:val="183"/>
        </w:trPr>
        <w:tc>
          <w:tcPr>
            <w:tcW w:w="3160" w:type="dxa"/>
            <w:vAlign w:val="bottom"/>
            <w:tcBorders>
              <w:bottom w:val="single" w:sz="8" w:color="DBDBDB"/>
            </w:tcBorders>
          </w:tcPr>
          <w:p>
            <w:pPr>
              <w:spacing w:after="0"/>
              <w:rPr>
                <w:sz w:val="15"/>
                <w:szCs w:val="15"/>
                <w:color w:val="auto"/>
              </w:rPr>
            </w:pPr>
          </w:p>
        </w:tc>
        <w:tc>
          <w:tcPr>
            <w:tcW w:w="140" w:type="dxa"/>
            <w:vAlign w:val="bottom"/>
            <w:tcBorders>
              <w:bottom w:val="single" w:sz="8" w:color="DC202E"/>
            </w:tcBorders>
          </w:tcPr>
          <w:p>
            <w:pPr>
              <w:spacing w:after="0"/>
              <w:rPr>
                <w:sz w:val="15"/>
                <w:szCs w:val="15"/>
                <w:color w:val="auto"/>
              </w:rPr>
            </w:pPr>
          </w:p>
        </w:tc>
        <w:tc>
          <w:tcPr>
            <w:tcW w:w="1100" w:type="dxa"/>
            <w:vAlign w:val="bottom"/>
            <w:tcBorders>
              <w:bottom w:val="single" w:sz="8" w:color="DC202E"/>
            </w:tcBorders>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DBDBDB"/>
            </w:tcBorders>
          </w:tcPr>
          <w:p>
            <w:pPr>
              <w:spacing w:after="0"/>
              <w:rPr>
                <w:sz w:val="15"/>
                <w:szCs w:val="15"/>
                <w:color w:val="auto"/>
              </w:rPr>
            </w:pPr>
          </w:p>
        </w:tc>
        <w:tc>
          <w:tcPr>
            <w:tcW w:w="140" w:type="dxa"/>
            <w:vAlign w:val="bottom"/>
            <w:tcBorders>
              <w:bottom w:val="single" w:sz="8" w:color="DC202E"/>
            </w:tcBorders>
          </w:tcPr>
          <w:p>
            <w:pPr>
              <w:spacing w:after="0"/>
              <w:rPr>
                <w:sz w:val="15"/>
                <w:szCs w:val="15"/>
                <w:color w:val="auto"/>
              </w:rPr>
            </w:pPr>
          </w:p>
        </w:tc>
        <w:tc>
          <w:tcPr>
            <w:tcW w:w="1120" w:type="dxa"/>
            <w:vAlign w:val="bottom"/>
            <w:tcBorders>
              <w:bottom w:val="single" w:sz="8" w:color="DC202E"/>
            </w:tcBorders>
          </w:tcPr>
          <w:p>
            <w:pPr>
              <w:jc w:val="right"/>
              <w:ind w:right="37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DBDBDB"/>
            </w:tcBorders>
          </w:tcPr>
          <w:p>
            <w:pPr>
              <w:spacing w:after="0"/>
              <w:rPr>
                <w:sz w:val="15"/>
                <w:szCs w:val="15"/>
                <w:color w:val="auto"/>
              </w:rPr>
            </w:pPr>
          </w:p>
        </w:tc>
        <w:tc>
          <w:tcPr>
            <w:tcW w:w="140" w:type="dxa"/>
            <w:vAlign w:val="bottom"/>
            <w:tcBorders>
              <w:bottom w:val="single" w:sz="8" w:color="DC202E"/>
            </w:tcBorders>
          </w:tcPr>
          <w:p>
            <w:pPr>
              <w:spacing w:after="0"/>
              <w:rPr>
                <w:sz w:val="15"/>
                <w:szCs w:val="15"/>
                <w:color w:val="auto"/>
              </w:rPr>
            </w:pPr>
          </w:p>
        </w:tc>
        <w:tc>
          <w:tcPr>
            <w:tcW w:w="1100" w:type="dxa"/>
            <w:vAlign w:val="bottom"/>
            <w:tcBorders>
              <w:bottom w:val="single" w:sz="8" w:color="DC202E"/>
            </w:tcBorders>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DBDBDB"/>
            </w:tcBorders>
          </w:tcPr>
          <w:p>
            <w:pPr>
              <w:spacing w:after="0"/>
              <w:rPr>
                <w:sz w:val="15"/>
                <w:szCs w:val="15"/>
                <w:color w:val="auto"/>
              </w:rPr>
            </w:pPr>
          </w:p>
        </w:tc>
        <w:tc>
          <w:tcPr>
            <w:tcW w:w="140" w:type="dxa"/>
            <w:vAlign w:val="bottom"/>
            <w:tcBorders>
              <w:bottom w:val="single" w:sz="8" w:color="DC202E"/>
            </w:tcBorders>
          </w:tcPr>
          <w:p>
            <w:pPr>
              <w:spacing w:after="0"/>
              <w:rPr>
                <w:sz w:val="15"/>
                <w:szCs w:val="15"/>
                <w:color w:val="auto"/>
              </w:rPr>
            </w:pPr>
          </w:p>
        </w:tc>
        <w:tc>
          <w:tcPr>
            <w:tcW w:w="1120" w:type="dxa"/>
            <w:vAlign w:val="bottom"/>
            <w:tcBorders>
              <w:bottom w:val="single" w:sz="8" w:color="DC202E"/>
            </w:tcBorders>
          </w:tcPr>
          <w:p>
            <w:pPr>
              <w:jc w:val="right"/>
              <w:ind w:right="37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DBDBDB"/>
            </w:tcBorders>
          </w:tcPr>
          <w:p>
            <w:pPr>
              <w:spacing w:after="0"/>
              <w:rPr>
                <w:sz w:val="15"/>
                <w:szCs w:val="15"/>
                <w:color w:val="auto"/>
              </w:rPr>
            </w:pPr>
          </w:p>
        </w:tc>
        <w:tc>
          <w:tcPr>
            <w:tcW w:w="140" w:type="dxa"/>
            <w:vAlign w:val="bottom"/>
            <w:tcBorders>
              <w:bottom w:val="single" w:sz="8" w:color="DC202E"/>
            </w:tcBorders>
          </w:tcPr>
          <w:p>
            <w:pPr>
              <w:spacing w:after="0"/>
              <w:rPr>
                <w:sz w:val="15"/>
                <w:szCs w:val="15"/>
                <w:color w:val="auto"/>
              </w:rPr>
            </w:pPr>
          </w:p>
        </w:tc>
        <w:tc>
          <w:tcPr>
            <w:tcW w:w="1120" w:type="dxa"/>
            <w:vAlign w:val="bottom"/>
            <w:tcBorders>
              <w:bottom w:val="single" w:sz="8" w:color="DC202E"/>
            </w:tcBorders>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DBDBDB"/>
            </w:tcBorders>
          </w:tcPr>
          <w:p>
            <w:pPr>
              <w:spacing w:after="0"/>
              <w:rPr>
                <w:sz w:val="15"/>
                <w:szCs w:val="15"/>
                <w:color w:val="auto"/>
              </w:rPr>
            </w:pPr>
          </w:p>
        </w:tc>
        <w:tc>
          <w:tcPr>
            <w:tcW w:w="140" w:type="dxa"/>
            <w:vAlign w:val="bottom"/>
            <w:tcBorders>
              <w:bottom w:val="single" w:sz="8" w:color="DC202E"/>
            </w:tcBorders>
          </w:tcPr>
          <w:p>
            <w:pPr>
              <w:spacing w:after="0"/>
              <w:rPr>
                <w:sz w:val="15"/>
                <w:szCs w:val="15"/>
                <w:color w:val="auto"/>
              </w:rPr>
            </w:pPr>
          </w:p>
        </w:tc>
        <w:tc>
          <w:tcPr>
            <w:tcW w:w="1120" w:type="dxa"/>
            <w:vAlign w:val="bottom"/>
            <w:tcBorders>
              <w:bottom w:val="single" w:sz="8" w:color="DC202E"/>
            </w:tcBorders>
          </w:tcPr>
          <w:p>
            <w:pPr>
              <w:jc w:val="right"/>
              <w:ind w:right="394"/>
              <w:spacing w:after="0"/>
              <w:rPr>
                <w:sz w:val="20"/>
                <w:szCs w:val="20"/>
                <w:color w:val="auto"/>
              </w:rPr>
            </w:pPr>
            <w:r>
              <w:rPr>
                <w:rFonts w:ascii="Arial" w:cs="Arial" w:eastAsia="Arial" w:hAnsi="Arial"/>
                <w:sz w:val="14"/>
                <w:szCs w:val="14"/>
                <w:b w:val="1"/>
                <w:bCs w:val="1"/>
                <w:color w:val="auto"/>
              </w:rPr>
              <w:t>2019</w:t>
            </w:r>
          </w:p>
        </w:tc>
      </w:tr>
      <w:tr>
        <w:trPr>
          <w:trHeight w:val="162"/>
        </w:trPr>
        <w:tc>
          <w:tcPr>
            <w:tcW w:w="3160" w:type="dxa"/>
            <w:vAlign w:val="bottom"/>
            <w:shd w:val="clear" w:color="auto" w:fill="DBDBDB"/>
          </w:tcPr>
          <w:p>
            <w:pPr>
              <w:ind w:left="20"/>
              <w:spacing w:after="0" w:line="162" w:lineRule="exact"/>
              <w:rPr>
                <w:sz w:val="20"/>
                <w:szCs w:val="20"/>
                <w:color w:val="auto"/>
              </w:rPr>
            </w:pPr>
            <w:r>
              <w:rPr>
                <w:rFonts w:ascii="Arial" w:cs="Arial" w:eastAsia="Arial" w:hAnsi="Arial"/>
                <w:sz w:val="18"/>
                <w:szCs w:val="18"/>
                <w:b w:val="1"/>
                <w:bCs w:val="1"/>
                <w:color w:val="auto"/>
              </w:rPr>
              <w:t>Derivatives in Fair Value Hedging</w:t>
            </w:r>
          </w:p>
        </w:tc>
        <w:tc>
          <w:tcPr>
            <w:tcW w:w="140" w:type="dxa"/>
            <w:vAlign w:val="bottom"/>
            <w:shd w:val="clear" w:color="auto" w:fill="DBDBDB"/>
          </w:tcPr>
          <w:p>
            <w:pPr>
              <w:spacing w:after="0"/>
              <w:rPr>
                <w:sz w:val="14"/>
                <w:szCs w:val="14"/>
                <w:color w:val="auto"/>
              </w:rPr>
            </w:pPr>
          </w:p>
        </w:tc>
        <w:tc>
          <w:tcPr>
            <w:tcW w:w="110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112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1100" w:type="dxa"/>
            <w:vAlign w:val="bottom"/>
            <w:shd w:val="clear" w:color="auto" w:fill="DBDBDB"/>
          </w:tcPr>
          <w:p>
            <w:pPr>
              <w:spacing w:after="0"/>
              <w:rPr>
                <w:sz w:val="14"/>
                <w:szCs w:val="14"/>
                <w:color w:val="auto"/>
              </w:rPr>
            </w:pPr>
          </w:p>
        </w:tc>
        <w:tc>
          <w:tcPr>
            <w:tcW w:w="120" w:type="dxa"/>
            <w:vAlign w:val="bottom"/>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1120" w:type="dxa"/>
            <w:vAlign w:val="bottom"/>
            <w:shd w:val="clear" w:color="auto" w:fill="DBDBDB"/>
          </w:tcPr>
          <w:p>
            <w:pPr>
              <w:spacing w:after="0"/>
              <w:rPr>
                <w:sz w:val="14"/>
                <w:szCs w:val="14"/>
                <w:color w:val="auto"/>
              </w:rPr>
            </w:pPr>
          </w:p>
        </w:tc>
        <w:tc>
          <w:tcPr>
            <w:tcW w:w="120" w:type="dxa"/>
            <w:vAlign w:val="bottom"/>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1120" w:type="dxa"/>
            <w:vAlign w:val="bottom"/>
            <w:shd w:val="clear" w:color="auto" w:fill="DBDBDB"/>
          </w:tcPr>
          <w:p>
            <w:pPr>
              <w:spacing w:after="0"/>
              <w:rPr>
                <w:sz w:val="14"/>
                <w:szCs w:val="14"/>
                <w:color w:val="auto"/>
              </w:rPr>
            </w:pPr>
          </w:p>
        </w:tc>
        <w:tc>
          <w:tcPr>
            <w:tcW w:w="120" w:type="dxa"/>
            <w:vAlign w:val="bottom"/>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1120" w:type="dxa"/>
            <w:vAlign w:val="bottom"/>
            <w:shd w:val="clear" w:color="auto" w:fill="DBDBDB"/>
          </w:tcPr>
          <w:p>
            <w:pPr>
              <w:spacing w:after="0"/>
              <w:rPr>
                <w:sz w:val="14"/>
                <w:szCs w:val="14"/>
                <w:color w:val="auto"/>
              </w:rPr>
            </w:pPr>
          </w:p>
        </w:tc>
      </w:tr>
      <w:tr>
        <w:trPr>
          <w:trHeight w:val="229"/>
        </w:trPr>
        <w:tc>
          <w:tcPr>
            <w:tcW w:w="316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Relationships:</w:t>
            </w:r>
          </w:p>
        </w:tc>
        <w:tc>
          <w:tcPr>
            <w:tcW w:w="14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r>
      <w:tr>
        <w:trPr>
          <w:trHeight w:val="229"/>
        </w:trPr>
        <w:tc>
          <w:tcPr>
            <w:tcW w:w="3160" w:type="dxa"/>
            <w:vAlign w:val="bottom"/>
          </w:tcPr>
          <w:p>
            <w:pPr>
              <w:ind w:left="360"/>
              <w:spacing w:after="0"/>
              <w:rPr>
                <w:sz w:val="20"/>
                <w:szCs w:val="20"/>
                <w:color w:val="auto"/>
              </w:rPr>
            </w:pPr>
            <w:r>
              <w:rPr>
                <w:rFonts w:ascii="Arial" w:cs="Arial" w:eastAsia="Arial" w:hAnsi="Arial"/>
                <w:sz w:val="18"/>
                <w:szCs w:val="18"/>
                <w:color w:val="auto"/>
              </w:rPr>
              <w:t>Interest rate swap agreements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3,950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3,950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156"/>
        </w:trPr>
        <w:tc>
          <w:tcPr>
            <w:tcW w:w="3160" w:type="dxa"/>
            <w:vAlign w:val="bottom"/>
            <w:tcBorders>
              <w:top w:val="single" w:sz="8" w:color="DBDBDB"/>
            </w:tcBorders>
            <w:shd w:val="clear" w:color="auto" w:fill="DBDBDB"/>
          </w:tcPr>
          <w:p>
            <w:pPr>
              <w:ind w:left="20"/>
              <w:spacing w:after="0" w:line="156" w:lineRule="exact"/>
              <w:rPr>
                <w:sz w:val="20"/>
                <w:szCs w:val="20"/>
                <w:color w:val="auto"/>
              </w:rPr>
            </w:pPr>
            <w:r>
              <w:rPr>
                <w:rFonts w:ascii="Arial" w:cs="Arial" w:eastAsia="Arial" w:hAnsi="Arial"/>
                <w:sz w:val="18"/>
                <w:szCs w:val="18"/>
                <w:b w:val="1"/>
                <w:bCs w:val="1"/>
                <w:color w:val="auto"/>
              </w:rPr>
              <w:t>Derivatives in Cash Flow Hedging</w:t>
            </w:r>
          </w:p>
        </w:tc>
        <w:tc>
          <w:tcPr>
            <w:tcW w:w="140" w:type="dxa"/>
            <w:vAlign w:val="bottom"/>
            <w:tcBorders>
              <w:top w:val="single" w:sz="8" w:color="auto"/>
            </w:tcBorders>
            <w:shd w:val="clear" w:color="auto" w:fill="DBDBDB"/>
          </w:tcPr>
          <w:p>
            <w:pPr>
              <w:spacing w:after="0"/>
              <w:rPr>
                <w:sz w:val="13"/>
                <w:szCs w:val="13"/>
                <w:color w:val="auto"/>
              </w:rPr>
            </w:pPr>
          </w:p>
        </w:tc>
        <w:tc>
          <w:tcPr>
            <w:tcW w:w="1100" w:type="dxa"/>
            <w:vAlign w:val="bottom"/>
            <w:tcBorders>
              <w:top w:val="single" w:sz="8" w:color="auto"/>
            </w:tcBorders>
            <w:shd w:val="clear" w:color="auto" w:fill="DBDBDB"/>
          </w:tcPr>
          <w:p>
            <w:pPr>
              <w:spacing w:after="0"/>
              <w:rPr>
                <w:sz w:val="13"/>
                <w:szCs w:val="13"/>
                <w:color w:val="auto"/>
              </w:rPr>
            </w:pPr>
          </w:p>
        </w:tc>
        <w:tc>
          <w:tcPr>
            <w:tcW w:w="100" w:type="dxa"/>
            <w:vAlign w:val="bottom"/>
            <w:tcBorders>
              <w:top w:val="single" w:sz="8" w:color="DBDBDB"/>
            </w:tcBorders>
            <w:shd w:val="clear" w:color="auto" w:fill="DBDBDB"/>
          </w:tcPr>
          <w:p>
            <w:pPr>
              <w:spacing w:after="0"/>
              <w:rPr>
                <w:sz w:val="13"/>
                <w:szCs w:val="13"/>
                <w:color w:val="auto"/>
              </w:rPr>
            </w:pPr>
          </w:p>
        </w:tc>
        <w:tc>
          <w:tcPr>
            <w:tcW w:w="140" w:type="dxa"/>
            <w:vAlign w:val="bottom"/>
            <w:tcBorders>
              <w:top w:val="single" w:sz="8" w:color="auto"/>
            </w:tcBorders>
            <w:shd w:val="clear" w:color="auto" w:fill="DBDBDB"/>
          </w:tcPr>
          <w:p>
            <w:pPr>
              <w:spacing w:after="0"/>
              <w:rPr>
                <w:sz w:val="13"/>
                <w:szCs w:val="13"/>
                <w:color w:val="auto"/>
              </w:rPr>
            </w:pPr>
          </w:p>
        </w:tc>
        <w:tc>
          <w:tcPr>
            <w:tcW w:w="1120" w:type="dxa"/>
            <w:vAlign w:val="bottom"/>
            <w:tcBorders>
              <w:top w:val="single" w:sz="8" w:color="auto"/>
            </w:tcBorders>
            <w:shd w:val="clear" w:color="auto" w:fill="DBDBDB"/>
          </w:tcPr>
          <w:p>
            <w:pPr>
              <w:spacing w:after="0"/>
              <w:rPr>
                <w:sz w:val="13"/>
                <w:szCs w:val="13"/>
                <w:color w:val="auto"/>
              </w:rPr>
            </w:pPr>
          </w:p>
        </w:tc>
        <w:tc>
          <w:tcPr>
            <w:tcW w:w="100" w:type="dxa"/>
            <w:vAlign w:val="bottom"/>
            <w:tcBorders>
              <w:top w:val="single" w:sz="8" w:color="DBDBDB"/>
            </w:tcBorders>
            <w:shd w:val="clear" w:color="auto" w:fill="DBDBDB"/>
          </w:tcPr>
          <w:p>
            <w:pPr>
              <w:spacing w:after="0"/>
              <w:rPr>
                <w:sz w:val="13"/>
                <w:szCs w:val="13"/>
                <w:color w:val="auto"/>
              </w:rPr>
            </w:pPr>
          </w:p>
        </w:tc>
        <w:tc>
          <w:tcPr>
            <w:tcW w:w="140" w:type="dxa"/>
            <w:vAlign w:val="bottom"/>
            <w:tcBorders>
              <w:top w:val="single" w:sz="8" w:color="auto"/>
            </w:tcBorders>
            <w:shd w:val="clear" w:color="auto" w:fill="DBDBDB"/>
          </w:tcPr>
          <w:p>
            <w:pPr>
              <w:spacing w:after="0"/>
              <w:rPr>
                <w:sz w:val="13"/>
                <w:szCs w:val="13"/>
                <w:color w:val="auto"/>
              </w:rPr>
            </w:pPr>
          </w:p>
        </w:tc>
        <w:tc>
          <w:tcPr>
            <w:tcW w:w="1100" w:type="dxa"/>
            <w:vAlign w:val="bottom"/>
            <w:tcBorders>
              <w:top w:val="single" w:sz="8" w:color="auto"/>
            </w:tcBorders>
            <w:shd w:val="clear" w:color="auto" w:fill="DBDBDB"/>
          </w:tcPr>
          <w:p>
            <w:pPr>
              <w:spacing w:after="0"/>
              <w:rPr>
                <w:sz w:val="13"/>
                <w:szCs w:val="13"/>
                <w:color w:val="auto"/>
              </w:rPr>
            </w:pPr>
          </w:p>
        </w:tc>
        <w:tc>
          <w:tcPr>
            <w:tcW w:w="120" w:type="dxa"/>
            <w:vAlign w:val="bottom"/>
            <w:tcBorders>
              <w:top w:val="single" w:sz="8" w:color="DBDBDB"/>
            </w:tcBorders>
            <w:shd w:val="clear" w:color="auto" w:fill="DBDBDB"/>
          </w:tcPr>
          <w:p>
            <w:pPr>
              <w:spacing w:after="0"/>
              <w:rPr>
                <w:sz w:val="13"/>
                <w:szCs w:val="13"/>
                <w:color w:val="auto"/>
              </w:rPr>
            </w:pPr>
          </w:p>
        </w:tc>
        <w:tc>
          <w:tcPr>
            <w:tcW w:w="140" w:type="dxa"/>
            <w:vAlign w:val="bottom"/>
            <w:tcBorders>
              <w:top w:val="single" w:sz="8" w:color="auto"/>
            </w:tcBorders>
            <w:shd w:val="clear" w:color="auto" w:fill="DBDBDB"/>
          </w:tcPr>
          <w:p>
            <w:pPr>
              <w:spacing w:after="0"/>
              <w:rPr>
                <w:sz w:val="13"/>
                <w:szCs w:val="13"/>
                <w:color w:val="auto"/>
              </w:rPr>
            </w:pPr>
          </w:p>
        </w:tc>
        <w:tc>
          <w:tcPr>
            <w:tcW w:w="1120" w:type="dxa"/>
            <w:vAlign w:val="bottom"/>
            <w:tcBorders>
              <w:top w:val="single" w:sz="8" w:color="auto"/>
            </w:tcBorders>
            <w:shd w:val="clear" w:color="auto" w:fill="DBDBDB"/>
          </w:tcPr>
          <w:p>
            <w:pPr>
              <w:spacing w:after="0"/>
              <w:rPr>
                <w:sz w:val="13"/>
                <w:szCs w:val="13"/>
                <w:color w:val="auto"/>
              </w:rPr>
            </w:pPr>
          </w:p>
        </w:tc>
        <w:tc>
          <w:tcPr>
            <w:tcW w:w="120" w:type="dxa"/>
            <w:vAlign w:val="bottom"/>
            <w:tcBorders>
              <w:top w:val="single" w:sz="8" w:color="DBDBDB"/>
            </w:tcBorders>
            <w:shd w:val="clear" w:color="auto" w:fill="DBDBDB"/>
          </w:tcPr>
          <w:p>
            <w:pPr>
              <w:spacing w:after="0"/>
              <w:rPr>
                <w:sz w:val="13"/>
                <w:szCs w:val="13"/>
                <w:color w:val="auto"/>
              </w:rPr>
            </w:pPr>
          </w:p>
        </w:tc>
        <w:tc>
          <w:tcPr>
            <w:tcW w:w="140" w:type="dxa"/>
            <w:vAlign w:val="bottom"/>
            <w:tcBorders>
              <w:top w:val="single" w:sz="8" w:color="auto"/>
            </w:tcBorders>
            <w:shd w:val="clear" w:color="auto" w:fill="DBDBDB"/>
          </w:tcPr>
          <w:p>
            <w:pPr>
              <w:spacing w:after="0"/>
              <w:rPr>
                <w:sz w:val="13"/>
                <w:szCs w:val="13"/>
                <w:color w:val="auto"/>
              </w:rPr>
            </w:pPr>
          </w:p>
        </w:tc>
        <w:tc>
          <w:tcPr>
            <w:tcW w:w="1120" w:type="dxa"/>
            <w:vAlign w:val="bottom"/>
            <w:tcBorders>
              <w:top w:val="single" w:sz="8" w:color="auto"/>
            </w:tcBorders>
            <w:shd w:val="clear" w:color="auto" w:fill="DBDBDB"/>
          </w:tcPr>
          <w:p>
            <w:pPr>
              <w:spacing w:after="0"/>
              <w:rPr>
                <w:sz w:val="13"/>
                <w:szCs w:val="13"/>
                <w:color w:val="auto"/>
              </w:rPr>
            </w:pPr>
          </w:p>
        </w:tc>
        <w:tc>
          <w:tcPr>
            <w:tcW w:w="120" w:type="dxa"/>
            <w:vAlign w:val="bottom"/>
            <w:tcBorders>
              <w:top w:val="single" w:sz="8" w:color="DBDBDB"/>
            </w:tcBorders>
            <w:shd w:val="clear" w:color="auto" w:fill="DBDBDB"/>
          </w:tcPr>
          <w:p>
            <w:pPr>
              <w:spacing w:after="0"/>
              <w:rPr>
                <w:sz w:val="13"/>
                <w:szCs w:val="13"/>
                <w:color w:val="auto"/>
              </w:rPr>
            </w:pPr>
          </w:p>
        </w:tc>
        <w:tc>
          <w:tcPr>
            <w:tcW w:w="140" w:type="dxa"/>
            <w:vAlign w:val="bottom"/>
            <w:tcBorders>
              <w:top w:val="single" w:sz="8" w:color="auto"/>
            </w:tcBorders>
            <w:shd w:val="clear" w:color="auto" w:fill="DBDBDB"/>
          </w:tcPr>
          <w:p>
            <w:pPr>
              <w:spacing w:after="0"/>
              <w:rPr>
                <w:sz w:val="13"/>
                <w:szCs w:val="13"/>
                <w:color w:val="auto"/>
              </w:rPr>
            </w:pPr>
          </w:p>
        </w:tc>
        <w:tc>
          <w:tcPr>
            <w:tcW w:w="1120" w:type="dxa"/>
            <w:vAlign w:val="bottom"/>
            <w:tcBorders>
              <w:top w:val="single" w:sz="8" w:color="auto"/>
            </w:tcBorders>
            <w:shd w:val="clear" w:color="auto" w:fill="DBDBDB"/>
          </w:tcPr>
          <w:p>
            <w:pPr>
              <w:spacing w:after="0"/>
              <w:rPr>
                <w:sz w:val="13"/>
                <w:szCs w:val="13"/>
                <w:color w:val="auto"/>
              </w:rPr>
            </w:pPr>
          </w:p>
        </w:tc>
      </w:tr>
      <w:tr>
        <w:trPr>
          <w:trHeight w:val="229"/>
        </w:trPr>
        <w:tc>
          <w:tcPr>
            <w:tcW w:w="316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Relationships:</w:t>
            </w:r>
          </w:p>
        </w:tc>
        <w:tc>
          <w:tcPr>
            <w:tcW w:w="14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r>
      <w:tr>
        <w:trPr>
          <w:trHeight w:val="188"/>
        </w:trPr>
        <w:tc>
          <w:tcPr>
            <w:tcW w:w="3160" w:type="dxa"/>
            <w:vAlign w:val="bottom"/>
          </w:tcPr>
          <w:p>
            <w:pPr>
              <w:ind w:left="360"/>
              <w:spacing w:after="0" w:line="189" w:lineRule="exact"/>
              <w:rPr>
                <w:sz w:val="20"/>
                <w:szCs w:val="20"/>
                <w:color w:val="auto"/>
              </w:rPr>
            </w:pPr>
            <w:r>
              <w:rPr>
                <w:rFonts w:ascii="Arial" w:cs="Arial" w:eastAsia="Arial" w:hAnsi="Arial"/>
                <w:sz w:val="18"/>
                <w:szCs w:val="18"/>
                <w:color w:val="auto"/>
              </w:rPr>
              <w:t>Foreign currency exchange</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7"/>
        </w:trPr>
        <w:tc>
          <w:tcPr>
            <w:tcW w:w="3160" w:type="dxa"/>
            <w:vAlign w:val="bottom"/>
            <w:tcBorders>
              <w:bottom w:val="single" w:sz="8" w:color="DBDBDB"/>
            </w:tcBorders>
          </w:tcPr>
          <w:p>
            <w:pPr>
              <w:ind w:left="360"/>
              <w:spacing w:after="0"/>
              <w:rPr>
                <w:sz w:val="20"/>
                <w:szCs w:val="20"/>
                <w:color w:val="auto"/>
              </w:rPr>
            </w:pPr>
            <w:r>
              <w:rPr>
                <w:rFonts w:ascii="Arial" w:cs="Arial" w:eastAsia="Arial" w:hAnsi="Arial"/>
                <w:sz w:val="18"/>
                <w:szCs w:val="18"/>
                <w:color w:val="auto"/>
              </w:rPr>
              <w:t>contracts</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w:t>
            </w:r>
          </w:p>
        </w:tc>
        <w:tc>
          <w:tcPr>
            <w:tcW w:w="100" w:type="dxa"/>
            <w:vAlign w:val="bottom"/>
            <w:tcBorders>
              <w:bottom w:val="single" w:sz="8" w:color="DBDBDB"/>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3,340</w:t>
            </w:r>
          </w:p>
        </w:tc>
        <w:tc>
          <w:tcPr>
            <w:tcW w:w="100" w:type="dxa"/>
            <w:vAlign w:val="bottom"/>
            <w:tcBorders>
              <w:bottom w:val="single" w:sz="8" w:color="DBDBDB"/>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DBDBDB"/>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Borders>
              <w:bottom w:val="single" w:sz="8" w:color="DBDBDB"/>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DBDBDB"/>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156"/>
        </w:trPr>
        <w:tc>
          <w:tcPr>
            <w:tcW w:w="3160" w:type="dxa"/>
            <w:vAlign w:val="bottom"/>
            <w:shd w:val="clear" w:color="auto" w:fill="DBDBDB"/>
          </w:tcPr>
          <w:p>
            <w:pPr>
              <w:ind w:left="20"/>
              <w:spacing w:after="0" w:line="156" w:lineRule="exact"/>
              <w:rPr>
                <w:sz w:val="20"/>
                <w:szCs w:val="20"/>
                <w:color w:val="auto"/>
              </w:rPr>
            </w:pPr>
            <w:r>
              <w:rPr>
                <w:rFonts w:ascii="Arial" w:cs="Arial" w:eastAsia="Arial" w:hAnsi="Arial"/>
                <w:sz w:val="18"/>
                <w:szCs w:val="18"/>
                <w:b w:val="1"/>
                <w:bCs w:val="1"/>
                <w:color w:val="auto"/>
              </w:rPr>
              <w:t>Derivatives in Net Investment</w:t>
            </w:r>
          </w:p>
        </w:tc>
        <w:tc>
          <w:tcPr>
            <w:tcW w:w="140" w:type="dxa"/>
            <w:vAlign w:val="bottom"/>
            <w:shd w:val="clear" w:color="auto" w:fill="DBDBDB"/>
          </w:tcPr>
          <w:p>
            <w:pPr>
              <w:spacing w:after="0"/>
              <w:rPr>
                <w:sz w:val="13"/>
                <w:szCs w:val="13"/>
                <w:color w:val="auto"/>
              </w:rPr>
            </w:pPr>
          </w:p>
        </w:tc>
        <w:tc>
          <w:tcPr>
            <w:tcW w:w="110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112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110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112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112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1120" w:type="dxa"/>
            <w:vAlign w:val="bottom"/>
            <w:shd w:val="clear" w:color="auto" w:fill="DBDBDB"/>
          </w:tcPr>
          <w:p>
            <w:pPr>
              <w:spacing w:after="0"/>
              <w:rPr>
                <w:sz w:val="13"/>
                <w:szCs w:val="13"/>
                <w:color w:val="auto"/>
              </w:rPr>
            </w:pPr>
          </w:p>
        </w:tc>
      </w:tr>
      <w:tr>
        <w:trPr>
          <w:trHeight w:val="229"/>
        </w:trPr>
        <w:tc>
          <w:tcPr>
            <w:tcW w:w="316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Hedging Relationships:</w:t>
            </w:r>
          </w:p>
        </w:tc>
        <w:tc>
          <w:tcPr>
            <w:tcW w:w="14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r>
      <w:tr>
        <w:trPr>
          <w:trHeight w:val="188"/>
        </w:trPr>
        <w:tc>
          <w:tcPr>
            <w:tcW w:w="3160" w:type="dxa"/>
            <w:vAlign w:val="bottom"/>
          </w:tcPr>
          <w:p>
            <w:pPr>
              <w:ind w:left="360"/>
              <w:spacing w:after="0" w:line="189" w:lineRule="exact"/>
              <w:rPr>
                <w:sz w:val="20"/>
                <w:szCs w:val="20"/>
                <w:color w:val="auto"/>
              </w:rPr>
            </w:pPr>
            <w:r>
              <w:rPr>
                <w:rFonts w:ascii="Arial" w:cs="Arial" w:eastAsia="Arial" w:hAnsi="Arial"/>
                <w:sz w:val="18"/>
                <w:szCs w:val="18"/>
                <w:color w:val="auto"/>
              </w:rPr>
              <w:t>Foreign currency exchange</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7"/>
        </w:trPr>
        <w:tc>
          <w:tcPr>
            <w:tcW w:w="3160" w:type="dxa"/>
            <w:vAlign w:val="bottom"/>
          </w:tcPr>
          <w:p>
            <w:pPr>
              <w:ind w:left="360"/>
              <w:spacing w:after="0"/>
              <w:rPr>
                <w:sz w:val="20"/>
                <w:szCs w:val="20"/>
                <w:color w:val="auto"/>
              </w:rPr>
            </w:pPr>
            <w:r>
              <w:rPr>
                <w:rFonts w:ascii="Arial" w:cs="Arial" w:eastAsia="Arial" w:hAnsi="Arial"/>
                <w:sz w:val="18"/>
                <w:szCs w:val="18"/>
                <w:color w:val="auto"/>
              </w:rPr>
              <w:t>contracts</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160" w:type="dxa"/>
            <w:vAlign w:val="bottom"/>
            <w:shd w:val="clear" w:color="auto" w:fill="DBDBDB"/>
          </w:tcPr>
          <w:p>
            <w:pPr>
              <w:ind w:left="360"/>
              <w:spacing w:after="0"/>
              <w:rPr>
                <w:sz w:val="20"/>
                <w:szCs w:val="20"/>
                <w:color w:val="auto"/>
              </w:rPr>
            </w:pPr>
            <w:r>
              <w:rPr>
                <w:rFonts w:ascii="Arial" w:cs="Arial" w:eastAsia="Arial" w:hAnsi="Arial"/>
                <w:sz w:val="18"/>
                <w:szCs w:val="18"/>
                <w:color w:val="auto"/>
              </w:rPr>
              <w:t>Cross currency swap agreements</w:t>
            </w:r>
          </w:p>
        </w:tc>
        <w:tc>
          <w:tcPr>
            <w:tcW w:w="14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1,200</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1,200</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22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156"/>
        </w:trPr>
        <w:tc>
          <w:tcPr>
            <w:tcW w:w="316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Total Derivatives Designated as</w:t>
            </w:r>
          </w:p>
        </w:tc>
        <w:tc>
          <w:tcPr>
            <w:tcW w:w="1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r>
      <w:tr>
        <w:trPr>
          <w:trHeight w:val="229"/>
        </w:trPr>
        <w:tc>
          <w:tcPr>
            <w:tcW w:w="3160" w:type="dxa"/>
            <w:vAlign w:val="bottom"/>
            <w:tcBorders>
              <w:bottom w:val="single" w:sz="8" w:color="DBDBDB"/>
            </w:tcBorders>
          </w:tcPr>
          <w:p>
            <w:pPr>
              <w:ind w:left="20"/>
              <w:spacing w:after="0"/>
              <w:rPr>
                <w:sz w:val="20"/>
                <w:szCs w:val="20"/>
                <w:color w:val="auto"/>
              </w:rPr>
            </w:pPr>
            <w:r>
              <w:rPr>
                <w:rFonts w:ascii="Arial" w:cs="Arial" w:eastAsia="Arial" w:hAnsi="Arial"/>
                <w:sz w:val="18"/>
                <w:szCs w:val="18"/>
                <w:b w:val="1"/>
                <w:bCs w:val="1"/>
                <w:color w:val="auto"/>
              </w:rPr>
              <w:t>Hedging Instruments</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6,444</w:t>
            </w:r>
          </w:p>
        </w:tc>
        <w:tc>
          <w:tcPr>
            <w:tcW w:w="10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9,356</w:t>
            </w:r>
          </w:p>
        </w:tc>
        <w:tc>
          <w:tcPr>
            <w:tcW w:w="10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12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w:t>
            </w:r>
          </w:p>
        </w:tc>
        <w:tc>
          <w:tcPr>
            <w:tcW w:w="12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r>
      <w:tr>
        <w:trPr>
          <w:trHeight w:val="156"/>
        </w:trPr>
        <w:tc>
          <w:tcPr>
            <w:tcW w:w="3160" w:type="dxa"/>
            <w:vAlign w:val="bottom"/>
            <w:shd w:val="clear" w:color="auto" w:fill="DBDBDB"/>
          </w:tcPr>
          <w:p>
            <w:pPr>
              <w:ind w:left="20"/>
              <w:spacing w:after="0" w:line="156" w:lineRule="exact"/>
              <w:rPr>
                <w:sz w:val="20"/>
                <w:szCs w:val="20"/>
                <w:color w:val="auto"/>
              </w:rPr>
            </w:pPr>
            <w:r>
              <w:rPr>
                <w:rFonts w:ascii="Arial" w:cs="Arial" w:eastAsia="Arial" w:hAnsi="Arial"/>
                <w:sz w:val="18"/>
                <w:szCs w:val="18"/>
                <w:b w:val="1"/>
                <w:bCs w:val="1"/>
                <w:color w:val="auto"/>
              </w:rPr>
              <w:t>Derivatives Not Designated as</w:t>
            </w:r>
          </w:p>
        </w:tc>
        <w:tc>
          <w:tcPr>
            <w:tcW w:w="140" w:type="dxa"/>
            <w:vAlign w:val="bottom"/>
            <w:shd w:val="clear" w:color="auto" w:fill="DBDBDB"/>
          </w:tcPr>
          <w:p>
            <w:pPr>
              <w:spacing w:after="0"/>
              <w:rPr>
                <w:sz w:val="13"/>
                <w:szCs w:val="13"/>
                <w:color w:val="auto"/>
              </w:rPr>
            </w:pPr>
          </w:p>
        </w:tc>
        <w:tc>
          <w:tcPr>
            <w:tcW w:w="110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112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110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112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112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1120" w:type="dxa"/>
            <w:vAlign w:val="bottom"/>
            <w:shd w:val="clear" w:color="auto" w:fill="DBDBDB"/>
          </w:tcPr>
          <w:p>
            <w:pPr>
              <w:spacing w:after="0"/>
              <w:rPr>
                <w:sz w:val="13"/>
                <w:szCs w:val="13"/>
                <w:color w:val="auto"/>
              </w:rPr>
            </w:pPr>
          </w:p>
        </w:tc>
      </w:tr>
      <w:tr>
        <w:trPr>
          <w:trHeight w:val="229"/>
        </w:trPr>
        <w:tc>
          <w:tcPr>
            <w:tcW w:w="316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Hedging Instruments:</w:t>
            </w:r>
          </w:p>
        </w:tc>
        <w:tc>
          <w:tcPr>
            <w:tcW w:w="14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r>
      <w:tr>
        <w:trPr>
          <w:trHeight w:val="188"/>
        </w:trPr>
        <w:tc>
          <w:tcPr>
            <w:tcW w:w="3160" w:type="dxa"/>
            <w:vAlign w:val="bottom"/>
          </w:tcPr>
          <w:p>
            <w:pPr>
              <w:ind w:left="360"/>
              <w:spacing w:after="0" w:line="189" w:lineRule="exact"/>
              <w:rPr>
                <w:sz w:val="20"/>
                <w:szCs w:val="20"/>
                <w:color w:val="auto"/>
              </w:rPr>
            </w:pPr>
            <w:r>
              <w:rPr>
                <w:rFonts w:ascii="Arial" w:cs="Arial" w:eastAsia="Arial" w:hAnsi="Arial"/>
                <w:sz w:val="18"/>
                <w:szCs w:val="18"/>
                <w:color w:val="auto"/>
              </w:rPr>
              <w:t>Foreign currency exchange</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7"/>
        </w:trPr>
        <w:tc>
          <w:tcPr>
            <w:tcW w:w="3160" w:type="dxa"/>
            <w:vAlign w:val="bottom"/>
            <w:tcBorders>
              <w:bottom w:val="single" w:sz="8" w:color="DBDBDB"/>
            </w:tcBorders>
          </w:tcPr>
          <w:p>
            <w:pPr>
              <w:ind w:left="360"/>
              <w:spacing w:after="0"/>
              <w:rPr>
                <w:sz w:val="20"/>
                <w:szCs w:val="20"/>
                <w:color w:val="auto"/>
              </w:rPr>
            </w:pPr>
            <w:r>
              <w:rPr>
                <w:rFonts w:ascii="Arial" w:cs="Arial" w:eastAsia="Arial" w:hAnsi="Arial"/>
                <w:sz w:val="18"/>
                <w:szCs w:val="18"/>
                <w:color w:val="auto"/>
              </w:rPr>
              <w:t>contracts</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14,829</w:t>
            </w:r>
          </w:p>
        </w:tc>
        <w:tc>
          <w:tcPr>
            <w:tcW w:w="100" w:type="dxa"/>
            <w:vAlign w:val="bottom"/>
            <w:tcBorders>
              <w:bottom w:val="single" w:sz="8" w:color="DBDBDB"/>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8,540</w:t>
            </w:r>
          </w:p>
        </w:tc>
        <w:tc>
          <w:tcPr>
            <w:tcW w:w="100" w:type="dxa"/>
            <w:vAlign w:val="bottom"/>
            <w:tcBorders>
              <w:bottom w:val="single" w:sz="8" w:color="DBDBDB"/>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DBDBDB"/>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DBDBDB"/>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DBDBDB"/>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48"/>
        </w:trPr>
        <w:tc>
          <w:tcPr>
            <w:tcW w:w="31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Total Derivatives at Fair Value</w:t>
            </w: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21,273</w:t>
            </w:r>
          </w:p>
        </w:tc>
        <w:tc>
          <w:tcPr>
            <w:tcW w:w="100" w:type="dxa"/>
            <w:vAlign w:val="bottom"/>
            <w:tcBorders>
              <w:bottom w:val="single" w:sz="8" w:color="DBDBDB"/>
            </w:tcBorders>
            <w:shd w:val="clear" w:color="auto" w:fill="DBDBDB"/>
          </w:tcPr>
          <w:p>
            <w:pPr>
              <w:spacing w:after="0"/>
              <w:rPr>
                <w:sz w:val="21"/>
                <w:szCs w:val="21"/>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17,896</w:t>
            </w:r>
          </w:p>
        </w:tc>
        <w:tc>
          <w:tcPr>
            <w:tcW w:w="100" w:type="dxa"/>
            <w:vAlign w:val="bottom"/>
            <w:tcBorders>
              <w:bottom w:val="single" w:sz="8" w:color="DBDBDB"/>
            </w:tcBorders>
            <w:shd w:val="clear" w:color="auto" w:fill="DBDBDB"/>
          </w:tcPr>
          <w:p>
            <w:pPr>
              <w:spacing w:after="0"/>
              <w:rPr>
                <w:sz w:val="21"/>
                <w:szCs w:val="21"/>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396</w:t>
            </w:r>
          </w:p>
        </w:tc>
        <w:tc>
          <w:tcPr>
            <w:tcW w:w="120" w:type="dxa"/>
            <w:vAlign w:val="bottom"/>
            <w:tcBorders>
              <w:bottom w:val="single" w:sz="8" w:color="DBDBDB"/>
            </w:tcBorders>
            <w:shd w:val="clear" w:color="auto" w:fill="DBDBDB"/>
          </w:tcPr>
          <w:p>
            <w:pPr>
              <w:spacing w:after="0"/>
              <w:rPr>
                <w:sz w:val="21"/>
                <w:szCs w:val="21"/>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380</w:t>
            </w:r>
          </w:p>
        </w:tc>
        <w:tc>
          <w:tcPr>
            <w:tcW w:w="120" w:type="dxa"/>
            <w:vAlign w:val="bottom"/>
            <w:tcBorders>
              <w:bottom w:val="single" w:sz="8" w:color="DBDBDB"/>
            </w:tcBorders>
            <w:shd w:val="clear" w:color="auto" w:fill="DBDBDB"/>
          </w:tcPr>
          <w:p>
            <w:pPr>
              <w:spacing w:after="0"/>
              <w:rPr>
                <w:sz w:val="21"/>
                <w:szCs w:val="21"/>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DBDBDB"/>
            </w:tcBorders>
            <w:shd w:val="clear" w:color="auto" w:fill="DBDBDB"/>
          </w:tcPr>
          <w:p>
            <w:pPr>
              <w:spacing w:after="0"/>
              <w:rPr>
                <w:sz w:val="21"/>
                <w:szCs w:val="21"/>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316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All derivative assets are presented in Other current assets or Other assets. All derivative liabilities are presented in Accrued liabilities or Other liabilities. As of December 31, 2020, cash collateral received that has not been offset against our derivatives of $34 million was recorded in Accrued liabilities and Other assets.</w:t>
      </w:r>
    </w:p>
    <w:p>
      <w:pPr>
        <w:spacing w:after="0" w:line="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to the foreign currency derivative contracts designated as net investment hedges, certain of the Company's foreign currency denominated debt instruments are designated as net investment hedges. The carrying value of those debt instruments designated as net investment hedges, which includes the adjustment for the foreign currency transaction gain or loss on those instruments, was $4,414 million and $6,882 million as of December 31, 2020 and 2019.</w:t>
      </w:r>
    </w:p>
    <w:p>
      <w:pPr>
        <w:spacing w:after="0" w:line="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Interest rate swap agreements are designated as hedge relationships with gains or losses on the derivative recognized in Interest and other financial charges offsetting the gains and losses on the underlying debt being hedged. Gains and losses on interest rate swap agreements recognized in earnings were $169 million of income, $70 million of income and $37 million of expense for the years ended December 31, 2020, 2019 and 2018. Gains and losses are fully offset by losses and gains on the underlying debt being hedged.</w:t>
      </w:r>
    </w:p>
    <w:p>
      <w:pPr>
        <w:spacing w:after="0" w:line="9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sets forth the amounts recorded on the Consolidated Balance Sheet related to cumulative basis adjustments for fair value hedges: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80" w:type="dxa"/>
            <w:vAlign w:val="bottom"/>
            <w:gridSpan w:val="5"/>
          </w:tcPr>
          <w:p>
            <w:pPr>
              <w:jc w:val="center"/>
              <w:spacing w:after="0"/>
              <w:rPr>
                <w:sz w:val="20"/>
                <w:szCs w:val="20"/>
                <w:color w:val="auto"/>
              </w:rPr>
            </w:pPr>
            <w:r>
              <w:rPr>
                <w:rFonts w:ascii="Arial" w:cs="Arial" w:eastAsia="Arial" w:hAnsi="Arial"/>
                <w:sz w:val="14"/>
                <w:szCs w:val="14"/>
                <w:b w:val="1"/>
                <w:bCs w:val="1"/>
                <w:color w:val="auto"/>
              </w:rPr>
              <w:t>Cumulative Amount of Fair Value Hedging</w:t>
            </w:r>
          </w:p>
        </w:tc>
        <w:tc>
          <w:tcPr>
            <w:tcW w:w="0" w:type="dxa"/>
            <w:vAlign w:val="bottom"/>
          </w:tcPr>
          <w:p>
            <w:pPr>
              <w:spacing w:after="0"/>
              <w:rPr>
                <w:sz w:val="1"/>
                <w:szCs w:val="1"/>
                <w:color w:val="auto"/>
              </w:rPr>
            </w:pPr>
          </w:p>
        </w:tc>
      </w:tr>
      <w:tr>
        <w:trPr>
          <w:trHeight w:val="135"/>
        </w:trPr>
        <w:tc>
          <w:tcPr>
            <w:tcW w:w="5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780" w:type="dxa"/>
            <w:vAlign w:val="bottom"/>
            <w:gridSpan w:val="4"/>
            <w:vMerge w:val="restart"/>
          </w:tcPr>
          <w:p>
            <w:pPr>
              <w:jc w:val="right"/>
              <w:ind w:right="130"/>
              <w:spacing w:after="0"/>
              <w:rPr>
                <w:sz w:val="20"/>
                <w:szCs w:val="20"/>
                <w:color w:val="auto"/>
              </w:rPr>
            </w:pPr>
            <w:r>
              <w:rPr>
                <w:rFonts w:ascii="Arial" w:cs="Arial" w:eastAsia="Arial" w:hAnsi="Arial"/>
                <w:sz w:val="14"/>
                <w:szCs w:val="14"/>
                <w:b w:val="1"/>
                <w:bCs w:val="1"/>
                <w:color w:val="auto"/>
              </w:rPr>
              <w:t>Carrying Amount of the Hedged Item</w:t>
            </w:r>
          </w:p>
        </w:tc>
        <w:tc>
          <w:tcPr>
            <w:tcW w:w="12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2800" w:type="dxa"/>
            <w:vAlign w:val="bottom"/>
            <w:gridSpan w:val="4"/>
          </w:tcPr>
          <w:p>
            <w:pPr>
              <w:jc w:val="center"/>
              <w:ind w:right="110"/>
              <w:spacing w:after="0" w:line="135" w:lineRule="exact"/>
              <w:rPr>
                <w:sz w:val="20"/>
                <w:szCs w:val="20"/>
                <w:color w:val="auto"/>
              </w:rPr>
            </w:pPr>
            <w:r>
              <w:rPr>
                <w:rFonts w:ascii="Arial" w:cs="Arial" w:eastAsia="Arial" w:hAnsi="Arial"/>
                <w:sz w:val="14"/>
                <w:szCs w:val="14"/>
                <w:b w:val="1"/>
                <w:bCs w:val="1"/>
                <w:color w:val="auto"/>
              </w:rPr>
              <w:t>Adjustment Included in the Carrying</w:t>
            </w:r>
          </w:p>
        </w:tc>
        <w:tc>
          <w:tcPr>
            <w:tcW w:w="0" w:type="dxa"/>
            <w:vAlign w:val="bottom"/>
          </w:tcPr>
          <w:p>
            <w:pPr>
              <w:spacing w:after="0"/>
              <w:rPr>
                <w:sz w:val="1"/>
                <w:szCs w:val="1"/>
                <w:color w:val="auto"/>
              </w:rPr>
            </w:pPr>
          </w:p>
        </w:tc>
      </w:tr>
      <w:tr>
        <w:trPr>
          <w:trHeight w:val="183"/>
        </w:trPr>
        <w:tc>
          <w:tcPr>
            <w:tcW w:w="5180" w:type="dxa"/>
            <w:vAlign w:val="bottom"/>
          </w:tcPr>
          <w:p>
            <w:pPr>
              <w:spacing w:after="0"/>
              <w:rPr>
                <w:sz w:val="15"/>
                <w:szCs w:val="15"/>
                <w:color w:val="auto"/>
              </w:rPr>
            </w:pPr>
          </w:p>
        </w:tc>
        <w:tc>
          <w:tcPr>
            <w:tcW w:w="180" w:type="dxa"/>
            <w:vAlign w:val="bottom"/>
            <w:tcBorders>
              <w:bottom w:val="single" w:sz="8" w:color="DC202E"/>
            </w:tcBorders>
          </w:tcPr>
          <w:p>
            <w:pPr>
              <w:spacing w:after="0"/>
              <w:rPr>
                <w:sz w:val="15"/>
                <w:szCs w:val="15"/>
                <w:color w:val="auto"/>
              </w:rPr>
            </w:pPr>
          </w:p>
        </w:tc>
        <w:tc>
          <w:tcPr>
            <w:tcW w:w="2780" w:type="dxa"/>
            <w:vAlign w:val="bottom"/>
            <w:tcBorders>
              <w:bottom w:val="single" w:sz="8" w:color="DC202E"/>
            </w:tcBorders>
            <w:gridSpan w:val="4"/>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80" w:type="dxa"/>
            <w:vAlign w:val="bottom"/>
            <w:tcBorders>
              <w:bottom w:val="single" w:sz="8" w:color="DC202E"/>
            </w:tcBorders>
          </w:tcPr>
          <w:p>
            <w:pPr>
              <w:spacing w:after="0"/>
              <w:rPr>
                <w:sz w:val="15"/>
                <w:szCs w:val="15"/>
                <w:color w:val="auto"/>
              </w:rPr>
            </w:pPr>
          </w:p>
        </w:tc>
        <w:tc>
          <w:tcPr>
            <w:tcW w:w="2380" w:type="dxa"/>
            <w:vAlign w:val="bottom"/>
            <w:tcBorders>
              <w:bottom w:val="single" w:sz="8" w:color="DC202E"/>
            </w:tcBorders>
            <w:gridSpan w:val="3"/>
          </w:tcPr>
          <w:p>
            <w:pPr>
              <w:jc w:val="center"/>
              <w:ind w:left="142"/>
              <w:spacing w:after="0"/>
              <w:rPr>
                <w:sz w:val="20"/>
                <w:szCs w:val="20"/>
                <w:color w:val="auto"/>
              </w:rPr>
            </w:pPr>
            <w:r>
              <w:rPr>
                <w:rFonts w:ascii="Arial" w:cs="Arial" w:eastAsia="Arial" w:hAnsi="Arial"/>
                <w:sz w:val="14"/>
                <w:szCs w:val="14"/>
                <w:b w:val="1"/>
                <w:bCs w:val="1"/>
                <w:color w:val="auto"/>
              </w:rPr>
              <w:t>Amount of the Hedged Item</w:t>
            </w:r>
          </w:p>
        </w:tc>
        <w:tc>
          <w:tcPr>
            <w:tcW w:w="420" w:type="dxa"/>
            <w:vAlign w:val="bottom"/>
            <w:tcBorders>
              <w:bottom w:val="single" w:sz="8" w:color="DC202E"/>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180" w:type="dxa"/>
            <w:vAlign w:val="bottom"/>
          </w:tcPr>
          <w:p>
            <w:pPr>
              <w:jc w:val="center"/>
              <w:spacing w:after="0"/>
              <w:rPr>
                <w:sz w:val="20"/>
                <w:szCs w:val="20"/>
                <w:color w:val="auto"/>
              </w:rPr>
            </w:pPr>
            <w:r>
              <w:rPr>
                <w:rFonts w:ascii="Arial" w:cs="Arial" w:eastAsia="Arial" w:hAnsi="Arial"/>
                <w:sz w:val="14"/>
                <w:szCs w:val="14"/>
                <w:b w:val="1"/>
                <w:bCs w:val="1"/>
                <w:color w:val="auto"/>
              </w:rPr>
              <w:t>Line in the Consolidated Balance</w:t>
            </w:r>
          </w:p>
        </w:tc>
        <w:tc>
          <w:tcPr>
            <w:tcW w:w="15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December 31, 2020</w:t>
            </w:r>
          </w:p>
        </w:tc>
        <w:tc>
          <w:tcPr>
            <w:tcW w:w="15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December 31, 2019</w:t>
            </w:r>
          </w:p>
        </w:tc>
        <w:tc>
          <w:tcPr>
            <w:tcW w:w="15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December 31, 2020</w:t>
            </w:r>
          </w:p>
        </w:tc>
        <w:tc>
          <w:tcPr>
            <w:tcW w:w="14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69"/>
        </w:trPr>
        <w:tc>
          <w:tcPr>
            <w:tcW w:w="5180" w:type="dxa"/>
            <w:vAlign w:val="bottom"/>
          </w:tcPr>
          <w:p>
            <w:pPr>
              <w:jc w:val="center"/>
              <w:spacing w:after="0"/>
              <w:rPr>
                <w:sz w:val="20"/>
                <w:szCs w:val="20"/>
                <w:color w:val="auto"/>
              </w:rPr>
            </w:pPr>
            <w:r>
              <w:rPr>
                <w:rFonts w:ascii="Arial" w:cs="Arial" w:eastAsia="Arial" w:hAnsi="Arial"/>
                <w:sz w:val="14"/>
                <w:szCs w:val="14"/>
                <w:b w:val="1"/>
                <w:bCs w:val="1"/>
                <w:color w:val="auto"/>
              </w:rPr>
              <w:t>Sheet of Hedged Item</w:t>
            </w:r>
          </w:p>
        </w:tc>
        <w:tc>
          <w:tcPr>
            <w:tcW w:w="1540" w:type="dxa"/>
            <w:vAlign w:val="bottom"/>
            <w:gridSpan w:val="3"/>
            <w:vMerge w:val="continue"/>
          </w:tcPr>
          <w:p>
            <w:pPr>
              <w:spacing w:after="0"/>
              <w:rPr>
                <w:sz w:val="14"/>
                <w:szCs w:val="14"/>
                <w:color w:val="auto"/>
              </w:rPr>
            </w:pPr>
          </w:p>
        </w:tc>
        <w:tc>
          <w:tcPr>
            <w:tcW w:w="1540" w:type="dxa"/>
            <w:vAlign w:val="bottom"/>
            <w:gridSpan w:val="3"/>
            <w:vMerge w:val="continue"/>
          </w:tcPr>
          <w:p>
            <w:pPr>
              <w:spacing w:after="0"/>
              <w:rPr>
                <w:sz w:val="14"/>
                <w:szCs w:val="14"/>
                <w:color w:val="auto"/>
              </w:rPr>
            </w:pPr>
          </w:p>
        </w:tc>
        <w:tc>
          <w:tcPr>
            <w:tcW w:w="1540" w:type="dxa"/>
            <w:vAlign w:val="bottom"/>
            <w:gridSpan w:val="3"/>
            <w:vMerge w:val="continue"/>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180" w:type="dxa"/>
            <w:vAlign w:val="bottom"/>
            <w:tcBorders>
              <w:top w:val="single" w:sz="8" w:color="DDDDDD"/>
            </w:tcBorders>
            <w:shd w:val="clear" w:color="auto" w:fill="DDDDDD"/>
          </w:tcPr>
          <w:p>
            <w:pPr>
              <w:ind w:left="20"/>
              <w:spacing w:after="0"/>
              <w:rPr>
                <w:sz w:val="20"/>
                <w:szCs w:val="20"/>
                <w:color w:val="auto"/>
              </w:rPr>
            </w:pPr>
            <w:r>
              <w:rPr>
                <w:rFonts w:ascii="Arial" w:cs="Arial" w:eastAsia="Arial" w:hAnsi="Arial"/>
                <w:sz w:val="18"/>
                <w:szCs w:val="18"/>
                <w:color w:val="auto"/>
              </w:rPr>
              <w:t>Long-term debt</w:t>
            </w:r>
          </w:p>
        </w:tc>
        <w:tc>
          <w:tcPr>
            <w:tcW w:w="180" w:type="dxa"/>
            <w:vAlign w:val="bottom"/>
            <w:tcBorders>
              <w:top w:val="single" w:sz="8" w:color="DC202E"/>
            </w:tcBorders>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DC202E"/>
            </w:tcBorders>
            <w:shd w:val="clear" w:color="auto" w:fill="DDDDDD"/>
          </w:tcPr>
          <w:p>
            <w:pPr>
              <w:jc w:val="right"/>
              <w:spacing w:after="0"/>
              <w:rPr>
                <w:sz w:val="20"/>
                <w:szCs w:val="20"/>
                <w:color w:val="auto"/>
              </w:rPr>
            </w:pPr>
            <w:r>
              <w:rPr>
                <w:rFonts w:ascii="Arial" w:cs="Arial" w:eastAsia="Arial" w:hAnsi="Arial"/>
                <w:sz w:val="18"/>
                <w:szCs w:val="18"/>
                <w:color w:val="auto"/>
              </w:rPr>
              <w:t>4,144</w:t>
            </w:r>
          </w:p>
        </w:tc>
        <w:tc>
          <w:tcPr>
            <w:tcW w:w="120" w:type="dxa"/>
            <w:vAlign w:val="bottom"/>
            <w:tcBorders>
              <w:top w:val="single" w:sz="8" w:color="DDDDDD"/>
            </w:tcBorders>
            <w:shd w:val="clear" w:color="auto" w:fill="DDDDDD"/>
          </w:tcPr>
          <w:p>
            <w:pPr>
              <w:spacing w:after="0"/>
              <w:rPr>
                <w:sz w:val="19"/>
                <w:szCs w:val="19"/>
                <w:color w:val="auto"/>
              </w:rPr>
            </w:pPr>
          </w:p>
        </w:tc>
        <w:tc>
          <w:tcPr>
            <w:tcW w:w="500" w:type="dxa"/>
            <w:vAlign w:val="bottom"/>
            <w:tcBorders>
              <w:top w:val="single" w:sz="8" w:color="DC202E"/>
            </w:tcBorders>
            <w:shd w:val="clear" w:color="auto" w:fill="DDDDDD"/>
          </w:tcPr>
          <w:p>
            <w:pPr>
              <w:jc w:val="right"/>
              <w:ind w:right="299"/>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DC202E"/>
            </w:tcBorders>
            <w:shd w:val="clear" w:color="auto" w:fill="DDDDDD"/>
          </w:tcPr>
          <w:p>
            <w:pPr>
              <w:jc w:val="right"/>
              <w:spacing w:after="0"/>
              <w:rPr>
                <w:sz w:val="20"/>
                <w:szCs w:val="20"/>
                <w:color w:val="auto"/>
              </w:rPr>
            </w:pPr>
            <w:r>
              <w:rPr>
                <w:rFonts w:ascii="Arial" w:cs="Arial" w:eastAsia="Arial" w:hAnsi="Arial"/>
                <w:sz w:val="18"/>
                <w:szCs w:val="18"/>
                <w:color w:val="auto"/>
              </w:rPr>
              <w:t>3,975</w:t>
            </w:r>
          </w:p>
        </w:tc>
        <w:tc>
          <w:tcPr>
            <w:tcW w:w="120" w:type="dxa"/>
            <w:vAlign w:val="bottom"/>
            <w:tcBorders>
              <w:top w:val="single" w:sz="8" w:color="DDDDDD"/>
            </w:tcBorders>
            <w:shd w:val="clear" w:color="auto" w:fill="DDDDDD"/>
          </w:tcPr>
          <w:p>
            <w:pPr>
              <w:spacing w:after="0"/>
              <w:rPr>
                <w:sz w:val="19"/>
                <w:szCs w:val="19"/>
                <w:color w:val="auto"/>
              </w:rPr>
            </w:pPr>
          </w:p>
        </w:tc>
        <w:tc>
          <w:tcPr>
            <w:tcW w:w="180" w:type="dxa"/>
            <w:vAlign w:val="bottom"/>
            <w:tcBorders>
              <w:top w:val="single" w:sz="8" w:color="DC202E"/>
            </w:tcBorders>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DC202E"/>
            </w:tcBorders>
            <w:shd w:val="clear" w:color="auto" w:fill="DDDDDD"/>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Borders>
              <w:top w:val="single" w:sz="8" w:color="DDDDDD"/>
            </w:tcBorders>
            <w:shd w:val="clear" w:color="auto" w:fill="DDDDDD"/>
          </w:tcPr>
          <w:p>
            <w:pPr>
              <w:spacing w:after="0"/>
              <w:rPr>
                <w:sz w:val="19"/>
                <w:szCs w:val="19"/>
                <w:color w:val="auto"/>
              </w:rPr>
            </w:pPr>
          </w:p>
        </w:tc>
        <w:tc>
          <w:tcPr>
            <w:tcW w:w="1020" w:type="dxa"/>
            <w:vAlign w:val="bottom"/>
            <w:tcBorders>
              <w:top w:val="single" w:sz="8" w:color="DC202E"/>
            </w:tcBorders>
            <w:shd w:val="clear" w:color="auto" w:fill="DDDDDD"/>
          </w:tcPr>
          <w:p>
            <w:pPr>
              <w:jc w:val="right"/>
              <w:ind w:right="819"/>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DC202E"/>
            </w:tcBorders>
            <w:shd w:val="clear" w:color="auto" w:fill="DDDDDD"/>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74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7" w:name="page78"/>
    <w:bookmarkEnd w:id="77"/>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location and impact to the Consolidated Statement of Operations related to derivative instruments:</w:t>
      </w:r>
    </w:p>
    <w:p>
      <w:pPr>
        <w:spacing w:after="0" w:line="159" w:lineRule="exact"/>
        <w:rPr>
          <w:sz w:val="20"/>
          <w:szCs w:val="20"/>
          <w:color w:val="auto"/>
        </w:rPr>
      </w:pPr>
    </w:p>
    <w:p>
      <w:pPr>
        <w:ind w:left="6660"/>
        <w:spacing w:after="0"/>
        <w:rPr>
          <w:sz w:val="20"/>
          <w:szCs w:val="20"/>
          <w:color w:val="auto"/>
        </w:rPr>
      </w:pPr>
      <w:r>
        <w:rPr>
          <w:rFonts w:ascii="Arial" w:cs="Arial" w:eastAsia="Arial" w:hAnsi="Arial"/>
          <w:sz w:val="14"/>
          <w:szCs w:val="14"/>
          <w:b w:val="1"/>
          <w:bCs w:val="1"/>
          <w:color w:val="auto"/>
        </w:rPr>
        <w:t>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17780</wp:posOffset>
            </wp:positionV>
            <wp:extent cx="446595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4465955" cy="17145"/>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Cost of</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4"/>
                <w:szCs w:val="14"/>
                <w:color w:val="auto"/>
              </w:rPr>
            </w:pPr>
          </w:p>
        </w:tc>
        <w:tc>
          <w:tcPr>
            <w:tcW w:w="1100" w:type="dxa"/>
            <w:vAlign w:val="bottom"/>
          </w:tcPr>
          <w:p>
            <w:pPr>
              <w:jc w:val="center"/>
              <w:ind w:right="137"/>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35"/>
        </w:trPr>
        <w:tc>
          <w:tcPr>
            <w:tcW w:w="4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Products and</w:t>
            </w: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center"/>
              <w:ind w:right="137"/>
              <w:spacing w:after="0" w:line="135" w:lineRule="exact"/>
              <w:rPr>
                <w:sz w:val="20"/>
                <w:szCs w:val="20"/>
                <w:color w:val="auto"/>
              </w:rPr>
            </w:pPr>
            <w:r>
              <w:rPr>
                <w:rFonts w:ascii="Arial" w:cs="Arial" w:eastAsia="Arial" w:hAnsi="Arial"/>
                <w:sz w:val="14"/>
                <w:szCs w:val="14"/>
                <w:b w:val="1"/>
                <w:bCs w:val="1"/>
                <w:color w:val="auto"/>
              </w:rPr>
              <w:t>and Other</w:t>
            </w:r>
          </w:p>
        </w:tc>
        <w:tc>
          <w:tcPr>
            <w:tcW w:w="0" w:type="dxa"/>
            <w:vAlign w:val="bottom"/>
          </w:tcPr>
          <w:p>
            <w:pPr>
              <w:spacing w:after="0"/>
              <w:rPr>
                <w:sz w:val="1"/>
                <w:szCs w:val="1"/>
                <w:color w:val="auto"/>
              </w:rPr>
            </w:pPr>
          </w:p>
        </w:tc>
      </w:tr>
      <w:tr>
        <w:trPr>
          <w:trHeight w:val="135"/>
        </w:trPr>
        <w:tc>
          <w:tcPr>
            <w:tcW w:w="4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Revenue</w:t>
            </w:r>
          </w:p>
        </w:tc>
        <w:tc>
          <w:tcPr>
            <w:tcW w:w="12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Services</w:t>
            </w:r>
          </w:p>
        </w:tc>
        <w:tc>
          <w:tcPr>
            <w:tcW w:w="300" w:type="dxa"/>
            <w:vAlign w:val="bottom"/>
          </w:tcPr>
          <w:p>
            <w:pPr>
              <w:spacing w:after="0"/>
              <w:rPr>
                <w:sz w:val="11"/>
                <w:szCs w:val="11"/>
                <w:color w:val="auto"/>
              </w:rPr>
            </w:pPr>
          </w:p>
        </w:tc>
        <w:tc>
          <w:tcPr>
            <w:tcW w:w="102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SG&amp;A</w:t>
            </w:r>
          </w:p>
        </w:tc>
        <w:tc>
          <w:tcPr>
            <w:tcW w:w="100" w:type="dxa"/>
            <w:vAlign w:val="bottom"/>
            <w:vMerge w:val="restart"/>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rPr>
              <w:t>(Income)</w:t>
            </w:r>
          </w:p>
        </w:tc>
        <w:tc>
          <w:tcPr>
            <w:tcW w:w="220" w:type="dxa"/>
            <w:vAlign w:val="bottom"/>
          </w:tcPr>
          <w:p>
            <w:pPr>
              <w:spacing w:after="0"/>
              <w:rPr>
                <w:sz w:val="11"/>
                <w:szCs w:val="11"/>
                <w:color w:val="auto"/>
              </w:rPr>
            </w:pPr>
          </w:p>
        </w:tc>
        <w:tc>
          <w:tcPr>
            <w:tcW w:w="1100" w:type="dxa"/>
            <w:vAlign w:val="bottom"/>
          </w:tcPr>
          <w:p>
            <w:pPr>
              <w:jc w:val="center"/>
              <w:ind w:right="137"/>
              <w:spacing w:after="0" w:line="135" w:lineRule="exact"/>
              <w:rPr>
                <w:sz w:val="20"/>
                <w:szCs w:val="20"/>
                <w:color w:val="auto"/>
              </w:rPr>
            </w:pPr>
            <w:r>
              <w:rPr>
                <w:rFonts w:ascii="Arial" w:cs="Arial" w:eastAsia="Arial" w:hAnsi="Arial"/>
                <w:sz w:val="14"/>
                <w:szCs w:val="14"/>
                <w:b w:val="1"/>
                <w:bCs w:val="1"/>
                <w:color w:val="auto"/>
              </w:rPr>
              <w:t>Financial</w:t>
            </w:r>
          </w:p>
        </w:tc>
        <w:tc>
          <w:tcPr>
            <w:tcW w:w="0" w:type="dxa"/>
            <w:vAlign w:val="bottom"/>
          </w:tcPr>
          <w:p>
            <w:pPr>
              <w:spacing w:after="0"/>
              <w:rPr>
                <w:sz w:val="1"/>
                <w:szCs w:val="1"/>
                <w:color w:val="auto"/>
              </w:rPr>
            </w:pPr>
          </w:p>
        </w:tc>
      </w:tr>
      <w:tr>
        <w:trPr>
          <w:trHeight w:val="183"/>
        </w:trPr>
        <w:tc>
          <w:tcPr>
            <w:tcW w:w="4200" w:type="dxa"/>
            <w:vAlign w:val="bottom"/>
            <w:tcBorders>
              <w:bottom w:val="single" w:sz="8" w:color="DDDDDD"/>
            </w:tcBorders>
          </w:tcPr>
          <w:p>
            <w:pPr>
              <w:spacing w:after="0"/>
              <w:rPr>
                <w:sz w:val="15"/>
                <w:szCs w:val="15"/>
                <w:color w:val="auto"/>
              </w:rPr>
            </w:pPr>
          </w:p>
        </w:tc>
        <w:tc>
          <w:tcPr>
            <w:tcW w:w="240" w:type="dxa"/>
            <w:vAlign w:val="bottom"/>
            <w:tcBorders>
              <w:bottom w:val="single" w:sz="8" w:color="DC202E"/>
            </w:tcBorders>
          </w:tcPr>
          <w:p>
            <w:pPr>
              <w:spacing w:after="0"/>
              <w:rPr>
                <w:sz w:val="15"/>
                <w:szCs w:val="15"/>
                <w:color w:val="auto"/>
              </w:rPr>
            </w:pPr>
          </w:p>
        </w:tc>
        <w:tc>
          <w:tcPr>
            <w:tcW w:w="1080" w:type="dxa"/>
            <w:vAlign w:val="bottom"/>
            <w:tcBorders>
              <w:bottom w:val="single" w:sz="8" w:color="DC202E"/>
            </w:tcBorders>
            <w:vMerge w:val="continue"/>
          </w:tcPr>
          <w:p>
            <w:pPr>
              <w:spacing w:after="0"/>
              <w:rPr>
                <w:sz w:val="15"/>
                <w:szCs w:val="15"/>
                <w:color w:val="auto"/>
              </w:rPr>
            </w:pPr>
          </w:p>
        </w:tc>
        <w:tc>
          <w:tcPr>
            <w:tcW w:w="120" w:type="dxa"/>
            <w:vAlign w:val="bottom"/>
            <w:tcBorders>
              <w:bottom w:val="single" w:sz="8" w:color="DDDDDD"/>
            </w:tcBorders>
            <w:vMerge w:val="continue"/>
          </w:tcPr>
          <w:p>
            <w:pPr>
              <w:spacing w:after="0"/>
              <w:rPr>
                <w:sz w:val="15"/>
                <w:szCs w:val="15"/>
                <w:color w:val="auto"/>
              </w:rPr>
            </w:pPr>
          </w:p>
        </w:tc>
        <w:tc>
          <w:tcPr>
            <w:tcW w:w="160" w:type="dxa"/>
            <w:vAlign w:val="bottom"/>
            <w:tcBorders>
              <w:bottom w:val="single" w:sz="8" w:color="DC202E"/>
            </w:tcBorders>
          </w:tcPr>
          <w:p>
            <w:pPr>
              <w:spacing w:after="0"/>
              <w:rPr>
                <w:sz w:val="15"/>
                <w:szCs w:val="15"/>
                <w:color w:val="auto"/>
              </w:rPr>
            </w:pPr>
          </w:p>
        </w:tc>
        <w:tc>
          <w:tcPr>
            <w:tcW w:w="1160" w:type="dxa"/>
            <w:vAlign w:val="bottom"/>
            <w:tcBorders>
              <w:bottom w:val="single" w:sz="8" w:color="DC202E"/>
            </w:tcBorders>
          </w:tcPr>
          <w:p>
            <w:pPr>
              <w:jc w:val="center"/>
              <w:ind w:right="77"/>
              <w:spacing w:after="0"/>
              <w:rPr>
                <w:sz w:val="20"/>
                <w:szCs w:val="20"/>
                <w:color w:val="auto"/>
              </w:rPr>
            </w:pPr>
            <w:r>
              <w:rPr>
                <w:rFonts w:ascii="Arial" w:cs="Arial" w:eastAsia="Arial" w:hAnsi="Arial"/>
                <w:sz w:val="14"/>
                <w:szCs w:val="14"/>
                <w:b w:val="1"/>
                <w:bCs w:val="1"/>
                <w:color w:val="auto"/>
              </w:rPr>
              <w:t>Sold</w:t>
            </w:r>
          </w:p>
        </w:tc>
        <w:tc>
          <w:tcPr>
            <w:tcW w:w="100" w:type="dxa"/>
            <w:vAlign w:val="bottom"/>
            <w:tcBorders>
              <w:bottom w:val="single" w:sz="8" w:color="DDDDDD"/>
            </w:tcBorders>
          </w:tcPr>
          <w:p>
            <w:pPr>
              <w:spacing w:after="0"/>
              <w:rPr>
                <w:sz w:val="15"/>
                <w:szCs w:val="15"/>
                <w:color w:val="auto"/>
              </w:rPr>
            </w:pPr>
          </w:p>
        </w:tc>
        <w:tc>
          <w:tcPr>
            <w:tcW w:w="300" w:type="dxa"/>
            <w:vAlign w:val="bottom"/>
            <w:tcBorders>
              <w:bottom w:val="single" w:sz="8" w:color="DC202E"/>
            </w:tcBorders>
          </w:tcPr>
          <w:p>
            <w:pPr>
              <w:spacing w:after="0"/>
              <w:rPr>
                <w:sz w:val="15"/>
                <w:szCs w:val="15"/>
                <w:color w:val="auto"/>
              </w:rPr>
            </w:pPr>
          </w:p>
        </w:tc>
        <w:tc>
          <w:tcPr>
            <w:tcW w:w="1020" w:type="dxa"/>
            <w:vAlign w:val="bottom"/>
            <w:tcBorders>
              <w:bottom w:val="single" w:sz="8" w:color="DC202E"/>
            </w:tcBorders>
            <w:vMerge w:val="continue"/>
          </w:tcPr>
          <w:p>
            <w:pPr>
              <w:spacing w:after="0"/>
              <w:rPr>
                <w:sz w:val="15"/>
                <w:szCs w:val="15"/>
                <w:color w:val="auto"/>
              </w:rPr>
            </w:pPr>
          </w:p>
        </w:tc>
        <w:tc>
          <w:tcPr>
            <w:tcW w:w="100" w:type="dxa"/>
            <w:vAlign w:val="bottom"/>
            <w:tcBorders>
              <w:bottom w:val="single" w:sz="8" w:color="DDDDDD"/>
            </w:tcBorders>
            <w:vMerge w:val="continue"/>
          </w:tcPr>
          <w:p>
            <w:pPr>
              <w:spacing w:after="0"/>
              <w:rPr>
                <w:sz w:val="15"/>
                <w:szCs w:val="15"/>
                <w:color w:val="auto"/>
              </w:rPr>
            </w:pPr>
          </w:p>
        </w:tc>
        <w:tc>
          <w:tcPr>
            <w:tcW w:w="240" w:type="dxa"/>
            <w:vAlign w:val="bottom"/>
            <w:tcBorders>
              <w:bottom w:val="single" w:sz="8" w:color="DC202E"/>
            </w:tcBorders>
          </w:tcPr>
          <w:p>
            <w:pPr>
              <w:spacing w:after="0"/>
              <w:rPr>
                <w:sz w:val="15"/>
                <w:szCs w:val="15"/>
                <w:color w:val="auto"/>
              </w:rPr>
            </w:pPr>
          </w:p>
        </w:tc>
        <w:tc>
          <w:tcPr>
            <w:tcW w:w="1080" w:type="dxa"/>
            <w:vAlign w:val="bottom"/>
            <w:tcBorders>
              <w:bottom w:val="single" w:sz="8" w:color="DC202E"/>
            </w:tcBorders>
          </w:tcPr>
          <w:p>
            <w:pPr>
              <w:jc w:val="center"/>
              <w:ind w:right="135"/>
              <w:spacing w:after="0"/>
              <w:rPr>
                <w:sz w:val="20"/>
                <w:szCs w:val="20"/>
                <w:color w:val="auto"/>
              </w:rPr>
            </w:pPr>
            <w:r>
              <w:rPr>
                <w:rFonts w:ascii="Arial" w:cs="Arial" w:eastAsia="Arial" w:hAnsi="Arial"/>
                <w:sz w:val="14"/>
                <w:szCs w:val="14"/>
                <w:b w:val="1"/>
                <w:bCs w:val="1"/>
                <w:color w:val="auto"/>
              </w:rPr>
              <w:t>Expense</w:t>
            </w:r>
          </w:p>
        </w:tc>
        <w:tc>
          <w:tcPr>
            <w:tcW w:w="120" w:type="dxa"/>
            <w:vAlign w:val="bottom"/>
            <w:tcBorders>
              <w:bottom w:val="single" w:sz="8" w:color="DDDDDD"/>
            </w:tcBorders>
          </w:tcPr>
          <w:p>
            <w:pPr>
              <w:spacing w:after="0"/>
              <w:rPr>
                <w:sz w:val="15"/>
                <w:szCs w:val="15"/>
                <w:color w:val="auto"/>
              </w:rPr>
            </w:pPr>
          </w:p>
        </w:tc>
        <w:tc>
          <w:tcPr>
            <w:tcW w:w="220" w:type="dxa"/>
            <w:vAlign w:val="bottom"/>
            <w:tcBorders>
              <w:bottom w:val="single" w:sz="8" w:color="DC202E"/>
            </w:tcBorders>
          </w:tcPr>
          <w:p>
            <w:pPr>
              <w:spacing w:after="0"/>
              <w:rPr>
                <w:sz w:val="15"/>
                <w:szCs w:val="15"/>
                <w:color w:val="auto"/>
              </w:rPr>
            </w:pPr>
          </w:p>
        </w:tc>
        <w:tc>
          <w:tcPr>
            <w:tcW w:w="1100" w:type="dxa"/>
            <w:vAlign w:val="bottom"/>
            <w:tcBorders>
              <w:bottom w:val="single" w:sz="8" w:color="DC202E"/>
            </w:tcBorders>
          </w:tcPr>
          <w:p>
            <w:pPr>
              <w:jc w:val="center"/>
              <w:ind w:right="137"/>
              <w:spacing w:after="0"/>
              <w:rPr>
                <w:sz w:val="20"/>
                <w:szCs w:val="20"/>
                <w:color w:val="auto"/>
              </w:rPr>
            </w:pPr>
            <w:r>
              <w:rPr>
                <w:rFonts w:ascii="Arial" w:cs="Arial" w:eastAsia="Arial" w:hAnsi="Arial"/>
                <w:sz w:val="14"/>
                <w:szCs w:val="14"/>
                <w:b w:val="1"/>
                <w:bCs w:val="1"/>
                <w:color w:val="auto"/>
                <w:w w:val="99"/>
              </w:rPr>
              <w:t>Charges</w:t>
            </w:r>
          </w:p>
        </w:tc>
        <w:tc>
          <w:tcPr>
            <w:tcW w:w="0" w:type="dxa"/>
            <w:vAlign w:val="bottom"/>
          </w:tcPr>
          <w:p>
            <w:pPr>
              <w:spacing w:after="0"/>
              <w:rPr>
                <w:sz w:val="1"/>
                <w:szCs w:val="1"/>
                <w:color w:val="auto"/>
              </w:rPr>
            </w:pPr>
          </w:p>
        </w:tc>
      </w:tr>
      <w:tr>
        <w:trPr>
          <w:trHeight w:val="229"/>
        </w:trPr>
        <w:tc>
          <w:tcPr>
            <w:tcW w:w="4440" w:type="dxa"/>
            <w:vAlign w:val="bottom"/>
            <w:gridSpan w:val="2"/>
            <w:shd w:val="clear" w:color="auto" w:fill="DDDDDD"/>
          </w:tcPr>
          <w:p>
            <w:pPr>
              <w:ind w:left="42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32,637</w:t>
            </w:r>
          </w:p>
        </w:tc>
        <w:tc>
          <w:tcPr>
            <w:tcW w:w="120" w:type="dxa"/>
            <w:vAlign w:val="bottom"/>
            <w:shd w:val="clear" w:color="auto" w:fill="DDDDDD"/>
          </w:tcPr>
          <w:p>
            <w:pPr>
              <w:spacing w:after="0"/>
              <w:rPr>
                <w:sz w:val="19"/>
                <w:szCs w:val="19"/>
                <w:color w:val="auto"/>
              </w:rPr>
            </w:pPr>
          </w:p>
        </w:tc>
        <w:tc>
          <w:tcPr>
            <w:tcW w:w="16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22,169</w:t>
            </w:r>
          </w:p>
        </w:tc>
        <w:tc>
          <w:tcPr>
            <w:tcW w:w="100" w:type="dxa"/>
            <w:vAlign w:val="bottom"/>
            <w:shd w:val="clear" w:color="auto" w:fill="DDDDDD"/>
          </w:tcPr>
          <w:p>
            <w:pPr>
              <w:spacing w:after="0"/>
              <w:rPr>
                <w:sz w:val="19"/>
                <w:szCs w:val="19"/>
                <w:color w:val="auto"/>
              </w:rPr>
            </w:pPr>
          </w:p>
        </w:tc>
        <w:tc>
          <w:tcPr>
            <w:tcW w:w="300" w:type="dxa"/>
            <w:vAlign w:val="bottom"/>
            <w:shd w:val="clear" w:color="auto" w:fill="DDDDDD"/>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4,772</w:t>
            </w:r>
          </w:p>
        </w:tc>
        <w:tc>
          <w:tcPr>
            <w:tcW w:w="100" w:type="dxa"/>
            <w:vAlign w:val="bottom"/>
            <w:shd w:val="clear" w:color="auto" w:fill="DDDDDD"/>
          </w:tcPr>
          <w:p>
            <w:pPr>
              <w:spacing w:after="0"/>
              <w:rPr>
                <w:sz w:val="19"/>
                <w:szCs w:val="19"/>
                <w:color w:val="auto"/>
              </w:rPr>
            </w:pPr>
          </w:p>
        </w:tc>
        <w:tc>
          <w:tcPr>
            <w:tcW w:w="24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(675)</w:t>
            </w:r>
          </w:p>
        </w:tc>
        <w:tc>
          <w:tcPr>
            <w:tcW w:w="120" w:type="dxa"/>
            <w:vAlign w:val="bottom"/>
            <w:shd w:val="clear" w:color="auto" w:fill="DDDDDD"/>
          </w:tcPr>
          <w:p>
            <w:pPr>
              <w:spacing w:after="0"/>
              <w:rPr>
                <w:sz w:val="19"/>
                <w:szCs w:val="19"/>
                <w:color w:val="auto"/>
              </w:rPr>
            </w:pPr>
          </w:p>
        </w:tc>
        <w:tc>
          <w:tcPr>
            <w:tcW w:w="22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30"/>
        </w:trPr>
        <w:tc>
          <w:tcPr>
            <w:tcW w:w="4440" w:type="dxa"/>
            <w:vAlign w:val="bottom"/>
            <w:gridSpan w:val="2"/>
          </w:tcPr>
          <w:p>
            <w:pPr>
              <w:ind w:left="20"/>
              <w:spacing w:after="0"/>
              <w:rPr>
                <w:sz w:val="20"/>
                <w:szCs w:val="20"/>
                <w:color w:val="auto"/>
              </w:rPr>
            </w:pPr>
            <w:r>
              <w:rPr>
                <w:rFonts w:ascii="Arial" w:cs="Arial" w:eastAsia="Arial" w:hAnsi="Arial"/>
                <w:sz w:val="18"/>
                <w:szCs w:val="18"/>
                <w:b w:val="1"/>
                <w:bCs w:val="1"/>
                <w:color w:val="auto"/>
              </w:rPr>
              <w:t>Gain or (loss) on cash flow hedges:</w:t>
            </w: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gridSpan w:val="2"/>
            <w:shd w:val="clear" w:color="auto" w:fill="DDDDDD"/>
          </w:tcPr>
          <w:p>
            <w:pPr>
              <w:ind w:left="140"/>
              <w:spacing w:after="0"/>
              <w:rPr>
                <w:sz w:val="20"/>
                <w:szCs w:val="20"/>
                <w:color w:val="auto"/>
              </w:rPr>
            </w:pPr>
            <w:r>
              <w:rPr>
                <w:rFonts w:ascii="Arial" w:cs="Arial" w:eastAsia="Arial" w:hAnsi="Arial"/>
                <w:sz w:val="18"/>
                <w:szCs w:val="18"/>
                <w:color w:val="auto"/>
              </w:rPr>
              <w:t>Foreign Currency Exchange Contracts:</w:t>
            </w:r>
          </w:p>
        </w:tc>
        <w:tc>
          <w:tcPr>
            <w:tcW w:w="108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160" w:type="dxa"/>
            <w:vAlign w:val="bottom"/>
            <w:shd w:val="clear" w:color="auto" w:fill="DDDDDD"/>
          </w:tcPr>
          <w:p>
            <w:pPr>
              <w:spacing w:after="0"/>
              <w:rPr>
                <w:sz w:val="19"/>
                <w:szCs w:val="19"/>
                <w:color w:val="auto"/>
              </w:rPr>
            </w:pPr>
          </w:p>
        </w:tc>
        <w:tc>
          <w:tcPr>
            <w:tcW w:w="116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300" w:type="dxa"/>
            <w:vAlign w:val="bottom"/>
            <w:shd w:val="clear" w:color="auto" w:fill="DDDDDD"/>
          </w:tcPr>
          <w:p>
            <w:pPr>
              <w:spacing w:after="0"/>
              <w:rPr>
                <w:sz w:val="19"/>
                <w:szCs w:val="19"/>
                <w:color w:val="auto"/>
              </w:rPr>
            </w:pPr>
          </w:p>
        </w:tc>
        <w:tc>
          <w:tcPr>
            <w:tcW w:w="102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240" w:type="dxa"/>
            <w:vAlign w:val="bottom"/>
            <w:shd w:val="clear" w:color="auto" w:fill="DDDDDD"/>
          </w:tcPr>
          <w:p>
            <w:pPr>
              <w:spacing w:after="0"/>
              <w:rPr>
                <w:sz w:val="19"/>
                <w:szCs w:val="19"/>
                <w:color w:val="auto"/>
              </w:rPr>
            </w:pPr>
          </w:p>
        </w:tc>
        <w:tc>
          <w:tcPr>
            <w:tcW w:w="108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220" w:type="dxa"/>
            <w:vAlign w:val="bottom"/>
            <w:shd w:val="clear" w:color="auto" w:fill="DDDDDD"/>
          </w:tcPr>
          <w:p>
            <w:pPr>
              <w:spacing w:after="0"/>
              <w:rPr>
                <w:sz w:val="19"/>
                <w:szCs w:val="19"/>
                <w:color w:val="auto"/>
              </w:rPr>
            </w:pPr>
          </w:p>
        </w:tc>
        <w:tc>
          <w:tcPr>
            <w:tcW w:w="110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440" w:type="dxa"/>
            <w:vAlign w:val="bottom"/>
            <w:gridSpan w:val="2"/>
          </w:tcPr>
          <w:p>
            <w:pPr>
              <w:ind w:left="360"/>
              <w:spacing w:after="0" w:line="189" w:lineRule="exact"/>
              <w:rPr>
                <w:sz w:val="20"/>
                <w:szCs w:val="20"/>
                <w:color w:val="auto"/>
              </w:rPr>
            </w:pPr>
            <w:r>
              <w:rPr>
                <w:rFonts w:ascii="Arial" w:cs="Arial" w:eastAsia="Arial" w:hAnsi="Arial"/>
                <w:sz w:val="18"/>
                <w:szCs w:val="18"/>
                <w:color w:val="auto"/>
              </w:rPr>
              <w:t>Amount reclassified from accumulated other</w:t>
            </w: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440" w:type="dxa"/>
            <w:vAlign w:val="bottom"/>
            <w:gridSpan w:val="2"/>
          </w:tcPr>
          <w:p>
            <w:pPr>
              <w:ind w:left="360"/>
              <w:spacing w:after="0"/>
              <w:rPr>
                <w:sz w:val="20"/>
                <w:szCs w:val="20"/>
                <w:color w:val="auto"/>
              </w:rPr>
            </w:pPr>
            <w:r>
              <w:rPr>
                <w:rFonts w:ascii="Arial" w:cs="Arial" w:eastAsia="Arial" w:hAnsi="Arial"/>
                <w:sz w:val="18"/>
                <w:szCs w:val="18"/>
                <w:color w:val="auto"/>
              </w:rPr>
              <w:t>comprehensive income into income</w:t>
            </w: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4440" w:type="dxa"/>
            <w:vAlign w:val="bottom"/>
            <w:gridSpan w:val="2"/>
            <w:shd w:val="clear" w:color="auto" w:fill="DDDDDD"/>
          </w:tcPr>
          <w:p>
            <w:pPr>
              <w:ind w:left="360"/>
              <w:spacing w:after="0" w:line="189" w:lineRule="exact"/>
              <w:rPr>
                <w:sz w:val="20"/>
                <w:szCs w:val="20"/>
                <w:color w:val="auto"/>
              </w:rPr>
            </w:pPr>
            <w:r>
              <w:rPr>
                <w:rFonts w:ascii="Arial" w:cs="Arial" w:eastAsia="Arial" w:hAnsi="Arial"/>
                <w:sz w:val="18"/>
                <w:szCs w:val="18"/>
                <w:color w:val="auto"/>
              </w:rPr>
              <w:t>Amount excluded from effectiveness testing</w:t>
            </w:r>
          </w:p>
        </w:tc>
        <w:tc>
          <w:tcPr>
            <w:tcW w:w="108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11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300" w:type="dxa"/>
            <w:vAlign w:val="bottom"/>
            <w:shd w:val="clear" w:color="auto" w:fill="DDDDDD"/>
          </w:tcPr>
          <w:p>
            <w:pPr>
              <w:spacing w:after="0"/>
              <w:rPr>
                <w:sz w:val="16"/>
                <w:szCs w:val="16"/>
                <w:color w:val="auto"/>
              </w:rPr>
            </w:pPr>
          </w:p>
        </w:tc>
        <w:tc>
          <w:tcPr>
            <w:tcW w:w="10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108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220" w:type="dxa"/>
            <w:vAlign w:val="bottom"/>
            <w:shd w:val="clear" w:color="auto" w:fill="DDDDDD"/>
          </w:tcPr>
          <w:p>
            <w:pPr>
              <w:spacing w:after="0"/>
              <w:rPr>
                <w:sz w:val="16"/>
                <w:szCs w:val="16"/>
                <w:color w:val="auto"/>
              </w:rPr>
            </w:pPr>
          </w:p>
        </w:tc>
        <w:tc>
          <w:tcPr>
            <w:tcW w:w="110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440" w:type="dxa"/>
            <w:vAlign w:val="bottom"/>
            <w:gridSpan w:val="2"/>
            <w:shd w:val="clear" w:color="auto" w:fill="DDDDDD"/>
          </w:tcPr>
          <w:p>
            <w:pPr>
              <w:ind w:left="360"/>
              <w:spacing w:after="0" w:line="176" w:lineRule="exact"/>
              <w:rPr>
                <w:sz w:val="20"/>
                <w:szCs w:val="20"/>
                <w:color w:val="auto"/>
              </w:rPr>
            </w:pPr>
            <w:r>
              <w:rPr>
                <w:rFonts w:ascii="Arial" w:cs="Arial" w:eastAsia="Arial" w:hAnsi="Arial"/>
                <w:sz w:val="18"/>
                <w:szCs w:val="18"/>
                <w:color w:val="auto"/>
              </w:rPr>
              <w:t>recognized in earnings using an amortization</w:t>
            </w:r>
          </w:p>
        </w:tc>
        <w:tc>
          <w:tcPr>
            <w:tcW w:w="1080" w:type="dxa"/>
            <w:vAlign w:val="bottom"/>
            <w:shd w:val="clear" w:color="auto" w:fill="DDDDDD"/>
          </w:tcPr>
          <w:p>
            <w:pPr>
              <w:spacing w:after="0"/>
              <w:rPr>
                <w:sz w:val="15"/>
                <w:szCs w:val="15"/>
                <w:color w:val="auto"/>
              </w:rPr>
            </w:pPr>
          </w:p>
        </w:tc>
        <w:tc>
          <w:tcPr>
            <w:tcW w:w="120" w:type="dxa"/>
            <w:vAlign w:val="bottom"/>
            <w:shd w:val="clear" w:color="auto" w:fill="DDDDDD"/>
          </w:tcPr>
          <w:p>
            <w:pPr>
              <w:spacing w:after="0"/>
              <w:rPr>
                <w:sz w:val="15"/>
                <w:szCs w:val="15"/>
                <w:color w:val="auto"/>
              </w:rPr>
            </w:pPr>
          </w:p>
        </w:tc>
        <w:tc>
          <w:tcPr>
            <w:tcW w:w="160" w:type="dxa"/>
            <w:vAlign w:val="bottom"/>
            <w:shd w:val="clear" w:color="auto" w:fill="DDDDDD"/>
          </w:tcPr>
          <w:p>
            <w:pPr>
              <w:spacing w:after="0"/>
              <w:rPr>
                <w:sz w:val="15"/>
                <w:szCs w:val="15"/>
                <w:color w:val="auto"/>
              </w:rPr>
            </w:pPr>
          </w:p>
        </w:tc>
        <w:tc>
          <w:tcPr>
            <w:tcW w:w="1160" w:type="dxa"/>
            <w:vAlign w:val="bottom"/>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300" w:type="dxa"/>
            <w:vAlign w:val="bottom"/>
            <w:shd w:val="clear" w:color="auto" w:fill="DDDDDD"/>
          </w:tcPr>
          <w:p>
            <w:pPr>
              <w:spacing w:after="0"/>
              <w:rPr>
                <w:sz w:val="15"/>
                <w:szCs w:val="15"/>
                <w:color w:val="auto"/>
              </w:rPr>
            </w:pPr>
          </w:p>
        </w:tc>
        <w:tc>
          <w:tcPr>
            <w:tcW w:w="1020" w:type="dxa"/>
            <w:vAlign w:val="bottom"/>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240" w:type="dxa"/>
            <w:vAlign w:val="bottom"/>
            <w:shd w:val="clear" w:color="auto" w:fill="DDDDDD"/>
          </w:tcPr>
          <w:p>
            <w:pPr>
              <w:spacing w:after="0"/>
              <w:rPr>
                <w:sz w:val="15"/>
                <w:szCs w:val="15"/>
                <w:color w:val="auto"/>
              </w:rPr>
            </w:pPr>
          </w:p>
        </w:tc>
        <w:tc>
          <w:tcPr>
            <w:tcW w:w="1080" w:type="dxa"/>
            <w:vAlign w:val="bottom"/>
            <w:shd w:val="clear" w:color="auto" w:fill="DDDDDD"/>
          </w:tcPr>
          <w:p>
            <w:pPr>
              <w:spacing w:after="0"/>
              <w:rPr>
                <w:sz w:val="15"/>
                <w:szCs w:val="15"/>
                <w:color w:val="auto"/>
              </w:rPr>
            </w:pPr>
          </w:p>
        </w:tc>
        <w:tc>
          <w:tcPr>
            <w:tcW w:w="120" w:type="dxa"/>
            <w:vAlign w:val="bottom"/>
            <w:shd w:val="clear" w:color="auto" w:fill="DDDDDD"/>
          </w:tcPr>
          <w:p>
            <w:pPr>
              <w:spacing w:after="0"/>
              <w:rPr>
                <w:sz w:val="15"/>
                <w:szCs w:val="15"/>
                <w:color w:val="auto"/>
              </w:rPr>
            </w:pPr>
          </w:p>
        </w:tc>
        <w:tc>
          <w:tcPr>
            <w:tcW w:w="220" w:type="dxa"/>
            <w:vAlign w:val="bottom"/>
            <w:shd w:val="clear" w:color="auto" w:fill="DDDDDD"/>
          </w:tcPr>
          <w:p>
            <w:pPr>
              <w:spacing w:after="0"/>
              <w:rPr>
                <w:sz w:val="15"/>
                <w:szCs w:val="15"/>
                <w:color w:val="auto"/>
              </w:rPr>
            </w:pPr>
          </w:p>
        </w:tc>
        <w:tc>
          <w:tcPr>
            <w:tcW w:w="1100" w:type="dxa"/>
            <w:vAlign w:val="bottom"/>
            <w:shd w:val="clear" w:color="auto" w:fill="DDDDDD"/>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440" w:type="dxa"/>
            <w:vAlign w:val="bottom"/>
            <w:gridSpan w:val="2"/>
            <w:shd w:val="clear" w:color="auto" w:fill="DDDDDD"/>
          </w:tcPr>
          <w:p>
            <w:pPr>
              <w:ind w:left="360"/>
              <w:spacing w:after="0"/>
              <w:rPr>
                <w:sz w:val="20"/>
                <w:szCs w:val="20"/>
                <w:color w:val="auto"/>
              </w:rPr>
            </w:pPr>
            <w:r>
              <w:rPr>
                <w:rFonts w:ascii="Arial" w:cs="Arial" w:eastAsia="Arial" w:hAnsi="Arial"/>
                <w:sz w:val="18"/>
                <w:szCs w:val="18"/>
                <w:color w:val="auto"/>
              </w:rPr>
              <w:t>approach</w:t>
            </w:r>
          </w:p>
        </w:tc>
        <w:tc>
          <w:tcPr>
            <w:tcW w:w="1200" w:type="dxa"/>
            <w:vAlign w:val="bottom"/>
            <w:gridSpan w:val="2"/>
            <w:shd w:val="clear" w:color="auto" w:fill="DDDDDD"/>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DDDDDD"/>
          </w:tcPr>
          <w:p>
            <w:pPr>
              <w:spacing w:after="0"/>
              <w:rPr>
                <w:sz w:val="18"/>
                <w:szCs w:val="18"/>
                <w:color w:val="auto"/>
              </w:rPr>
            </w:pPr>
          </w:p>
        </w:tc>
        <w:tc>
          <w:tcPr>
            <w:tcW w:w="11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DDDDDD"/>
          </w:tcPr>
          <w:p>
            <w:pPr>
              <w:spacing w:after="0"/>
              <w:rPr>
                <w:sz w:val="18"/>
                <w:szCs w:val="18"/>
                <w:color w:val="auto"/>
              </w:rPr>
            </w:pPr>
          </w:p>
        </w:tc>
        <w:tc>
          <w:tcPr>
            <w:tcW w:w="300" w:type="dxa"/>
            <w:vAlign w:val="bottom"/>
            <w:shd w:val="clear" w:color="auto" w:fill="DDDDDD"/>
          </w:tcPr>
          <w:p>
            <w:pPr>
              <w:spacing w:after="0"/>
              <w:rPr>
                <w:sz w:val="18"/>
                <w:szCs w:val="18"/>
                <w:color w:val="auto"/>
              </w:rPr>
            </w:pPr>
          </w:p>
        </w:tc>
        <w:tc>
          <w:tcPr>
            <w:tcW w:w="1120" w:type="dxa"/>
            <w:vAlign w:val="bottom"/>
            <w:gridSpan w:val="2"/>
            <w:shd w:val="clear" w:color="auto" w:fill="DDDDDD"/>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DDDDDD"/>
          </w:tcPr>
          <w:p>
            <w:pPr>
              <w:spacing w:after="0"/>
              <w:rPr>
                <w:sz w:val="18"/>
                <w:szCs w:val="18"/>
                <w:color w:val="auto"/>
              </w:rPr>
            </w:pPr>
          </w:p>
        </w:tc>
        <w:tc>
          <w:tcPr>
            <w:tcW w:w="10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DDDDDD"/>
          </w:tcPr>
          <w:p>
            <w:pPr>
              <w:spacing w:after="0"/>
              <w:rPr>
                <w:sz w:val="18"/>
                <w:szCs w:val="18"/>
                <w:color w:val="auto"/>
              </w:rPr>
            </w:pPr>
          </w:p>
        </w:tc>
        <w:tc>
          <w:tcPr>
            <w:tcW w:w="220" w:type="dxa"/>
            <w:vAlign w:val="bottom"/>
            <w:shd w:val="clear" w:color="auto" w:fill="DDDDDD"/>
          </w:tcPr>
          <w:p>
            <w:pPr>
              <w:spacing w:after="0"/>
              <w:rPr>
                <w:sz w:val="18"/>
                <w:szCs w:val="18"/>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40" w:type="dxa"/>
            <w:vAlign w:val="bottom"/>
            <w:gridSpan w:val="2"/>
          </w:tcPr>
          <w:p>
            <w:pPr>
              <w:ind w:left="20"/>
              <w:spacing w:after="0"/>
              <w:rPr>
                <w:sz w:val="20"/>
                <w:szCs w:val="20"/>
                <w:color w:val="auto"/>
              </w:rPr>
            </w:pPr>
            <w:r>
              <w:rPr>
                <w:rFonts w:ascii="Arial" w:cs="Arial" w:eastAsia="Arial" w:hAnsi="Arial"/>
                <w:sz w:val="18"/>
                <w:szCs w:val="18"/>
                <w:b w:val="1"/>
                <w:bCs w:val="1"/>
                <w:color w:val="auto"/>
              </w:rPr>
              <w:t>Gain or (loss) on fair value hedges:</w:t>
            </w: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gridSpan w:val="2"/>
            <w:shd w:val="clear" w:color="auto" w:fill="DDDDDD"/>
          </w:tcPr>
          <w:p>
            <w:pPr>
              <w:ind w:left="140"/>
              <w:spacing w:after="0"/>
              <w:rPr>
                <w:sz w:val="20"/>
                <w:szCs w:val="20"/>
                <w:color w:val="auto"/>
              </w:rPr>
            </w:pPr>
            <w:r>
              <w:rPr>
                <w:rFonts w:ascii="Arial" w:cs="Arial" w:eastAsia="Arial" w:hAnsi="Arial"/>
                <w:sz w:val="18"/>
                <w:szCs w:val="18"/>
                <w:color w:val="auto"/>
              </w:rPr>
              <w:t>Interest Rate Swap Agreements:</w:t>
            </w:r>
          </w:p>
        </w:tc>
        <w:tc>
          <w:tcPr>
            <w:tcW w:w="108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160" w:type="dxa"/>
            <w:vAlign w:val="bottom"/>
            <w:shd w:val="clear" w:color="auto" w:fill="DDDDDD"/>
          </w:tcPr>
          <w:p>
            <w:pPr>
              <w:spacing w:after="0"/>
              <w:rPr>
                <w:sz w:val="19"/>
                <w:szCs w:val="19"/>
                <w:color w:val="auto"/>
              </w:rPr>
            </w:pPr>
          </w:p>
        </w:tc>
        <w:tc>
          <w:tcPr>
            <w:tcW w:w="116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300" w:type="dxa"/>
            <w:vAlign w:val="bottom"/>
            <w:shd w:val="clear" w:color="auto" w:fill="DDDDDD"/>
          </w:tcPr>
          <w:p>
            <w:pPr>
              <w:spacing w:after="0"/>
              <w:rPr>
                <w:sz w:val="19"/>
                <w:szCs w:val="19"/>
                <w:color w:val="auto"/>
              </w:rPr>
            </w:pPr>
          </w:p>
        </w:tc>
        <w:tc>
          <w:tcPr>
            <w:tcW w:w="102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240" w:type="dxa"/>
            <w:vAlign w:val="bottom"/>
            <w:shd w:val="clear" w:color="auto" w:fill="DDDDDD"/>
          </w:tcPr>
          <w:p>
            <w:pPr>
              <w:spacing w:after="0"/>
              <w:rPr>
                <w:sz w:val="19"/>
                <w:szCs w:val="19"/>
                <w:color w:val="auto"/>
              </w:rPr>
            </w:pPr>
          </w:p>
        </w:tc>
        <w:tc>
          <w:tcPr>
            <w:tcW w:w="108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220" w:type="dxa"/>
            <w:vAlign w:val="bottom"/>
            <w:shd w:val="clear" w:color="auto" w:fill="DDDDDD"/>
          </w:tcPr>
          <w:p>
            <w:pPr>
              <w:spacing w:after="0"/>
              <w:rPr>
                <w:sz w:val="19"/>
                <w:szCs w:val="19"/>
                <w:color w:val="auto"/>
              </w:rPr>
            </w:pPr>
          </w:p>
        </w:tc>
        <w:tc>
          <w:tcPr>
            <w:tcW w:w="110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gridSpan w:val="2"/>
          </w:tcPr>
          <w:p>
            <w:pPr>
              <w:ind w:left="360"/>
              <w:spacing w:after="0"/>
              <w:rPr>
                <w:sz w:val="20"/>
                <w:szCs w:val="20"/>
                <w:color w:val="auto"/>
              </w:rPr>
            </w:pPr>
            <w:r>
              <w:rPr>
                <w:rFonts w:ascii="Arial" w:cs="Arial" w:eastAsia="Arial" w:hAnsi="Arial"/>
                <w:sz w:val="18"/>
                <w:szCs w:val="18"/>
                <w:color w:val="auto"/>
              </w:rPr>
              <w:t>Hedged items</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29"/>
        </w:trPr>
        <w:tc>
          <w:tcPr>
            <w:tcW w:w="4440" w:type="dxa"/>
            <w:vAlign w:val="bottom"/>
            <w:gridSpan w:val="2"/>
            <w:shd w:val="clear" w:color="auto" w:fill="DDDDDD"/>
          </w:tcPr>
          <w:p>
            <w:pPr>
              <w:ind w:left="360"/>
              <w:spacing w:after="0"/>
              <w:rPr>
                <w:sz w:val="20"/>
                <w:szCs w:val="20"/>
                <w:color w:val="auto"/>
              </w:rPr>
            </w:pPr>
            <w:r>
              <w:rPr>
                <w:rFonts w:ascii="Arial" w:cs="Arial" w:eastAsia="Arial" w:hAnsi="Arial"/>
                <w:sz w:val="18"/>
                <w:szCs w:val="18"/>
                <w:color w:val="auto"/>
              </w:rPr>
              <w:t>Derivatives designated as hedges</w:t>
            </w:r>
          </w:p>
        </w:tc>
        <w:tc>
          <w:tcPr>
            <w:tcW w:w="1200" w:type="dxa"/>
            <w:vAlign w:val="bottom"/>
            <w:gridSpan w:val="2"/>
            <w:shd w:val="clear" w:color="auto" w:fill="DDDDDD"/>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DDDDDD"/>
          </w:tcPr>
          <w:p>
            <w:pPr>
              <w:spacing w:after="0"/>
              <w:rPr>
                <w:sz w:val="19"/>
                <w:szCs w:val="19"/>
                <w:color w:val="auto"/>
              </w:rPr>
            </w:pPr>
          </w:p>
        </w:tc>
        <w:tc>
          <w:tcPr>
            <w:tcW w:w="1260" w:type="dxa"/>
            <w:vAlign w:val="bottom"/>
            <w:gridSpan w:val="2"/>
            <w:shd w:val="clear" w:color="auto" w:fill="DDDDDD"/>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DDDDDD"/>
          </w:tcPr>
          <w:p>
            <w:pPr>
              <w:spacing w:after="0"/>
              <w:rPr>
                <w:sz w:val="19"/>
                <w:szCs w:val="19"/>
                <w:color w:val="auto"/>
              </w:rPr>
            </w:pPr>
          </w:p>
        </w:tc>
        <w:tc>
          <w:tcPr>
            <w:tcW w:w="1120" w:type="dxa"/>
            <w:vAlign w:val="bottom"/>
            <w:gridSpan w:val="2"/>
            <w:shd w:val="clear" w:color="auto" w:fill="DDDDDD"/>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DDDDDD"/>
          </w:tcPr>
          <w:p>
            <w:pPr>
              <w:spacing w:after="0"/>
              <w:rPr>
                <w:sz w:val="19"/>
                <w:szCs w:val="19"/>
                <w:color w:val="auto"/>
              </w:rPr>
            </w:pPr>
          </w:p>
        </w:tc>
        <w:tc>
          <w:tcPr>
            <w:tcW w:w="1200" w:type="dxa"/>
            <w:vAlign w:val="bottom"/>
            <w:gridSpan w:val="2"/>
            <w:shd w:val="clear" w:color="auto" w:fill="DDDDDD"/>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29"/>
        </w:trPr>
        <w:tc>
          <w:tcPr>
            <w:tcW w:w="4440" w:type="dxa"/>
            <w:vAlign w:val="bottom"/>
            <w:gridSpan w:val="2"/>
          </w:tcPr>
          <w:p>
            <w:pPr>
              <w:ind w:left="20"/>
              <w:spacing w:after="0"/>
              <w:rPr>
                <w:sz w:val="20"/>
                <w:szCs w:val="20"/>
                <w:color w:val="auto"/>
              </w:rPr>
            </w:pPr>
            <w:r>
              <w:rPr>
                <w:rFonts w:ascii="Arial" w:cs="Arial" w:eastAsia="Arial" w:hAnsi="Arial"/>
                <w:sz w:val="18"/>
                <w:szCs w:val="18"/>
                <w:b w:val="1"/>
                <w:bCs w:val="1"/>
                <w:color w:val="auto"/>
              </w:rPr>
              <w:t>Gain or (loss) on net investment hedges:</w:t>
            </w: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gridSpan w:val="2"/>
            <w:shd w:val="clear" w:color="auto" w:fill="DDDDDD"/>
          </w:tcPr>
          <w:p>
            <w:pPr>
              <w:ind w:left="140"/>
              <w:spacing w:after="0"/>
              <w:rPr>
                <w:sz w:val="20"/>
                <w:szCs w:val="20"/>
                <w:color w:val="auto"/>
              </w:rPr>
            </w:pPr>
            <w:r>
              <w:rPr>
                <w:rFonts w:ascii="Arial" w:cs="Arial" w:eastAsia="Arial" w:hAnsi="Arial"/>
                <w:sz w:val="18"/>
                <w:szCs w:val="18"/>
                <w:color w:val="auto"/>
              </w:rPr>
              <w:t>Foreign Currency Exchange Contracts:</w:t>
            </w:r>
          </w:p>
        </w:tc>
        <w:tc>
          <w:tcPr>
            <w:tcW w:w="108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160" w:type="dxa"/>
            <w:vAlign w:val="bottom"/>
            <w:shd w:val="clear" w:color="auto" w:fill="DDDDDD"/>
          </w:tcPr>
          <w:p>
            <w:pPr>
              <w:spacing w:after="0"/>
              <w:rPr>
                <w:sz w:val="19"/>
                <w:szCs w:val="19"/>
                <w:color w:val="auto"/>
              </w:rPr>
            </w:pPr>
          </w:p>
        </w:tc>
        <w:tc>
          <w:tcPr>
            <w:tcW w:w="116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300" w:type="dxa"/>
            <w:vAlign w:val="bottom"/>
            <w:shd w:val="clear" w:color="auto" w:fill="DDDDDD"/>
          </w:tcPr>
          <w:p>
            <w:pPr>
              <w:spacing w:after="0"/>
              <w:rPr>
                <w:sz w:val="19"/>
                <w:szCs w:val="19"/>
                <w:color w:val="auto"/>
              </w:rPr>
            </w:pPr>
          </w:p>
        </w:tc>
        <w:tc>
          <w:tcPr>
            <w:tcW w:w="102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240" w:type="dxa"/>
            <w:vAlign w:val="bottom"/>
            <w:shd w:val="clear" w:color="auto" w:fill="DDDDDD"/>
          </w:tcPr>
          <w:p>
            <w:pPr>
              <w:spacing w:after="0"/>
              <w:rPr>
                <w:sz w:val="19"/>
                <w:szCs w:val="19"/>
                <w:color w:val="auto"/>
              </w:rPr>
            </w:pPr>
          </w:p>
        </w:tc>
        <w:tc>
          <w:tcPr>
            <w:tcW w:w="108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220" w:type="dxa"/>
            <w:vAlign w:val="bottom"/>
            <w:shd w:val="clear" w:color="auto" w:fill="DDDDDD"/>
          </w:tcPr>
          <w:p>
            <w:pPr>
              <w:spacing w:after="0"/>
              <w:rPr>
                <w:sz w:val="19"/>
                <w:szCs w:val="19"/>
                <w:color w:val="auto"/>
              </w:rPr>
            </w:pPr>
          </w:p>
        </w:tc>
        <w:tc>
          <w:tcPr>
            <w:tcW w:w="110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440" w:type="dxa"/>
            <w:vAlign w:val="bottom"/>
            <w:gridSpan w:val="2"/>
          </w:tcPr>
          <w:p>
            <w:pPr>
              <w:ind w:left="360"/>
              <w:spacing w:after="0" w:line="189" w:lineRule="exact"/>
              <w:rPr>
                <w:sz w:val="20"/>
                <w:szCs w:val="20"/>
                <w:color w:val="auto"/>
              </w:rPr>
            </w:pPr>
            <w:r>
              <w:rPr>
                <w:rFonts w:ascii="Arial" w:cs="Arial" w:eastAsia="Arial" w:hAnsi="Arial"/>
                <w:sz w:val="18"/>
                <w:szCs w:val="18"/>
                <w:color w:val="auto"/>
              </w:rPr>
              <w:t>Amount excluded from effectiveness testing</w:t>
            </w: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440" w:type="dxa"/>
            <w:vAlign w:val="bottom"/>
            <w:gridSpan w:val="2"/>
          </w:tcPr>
          <w:p>
            <w:pPr>
              <w:ind w:left="360"/>
              <w:spacing w:after="0" w:line="176" w:lineRule="exact"/>
              <w:rPr>
                <w:sz w:val="20"/>
                <w:szCs w:val="20"/>
                <w:color w:val="auto"/>
              </w:rPr>
            </w:pPr>
            <w:r>
              <w:rPr>
                <w:rFonts w:ascii="Arial" w:cs="Arial" w:eastAsia="Arial" w:hAnsi="Arial"/>
                <w:sz w:val="18"/>
                <w:szCs w:val="18"/>
                <w:color w:val="auto"/>
              </w:rPr>
              <w:t>recognized in earnings using an amortization</w:t>
            </w: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440" w:type="dxa"/>
            <w:vAlign w:val="bottom"/>
            <w:gridSpan w:val="2"/>
          </w:tcPr>
          <w:p>
            <w:pPr>
              <w:ind w:left="360"/>
              <w:spacing w:after="0"/>
              <w:rPr>
                <w:sz w:val="20"/>
                <w:szCs w:val="20"/>
                <w:color w:val="auto"/>
              </w:rPr>
            </w:pPr>
            <w:r>
              <w:rPr>
                <w:rFonts w:ascii="Arial" w:cs="Arial" w:eastAsia="Arial" w:hAnsi="Arial"/>
                <w:sz w:val="18"/>
                <w:szCs w:val="18"/>
                <w:color w:val="auto"/>
              </w:rPr>
              <w:t>approach</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76"/>
        </w:trPr>
        <w:tc>
          <w:tcPr>
            <w:tcW w:w="4440" w:type="dxa"/>
            <w:vAlign w:val="bottom"/>
            <w:gridSpan w:val="2"/>
            <w:shd w:val="clear" w:color="auto" w:fill="DDDDDD"/>
          </w:tcPr>
          <w:p>
            <w:pPr>
              <w:ind w:left="20"/>
              <w:spacing w:after="0" w:line="176" w:lineRule="exact"/>
              <w:rPr>
                <w:sz w:val="20"/>
                <w:szCs w:val="20"/>
                <w:color w:val="auto"/>
              </w:rPr>
            </w:pPr>
            <w:r>
              <w:rPr>
                <w:rFonts w:ascii="Arial" w:cs="Arial" w:eastAsia="Arial" w:hAnsi="Arial"/>
                <w:sz w:val="18"/>
                <w:szCs w:val="18"/>
                <w:b w:val="1"/>
                <w:bCs w:val="1"/>
                <w:color w:val="auto"/>
              </w:rPr>
              <w:t>Gain or (loss) on derivatives not designated as</w:t>
            </w:r>
          </w:p>
        </w:tc>
        <w:tc>
          <w:tcPr>
            <w:tcW w:w="1080" w:type="dxa"/>
            <w:vAlign w:val="bottom"/>
            <w:shd w:val="clear" w:color="auto" w:fill="DDDDDD"/>
          </w:tcPr>
          <w:p>
            <w:pPr>
              <w:spacing w:after="0"/>
              <w:rPr>
                <w:sz w:val="15"/>
                <w:szCs w:val="15"/>
                <w:color w:val="auto"/>
              </w:rPr>
            </w:pPr>
          </w:p>
        </w:tc>
        <w:tc>
          <w:tcPr>
            <w:tcW w:w="120" w:type="dxa"/>
            <w:vAlign w:val="bottom"/>
            <w:shd w:val="clear" w:color="auto" w:fill="DDDDDD"/>
          </w:tcPr>
          <w:p>
            <w:pPr>
              <w:spacing w:after="0"/>
              <w:rPr>
                <w:sz w:val="15"/>
                <w:szCs w:val="15"/>
                <w:color w:val="auto"/>
              </w:rPr>
            </w:pPr>
          </w:p>
        </w:tc>
        <w:tc>
          <w:tcPr>
            <w:tcW w:w="160" w:type="dxa"/>
            <w:vAlign w:val="bottom"/>
            <w:shd w:val="clear" w:color="auto" w:fill="DDDDDD"/>
          </w:tcPr>
          <w:p>
            <w:pPr>
              <w:spacing w:after="0"/>
              <w:rPr>
                <w:sz w:val="15"/>
                <w:szCs w:val="15"/>
                <w:color w:val="auto"/>
              </w:rPr>
            </w:pPr>
          </w:p>
        </w:tc>
        <w:tc>
          <w:tcPr>
            <w:tcW w:w="1160" w:type="dxa"/>
            <w:vAlign w:val="bottom"/>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300" w:type="dxa"/>
            <w:vAlign w:val="bottom"/>
            <w:shd w:val="clear" w:color="auto" w:fill="DDDDDD"/>
          </w:tcPr>
          <w:p>
            <w:pPr>
              <w:spacing w:after="0"/>
              <w:rPr>
                <w:sz w:val="15"/>
                <w:szCs w:val="15"/>
                <w:color w:val="auto"/>
              </w:rPr>
            </w:pPr>
          </w:p>
        </w:tc>
        <w:tc>
          <w:tcPr>
            <w:tcW w:w="1020" w:type="dxa"/>
            <w:vAlign w:val="bottom"/>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240" w:type="dxa"/>
            <w:vAlign w:val="bottom"/>
            <w:shd w:val="clear" w:color="auto" w:fill="DDDDDD"/>
          </w:tcPr>
          <w:p>
            <w:pPr>
              <w:spacing w:after="0"/>
              <w:rPr>
                <w:sz w:val="15"/>
                <w:szCs w:val="15"/>
                <w:color w:val="auto"/>
              </w:rPr>
            </w:pPr>
          </w:p>
        </w:tc>
        <w:tc>
          <w:tcPr>
            <w:tcW w:w="1080" w:type="dxa"/>
            <w:vAlign w:val="bottom"/>
            <w:shd w:val="clear" w:color="auto" w:fill="DDDDDD"/>
          </w:tcPr>
          <w:p>
            <w:pPr>
              <w:spacing w:after="0"/>
              <w:rPr>
                <w:sz w:val="15"/>
                <w:szCs w:val="15"/>
                <w:color w:val="auto"/>
              </w:rPr>
            </w:pPr>
          </w:p>
        </w:tc>
        <w:tc>
          <w:tcPr>
            <w:tcW w:w="120" w:type="dxa"/>
            <w:vAlign w:val="bottom"/>
            <w:shd w:val="clear" w:color="auto" w:fill="DDDDDD"/>
          </w:tcPr>
          <w:p>
            <w:pPr>
              <w:spacing w:after="0"/>
              <w:rPr>
                <w:sz w:val="15"/>
                <w:szCs w:val="15"/>
                <w:color w:val="auto"/>
              </w:rPr>
            </w:pPr>
          </w:p>
        </w:tc>
        <w:tc>
          <w:tcPr>
            <w:tcW w:w="220" w:type="dxa"/>
            <w:vAlign w:val="bottom"/>
            <w:shd w:val="clear" w:color="auto" w:fill="DDDDDD"/>
          </w:tcPr>
          <w:p>
            <w:pPr>
              <w:spacing w:after="0"/>
              <w:rPr>
                <w:sz w:val="15"/>
                <w:szCs w:val="15"/>
                <w:color w:val="auto"/>
              </w:rPr>
            </w:pPr>
          </w:p>
        </w:tc>
        <w:tc>
          <w:tcPr>
            <w:tcW w:w="1100" w:type="dxa"/>
            <w:vAlign w:val="bottom"/>
            <w:shd w:val="clear" w:color="auto" w:fill="DDDDDD"/>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440" w:type="dxa"/>
            <w:vAlign w:val="bottom"/>
            <w:gridSpan w:val="2"/>
            <w:shd w:val="clear" w:color="auto" w:fill="DDDDDD"/>
          </w:tcPr>
          <w:p>
            <w:pPr>
              <w:ind w:left="20"/>
              <w:spacing w:after="0"/>
              <w:rPr>
                <w:sz w:val="20"/>
                <w:szCs w:val="20"/>
                <w:color w:val="auto"/>
              </w:rPr>
            </w:pPr>
            <w:r>
              <w:rPr>
                <w:rFonts w:ascii="Arial" w:cs="Arial" w:eastAsia="Arial" w:hAnsi="Arial"/>
                <w:sz w:val="18"/>
                <w:szCs w:val="18"/>
                <w:b w:val="1"/>
                <w:bCs w:val="1"/>
                <w:color w:val="auto"/>
              </w:rPr>
              <w:t>hedging instruments:</w:t>
            </w:r>
          </w:p>
        </w:tc>
        <w:tc>
          <w:tcPr>
            <w:tcW w:w="108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160" w:type="dxa"/>
            <w:vAlign w:val="bottom"/>
            <w:shd w:val="clear" w:color="auto" w:fill="DDDDDD"/>
          </w:tcPr>
          <w:p>
            <w:pPr>
              <w:spacing w:after="0"/>
              <w:rPr>
                <w:sz w:val="19"/>
                <w:szCs w:val="19"/>
                <w:color w:val="auto"/>
              </w:rPr>
            </w:pPr>
          </w:p>
        </w:tc>
        <w:tc>
          <w:tcPr>
            <w:tcW w:w="116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300" w:type="dxa"/>
            <w:vAlign w:val="bottom"/>
            <w:shd w:val="clear" w:color="auto" w:fill="DDDDDD"/>
          </w:tcPr>
          <w:p>
            <w:pPr>
              <w:spacing w:after="0"/>
              <w:rPr>
                <w:sz w:val="19"/>
                <w:szCs w:val="19"/>
                <w:color w:val="auto"/>
              </w:rPr>
            </w:pPr>
          </w:p>
        </w:tc>
        <w:tc>
          <w:tcPr>
            <w:tcW w:w="102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240" w:type="dxa"/>
            <w:vAlign w:val="bottom"/>
            <w:shd w:val="clear" w:color="auto" w:fill="DDDDDD"/>
          </w:tcPr>
          <w:p>
            <w:pPr>
              <w:spacing w:after="0"/>
              <w:rPr>
                <w:sz w:val="19"/>
                <w:szCs w:val="19"/>
                <w:color w:val="auto"/>
              </w:rPr>
            </w:pPr>
          </w:p>
        </w:tc>
        <w:tc>
          <w:tcPr>
            <w:tcW w:w="108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220" w:type="dxa"/>
            <w:vAlign w:val="bottom"/>
            <w:shd w:val="clear" w:color="auto" w:fill="DDDDDD"/>
          </w:tcPr>
          <w:p>
            <w:pPr>
              <w:spacing w:after="0"/>
              <w:rPr>
                <w:sz w:val="19"/>
                <w:szCs w:val="19"/>
                <w:color w:val="auto"/>
              </w:rPr>
            </w:pPr>
          </w:p>
        </w:tc>
        <w:tc>
          <w:tcPr>
            <w:tcW w:w="110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gridSpan w:val="2"/>
          </w:tcPr>
          <w:p>
            <w:pPr>
              <w:ind w:left="360"/>
              <w:spacing w:after="0"/>
              <w:rPr>
                <w:sz w:val="20"/>
                <w:szCs w:val="20"/>
                <w:color w:val="auto"/>
              </w:rPr>
            </w:pPr>
            <w:r>
              <w:rPr>
                <w:rFonts w:ascii="Arial" w:cs="Arial" w:eastAsia="Arial" w:hAnsi="Arial"/>
                <w:sz w:val="18"/>
                <w:szCs w:val="18"/>
                <w:color w:val="auto"/>
              </w:rPr>
              <w:t>Foreign currency exchange contracts</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75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8" w:name="page79"/>
    <w:bookmarkEnd w:id="78"/>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640"/>
        <w:spacing w:after="0"/>
        <w:rPr>
          <w:sz w:val="20"/>
          <w:szCs w:val="20"/>
          <w:color w:val="auto"/>
        </w:rPr>
      </w:pPr>
      <w:r>
        <w:rPr>
          <w:rFonts w:ascii="Arial" w:cs="Arial" w:eastAsia="Arial" w:hAnsi="Arial"/>
          <w:sz w:val="14"/>
          <w:szCs w:val="14"/>
          <w:b w:val="1"/>
          <w:bCs w:val="1"/>
          <w:color w:val="auto"/>
        </w:rPr>
        <w:t>Year Ended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17780</wp:posOffset>
            </wp:positionV>
            <wp:extent cx="445770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4457700" cy="17145"/>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Cost of</w:t>
            </w: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center"/>
              <w:ind w:right="117"/>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35"/>
        </w:trPr>
        <w:tc>
          <w:tcPr>
            <w:tcW w:w="4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Products and</w:t>
            </w:r>
          </w:p>
        </w:tc>
        <w:tc>
          <w:tcPr>
            <w:tcW w:w="2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Other (Income)</w:t>
            </w:r>
          </w:p>
        </w:tc>
        <w:tc>
          <w:tcPr>
            <w:tcW w:w="220" w:type="dxa"/>
            <w:vAlign w:val="bottom"/>
          </w:tcPr>
          <w:p>
            <w:pPr>
              <w:spacing w:after="0"/>
              <w:rPr>
                <w:sz w:val="11"/>
                <w:szCs w:val="11"/>
                <w:color w:val="auto"/>
              </w:rPr>
            </w:pPr>
          </w:p>
        </w:tc>
        <w:tc>
          <w:tcPr>
            <w:tcW w:w="1120" w:type="dxa"/>
            <w:vAlign w:val="bottom"/>
          </w:tcPr>
          <w:p>
            <w:pPr>
              <w:jc w:val="center"/>
              <w:ind w:right="117"/>
              <w:spacing w:after="0" w:line="135" w:lineRule="exact"/>
              <w:rPr>
                <w:sz w:val="20"/>
                <w:szCs w:val="20"/>
                <w:color w:val="auto"/>
              </w:rPr>
            </w:pPr>
            <w:r>
              <w:rPr>
                <w:rFonts w:ascii="Arial" w:cs="Arial" w:eastAsia="Arial" w:hAnsi="Arial"/>
                <w:sz w:val="14"/>
                <w:szCs w:val="14"/>
                <w:b w:val="1"/>
                <w:bCs w:val="1"/>
                <w:color w:val="auto"/>
              </w:rPr>
              <w:t>and Other</w:t>
            </w:r>
          </w:p>
        </w:tc>
        <w:tc>
          <w:tcPr>
            <w:tcW w:w="0" w:type="dxa"/>
            <w:vAlign w:val="bottom"/>
          </w:tcPr>
          <w:p>
            <w:pPr>
              <w:spacing w:after="0"/>
              <w:rPr>
                <w:sz w:val="1"/>
                <w:szCs w:val="1"/>
                <w:color w:val="auto"/>
              </w:rPr>
            </w:pPr>
          </w:p>
        </w:tc>
      </w:tr>
      <w:tr>
        <w:trPr>
          <w:trHeight w:val="135"/>
        </w:trPr>
        <w:tc>
          <w:tcPr>
            <w:tcW w:w="4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Revenue</w:t>
            </w:r>
          </w:p>
        </w:tc>
        <w:tc>
          <w:tcPr>
            <w:tcW w:w="12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Services</w:t>
            </w:r>
          </w:p>
        </w:tc>
        <w:tc>
          <w:tcPr>
            <w:tcW w:w="280" w:type="dxa"/>
            <w:vAlign w:val="bottom"/>
          </w:tcPr>
          <w:p>
            <w:pPr>
              <w:spacing w:after="0"/>
              <w:rPr>
                <w:sz w:val="11"/>
                <w:szCs w:val="11"/>
                <w:color w:val="auto"/>
              </w:rPr>
            </w:pPr>
          </w:p>
        </w:tc>
        <w:tc>
          <w:tcPr>
            <w:tcW w:w="104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SG&amp;A</w:t>
            </w:r>
          </w:p>
        </w:tc>
        <w:tc>
          <w:tcPr>
            <w:tcW w:w="10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jc w:val="center"/>
              <w:ind w:right="137"/>
              <w:spacing w:after="0" w:line="135" w:lineRule="exact"/>
              <w:rPr>
                <w:sz w:val="20"/>
                <w:szCs w:val="20"/>
                <w:color w:val="auto"/>
              </w:rPr>
            </w:pPr>
            <w:r>
              <w:rPr>
                <w:rFonts w:ascii="Arial" w:cs="Arial" w:eastAsia="Arial" w:hAnsi="Arial"/>
                <w:sz w:val="14"/>
                <w:szCs w:val="14"/>
                <w:b w:val="1"/>
                <w:bCs w:val="1"/>
                <w:color w:val="auto"/>
              </w:rPr>
              <w:t>Financial</w:t>
            </w:r>
          </w:p>
        </w:tc>
        <w:tc>
          <w:tcPr>
            <w:tcW w:w="0" w:type="dxa"/>
            <w:vAlign w:val="bottom"/>
          </w:tcPr>
          <w:p>
            <w:pPr>
              <w:spacing w:after="0"/>
              <w:rPr>
                <w:sz w:val="1"/>
                <w:szCs w:val="1"/>
                <w:color w:val="auto"/>
              </w:rPr>
            </w:pPr>
          </w:p>
        </w:tc>
      </w:tr>
      <w:tr>
        <w:trPr>
          <w:trHeight w:val="183"/>
        </w:trPr>
        <w:tc>
          <w:tcPr>
            <w:tcW w:w="4200" w:type="dxa"/>
            <w:vAlign w:val="bottom"/>
            <w:tcBorders>
              <w:bottom w:val="single" w:sz="8" w:color="DDDDDD"/>
            </w:tcBorders>
          </w:tcPr>
          <w:p>
            <w:pPr>
              <w:spacing w:after="0"/>
              <w:rPr>
                <w:sz w:val="15"/>
                <w:szCs w:val="15"/>
                <w:color w:val="auto"/>
              </w:rPr>
            </w:pPr>
          </w:p>
        </w:tc>
        <w:tc>
          <w:tcPr>
            <w:tcW w:w="220" w:type="dxa"/>
            <w:vAlign w:val="bottom"/>
            <w:tcBorders>
              <w:bottom w:val="single" w:sz="8" w:color="DC202E"/>
            </w:tcBorders>
          </w:tcPr>
          <w:p>
            <w:pPr>
              <w:spacing w:after="0"/>
              <w:rPr>
                <w:sz w:val="15"/>
                <w:szCs w:val="15"/>
                <w:color w:val="auto"/>
              </w:rPr>
            </w:pPr>
          </w:p>
        </w:tc>
        <w:tc>
          <w:tcPr>
            <w:tcW w:w="1080" w:type="dxa"/>
            <w:vAlign w:val="bottom"/>
            <w:tcBorders>
              <w:bottom w:val="single" w:sz="8" w:color="DC202E"/>
            </w:tcBorders>
            <w:vMerge w:val="continue"/>
          </w:tcPr>
          <w:p>
            <w:pPr>
              <w:spacing w:after="0"/>
              <w:rPr>
                <w:sz w:val="15"/>
                <w:szCs w:val="15"/>
                <w:color w:val="auto"/>
              </w:rPr>
            </w:pPr>
          </w:p>
        </w:tc>
        <w:tc>
          <w:tcPr>
            <w:tcW w:w="120" w:type="dxa"/>
            <w:vAlign w:val="bottom"/>
            <w:tcBorders>
              <w:bottom w:val="single" w:sz="8" w:color="DDDDDD"/>
            </w:tcBorders>
            <w:vMerge w:val="continue"/>
          </w:tcPr>
          <w:p>
            <w:pPr>
              <w:spacing w:after="0"/>
              <w:rPr>
                <w:sz w:val="15"/>
                <w:szCs w:val="15"/>
                <w:color w:val="auto"/>
              </w:rPr>
            </w:pPr>
          </w:p>
        </w:tc>
        <w:tc>
          <w:tcPr>
            <w:tcW w:w="160" w:type="dxa"/>
            <w:vAlign w:val="bottom"/>
            <w:tcBorders>
              <w:bottom w:val="single" w:sz="8" w:color="DC202E"/>
            </w:tcBorders>
          </w:tcPr>
          <w:p>
            <w:pPr>
              <w:spacing w:after="0"/>
              <w:rPr>
                <w:sz w:val="15"/>
                <w:szCs w:val="15"/>
                <w:color w:val="auto"/>
              </w:rPr>
            </w:pPr>
          </w:p>
        </w:tc>
        <w:tc>
          <w:tcPr>
            <w:tcW w:w="1160" w:type="dxa"/>
            <w:vAlign w:val="bottom"/>
            <w:tcBorders>
              <w:bottom w:val="single" w:sz="8" w:color="DC202E"/>
            </w:tcBorders>
          </w:tcPr>
          <w:p>
            <w:pPr>
              <w:jc w:val="center"/>
              <w:ind w:right="97"/>
              <w:spacing w:after="0"/>
              <w:rPr>
                <w:sz w:val="20"/>
                <w:szCs w:val="20"/>
                <w:color w:val="auto"/>
              </w:rPr>
            </w:pPr>
            <w:r>
              <w:rPr>
                <w:rFonts w:ascii="Arial" w:cs="Arial" w:eastAsia="Arial" w:hAnsi="Arial"/>
                <w:sz w:val="14"/>
                <w:szCs w:val="14"/>
                <w:b w:val="1"/>
                <w:bCs w:val="1"/>
                <w:color w:val="auto"/>
                <w:w w:val="98"/>
              </w:rPr>
              <w:t>Sold</w:t>
            </w:r>
          </w:p>
        </w:tc>
        <w:tc>
          <w:tcPr>
            <w:tcW w:w="100" w:type="dxa"/>
            <w:vAlign w:val="bottom"/>
            <w:tcBorders>
              <w:bottom w:val="single" w:sz="8" w:color="DDDDDD"/>
            </w:tcBorders>
          </w:tcPr>
          <w:p>
            <w:pPr>
              <w:spacing w:after="0"/>
              <w:rPr>
                <w:sz w:val="15"/>
                <w:szCs w:val="15"/>
                <w:color w:val="auto"/>
              </w:rPr>
            </w:pPr>
          </w:p>
        </w:tc>
        <w:tc>
          <w:tcPr>
            <w:tcW w:w="280" w:type="dxa"/>
            <w:vAlign w:val="bottom"/>
            <w:tcBorders>
              <w:bottom w:val="single" w:sz="8" w:color="DC202E"/>
            </w:tcBorders>
          </w:tcPr>
          <w:p>
            <w:pPr>
              <w:spacing w:after="0"/>
              <w:rPr>
                <w:sz w:val="15"/>
                <w:szCs w:val="15"/>
                <w:color w:val="auto"/>
              </w:rPr>
            </w:pPr>
          </w:p>
        </w:tc>
        <w:tc>
          <w:tcPr>
            <w:tcW w:w="1040" w:type="dxa"/>
            <w:vAlign w:val="bottom"/>
            <w:tcBorders>
              <w:bottom w:val="single" w:sz="8" w:color="DC202E"/>
            </w:tcBorders>
            <w:vMerge w:val="continue"/>
          </w:tcPr>
          <w:p>
            <w:pPr>
              <w:spacing w:after="0"/>
              <w:rPr>
                <w:sz w:val="15"/>
                <w:szCs w:val="15"/>
                <w:color w:val="auto"/>
              </w:rPr>
            </w:pPr>
          </w:p>
        </w:tc>
        <w:tc>
          <w:tcPr>
            <w:tcW w:w="100" w:type="dxa"/>
            <w:vAlign w:val="bottom"/>
            <w:tcBorders>
              <w:bottom w:val="single" w:sz="8" w:color="DDDDDD"/>
            </w:tcBorders>
            <w:vMerge w:val="continue"/>
          </w:tcPr>
          <w:p>
            <w:pPr>
              <w:spacing w:after="0"/>
              <w:rPr>
                <w:sz w:val="15"/>
                <w:szCs w:val="15"/>
                <w:color w:val="auto"/>
              </w:rPr>
            </w:pPr>
          </w:p>
        </w:tc>
        <w:tc>
          <w:tcPr>
            <w:tcW w:w="140" w:type="dxa"/>
            <w:vAlign w:val="bottom"/>
            <w:tcBorders>
              <w:bottom w:val="single" w:sz="8" w:color="DC202E"/>
            </w:tcBorders>
          </w:tcPr>
          <w:p>
            <w:pPr>
              <w:spacing w:after="0"/>
              <w:rPr>
                <w:sz w:val="15"/>
                <w:szCs w:val="15"/>
                <w:color w:val="auto"/>
              </w:rPr>
            </w:pPr>
          </w:p>
        </w:tc>
        <w:tc>
          <w:tcPr>
            <w:tcW w:w="1180" w:type="dxa"/>
            <w:vAlign w:val="bottom"/>
            <w:tcBorders>
              <w:bottom w:val="single" w:sz="8" w:color="DC202E"/>
            </w:tcBorders>
          </w:tcPr>
          <w:p>
            <w:pPr>
              <w:jc w:val="right"/>
              <w:ind w:right="274"/>
              <w:spacing w:after="0"/>
              <w:rPr>
                <w:sz w:val="20"/>
                <w:szCs w:val="20"/>
                <w:color w:val="auto"/>
              </w:rPr>
            </w:pPr>
            <w:r>
              <w:rPr>
                <w:rFonts w:ascii="Arial" w:cs="Arial" w:eastAsia="Arial" w:hAnsi="Arial"/>
                <w:sz w:val="14"/>
                <w:szCs w:val="14"/>
                <w:b w:val="1"/>
                <w:bCs w:val="1"/>
                <w:color w:val="auto"/>
              </w:rPr>
              <w:t>Expense</w:t>
            </w:r>
          </w:p>
        </w:tc>
        <w:tc>
          <w:tcPr>
            <w:tcW w:w="100" w:type="dxa"/>
            <w:vAlign w:val="bottom"/>
            <w:tcBorders>
              <w:bottom w:val="single" w:sz="8" w:color="DDDDDD"/>
            </w:tcBorders>
          </w:tcPr>
          <w:p>
            <w:pPr>
              <w:spacing w:after="0"/>
              <w:rPr>
                <w:sz w:val="15"/>
                <w:szCs w:val="15"/>
                <w:color w:val="auto"/>
              </w:rPr>
            </w:pPr>
          </w:p>
        </w:tc>
        <w:tc>
          <w:tcPr>
            <w:tcW w:w="220" w:type="dxa"/>
            <w:vAlign w:val="bottom"/>
            <w:tcBorders>
              <w:bottom w:val="single" w:sz="8" w:color="DC202E"/>
            </w:tcBorders>
          </w:tcPr>
          <w:p>
            <w:pPr>
              <w:spacing w:after="0"/>
              <w:rPr>
                <w:sz w:val="15"/>
                <w:szCs w:val="15"/>
                <w:color w:val="auto"/>
              </w:rPr>
            </w:pPr>
          </w:p>
        </w:tc>
        <w:tc>
          <w:tcPr>
            <w:tcW w:w="1120" w:type="dxa"/>
            <w:vAlign w:val="bottom"/>
            <w:tcBorders>
              <w:bottom w:val="single" w:sz="8" w:color="DC202E"/>
            </w:tcBorders>
          </w:tcPr>
          <w:p>
            <w:pPr>
              <w:jc w:val="center"/>
              <w:ind w:right="137"/>
              <w:spacing w:after="0"/>
              <w:rPr>
                <w:sz w:val="20"/>
                <w:szCs w:val="20"/>
                <w:color w:val="auto"/>
              </w:rPr>
            </w:pPr>
            <w:r>
              <w:rPr>
                <w:rFonts w:ascii="Arial" w:cs="Arial" w:eastAsia="Arial" w:hAnsi="Arial"/>
                <w:sz w:val="14"/>
                <w:szCs w:val="14"/>
                <w:b w:val="1"/>
                <w:bCs w:val="1"/>
                <w:color w:val="auto"/>
              </w:rPr>
              <w:t>Charges</w:t>
            </w:r>
          </w:p>
        </w:tc>
        <w:tc>
          <w:tcPr>
            <w:tcW w:w="0" w:type="dxa"/>
            <w:vAlign w:val="bottom"/>
          </w:tcPr>
          <w:p>
            <w:pPr>
              <w:spacing w:after="0"/>
              <w:rPr>
                <w:sz w:val="1"/>
                <w:szCs w:val="1"/>
                <w:color w:val="auto"/>
              </w:rPr>
            </w:pPr>
          </w:p>
        </w:tc>
      </w:tr>
      <w:tr>
        <w:trPr>
          <w:trHeight w:val="230"/>
        </w:trPr>
        <w:tc>
          <w:tcPr>
            <w:tcW w:w="4420" w:type="dxa"/>
            <w:vAlign w:val="bottom"/>
            <w:gridSpan w:val="2"/>
            <w:shd w:val="clear" w:color="auto" w:fill="DDDDDD"/>
          </w:tcPr>
          <w:p>
            <w:pPr>
              <w:ind w:left="42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36,709</w:t>
            </w:r>
          </w:p>
        </w:tc>
        <w:tc>
          <w:tcPr>
            <w:tcW w:w="120" w:type="dxa"/>
            <w:vAlign w:val="bottom"/>
            <w:shd w:val="clear" w:color="auto" w:fill="DDDDDD"/>
          </w:tcPr>
          <w:p>
            <w:pPr>
              <w:spacing w:after="0"/>
              <w:rPr>
                <w:sz w:val="19"/>
                <w:szCs w:val="19"/>
                <w:color w:val="auto"/>
              </w:rPr>
            </w:pPr>
          </w:p>
        </w:tc>
        <w:tc>
          <w:tcPr>
            <w:tcW w:w="160" w:type="dxa"/>
            <w:vAlign w:val="bottom"/>
            <w:shd w:val="clear" w:color="auto" w:fill="DDDDDD"/>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24,339</w:t>
            </w:r>
          </w:p>
        </w:tc>
        <w:tc>
          <w:tcPr>
            <w:tcW w:w="100" w:type="dxa"/>
            <w:vAlign w:val="bottom"/>
            <w:shd w:val="clear" w:color="auto" w:fill="DDDDDD"/>
          </w:tcPr>
          <w:p>
            <w:pPr>
              <w:spacing w:after="0"/>
              <w:rPr>
                <w:sz w:val="19"/>
                <w:szCs w:val="19"/>
                <w:color w:val="auto"/>
              </w:rPr>
            </w:pPr>
          </w:p>
        </w:tc>
        <w:tc>
          <w:tcPr>
            <w:tcW w:w="280" w:type="dxa"/>
            <w:vAlign w:val="bottom"/>
            <w:shd w:val="clear" w:color="auto" w:fill="DDDDDD"/>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5,519</w:t>
            </w:r>
          </w:p>
        </w:tc>
        <w:tc>
          <w:tcPr>
            <w:tcW w:w="100" w:type="dxa"/>
            <w:vAlign w:val="bottom"/>
            <w:shd w:val="clear" w:color="auto" w:fill="DDDDDD"/>
          </w:tcPr>
          <w:p>
            <w:pPr>
              <w:spacing w:after="0"/>
              <w:rPr>
                <w:sz w:val="19"/>
                <w:szCs w:val="19"/>
                <w:color w:val="auto"/>
              </w:rPr>
            </w:pPr>
          </w:p>
        </w:tc>
        <w:tc>
          <w:tcPr>
            <w:tcW w:w="14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(1,065)</w:t>
            </w:r>
          </w:p>
        </w:tc>
        <w:tc>
          <w:tcPr>
            <w:tcW w:w="100" w:type="dxa"/>
            <w:vAlign w:val="bottom"/>
            <w:shd w:val="clear" w:color="auto" w:fill="DDDDDD"/>
          </w:tcPr>
          <w:p>
            <w:pPr>
              <w:spacing w:after="0"/>
              <w:rPr>
                <w:sz w:val="19"/>
                <w:szCs w:val="19"/>
                <w:color w:val="auto"/>
              </w:rPr>
            </w:pPr>
          </w:p>
        </w:tc>
        <w:tc>
          <w:tcPr>
            <w:tcW w:w="22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29"/>
        </w:trPr>
        <w:tc>
          <w:tcPr>
            <w:tcW w:w="4420" w:type="dxa"/>
            <w:vAlign w:val="bottom"/>
            <w:gridSpan w:val="2"/>
          </w:tcPr>
          <w:p>
            <w:pPr>
              <w:ind w:left="20"/>
              <w:spacing w:after="0"/>
              <w:rPr>
                <w:sz w:val="20"/>
                <w:szCs w:val="20"/>
                <w:color w:val="auto"/>
              </w:rPr>
            </w:pPr>
            <w:r>
              <w:rPr>
                <w:rFonts w:ascii="Arial" w:cs="Arial" w:eastAsia="Arial" w:hAnsi="Arial"/>
                <w:sz w:val="18"/>
                <w:szCs w:val="18"/>
                <w:b w:val="1"/>
                <w:bCs w:val="1"/>
                <w:color w:val="auto"/>
              </w:rPr>
              <w:t>Gain or (loss) on cash flow hedges:</w:t>
            </w: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gridSpan w:val="2"/>
            <w:shd w:val="clear" w:color="auto" w:fill="DDDDDD"/>
          </w:tcPr>
          <w:p>
            <w:pPr>
              <w:ind w:left="140"/>
              <w:spacing w:after="0"/>
              <w:rPr>
                <w:sz w:val="20"/>
                <w:szCs w:val="20"/>
                <w:color w:val="auto"/>
              </w:rPr>
            </w:pPr>
            <w:r>
              <w:rPr>
                <w:rFonts w:ascii="Arial" w:cs="Arial" w:eastAsia="Arial" w:hAnsi="Arial"/>
                <w:sz w:val="18"/>
                <w:szCs w:val="18"/>
                <w:color w:val="auto"/>
              </w:rPr>
              <w:t>Foreign Currency Exchange Contracts:</w:t>
            </w:r>
          </w:p>
        </w:tc>
        <w:tc>
          <w:tcPr>
            <w:tcW w:w="108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160" w:type="dxa"/>
            <w:vAlign w:val="bottom"/>
            <w:shd w:val="clear" w:color="auto" w:fill="DDDDDD"/>
          </w:tcPr>
          <w:p>
            <w:pPr>
              <w:spacing w:after="0"/>
              <w:rPr>
                <w:sz w:val="19"/>
                <w:szCs w:val="19"/>
                <w:color w:val="auto"/>
              </w:rPr>
            </w:pPr>
          </w:p>
        </w:tc>
        <w:tc>
          <w:tcPr>
            <w:tcW w:w="116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280" w:type="dxa"/>
            <w:vAlign w:val="bottom"/>
            <w:shd w:val="clear" w:color="auto" w:fill="DDDDDD"/>
          </w:tcPr>
          <w:p>
            <w:pPr>
              <w:spacing w:after="0"/>
              <w:rPr>
                <w:sz w:val="19"/>
                <w:szCs w:val="19"/>
                <w:color w:val="auto"/>
              </w:rPr>
            </w:pPr>
          </w:p>
        </w:tc>
        <w:tc>
          <w:tcPr>
            <w:tcW w:w="104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140" w:type="dxa"/>
            <w:vAlign w:val="bottom"/>
            <w:shd w:val="clear" w:color="auto" w:fill="DDDDDD"/>
          </w:tcPr>
          <w:p>
            <w:pPr>
              <w:spacing w:after="0"/>
              <w:rPr>
                <w:sz w:val="19"/>
                <w:szCs w:val="19"/>
                <w:color w:val="auto"/>
              </w:rPr>
            </w:pPr>
          </w:p>
        </w:tc>
        <w:tc>
          <w:tcPr>
            <w:tcW w:w="118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220" w:type="dxa"/>
            <w:vAlign w:val="bottom"/>
            <w:shd w:val="clear" w:color="auto" w:fill="DDDDDD"/>
          </w:tcPr>
          <w:p>
            <w:pPr>
              <w:spacing w:after="0"/>
              <w:rPr>
                <w:sz w:val="19"/>
                <w:szCs w:val="19"/>
                <w:color w:val="auto"/>
              </w:rPr>
            </w:pPr>
          </w:p>
        </w:tc>
        <w:tc>
          <w:tcPr>
            <w:tcW w:w="112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420" w:type="dxa"/>
            <w:vAlign w:val="bottom"/>
            <w:gridSpan w:val="2"/>
          </w:tcPr>
          <w:p>
            <w:pPr>
              <w:ind w:left="360"/>
              <w:spacing w:after="0" w:line="189" w:lineRule="exact"/>
              <w:rPr>
                <w:sz w:val="20"/>
                <w:szCs w:val="20"/>
                <w:color w:val="auto"/>
              </w:rPr>
            </w:pPr>
            <w:r>
              <w:rPr>
                <w:rFonts w:ascii="Arial" w:cs="Arial" w:eastAsia="Arial" w:hAnsi="Arial"/>
                <w:sz w:val="18"/>
                <w:szCs w:val="18"/>
                <w:color w:val="auto"/>
              </w:rPr>
              <w:t>Amount reclassified from accumulated other</w:t>
            </w: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420" w:type="dxa"/>
            <w:vAlign w:val="bottom"/>
            <w:gridSpan w:val="2"/>
          </w:tcPr>
          <w:p>
            <w:pPr>
              <w:ind w:left="360"/>
              <w:spacing w:after="0"/>
              <w:rPr>
                <w:sz w:val="20"/>
                <w:szCs w:val="20"/>
                <w:color w:val="auto"/>
              </w:rPr>
            </w:pPr>
            <w:r>
              <w:rPr>
                <w:rFonts w:ascii="Arial" w:cs="Arial" w:eastAsia="Arial" w:hAnsi="Arial"/>
                <w:sz w:val="18"/>
                <w:szCs w:val="18"/>
                <w:color w:val="auto"/>
              </w:rPr>
              <w:t>comprehensive income into income</w:t>
            </w: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4420" w:type="dxa"/>
            <w:vAlign w:val="bottom"/>
            <w:gridSpan w:val="2"/>
            <w:shd w:val="clear" w:color="auto" w:fill="DDDDDD"/>
          </w:tcPr>
          <w:p>
            <w:pPr>
              <w:ind w:left="360"/>
              <w:spacing w:after="0" w:line="189" w:lineRule="exact"/>
              <w:rPr>
                <w:sz w:val="20"/>
                <w:szCs w:val="20"/>
                <w:color w:val="auto"/>
              </w:rPr>
            </w:pPr>
            <w:r>
              <w:rPr>
                <w:rFonts w:ascii="Arial" w:cs="Arial" w:eastAsia="Arial" w:hAnsi="Arial"/>
                <w:sz w:val="18"/>
                <w:szCs w:val="18"/>
                <w:color w:val="auto"/>
              </w:rPr>
              <w:t>Amount excluded from effectiveness testing</w:t>
            </w:r>
          </w:p>
        </w:tc>
        <w:tc>
          <w:tcPr>
            <w:tcW w:w="108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11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80" w:type="dxa"/>
            <w:vAlign w:val="bottom"/>
            <w:shd w:val="clear" w:color="auto" w:fill="DDDDDD"/>
          </w:tcPr>
          <w:p>
            <w:pPr>
              <w:spacing w:after="0"/>
              <w:rPr>
                <w:sz w:val="16"/>
                <w:szCs w:val="16"/>
                <w:color w:val="auto"/>
              </w:rPr>
            </w:pPr>
          </w:p>
        </w:tc>
        <w:tc>
          <w:tcPr>
            <w:tcW w:w="10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40" w:type="dxa"/>
            <w:vAlign w:val="bottom"/>
            <w:shd w:val="clear" w:color="auto" w:fill="DDDDDD"/>
          </w:tcPr>
          <w:p>
            <w:pPr>
              <w:spacing w:after="0"/>
              <w:rPr>
                <w:sz w:val="16"/>
                <w:szCs w:val="16"/>
                <w:color w:val="auto"/>
              </w:rPr>
            </w:pPr>
          </w:p>
        </w:tc>
        <w:tc>
          <w:tcPr>
            <w:tcW w:w="11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20" w:type="dxa"/>
            <w:vAlign w:val="bottom"/>
            <w:shd w:val="clear" w:color="auto" w:fill="DDDDDD"/>
          </w:tcPr>
          <w:p>
            <w:pPr>
              <w:spacing w:after="0"/>
              <w:rPr>
                <w:sz w:val="16"/>
                <w:szCs w:val="16"/>
                <w:color w:val="auto"/>
              </w:rPr>
            </w:pPr>
          </w:p>
        </w:tc>
        <w:tc>
          <w:tcPr>
            <w:tcW w:w="112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420" w:type="dxa"/>
            <w:vAlign w:val="bottom"/>
            <w:gridSpan w:val="2"/>
            <w:shd w:val="clear" w:color="auto" w:fill="DDDDDD"/>
          </w:tcPr>
          <w:p>
            <w:pPr>
              <w:ind w:left="360"/>
              <w:spacing w:after="0" w:line="176" w:lineRule="exact"/>
              <w:rPr>
                <w:sz w:val="20"/>
                <w:szCs w:val="20"/>
                <w:color w:val="auto"/>
              </w:rPr>
            </w:pPr>
            <w:r>
              <w:rPr>
                <w:rFonts w:ascii="Arial" w:cs="Arial" w:eastAsia="Arial" w:hAnsi="Arial"/>
                <w:sz w:val="18"/>
                <w:szCs w:val="18"/>
                <w:color w:val="auto"/>
              </w:rPr>
              <w:t>recognized in earnings using an amortization</w:t>
            </w:r>
          </w:p>
        </w:tc>
        <w:tc>
          <w:tcPr>
            <w:tcW w:w="1080" w:type="dxa"/>
            <w:vAlign w:val="bottom"/>
            <w:shd w:val="clear" w:color="auto" w:fill="DDDDDD"/>
          </w:tcPr>
          <w:p>
            <w:pPr>
              <w:spacing w:after="0"/>
              <w:rPr>
                <w:sz w:val="15"/>
                <w:szCs w:val="15"/>
                <w:color w:val="auto"/>
              </w:rPr>
            </w:pPr>
          </w:p>
        </w:tc>
        <w:tc>
          <w:tcPr>
            <w:tcW w:w="120" w:type="dxa"/>
            <w:vAlign w:val="bottom"/>
            <w:shd w:val="clear" w:color="auto" w:fill="DDDDDD"/>
          </w:tcPr>
          <w:p>
            <w:pPr>
              <w:spacing w:after="0"/>
              <w:rPr>
                <w:sz w:val="15"/>
                <w:szCs w:val="15"/>
                <w:color w:val="auto"/>
              </w:rPr>
            </w:pPr>
          </w:p>
        </w:tc>
        <w:tc>
          <w:tcPr>
            <w:tcW w:w="160" w:type="dxa"/>
            <w:vAlign w:val="bottom"/>
            <w:shd w:val="clear" w:color="auto" w:fill="DDDDDD"/>
          </w:tcPr>
          <w:p>
            <w:pPr>
              <w:spacing w:after="0"/>
              <w:rPr>
                <w:sz w:val="15"/>
                <w:szCs w:val="15"/>
                <w:color w:val="auto"/>
              </w:rPr>
            </w:pPr>
          </w:p>
        </w:tc>
        <w:tc>
          <w:tcPr>
            <w:tcW w:w="1160" w:type="dxa"/>
            <w:vAlign w:val="bottom"/>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280" w:type="dxa"/>
            <w:vAlign w:val="bottom"/>
            <w:shd w:val="clear" w:color="auto" w:fill="DDDDDD"/>
          </w:tcPr>
          <w:p>
            <w:pPr>
              <w:spacing w:after="0"/>
              <w:rPr>
                <w:sz w:val="15"/>
                <w:szCs w:val="15"/>
                <w:color w:val="auto"/>
              </w:rPr>
            </w:pPr>
          </w:p>
        </w:tc>
        <w:tc>
          <w:tcPr>
            <w:tcW w:w="1040" w:type="dxa"/>
            <w:vAlign w:val="bottom"/>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140" w:type="dxa"/>
            <w:vAlign w:val="bottom"/>
            <w:shd w:val="clear" w:color="auto" w:fill="DDDDDD"/>
          </w:tcPr>
          <w:p>
            <w:pPr>
              <w:spacing w:after="0"/>
              <w:rPr>
                <w:sz w:val="15"/>
                <w:szCs w:val="15"/>
                <w:color w:val="auto"/>
              </w:rPr>
            </w:pPr>
          </w:p>
        </w:tc>
        <w:tc>
          <w:tcPr>
            <w:tcW w:w="1180" w:type="dxa"/>
            <w:vAlign w:val="bottom"/>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220" w:type="dxa"/>
            <w:vAlign w:val="bottom"/>
            <w:shd w:val="clear" w:color="auto" w:fill="DDDDDD"/>
          </w:tcPr>
          <w:p>
            <w:pPr>
              <w:spacing w:after="0"/>
              <w:rPr>
                <w:sz w:val="15"/>
                <w:szCs w:val="15"/>
                <w:color w:val="auto"/>
              </w:rPr>
            </w:pPr>
          </w:p>
        </w:tc>
        <w:tc>
          <w:tcPr>
            <w:tcW w:w="1120" w:type="dxa"/>
            <w:vAlign w:val="bottom"/>
            <w:shd w:val="clear" w:color="auto" w:fill="DDDDDD"/>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420" w:type="dxa"/>
            <w:vAlign w:val="bottom"/>
            <w:gridSpan w:val="2"/>
            <w:shd w:val="clear" w:color="auto" w:fill="DDDDDD"/>
          </w:tcPr>
          <w:p>
            <w:pPr>
              <w:ind w:left="360"/>
              <w:spacing w:after="0"/>
              <w:rPr>
                <w:sz w:val="20"/>
                <w:szCs w:val="20"/>
                <w:color w:val="auto"/>
              </w:rPr>
            </w:pPr>
            <w:r>
              <w:rPr>
                <w:rFonts w:ascii="Arial" w:cs="Arial" w:eastAsia="Arial" w:hAnsi="Arial"/>
                <w:sz w:val="18"/>
                <w:szCs w:val="18"/>
                <w:color w:val="auto"/>
              </w:rPr>
              <w:t>approach</w:t>
            </w:r>
          </w:p>
        </w:tc>
        <w:tc>
          <w:tcPr>
            <w:tcW w:w="1200" w:type="dxa"/>
            <w:vAlign w:val="bottom"/>
            <w:gridSpan w:val="2"/>
            <w:shd w:val="clear" w:color="auto" w:fill="DDDDDD"/>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DDDDDD"/>
          </w:tcPr>
          <w:p>
            <w:pPr>
              <w:spacing w:after="0"/>
              <w:rPr>
                <w:sz w:val="18"/>
                <w:szCs w:val="18"/>
                <w:color w:val="auto"/>
              </w:rPr>
            </w:pPr>
          </w:p>
        </w:tc>
        <w:tc>
          <w:tcPr>
            <w:tcW w:w="11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DDDDDD"/>
          </w:tcPr>
          <w:p>
            <w:pPr>
              <w:spacing w:after="0"/>
              <w:rPr>
                <w:sz w:val="18"/>
                <w:szCs w:val="18"/>
                <w:color w:val="auto"/>
              </w:rPr>
            </w:pPr>
          </w:p>
        </w:tc>
        <w:tc>
          <w:tcPr>
            <w:tcW w:w="280" w:type="dxa"/>
            <w:vAlign w:val="bottom"/>
            <w:shd w:val="clear" w:color="auto" w:fill="DDDDDD"/>
          </w:tcPr>
          <w:p>
            <w:pPr>
              <w:spacing w:after="0"/>
              <w:rPr>
                <w:sz w:val="18"/>
                <w:szCs w:val="18"/>
                <w:color w:val="auto"/>
              </w:rPr>
            </w:pPr>
          </w:p>
        </w:tc>
        <w:tc>
          <w:tcPr>
            <w:tcW w:w="1140" w:type="dxa"/>
            <w:vAlign w:val="bottom"/>
            <w:gridSpan w:val="2"/>
            <w:shd w:val="clear" w:color="auto" w:fill="DDDDDD"/>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DDDDDD"/>
          </w:tcPr>
          <w:p>
            <w:pPr>
              <w:spacing w:after="0"/>
              <w:rPr>
                <w:sz w:val="18"/>
                <w:szCs w:val="18"/>
                <w:color w:val="auto"/>
              </w:rPr>
            </w:pPr>
          </w:p>
        </w:tc>
        <w:tc>
          <w:tcPr>
            <w:tcW w:w="11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DDDDDD"/>
          </w:tcPr>
          <w:p>
            <w:pPr>
              <w:spacing w:after="0"/>
              <w:rPr>
                <w:sz w:val="18"/>
                <w:szCs w:val="18"/>
                <w:color w:val="auto"/>
              </w:rPr>
            </w:pPr>
          </w:p>
        </w:tc>
        <w:tc>
          <w:tcPr>
            <w:tcW w:w="220" w:type="dxa"/>
            <w:vAlign w:val="bottom"/>
            <w:shd w:val="clear" w:color="auto" w:fill="DDDDDD"/>
          </w:tcPr>
          <w:p>
            <w:pPr>
              <w:spacing w:after="0"/>
              <w:rPr>
                <w:sz w:val="18"/>
                <w:szCs w:val="18"/>
                <w:color w:val="auto"/>
              </w:rPr>
            </w:pPr>
          </w:p>
        </w:tc>
        <w:tc>
          <w:tcPr>
            <w:tcW w:w="11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420" w:type="dxa"/>
            <w:vAlign w:val="bottom"/>
            <w:gridSpan w:val="2"/>
          </w:tcPr>
          <w:p>
            <w:pPr>
              <w:ind w:left="20"/>
              <w:spacing w:after="0"/>
              <w:rPr>
                <w:sz w:val="20"/>
                <w:szCs w:val="20"/>
                <w:color w:val="auto"/>
              </w:rPr>
            </w:pPr>
            <w:r>
              <w:rPr>
                <w:rFonts w:ascii="Arial" w:cs="Arial" w:eastAsia="Arial" w:hAnsi="Arial"/>
                <w:sz w:val="18"/>
                <w:szCs w:val="18"/>
                <w:b w:val="1"/>
                <w:bCs w:val="1"/>
                <w:color w:val="auto"/>
              </w:rPr>
              <w:t>Gain or (loss) on fair value hedges:</w:t>
            </w: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gridSpan w:val="2"/>
            <w:shd w:val="clear" w:color="auto" w:fill="DDDDDD"/>
          </w:tcPr>
          <w:p>
            <w:pPr>
              <w:ind w:left="140"/>
              <w:spacing w:after="0"/>
              <w:rPr>
                <w:sz w:val="20"/>
                <w:szCs w:val="20"/>
                <w:color w:val="auto"/>
              </w:rPr>
            </w:pPr>
            <w:r>
              <w:rPr>
                <w:rFonts w:ascii="Arial" w:cs="Arial" w:eastAsia="Arial" w:hAnsi="Arial"/>
                <w:sz w:val="18"/>
                <w:szCs w:val="18"/>
                <w:color w:val="auto"/>
              </w:rPr>
              <w:t>Interest Rate Swap Agreements:</w:t>
            </w:r>
          </w:p>
        </w:tc>
        <w:tc>
          <w:tcPr>
            <w:tcW w:w="108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160" w:type="dxa"/>
            <w:vAlign w:val="bottom"/>
            <w:shd w:val="clear" w:color="auto" w:fill="DDDDDD"/>
          </w:tcPr>
          <w:p>
            <w:pPr>
              <w:spacing w:after="0"/>
              <w:rPr>
                <w:sz w:val="19"/>
                <w:szCs w:val="19"/>
                <w:color w:val="auto"/>
              </w:rPr>
            </w:pPr>
          </w:p>
        </w:tc>
        <w:tc>
          <w:tcPr>
            <w:tcW w:w="116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280" w:type="dxa"/>
            <w:vAlign w:val="bottom"/>
            <w:shd w:val="clear" w:color="auto" w:fill="DDDDDD"/>
          </w:tcPr>
          <w:p>
            <w:pPr>
              <w:spacing w:after="0"/>
              <w:rPr>
                <w:sz w:val="19"/>
                <w:szCs w:val="19"/>
                <w:color w:val="auto"/>
              </w:rPr>
            </w:pPr>
          </w:p>
        </w:tc>
        <w:tc>
          <w:tcPr>
            <w:tcW w:w="104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140" w:type="dxa"/>
            <w:vAlign w:val="bottom"/>
            <w:shd w:val="clear" w:color="auto" w:fill="DDDDDD"/>
          </w:tcPr>
          <w:p>
            <w:pPr>
              <w:spacing w:after="0"/>
              <w:rPr>
                <w:sz w:val="19"/>
                <w:szCs w:val="19"/>
                <w:color w:val="auto"/>
              </w:rPr>
            </w:pPr>
          </w:p>
        </w:tc>
        <w:tc>
          <w:tcPr>
            <w:tcW w:w="118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220" w:type="dxa"/>
            <w:vAlign w:val="bottom"/>
            <w:shd w:val="clear" w:color="auto" w:fill="DDDDDD"/>
          </w:tcPr>
          <w:p>
            <w:pPr>
              <w:spacing w:after="0"/>
              <w:rPr>
                <w:sz w:val="19"/>
                <w:szCs w:val="19"/>
                <w:color w:val="auto"/>
              </w:rPr>
            </w:pPr>
          </w:p>
        </w:tc>
        <w:tc>
          <w:tcPr>
            <w:tcW w:w="112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gridSpan w:val="2"/>
          </w:tcPr>
          <w:p>
            <w:pPr>
              <w:ind w:left="360"/>
              <w:spacing w:after="0"/>
              <w:rPr>
                <w:sz w:val="20"/>
                <w:szCs w:val="20"/>
                <w:color w:val="auto"/>
              </w:rPr>
            </w:pPr>
            <w:r>
              <w:rPr>
                <w:rFonts w:ascii="Arial" w:cs="Arial" w:eastAsia="Arial" w:hAnsi="Arial"/>
                <w:sz w:val="18"/>
                <w:szCs w:val="18"/>
                <w:color w:val="auto"/>
              </w:rPr>
              <w:t>Hedged items</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9"/>
        </w:trPr>
        <w:tc>
          <w:tcPr>
            <w:tcW w:w="4420" w:type="dxa"/>
            <w:vAlign w:val="bottom"/>
            <w:gridSpan w:val="2"/>
            <w:shd w:val="clear" w:color="auto" w:fill="DDDDDD"/>
          </w:tcPr>
          <w:p>
            <w:pPr>
              <w:ind w:left="360"/>
              <w:spacing w:after="0"/>
              <w:rPr>
                <w:sz w:val="20"/>
                <w:szCs w:val="20"/>
                <w:color w:val="auto"/>
              </w:rPr>
            </w:pPr>
            <w:r>
              <w:rPr>
                <w:rFonts w:ascii="Arial" w:cs="Arial" w:eastAsia="Arial" w:hAnsi="Arial"/>
                <w:sz w:val="18"/>
                <w:szCs w:val="18"/>
                <w:color w:val="auto"/>
              </w:rPr>
              <w:t>Derivatives designated as hedges</w:t>
            </w:r>
          </w:p>
        </w:tc>
        <w:tc>
          <w:tcPr>
            <w:tcW w:w="1200" w:type="dxa"/>
            <w:vAlign w:val="bottom"/>
            <w:gridSpan w:val="2"/>
            <w:shd w:val="clear" w:color="auto" w:fill="DDDDDD"/>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DDDDDD"/>
          </w:tcPr>
          <w:p>
            <w:pPr>
              <w:spacing w:after="0"/>
              <w:rPr>
                <w:sz w:val="19"/>
                <w:szCs w:val="19"/>
                <w:color w:val="auto"/>
              </w:rPr>
            </w:pPr>
          </w:p>
        </w:tc>
        <w:tc>
          <w:tcPr>
            <w:tcW w:w="1260" w:type="dxa"/>
            <w:vAlign w:val="bottom"/>
            <w:gridSpan w:val="2"/>
            <w:shd w:val="clear" w:color="auto" w:fill="DDDDDD"/>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DDDDDD"/>
          </w:tcPr>
          <w:p>
            <w:pPr>
              <w:spacing w:after="0"/>
              <w:rPr>
                <w:sz w:val="19"/>
                <w:szCs w:val="19"/>
                <w:color w:val="auto"/>
              </w:rPr>
            </w:pPr>
          </w:p>
        </w:tc>
        <w:tc>
          <w:tcPr>
            <w:tcW w:w="1140" w:type="dxa"/>
            <w:vAlign w:val="bottom"/>
            <w:gridSpan w:val="2"/>
            <w:shd w:val="clear" w:color="auto" w:fill="DDDDDD"/>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DDDDDD"/>
          </w:tcPr>
          <w:p>
            <w:pPr>
              <w:spacing w:after="0"/>
              <w:rPr>
                <w:sz w:val="19"/>
                <w:szCs w:val="19"/>
                <w:color w:val="auto"/>
              </w:rPr>
            </w:pPr>
          </w:p>
        </w:tc>
        <w:tc>
          <w:tcPr>
            <w:tcW w:w="1280" w:type="dxa"/>
            <w:vAlign w:val="bottom"/>
            <w:gridSpan w:val="2"/>
            <w:shd w:val="clear" w:color="auto" w:fill="DDDDDD"/>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DDDDDD"/>
          </w:tcPr>
          <w:p>
            <w:pPr>
              <w:spacing w:after="0"/>
              <w:rPr>
                <w:sz w:val="19"/>
                <w:szCs w:val="19"/>
                <w:color w:val="auto"/>
              </w:rPr>
            </w:pPr>
          </w:p>
        </w:tc>
        <w:tc>
          <w:tcPr>
            <w:tcW w:w="11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0"/>
        </w:trPr>
        <w:tc>
          <w:tcPr>
            <w:tcW w:w="4420" w:type="dxa"/>
            <w:vAlign w:val="bottom"/>
            <w:gridSpan w:val="2"/>
          </w:tcPr>
          <w:p>
            <w:pPr>
              <w:ind w:left="20"/>
              <w:spacing w:after="0"/>
              <w:rPr>
                <w:sz w:val="20"/>
                <w:szCs w:val="20"/>
                <w:color w:val="auto"/>
              </w:rPr>
            </w:pPr>
            <w:r>
              <w:rPr>
                <w:rFonts w:ascii="Arial" w:cs="Arial" w:eastAsia="Arial" w:hAnsi="Arial"/>
                <w:sz w:val="18"/>
                <w:szCs w:val="18"/>
                <w:b w:val="1"/>
                <w:bCs w:val="1"/>
                <w:color w:val="auto"/>
              </w:rPr>
              <w:t>Gain or (loss) on net investment hedges:</w:t>
            </w: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Foreign Currency Exchange Contracts:</w:t>
            </w:r>
          </w:p>
        </w:tc>
        <w:tc>
          <w:tcPr>
            <w:tcW w:w="10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1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420" w:type="dxa"/>
            <w:vAlign w:val="bottom"/>
            <w:gridSpan w:val="2"/>
          </w:tcPr>
          <w:p>
            <w:pPr>
              <w:ind w:left="360"/>
              <w:spacing w:after="0" w:line="189" w:lineRule="exact"/>
              <w:rPr>
                <w:sz w:val="20"/>
                <w:szCs w:val="20"/>
                <w:color w:val="auto"/>
              </w:rPr>
            </w:pPr>
            <w:r>
              <w:rPr>
                <w:rFonts w:ascii="Arial" w:cs="Arial" w:eastAsia="Arial" w:hAnsi="Arial"/>
                <w:sz w:val="18"/>
                <w:szCs w:val="18"/>
                <w:color w:val="auto"/>
              </w:rPr>
              <w:t>Amount excluded from effectiveness testing</w:t>
            </w: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420" w:type="dxa"/>
            <w:vAlign w:val="bottom"/>
            <w:gridSpan w:val="2"/>
          </w:tcPr>
          <w:p>
            <w:pPr>
              <w:ind w:left="360"/>
              <w:spacing w:after="0" w:line="176" w:lineRule="exact"/>
              <w:rPr>
                <w:sz w:val="20"/>
                <w:szCs w:val="20"/>
                <w:color w:val="auto"/>
              </w:rPr>
            </w:pPr>
            <w:r>
              <w:rPr>
                <w:rFonts w:ascii="Arial" w:cs="Arial" w:eastAsia="Arial" w:hAnsi="Arial"/>
                <w:sz w:val="18"/>
                <w:szCs w:val="18"/>
                <w:color w:val="auto"/>
              </w:rPr>
              <w:t>recognized in earnings using an amortization</w:t>
            </w: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420" w:type="dxa"/>
            <w:vAlign w:val="bottom"/>
            <w:gridSpan w:val="2"/>
          </w:tcPr>
          <w:p>
            <w:pPr>
              <w:ind w:left="360"/>
              <w:spacing w:after="0"/>
              <w:rPr>
                <w:sz w:val="20"/>
                <w:szCs w:val="20"/>
                <w:color w:val="auto"/>
              </w:rPr>
            </w:pPr>
            <w:r>
              <w:rPr>
                <w:rFonts w:ascii="Arial" w:cs="Arial" w:eastAsia="Arial" w:hAnsi="Arial"/>
                <w:sz w:val="18"/>
                <w:szCs w:val="18"/>
                <w:color w:val="auto"/>
              </w:rPr>
              <w:t>approach</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75"/>
        </w:trPr>
        <w:tc>
          <w:tcPr>
            <w:tcW w:w="4420" w:type="dxa"/>
            <w:vAlign w:val="bottom"/>
            <w:gridSpan w:val="2"/>
            <w:shd w:val="clear" w:color="auto" w:fill="DBDBDB"/>
          </w:tcPr>
          <w:p>
            <w:pPr>
              <w:ind w:left="20"/>
              <w:spacing w:after="0" w:line="176" w:lineRule="exact"/>
              <w:rPr>
                <w:sz w:val="20"/>
                <w:szCs w:val="20"/>
                <w:color w:val="auto"/>
              </w:rPr>
            </w:pPr>
            <w:r>
              <w:rPr>
                <w:rFonts w:ascii="Arial" w:cs="Arial" w:eastAsia="Arial" w:hAnsi="Arial"/>
                <w:sz w:val="18"/>
                <w:szCs w:val="18"/>
                <w:b w:val="1"/>
                <w:bCs w:val="1"/>
                <w:color w:val="auto"/>
              </w:rPr>
              <w:t>Gain or (loss) on derivatives not designated as</w:t>
            </w:r>
          </w:p>
        </w:tc>
        <w:tc>
          <w:tcPr>
            <w:tcW w:w="108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116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104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18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112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42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hedging instruments:</w:t>
            </w:r>
          </w:p>
        </w:tc>
        <w:tc>
          <w:tcPr>
            <w:tcW w:w="10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1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gridSpan w:val="2"/>
          </w:tcPr>
          <w:p>
            <w:pPr>
              <w:ind w:left="360"/>
              <w:spacing w:after="0"/>
              <w:rPr>
                <w:sz w:val="20"/>
                <w:szCs w:val="20"/>
                <w:color w:val="auto"/>
              </w:rPr>
            </w:pPr>
            <w:r>
              <w:rPr>
                <w:rFonts w:ascii="Arial" w:cs="Arial" w:eastAsia="Arial" w:hAnsi="Arial"/>
                <w:sz w:val="18"/>
                <w:szCs w:val="18"/>
                <w:color w:val="auto"/>
              </w:rPr>
              <w:t>Foreign currency exchange contracts</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of December 31, 2020, the Company estimates that approximately $8 million of net derivative gains related to its cash flow hedges included in Accumulated other comprehensive income (loss) will be reclassified into earnings within the next 12 months.</w:t>
      </w:r>
    </w:p>
    <w:p>
      <w:pPr>
        <w:spacing w:after="0" w:line="9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summarizes the amounts of gain or (loss) on net investment hedges recognized in Accumulated other comprehensive income (loss):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240" w:type="dxa"/>
            <w:vAlign w:val="bottom"/>
          </w:tcPr>
          <w:p>
            <w:pPr>
              <w:spacing w:after="0"/>
              <w:rPr>
                <w:sz w:val="17"/>
                <w:szCs w:val="17"/>
                <w:color w:val="auto"/>
              </w:rPr>
            </w:pPr>
          </w:p>
        </w:tc>
        <w:tc>
          <w:tcPr>
            <w:tcW w:w="340" w:type="dxa"/>
            <w:vAlign w:val="bottom"/>
            <w:tcBorders>
              <w:bottom w:val="single" w:sz="8" w:color="DC202E"/>
            </w:tcBorders>
          </w:tcPr>
          <w:p>
            <w:pPr>
              <w:spacing w:after="0"/>
              <w:rPr>
                <w:sz w:val="17"/>
                <w:szCs w:val="17"/>
                <w:color w:val="auto"/>
              </w:rPr>
            </w:pPr>
          </w:p>
        </w:tc>
        <w:tc>
          <w:tcPr>
            <w:tcW w:w="2660" w:type="dxa"/>
            <w:vAlign w:val="bottom"/>
            <w:tcBorders>
              <w:bottom w:val="single" w:sz="8" w:color="DC202E"/>
            </w:tcBorders>
            <w:gridSpan w:val="4"/>
          </w:tcPr>
          <w:p>
            <w:pPr>
              <w:jc w:val="right"/>
              <w:ind w:right="494"/>
              <w:spacing w:after="0"/>
              <w:rPr>
                <w:sz w:val="20"/>
                <w:szCs w:val="20"/>
                <w:color w:val="auto"/>
              </w:rPr>
            </w:pPr>
            <w:r>
              <w:rPr>
                <w:rFonts w:ascii="Arial" w:cs="Arial" w:eastAsia="Arial" w:hAnsi="Arial"/>
                <w:sz w:val="14"/>
                <w:szCs w:val="14"/>
                <w:b w:val="1"/>
                <w:bCs w:val="1"/>
                <w:color w:val="auto"/>
              </w:rPr>
              <w:t>Years Ended December 31,</w:t>
            </w:r>
          </w:p>
        </w:tc>
      </w:tr>
      <w:tr>
        <w:trPr>
          <w:trHeight w:val="196"/>
        </w:trPr>
        <w:tc>
          <w:tcPr>
            <w:tcW w:w="8240" w:type="dxa"/>
            <w:vAlign w:val="bottom"/>
            <w:tcBorders>
              <w:bottom w:val="single" w:sz="8" w:color="DDDDDD"/>
            </w:tcBorders>
          </w:tcPr>
          <w:p>
            <w:pPr>
              <w:ind w:left="20"/>
              <w:spacing w:after="0"/>
              <w:rPr>
                <w:sz w:val="20"/>
                <w:szCs w:val="20"/>
                <w:color w:val="auto"/>
              </w:rPr>
            </w:pPr>
            <w:r>
              <w:rPr>
                <w:rFonts w:ascii="Arial" w:cs="Arial" w:eastAsia="Arial" w:hAnsi="Arial"/>
                <w:sz w:val="14"/>
                <w:szCs w:val="14"/>
                <w:b w:val="1"/>
                <w:bCs w:val="1"/>
                <w:color w:val="auto"/>
              </w:rPr>
              <w:t>Derivatives Net Investment Hedging Relationships</w:t>
            </w:r>
          </w:p>
        </w:tc>
        <w:tc>
          <w:tcPr>
            <w:tcW w:w="340" w:type="dxa"/>
            <w:vAlign w:val="bottom"/>
            <w:tcBorders>
              <w:bottom w:val="single" w:sz="8" w:color="DC202E"/>
            </w:tcBorders>
          </w:tcPr>
          <w:p>
            <w:pPr>
              <w:spacing w:after="0"/>
              <w:rPr>
                <w:sz w:val="17"/>
                <w:szCs w:val="17"/>
                <w:color w:val="auto"/>
              </w:rPr>
            </w:pPr>
          </w:p>
        </w:tc>
        <w:tc>
          <w:tcPr>
            <w:tcW w:w="1100" w:type="dxa"/>
            <w:vAlign w:val="bottom"/>
            <w:tcBorders>
              <w:bottom w:val="single" w:sz="8" w:color="DC202E"/>
            </w:tcBorders>
          </w:tcPr>
          <w:p>
            <w:pPr>
              <w:jc w:val="right"/>
              <w:ind w:right="47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DDDDDD"/>
            </w:tcBorders>
          </w:tcPr>
          <w:p>
            <w:pPr>
              <w:spacing w:after="0"/>
              <w:rPr>
                <w:sz w:val="17"/>
                <w:szCs w:val="17"/>
                <w:color w:val="auto"/>
              </w:rPr>
            </w:pPr>
          </w:p>
        </w:tc>
        <w:tc>
          <w:tcPr>
            <w:tcW w:w="340" w:type="dxa"/>
            <w:vAlign w:val="bottom"/>
            <w:tcBorders>
              <w:bottom w:val="single" w:sz="8" w:color="DC202E"/>
            </w:tcBorders>
          </w:tcPr>
          <w:p>
            <w:pPr>
              <w:spacing w:after="0"/>
              <w:rPr>
                <w:sz w:val="17"/>
                <w:szCs w:val="17"/>
                <w:color w:val="auto"/>
              </w:rPr>
            </w:pPr>
          </w:p>
        </w:tc>
        <w:tc>
          <w:tcPr>
            <w:tcW w:w="1100" w:type="dxa"/>
            <w:vAlign w:val="bottom"/>
            <w:tcBorders>
              <w:bottom w:val="single" w:sz="8" w:color="DC202E"/>
            </w:tcBorders>
          </w:tcPr>
          <w:p>
            <w:pPr>
              <w:jc w:val="right"/>
              <w:ind w:right="474"/>
              <w:spacing w:after="0"/>
              <w:rPr>
                <w:sz w:val="20"/>
                <w:szCs w:val="20"/>
                <w:color w:val="auto"/>
              </w:rPr>
            </w:pPr>
            <w:r>
              <w:rPr>
                <w:rFonts w:ascii="Arial" w:cs="Arial" w:eastAsia="Arial" w:hAnsi="Arial"/>
                <w:sz w:val="14"/>
                <w:szCs w:val="14"/>
                <w:b w:val="1"/>
                <w:bCs w:val="1"/>
                <w:color w:val="auto"/>
              </w:rPr>
              <w:t>2019</w:t>
            </w:r>
          </w:p>
        </w:tc>
      </w:tr>
      <w:tr>
        <w:trPr>
          <w:trHeight w:val="230"/>
        </w:trPr>
        <w:tc>
          <w:tcPr>
            <w:tcW w:w="8240" w:type="dxa"/>
            <w:vAlign w:val="bottom"/>
            <w:shd w:val="clear" w:color="auto" w:fill="DDDDDD"/>
          </w:tcPr>
          <w:p>
            <w:pPr>
              <w:ind w:left="20"/>
              <w:spacing w:after="0"/>
              <w:rPr>
                <w:sz w:val="20"/>
                <w:szCs w:val="20"/>
                <w:color w:val="auto"/>
              </w:rPr>
            </w:pPr>
            <w:r>
              <w:rPr>
                <w:rFonts w:ascii="Arial" w:cs="Arial" w:eastAsia="Arial" w:hAnsi="Arial"/>
                <w:sz w:val="18"/>
                <w:szCs w:val="18"/>
                <w:color w:val="auto"/>
              </w:rPr>
              <w:t>Euro-denominated long-term debt</w:t>
            </w:r>
          </w:p>
        </w:tc>
        <w:tc>
          <w:tcPr>
            <w:tcW w:w="3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(256)</w:t>
            </w:r>
          </w:p>
        </w:tc>
        <w:tc>
          <w:tcPr>
            <w:tcW w:w="120" w:type="dxa"/>
            <w:vAlign w:val="bottom"/>
            <w:shd w:val="clear" w:color="auto" w:fill="DDDDDD"/>
          </w:tcPr>
          <w:p>
            <w:pPr>
              <w:spacing w:after="0"/>
              <w:rPr>
                <w:sz w:val="19"/>
                <w:szCs w:val="19"/>
                <w:color w:val="auto"/>
              </w:rPr>
            </w:pPr>
          </w:p>
        </w:tc>
        <w:tc>
          <w:tcPr>
            <w:tcW w:w="3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68</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Euro-denominated commercial paper</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30"/>
        </w:trPr>
        <w:tc>
          <w:tcPr>
            <w:tcW w:w="8240" w:type="dxa"/>
            <w:vAlign w:val="bottom"/>
            <w:shd w:val="clear" w:color="auto" w:fill="DDDDDD"/>
          </w:tcPr>
          <w:p>
            <w:pPr>
              <w:ind w:left="20"/>
              <w:spacing w:after="0"/>
              <w:rPr>
                <w:sz w:val="20"/>
                <w:szCs w:val="20"/>
                <w:color w:val="auto"/>
              </w:rPr>
            </w:pPr>
            <w:r>
              <w:rPr>
                <w:rFonts w:ascii="Arial" w:cs="Arial" w:eastAsia="Arial" w:hAnsi="Arial"/>
                <w:sz w:val="18"/>
                <w:szCs w:val="18"/>
                <w:color w:val="auto"/>
              </w:rPr>
              <w:t>Cross currency swap</w:t>
            </w: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Foreign currency exchange contracts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76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9" w:name="page80"/>
    <w:bookmarkEnd w:id="79"/>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9"/>
          <w:szCs w:val="29"/>
          <w:b w:val="1"/>
          <w:bCs w:val="1"/>
          <w:color w:val="DC202E"/>
        </w:rPr>
        <w:t>NOTE 13. FAIR VALUE MEASUREMENTS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accounting guidance for fair value measurements and disclosures establishes a three-level fair value hierarchy.</w:t>
      </w:r>
    </w:p>
    <w:p>
      <w:pPr>
        <w:spacing w:after="0" w:line="117"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Level 1 - Inputs are based on quoted prices in active markets for identical assets and liabilities.</w:t>
      </w:r>
    </w:p>
    <w:p>
      <w:pPr>
        <w:spacing w:after="0" w:line="11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Level 2 - Inputs are based on observable inputs other than quoted prices in active markets for identical or similar assets and liabilities.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Level 3 - One or more inputs are unobservable and significant.</w:t>
      </w:r>
    </w:p>
    <w:p>
      <w:pPr>
        <w:spacing w:after="0" w:line="11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Financial and nonfinancial assets and liabilities are classified in their entirety based on the lowest level of input that is significant to the fair value measurement.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Company’s financial assets and liabilities that were accounted for at fair value on a recurring basis as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and 2019:</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240" w:type="dxa"/>
            <w:vAlign w:val="bottom"/>
          </w:tcPr>
          <w:p>
            <w:pPr>
              <w:spacing w:after="0"/>
              <w:rPr>
                <w:sz w:val="17"/>
                <w:szCs w:val="17"/>
                <w:color w:val="auto"/>
              </w:rPr>
            </w:pPr>
          </w:p>
        </w:tc>
        <w:tc>
          <w:tcPr>
            <w:tcW w:w="900" w:type="dxa"/>
            <w:vAlign w:val="bottom"/>
            <w:tcBorders>
              <w:bottom w:val="single" w:sz="8" w:color="DC202E"/>
            </w:tcBorders>
          </w:tcPr>
          <w:p>
            <w:pPr>
              <w:spacing w:after="0"/>
              <w:rPr>
                <w:sz w:val="17"/>
                <w:szCs w:val="17"/>
                <w:color w:val="auto"/>
              </w:rPr>
            </w:pPr>
          </w:p>
        </w:tc>
        <w:tc>
          <w:tcPr>
            <w:tcW w:w="1140" w:type="dxa"/>
            <w:vAlign w:val="bottom"/>
            <w:tcBorders>
              <w:bottom w:val="single" w:sz="8" w:color="DC202E"/>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DC202E"/>
            </w:tcBorders>
          </w:tcPr>
          <w:p>
            <w:pPr>
              <w:spacing w:after="0"/>
              <w:rPr>
                <w:sz w:val="17"/>
                <w:szCs w:val="17"/>
                <w:color w:val="auto"/>
              </w:rPr>
            </w:pPr>
          </w:p>
        </w:tc>
      </w:tr>
      <w:tr>
        <w:trPr>
          <w:trHeight w:val="196"/>
        </w:trPr>
        <w:tc>
          <w:tcPr>
            <w:tcW w:w="8240" w:type="dxa"/>
            <w:vAlign w:val="bottom"/>
            <w:tcBorders>
              <w:bottom w:val="single" w:sz="8" w:color="DDDDDD"/>
            </w:tcBorders>
          </w:tcPr>
          <w:p>
            <w:pPr>
              <w:spacing w:after="0"/>
              <w:rPr>
                <w:sz w:val="17"/>
                <w:szCs w:val="17"/>
                <w:color w:val="auto"/>
              </w:rPr>
            </w:pPr>
          </w:p>
        </w:tc>
        <w:tc>
          <w:tcPr>
            <w:tcW w:w="90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DC202E"/>
            </w:tcBorders>
          </w:tcPr>
          <w:p>
            <w:pPr>
              <w:spacing w:after="0"/>
              <w:rPr>
                <w:sz w:val="17"/>
                <w:szCs w:val="17"/>
                <w:color w:val="auto"/>
              </w:rPr>
            </w:pPr>
          </w:p>
        </w:tc>
        <w:tc>
          <w:tcPr>
            <w:tcW w:w="120" w:type="dxa"/>
            <w:vAlign w:val="bottom"/>
            <w:tcBorders>
              <w:bottom w:val="single" w:sz="8" w:color="DDDDDD"/>
            </w:tcBorders>
          </w:tcPr>
          <w:p>
            <w:pPr>
              <w:spacing w:after="0"/>
              <w:rPr>
                <w:sz w:val="17"/>
                <w:szCs w:val="17"/>
                <w:color w:val="auto"/>
              </w:rPr>
            </w:pPr>
          </w:p>
        </w:tc>
        <w:tc>
          <w:tcPr>
            <w:tcW w:w="480" w:type="dxa"/>
            <w:vAlign w:val="bottom"/>
            <w:tcBorders>
              <w:bottom w:val="single" w:sz="8" w:color="DC202E"/>
            </w:tcBorders>
          </w:tcPr>
          <w:p>
            <w:pPr>
              <w:spacing w:after="0"/>
              <w:rPr>
                <w:sz w:val="17"/>
                <w:szCs w:val="17"/>
                <w:color w:val="auto"/>
              </w:rPr>
            </w:pPr>
          </w:p>
        </w:tc>
        <w:tc>
          <w:tcPr>
            <w:tcW w:w="960" w:type="dxa"/>
            <w:vAlign w:val="bottom"/>
            <w:tcBorders>
              <w:bottom w:val="single" w:sz="8" w:color="DC202E"/>
            </w:tcBorders>
          </w:tcPr>
          <w:p>
            <w:pPr>
              <w:jc w:val="right"/>
              <w:ind w:right="472"/>
              <w:spacing w:after="0"/>
              <w:rPr>
                <w:sz w:val="20"/>
                <w:szCs w:val="20"/>
                <w:color w:val="auto"/>
              </w:rPr>
            </w:pPr>
            <w:r>
              <w:rPr>
                <w:rFonts w:ascii="Arial" w:cs="Arial" w:eastAsia="Arial" w:hAnsi="Arial"/>
                <w:sz w:val="14"/>
                <w:szCs w:val="14"/>
                <w:b w:val="1"/>
                <w:bCs w:val="1"/>
                <w:color w:val="auto"/>
              </w:rPr>
              <w:t>2019</w:t>
            </w:r>
          </w:p>
        </w:tc>
      </w:tr>
      <w:tr>
        <w:trPr>
          <w:trHeight w:val="229"/>
        </w:trPr>
        <w:tc>
          <w:tcPr>
            <w:tcW w:w="8240" w:type="dxa"/>
            <w:vAlign w:val="bottom"/>
            <w:shd w:val="clear" w:color="auto" w:fill="DDDDDD"/>
          </w:tcPr>
          <w:p>
            <w:pPr>
              <w:ind w:left="20"/>
              <w:spacing w:after="0"/>
              <w:rPr>
                <w:sz w:val="20"/>
                <w:szCs w:val="20"/>
                <w:color w:val="auto"/>
              </w:rPr>
            </w:pPr>
            <w:r>
              <w:rPr>
                <w:rFonts w:ascii="Arial" w:cs="Arial" w:eastAsia="Arial" w:hAnsi="Arial"/>
                <w:sz w:val="18"/>
                <w:szCs w:val="18"/>
                <w:b w:val="1"/>
                <w:bCs w:val="1"/>
                <w:color w:val="auto"/>
              </w:rPr>
              <w:t>Assets:</w:t>
            </w:r>
          </w:p>
        </w:tc>
        <w:tc>
          <w:tcPr>
            <w:tcW w:w="900" w:type="dxa"/>
            <w:vAlign w:val="bottom"/>
            <w:shd w:val="clear" w:color="auto" w:fill="DDDDDD"/>
          </w:tcPr>
          <w:p>
            <w:pPr>
              <w:spacing w:after="0"/>
              <w:rPr>
                <w:sz w:val="19"/>
                <w:szCs w:val="19"/>
                <w:color w:val="auto"/>
              </w:rPr>
            </w:pPr>
          </w:p>
        </w:tc>
        <w:tc>
          <w:tcPr>
            <w:tcW w:w="54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480" w:type="dxa"/>
            <w:vAlign w:val="bottom"/>
            <w:shd w:val="clear" w:color="auto" w:fill="DDDDDD"/>
          </w:tcPr>
          <w:p>
            <w:pPr>
              <w:spacing w:after="0"/>
              <w:rPr>
                <w:sz w:val="19"/>
                <w:szCs w:val="19"/>
                <w:color w:val="auto"/>
              </w:rPr>
            </w:pPr>
          </w:p>
        </w:tc>
        <w:tc>
          <w:tcPr>
            <w:tcW w:w="960" w:type="dxa"/>
            <w:vAlign w:val="bottom"/>
            <w:shd w:val="clear" w:color="auto" w:fill="DDDDDD"/>
          </w:tcPr>
          <w:p>
            <w:pPr>
              <w:spacing w:after="0"/>
              <w:rPr>
                <w:sz w:val="19"/>
                <w:szCs w:val="19"/>
                <w:color w:val="auto"/>
              </w:rPr>
            </w:pPr>
          </w:p>
        </w:tc>
      </w:tr>
      <w:tr>
        <w:trPr>
          <w:trHeight w:val="229"/>
        </w:trPr>
        <w:tc>
          <w:tcPr>
            <w:tcW w:w="8240" w:type="dxa"/>
            <w:vAlign w:val="bottom"/>
          </w:tcPr>
          <w:p>
            <w:pPr>
              <w:ind w:left="360"/>
              <w:spacing w:after="0"/>
              <w:rPr>
                <w:sz w:val="20"/>
                <w:szCs w:val="20"/>
                <w:color w:val="auto"/>
              </w:rPr>
            </w:pPr>
            <w:r>
              <w:rPr>
                <w:rFonts w:ascii="Arial" w:cs="Arial" w:eastAsia="Arial" w:hAnsi="Arial"/>
                <w:sz w:val="18"/>
                <w:szCs w:val="18"/>
                <w:color w:val="auto"/>
              </w:rPr>
              <w:t>Foreign currency exchange contracts</w:t>
            </w:r>
          </w:p>
        </w:tc>
        <w:tc>
          <w:tcPr>
            <w:tcW w:w="900" w:type="dxa"/>
            <w:vAlign w:val="bottom"/>
          </w:tcPr>
          <w:p>
            <w:pPr>
              <w:jc w:val="right"/>
              <w:ind w:right="696"/>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291</w:t>
            </w:r>
          </w:p>
        </w:tc>
      </w:tr>
      <w:tr>
        <w:trPr>
          <w:trHeight w:val="230"/>
        </w:trPr>
        <w:tc>
          <w:tcPr>
            <w:tcW w:w="8240" w:type="dxa"/>
            <w:vAlign w:val="bottom"/>
            <w:shd w:val="clear" w:color="auto" w:fill="DDDDDD"/>
          </w:tcPr>
          <w:p>
            <w:pPr>
              <w:ind w:left="360"/>
              <w:spacing w:after="0"/>
              <w:rPr>
                <w:sz w:val="20"/>
                <w:szCs w:val="20"/>
                <w:color w:val="auto"/>
              </w:rPr>
            </w:pPr>
            <w:r>
              <w:rPr>
                <w:rFonts w:ascii="Arial" w:cs="Arial" w:eastAsia="Arial" w:hAnsi="Arial"/>
                <w:sz w:val="18"/>
                <w:szCs w:val="18"/>
                <w:color w:val="auto"/>
              </w:rPr>
              <w:t>Available for sale investments</w:t>
            </w:r>
          </w:p>
        </w:tc>
        <w:tc>
          <w:tcPr>
            <w:tcW w:w="900" w:type="dxa"/>
            <w:vAlign w:val="bottom"/>
            <w:shd w:val="clear" w:color="auto" w:fill="DDDDDD"/>
          </w:tcPr>
          <w:p>
            <w:pPr>
              <w:spacing w:after="0"/>
              <w:rPr>
                <w:sz w:val="19"/>
                <w:szCs w:val="19"/>
                <w:color w:val="auto"/>
              </w:rPr>
            </w:pPr>
          </w:p>
        </w:tc>
        <w:tc>
          <w:tcPr>
            <w:tcW w:w="5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1,118</w:t>
            </w:r>
          </w:p>
        </w:tc>
        <w:tc>
          <w:tcPr>
            <w:tcW w:w="120" w:type="dxa"/>
            <w:vAlign w:val="bottom"/>
            <w:shd w:val="clear" w:color="auto" w:fill="DDDDDD"/>
          </w:tcPr>
          <w:p>
            <w:pPr>
              <w:spacing w:after="0"/>
              <w:rPr>
                <w:sz w:val="19"/>
                <w:szCs w:val="19"/>
                <w:color w:val="auto"/>
              </w:rPr>
            </w:pPr>
          </w:p>
        </w:tc>
        <w:tc>
          <w:tcPr>
            <w:tcW w:w="480" w:type="dxa"/>
            <w:vAlign w:val="bottom"/>
            <w:shd w:val="clear" w:color="auto" w:fill="DDDDDD"/>
          </w:tcPr>
          <w:p>
            <w:pPr>
              <w:spacing w:after="0"/>
              <w:rPr>
                <w:sz w:val="19"/>
                <w:szCs w:val="19"/>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1,523</w:t>
            </w:r>
          </w:p>
        </w:tc>
      </w:tr>
      <w:tr>
        <w:trPr>
          <w:trHeight w:val="229"/>
        </w:trPr>
        <w:tc>
          <w:tcPr>
            <w:tcW w:w="8240" w:type="dxa"/>
            <w:vAlign w:val="bottom"/>
          </w:tcPr>
          <w:p>
            <w:pPr>
              <w:ind w:left="360"/>
              <w:spacing w:after="0"/>
              <w:rPr>
                <w:sz w:val="20"/>
                <w:szCs w:val="20"/>
                <w:color w:val="auto"/>
              </w:rPr>
            </w:pPr>
            <w:r>
              <w:rPr>
                <w:rFonts w:ascii="Arial" w:cs="Arial" w:eastAsia="Arial" w:hAnsi="Arial"/>
                <w:sz w:val="18"/>
                <w:szCs w:val="18"/>
                <w:color w:val="auto"/>
              </w:rPr>
              <w:t>Interest rate swap agreements</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8240" w:type="dxa"/>
            <w:vAlign w:val="bottom"/>
            <w:shd w:val="clear" w:color="auto" w:fill="DDDDDD"/>
          </w:tcPr>
          <w:p>
            <w:pPr>
              <w:ind w:left="360"/>
              <w:spacing w:after="0"/>
              <w:rPr>
                <w:sz w:val="20"/>
                <w:szCs w:val="20"/>
                <w:color w:val="auto"/>
              </w:rPr>
            </w:pPr>
            <w:r>
              <w:rPr>
                <w:rFonts w:ascii="Arial" w:cs="Arial" w:eastAsia="Arial" w:hAnsi="Arial"/>
                <w:sz w:val="18"/>
                <w:szCs w:val="18"/>
                <w:color w:val="auto"/>
              </w:rPr>
              <w:t>Cross currency swap agreements</w:t>
            </w:r>
          </w:p>
        </w:tc>
        <w:tc>
          <w:tcPr>
            <w:tcW w:w="900" w:type="dxa"/>
            <w:vAlign w:val="bottom"/>
            <w:shd w:val="clear" w:color="auto" w:fill="DDDDDD"/>
          </w:tcPr>
          <w:p>
            <w:pPr>
              <w:spacing w:after="0"/>
              <w:rPr>
                <w:sz w:val="19"/>
                <w:szCs w:val="19"/>
                <w:color w:val="auto"/>
              </w:rPr>
            </w:pPr>
          </w:p>
        </w:tc>
        <w:tc>
          <w:tcPr>
            <w:tcW w:w="660" w:type="dxa"/>
            <w:vAlign w:val="bottom"/>
            <w:gridSpan w:val="2"/>
            <w:shd w:val="clear" w:color="auto" w:fill="DDDDDD"/>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DDDDDD"/>
          </w:tcPr>
          <w:p>
            <w:pPr>
              <w:spacing w:after="0"/>
              <w:rPr>
                <w:sz w:val="19"/>
                <w:szCs w:val="19"/>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51</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9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8240" w:type="dxa"/>
            <w:vAlign w:val="bottom"/>
            <w:shd w:val="clear" w:color="auto" w:fill="DDDDDD"/>
          </w:tcPr>
          <w:p>
            <w:pPr>
              <w:ind w:left="360"/>
              <w:spacing w:after="0"/>
              <w:rPr>
                <w:sz w:val="20"/>
                <w:szCs w:val="20"/>
                <w:color w:val="auto"/>
              </w:rPr>
            </w:pPr>
            <w:r>
              <w:rPr>
                <w:rFonts w:ascii="Arial" w:cs="Arial" w:eastAsia="Arial" w:hAnsi="Arial"/>
                <w:sz w:val="18"/>
                <w:szCs w:val="18"/>
                <w:color w:val="auto"/>
              </w:rPr>
              <w:t>Foreign currency exchange contracts</w:t>
            </w:r>
          </w:p>
        </w:tc>
        <w:tc>
          <w:tcPr>
            <w:tcW w:w="900" w:type="dxa"/>
            <w:vAlign w:val="bottom"/>
            <w:shd w:val="clear" w:color="auto" w:fill="DDDDDD"/>
          </w:tcPr>
          <w:p>
            <w:pPr>
              <w:jc w:val="right"/>
              <w:ind w:right="69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DDDDDD"/>
          </w:tcPr>
          <w:p>
            <w:pPr>
              <w:spacing w:after="0"/>
              <w:rPr>
                <w:sz w:val="19"/>
                <w:szCs w:val="19"/>
                <w:color w:val="auto"/>
              </w:rPr>
            </w:pPr>
          </w:p>
        </w:tc>
        <w:tc>
          <w:tcPr>
            <w:tcW w:w="480" w:type="dxa"/>
            <w:vAlign w:val="bottom"/>
            <w:shd w:val="clear" w:color="auto" w:fill="DDDDDD"/>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21</w:t>
            </w:r>
          </w:p>
        </w:tc>
      </w:tr>
      <w:tr>
        <w:trPr>
          <w:trHeight w:val="229"/>
        </w:trPr>
        <w:tc>
          <w:tcPr>
            <w:tcW w:w="8240" w:type="dxa"/>
            <w:vAlign w:val="bottom"/>
          </w:tcPr>
          <w:p>
            <w:pPr>
              <w:ind w:left="360"/>
              <w:spacing w:after="0"/>
              <w:rPr>
                <w:sz w:val="20"/>
                <w:szCs w:val="20"/>
                <w:color w:val="auto"/>
              </w:rPr>
            </w:pPr>
            <w:r>
              <w:rPr>
                <w:rFonts w:ascii="Arial" w:cs="Arial" w:eastAsia="Arial" w:hAnsi="Arial"/>
                <w:sz w:val="18"/>
                <w:szCs w:val="18"/>
                <w:color w:val="auto"/>
              </w:rPr>
              <w:t>Interest rate swap agreements</w:t>
            </w:r>
          </w:p>
        </w:tc>
        <w:tc>
          <w:tcPr>
            <w:tcW w:w="90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8240" w:type="dxa"/>
            <w:vAlign w:val="bottom"/>
            <w:shd w:val="clear" w:color="auto" w:fill="DDDDDD"/>
          </w:tcPr>
          <w:p>
            <w:pPr>
              <w:ind w:left="360"/>
              <w:spacing w:after="0"/>
              <w:rPr>
                <w:sz w:val="20"/>
                <w:szCs w:val="20"/>
                <w:color w:val="auto"/>
              </w:rPr>
            </w:pPr>
            <w:r>
              <w:rPr>
                <w:rFonts w:ascii="Arial" w:cs="Arial" w:eastAsia="Arial" w:hAnsi="Arial"/>
                <w:sz w:val="18"/>
                <w:szCs w:val="18"/>
                <w:color w:val="auto"/>
              </w:rPr>
              <w:t>Cross currency swap agreements</w:t>
            </w:r>
          </w:p>
        </w:tc>
        <w:tc>
          <w:tcPr>
            <w:tcW w:w="900" w:type="dxa"/>
            <w:vAlign w:val="bottom"/>
            <w:shd w:val="clear" w:color="auto" w:fill="DDDDDD"/>
          </w:tcPr>
          <w:p>
            <w:pPr>
              <w:spacing w:after="0"/>
              <w:rPr>
                <w:sz w:val="19"/>
                <w:szCs w:val="19"/>
                <w:color w:val="auto"/>
              </w:rPr>
            </w:pPr>
          </w:p>
        </w:tc>
        <w:tc>
          <w:tcPr>
            <w:tcW w:w="5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DDDDDD"/>
          </w:tcPr>
          <w:p>
            <w:pPr>
              <w:spacing w:after="0"/>
              <w:rPr>
                <w:sz w:val="19"/>
                <w:szCs w:val="19"/>
                <w:color w:val="auto"/>
              </w:rPr>
            </w:pPr>
          </w:p>
        </w:tc>
        <w:tc>
          <w:tcPr>
            <w:tcW w:w="480" w:type="dxa"/>
            <w:vAlign w:val="bottom"/>
            <w:shd w:val="clear" w:color="auto" w:fill="DDDDDD"/>
          </w:tcPr>
          <w:p>
            <w:pPr>
              <w:spacing w:after="0"/>
              <w:rPr>
                <w:sz w:val="19"/>
                <w:szCs w:val="19"/>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w:t>
            </w:r>
          </w:p>
        </w:tc>
      </w:tr>
    </w:tbl>
    <w:p>
      <w:pPr>
        <w:spacing w:after="0" w:line="3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foreign currency exchange contracts, interest rate swap agreements, and cross currency swap agreements are valued using broker quotations, or market transactions in either the listed or over-the-counter markets. As such, these derivative instruments are classified within level 2. The Company also holds investments in commercial paper, certificates of deposits, and time deposits that are designated as available for sale and are valued using published prices based on observable market data. As such, these investments are classified within level 2. The Company also holds available for sale investments in U.S. government and corporate debt securities valued utilizing published prices based on quoted market pricing, which are classified within level 1.</w:t>
      </w:r>
    </w:p>
    <w:p>
      <w:pPr>
        <w:spacing w:after="0" w:line="10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carrying value of cash and cash equivalents, trade accounts and notes receivables, payables, commercial paper and short-term borrowings contained in the Consolidated Balance Sheet approximates fair value.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Company’s financial assets and liabilities that were not carried at fair value: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00" w:type="dxa"/>
            <w:vAlign w:val="bottom"/>
          </w:tcPr>
          <w:p>
            <w:pPr>
              <w:spacing w:after="0"/>
              <w:rPr>
                <w:sz w:val="17"/>
                <w:szCs w:val="17"/>
                <w:color w:val="auto"/>
              </w:rPr>
            </w:pPr>
          </w:p>
        </w:tc>
        <w:tc>
          <w:tcPr>
            <w:tcW w:w="260" w:type="dxa"/>
            <w:vAlign w:val="bottom"/>
            <w:tcBorders>
              <w:bottom w:val="single" w:sz="8" w:color="DC202E"/>
            </w:tcBorders>
          </w:tcPr>
          <w:p>
            <w:pPr>
              <w:spacing w:after="0"/>
              <w:rPr>
                <w:sz w:val="17"/>
                <w:szCs w:val="17"/>
                <w:color w:val="auto"/>
              </w:rPr>
            </w:pPr>
          </w:p>
        </w:tc>
        <w:tc>
          <w:tcPr>
            <w:tcW w:w="2700" w:type="dxa"/>
            <w:vAlign w:val="bottom"/>
            <w:tcBorders>
              <w:bottom w:val="single" w:sz="8" w:color="DC202E"/>
            </w:tcBorders>
            <w:gridSpan w:val="4"/>
          </w:tcPr>
          <w:p>
            <w:pPr>
              <w:jc w:val="right"/>
              <w:ind w:right="759"/>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Pr>
          <w:p>
            <w:pPr>
              <w:spacing w:after="0"/>
              <w:rPr>
                <w:sz w:val="17"/>
                <w:szCs w:val="17"/>
                <w:color w:val="auto"/>
              </w:rPr>
            </w:pPr>
          </w:p>
        </w:tc>
        <w:tc>
          <w:tcPr>
            <w:tcW w:w="280" w:type="dxa"/>
            <w:vAlign w:val="bottom"/>
            <w:tcBorders>
              <w:bottom w:val="single" w:sz="8" w:color="DC202E"/>
            </w:tcBorders>
          </w:tcPr>
          <w:p>
            <w:pPr>
              <w:spacing w:after="0"/>
              <w:rPr>
                <w:sz w:val="17"/>
                <w:szCs w:val="17"/>
                <w:color w:val="auto"/>
              </w:rPr>
            </w:pPr>
          </w:p>
        </w:tc>
        <w:tc>
          <w:tcPr>
            <w:tcW w:w="2700" w:type="dxa"/>
            <w:vAlign w:val="bottom"/>
            <w:tcBorders>
              <w:bottom w:val="single" w:sz="8" w:color="DC202E"/>
            </w:tcBorders>
            <w:gridSpan w:val="4"/>
          </w:tcPr>
          <w:p>
            <w:pPr>
              <w:jc w:val="right"/>
              <w:ind w:right="759"/>
              <w:spacing w:after="0"/>
              <w:rPr>
                <w:sz w:val="20"/>
                <w:szCs w:val="20"/>
                <w:color w:val="auto"/>
              </w:rPr>
            </w:pPr>
            <w:r>
              <w:rPr>
                <w:rFonts w:ascii="Arial" w:cs="Arial" w:eastAsia="Arial" w:hAnsi="Arial"/>
                <w:sz w:val="14"/>
                <w:szCs w:val="14"/>
                <w:b w:val="1"/>
                <w:bCs w:val="1"/>
                <w:color w:val="auto"/>
              </w:rPr>
              <w:t>December 31, 2019</w:t>
            </w:r>
          </w:p>
        </w:tc>
      </w:tr>
      <w:tr>
        <w:trPr>
          <w:trHeight w:val="175"/>
        </w:trPr>
        <w:tc>
          <w:tcPr>
            <w:tcW w:w="5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Carrying</w:t>
            </w:r>
          </w:p>
        </w:tc>
        <w:tc>
          <w:tcPr>
            <w:tcW w:w="320" w:type="dxa"/>
            <w:vAlign w:val="bottom"/>
          </w:tcPr>
          <w:p>
            <w:pPr>
              <w:spacing w:after="0"/>
              <w:rPr>
                <w:sz w:val="15"/>
                <w:szCs w:val="15"/>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Fair</w:t>
            </w:r>
          </w:p>
        </w:tc>
        <w:tc>
          <w:tcPr>
            <w:tcW w:w="280" w:type="dxa"/>
            <w:vAlign w:val="bottom"/>
          </w:tcPr>
          <w:p>
            <w:pPr>
              <w:spacing w:after="0"/>
              <w:rPr>
                <w:sz w:val="15"/>
                <w:szCs w:val="15"/>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Carrying</w:t>
            </w:r>
          </w:p>
        </w:tc>
        <w:tc>
          <w:tcPr>
            <w:tcW w:w="340" w:type="dxa"/>
            <w:vAlign w:val="bottom"/>
          </w:tcPr>
          <w:p>
            <w:pPr>
              <w:spacing w:after="0"/>
              <w:rPr>
                <w:sz w:val="15"/>
                <w:szCs w:val="15"/>
                <w:color w:val="auto"/>
              </w:rPr>
            </w:pPr>
          </w:p>
        </w:tc>
        <w:tc>
          <w:tcPr>
            <w:tcW w:w="1100" w:type="dxa"/>
            <w:vAlign w:val="bottom"/>
          </w:tcPr>
          <w:p>
            <w:pPr>
              <w:jc w:val="right"/>
              <w:ind w:right="499"/>
              <w:spacing w:after="0"/>
              <w:rPr>
                <w:sz w:val="20"/>
                <w:szCs w:val="20"/>
                <w:color w:val="auto"/>
              </w:rPr>
            </w:pPr>
            <w:r>
              <w:rPr>
                <w:rFonts w:ascii="Arial" w:cs="Arial" w:eastAsia="Arial" w:hAnsi="Arial"/>
                <w:sz w:val="14"/>
                <w:szCs w:val="14"/>
                <w:b w:val="1"/>
                <w:bCs w:val="1"/>
                <w:color w:val="auto"/>
              </w:rPr>
              <w:t>Fair</w:t>
            </w:r>
          </w:p>
        </w:tc>
      </w:tr>
      <w:tr>
        <w:trPr>
          <w:trHeight w:val="183"/>
        </w:trPr>
        <w:tc>
          <w:tcPr>
            <w:tcW w:w="5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Value</w:t>
            </w:r>
          </w:p>
        </w:tc>
        <w:tc>
          <w:tcPr>
            <w:tcW w:w="320" w:type="dxa"/>
            <w:vAlign w:val="bottom"/>
          </w:tcPr>
          <w:p>
            <w:pPr>
              <w:spacing w:after="0"/>
              <w:rPr>
                <w:sz w:val="15"/>
                <w:szCs w:val="15"/>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Value</w:t>
            </w:r>
          </w:p>
        </w:tc>
        <w:tc>
          <w:tcPr>
            <w:tcW w:w="280" w:type="dxa"/>
            <w:vAlign w:val="bottom"/>
          </w:tcPr>
          <w:p>
            <w:pPr>
              <w:spacing w:after="0"/>
              <w:rPr>
                <w:sz w:val="15"/>
                <w:szCs w:val="15"/>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Value</w:t>
            </w:r>
          </w:p>
        </w:tc>
        <w:tc>
          <w:tcPr>
            <w:tcW w:w="340" w:type="dxa"/>
            <w:vAlign w:val="bottom"/>
          </w:tcPr>
          <w:p>
            <w:pPr>
              <w:spacing w:after="0"/>
              <w:rPr>
                <w:sz w:val="15"/>
                <w:szCs w:val="15"/>
                <w:color w:val="auto"/>
              </w:rPr>
            </w:pPr>
          </w:p>
        </w:tc>
        <w:tc>
          <w:tcPr>
            <w:tcW w:w="1100" w:type="dxa"/>
            <w:vAlign w:val="bottom"/>
          </w:tcPr>
          <w:p>
            <w:pPr>
              <w:jc w:val="right"/>
              <w:ind w:right="439"/>
              <w:spacing w:after="0"/>
              <w:rPr>
                <w:sz w:val="20"/>
                <w:szCs w:val="20"/>
                <w:color w:val="auto"/>
              </w:rPr>
            </w:pPr>
            <w:r>
              <w:rPr>
                <w:rFonts w:ascii="Arial" w:cs="Arial" w:eastAsia="Arial" w:hAnsi="Arial"/>
                <w:sz w:val="14"/>
                <w:szCs w:val="14"/>
                <w:b w:val="1"/>
                <w:bCs w:val="1"/>
                <w:color w:val="auto"/>
              </w:rPr>
              <w:t>Value</w:t>
            </w:r>
          </w:p>
        </w:tc>
      </w:tr>
      <w:tr>
        <w:trPr>
          <w:trHeight w:val="230"/>
        </w:trPr>
        <w:tc>
          <w:tcPr>
            <w:tcW w:w="5200" w:type="dxa"/>
            <w:vAlign w:val="bottom"/>
            <w:tcBorders>
              <w:top w:val="single" w:sz="8" w:color="DDDDDD"/>
            </w:tcBorders>
            <w:shd w:val="clear" w:color="auto" w:fill="DDDDDD"/>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top w:val="single" w:sz="8" w:color="DC202E"/>
            </w:tcBorders>
            <w:shd w:val="clear" w:color="auto" w:fill="DDDDDD"/>
          </w:tcPr>
          <w:p>
            <w:pPr>
              <w:spacing w:after="0"/>
              <w:rPr>
                <w:sz w:val="19"/>
                <w:szCs w:val="19"/>
                <w:color w:val="auto"/>
              </w:rPr>
            </w:pPr>
          </w:p>
        </w:tc>
        <w:tc>
          <w:tcPr>
            <w:tcW w:w="1160" w:type="dxa"/>
            <w:vAlign w:val="bottom"/>
            <w:tcBorders>
              <w:top w:val="single" w:sz="8" w:color="DC202E"/>
            </w:tcBorders>
            <w:shd w:val="clear" w:color="auto" w:fill="DDDDDD"/>
          </w:tcPr>
          <w:p>
            <w:pPr>
              <w:spacing w:after="0"/>
              <w:rPr>
                <w:sz w:val="19"/>
                <w:szCs w:val="19"/>
                <w:color w:val="auto"/>
              </w:rPr>
            </w:pPr>
          </w:p>
        </w:tc>
        <w:tc>
          <w:tcPr>
            <w:tcW w:w="120" w:type="dxa"/>
            <w:vAlign w:val="bottom"/>
            <w:tcBorders>
              <w:top w:val="single" w:sz="8" w:color="DDDDDD"/>
            </w:tcBorders>
            <w:shd w:val="clear" w:color="auto" w:fill="DDDDDD"/>
          </w:tcPr>
          <w:p>
            <w:pPr>
              <w:spacing w:after="0"/>
              <w:rPr>
                <w:sz w:val="19"/>
                <w:szCs w:val="19"/>
                <w:color w:val="auto"/>
              </w:rPr>
            </w:pPr>
          </w:p>
        </w:tc>
        <w:tc>
          <w:tcPr>
            <w:tcW w:w="320" w:type="dxa"/>
            <w:vAlign w:val="bottom"/>
            <w:tcBorders>
              <w:top w:val="single" w:sz="8" w:color="DC202E"/>
            </w:tcBorders>
            <w:shd w:val="clear" w:color="auto" w:fill="DDDDDD"/>
          </w:tcPr>
          <w:p>
            <w:pPr>
              <w:spacing w:after="0"/>
              <w:rPr>
                <w:sz w:val="19"/>
                <w:szCs w:val="19"/>
                <w:color w:val="auto"/>
              </w:rPr>
            </w:pPr>
          </w:p>
        </w:tc>
        <w:tc>
          <w:tcPr>
            <w:tcW w:w="1100" w:type="dxa"/>
            <w:vAlign w:val="bottom"/>
            <w:tcBorders>
              <w:top w:val="single" w:sz="8" w:color="DC202E"/>
            </w:tcBorders>
            <w:shd w:val="clear" w:color="auto" w:fill="DDDDDD"/>
          </w:tcPr>
          <w:p>
            <w:pPr>
              <w:spacing w:after="0"/>
              <w:rPr>
                <w:sz w:val="19"/>
                <w:szCs w:val="19"/>
                <w:color w:val="auto"/>
              </w:rPr>
            </w:pPr>
          </w:p>
        </w:tc>
        <w:tc>
          <w:tcPr>
            <w:tcW w:w="100" w:type="dxa"/>
            <w:vAlign w:val="bottom"/>
            <w:tcBorders>
              <w:top w:val="single" w:sz="8" w:color="DDDDDD"/>
            </w:tcBorders>
            <w:shd w:val="clear" w:color="auto" w:fill="DDDDDD"/>
          </w:tcPr>
          <w:p>
            <w:pPr>
              <w:spacing w:after="0"/>
              <w:rPr>
                <w:sz w:val="19"/>
                <w:szCs w:val="19"/>
                <w:color w:val="auto"/>
              </w:rPr>
            </w:pPr>
          </w:p>
        </w:tc>
        <w:tc>
          <w:tcPr>
            <w:tcW w:w="280" w:type="dxa"/>
            <w:vAlign w:val="bottom"/>
            <w:tcBorders>
              <w:top w:val="single" w:sz="8" w:color="DC202E"/>
            </w:tcBorders>
            <w:shd w:val="clear" w:color="auto" w:fill="DDDDDD"/>
          </w:tcPr>
          <w:p>
            <w:pPr>
              <w:spacing w:after="0"/>
              <w:rPr>
                <w:sz w:val="19"/>
                <w:szCs w:val="19"/>
                <w:color w:val="auto"/>
              </w:rPr>
            </w:pPr>
          </w:p>
        </w:tc>
        <w:tc>
          <w:tcPr>
            <w:tcW w:w="1160" w:type="dxa"/>
            <w:vAlign w:val="bottom"/>
            <w:tcBorders>
              <w:top w:val="single" w:sz="8" w:color="DC202E"/>
            </w:tcBorders>
            <w:shd w:val="clear" w:color="auto" w:fill="DDDDDD"/>
          </w:tcPr>
          <w:p>
            <w:pPr>
              <w:spacing w:after="0"/>
              <w:rPr>
                <w:sz w:val="19"/>
                <w:szCs w:val="19"/>
                <w:color w:val="auto"/>
              </w:rPr>
            </w:pPr>
          </w:p>
        </w:tc>
        <w:tc>
          <w:tcPr>
            <w:tcW w:w="100" w:type="dxa"/>
            <w:vAlign w:val="bottom"/>
            <w:tcBorders>
              <w:top w:val="single" w:sz="8" w:color="DDDDDD"/>
            </w:tcBorders>
            <w:shd w:val="clear" w:color="auto" w:fill="DDDDDD"/>
          </w:tcPr>
          <w:p>
            <w:pPr>
              <w:spacing w:after="0"/>
              <w:rPr>
                <w:sz w:val="19"/>
                <w:szCs w:val="19"/>
                <w:color w:val="auto"/>
              </w:rPr>
            </w:pPr>
          </w:p>
        </w:tc>
        <w:tc>
          <w:tcPr>
            <w:tcW w:w="340" w:type="dxa"/>
            <w:vAlign w:val="bottom"/>
            <w:tcBorders>
              <w:top w:val="single" w:sz="8" w:color="DC202E"/>
            </w:tcBorders>
            <w:shd w:val="clear" w:color="auto" w:fill="DDDDDD"/>
          </w:tcPr>
          <w:p>
            <w:pPr>
              <w:spacing w:after="0"/>
              <w:rPr>
                <w:sz w:val="19"/>
                <w:szCs w:val="19"/>
                <w:color w:val="auto"/>
              </w:rPr>
            </w:pPr>
          </w:p>
        </w:tc>
        <w:tc>
          <w:tcPr>
            <w:tcW w:w="1100" w:type="dxa"/>
            <w:vAlign w:val="bottom"/>
            <w:tcBorders>
              <w:top w:val="single" w:sz="8" w:color="DC202E"/>
            </w:tcBorders>
            <w:shd w:val="clear" w:color="auto" w:fill="DDDDDD"/>
          </w:tcPr>
          <w:p>
            <w:pPr>
              <w:spacing w:after="0"/>
              <w:rPr>
                <w:sz w:val="19"/>
                <w:szCs w:val="19"/>
                <w:color w:val="auto"/>
              </w:rPr>
            </w:pPr>
          </w:p>
        </w:tc>
      </w:tr>
      <w:tr>
        <w:trPr>
          <w:trHeight w:val="230"/>
        </w:trPr>
        <w:tc>
          <w:tcPr>
            <w:tcW w:w="5200" w:type="dxa"/>
            <w:vAlign w:val="bottom"/>
          </w:tcPr>
          <w:p>
            <w:pPr>
              <w:ind w:left="360"/>
              <w:spacing w:after="0"/>
              <w:rPr>
                <w:sz w:val="20"/>
                <w:szCs w:val="20"/>
                <w:color w:val="auto"/>
              </w:rPr>
            </w:pPr>
            <w:r>
              <w:rPr>
                <w:rFonts w:ascii="Arial" w:cs="Arial" w:eastAsia="Arial" w:hAnsi="Arial"/>
                <w:sz w:val="18"/>
                <w:szCs w:val="18"/>
                <w:color w:val="auto"/>
              </w:rPr>
              <w:t>Long-term receivables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29"/>
        </w:trPr>
        <w:tc>
          <w:tcPr>
            <w:tcW w:w="5200" w:type="dxa"/>
            <w:vAlign w:val="bottom"/>
            <w:shd w:val="clear" w:color="auto" w:fill="DDDDDD"/>
          </w:tcPr>
          <w:p>
            <w:pPr>
              <w:ind w:left="20"/>
              <w:spacing w:after="0"/>
              <w:rPr>
                <w:sz w:val="20"/>
                <w:szCs w:val="20"/>
                <w:color w:val="auto"/>
              </w:rPr>
            </w:pPr>
            <w:r>
              <w:rPr>
                <w:rFonts w:ascii="Arial" w:cs="Arial" w:eastAsia="Arial" w:hAnsi="Arial"/>
                <w:sz w:val="18"/>
                <w:szCs w:val="18"/>
                <w:b w:val="1"/>
                <w:bCs w:val="1"/>
                <w:color w:val="auto"/>
              </w:rPr>
              <w:t>Liabilities:</w:t>
            </w:r>
          </w:p>
        </w:tc>
        <w:tc>
          <w:tcPr>
            <w:tcW w:w="260" w:type="dxa"/>
            <w:vAlign w:val="bottom"/>
            <w:shd w:val="clear" w:color="auto" w:fill="DDDDDD"/>
          </w:tcPr>
          <w:p>
            <w:pPr>
              <w:spacing w:after="0"/>
              <w:rPr>
                <w:sz w:val="19"/>
                <w:szCs w:val="19"/>
                <w:color w:val="auto"/>
              </w:rPr>
            </w:pPr>
          </w:p>
        </w:tc>
        <w:tc>
          <w:tcPr>
            <w:tcW w:w="116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320" w:type="dxa"/>
            <w:vAlign w:val="bottom"/>
            <w:shd w:val="clear" w:color="auto" w:fill="DDDDDD"/>
          </w:tcPr>
          <w:p>
            <w:pPr>
              <w:spacing w:after="0"/>
              <w:rPr>
                <w:sz w:val="19"/>
                <w:szCs w:val="19"/>
                <w:color w:val="auto"/>
              </w:rPr>
            </w:pPr>
          </w:p>
        </w:tc>
        <w:tc>
          <w:tcPr>
            <w:tcW w:w="110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280" w:type="dxa"/>
            <w:vAlign w:val="bottom"/>
            <w:shd w:val="clear" w:color="auto" w:fill="DDDDDD"/>
          </w:tcPr>
          <w:p>
            <w:pPr>
              <w:spacing w:after="0"/>
              <w:rPr>
                <w:sz w:val="19"/>
                <w:szCs w:val="19"/>
                <w:color w:val="auto"/>
              </w:rPr>
            </w:pPr>
          </w:p>
        </w:tc>
        <w:tc>
          <w:tcPr>
            <w:tcW w:w="116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spacing w:after="0"/>
              <w:rPr>
                <w:sz w:val="19"/>
                <w:szCs w:val="19"/>
                <w:color w:val="auto"/>
              </w:rPr>
            </w:pPr>
          </w:p>
        </w:tc>
      </w:tr>
      <w:tr>
        <w:trPr>
          <w:trHeight w:val="230"/>
        </w:trPr>
        <w:tc>
          <w:tcPr>
            <w:tcW w:w="5200" w:type="dxa"/>
            <w:vAlign w:val="bottom"/>
          </w:tcPr>
          <w:p>
            <w:pPr>
              <w:ind w:left="360"/>
              <w:spacing w:after="0"/>
              <w:rPr>
                <w:sz w:val="20"/>
                <w:szCs w:val="20"/>
                <w:color w:val="auto"/>
              </w:rPr>
            </w:pPr>
            <w:r>
              <w:rPr>
                <w:rFonts w:ascii="Arial" w:cs="Arial" w:eastAsia="Arial" w:hAnsi="Arial"/>
                <w:sz w:val="18"/>
                <w:szCs w:val="18"/>
                <w:color w:val="auto"/>
              </w:rPr>
              <w:t>Long-term debt and related current maturities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
              <w:spacing w:after="0"/>
              <w:rPr>
                <w:sz w:val="20"/>
                <w:szCs w:val="20"/>
                <w:color w:val="auto"/>
              </w:rPr>
            </w:pPr>
            <w:r>
              <w:rPr>
                <w:rFonts w:ascii="Arial" w:cs="Arial" w:eastAsia="Arial" w:hAnsi="Arial"/>
                <w:sz w:val="18"/>
                <w:szCs w:val="18"/>
                <w:color w:val="auto"/>
              </w:rPr>
              <w:t>18,787</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20,176</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
              <w:spacing w:after="0"/>
              <w:rPr>
                <w:sz w:val="20"/>
                <w:szCs w:val="20"/>
                <w:color w:val="auto"/>
              </w:rPr>
            </w:pPr>
            <w:r>
              <w:rPr>
                <w:rFonts w:ascii="Arial" w:cs="Arial" w:eastAsia="Arial" w:hAnsi="Arial"/>
                <w:sz w:val="18"/>
                <w:szCs w:val="18"/>
                <w:color w:val="auto"/>
              </w:rPr>
              <w:t>12,486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13,578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77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80" w:name="page81"/>
    <w:bookmarkEnd w:id="80"/>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9"/>
          <w:szCs w:val="29"/>
          <w:b w:val="1"/>
          <w:bCs w:val="1"/>
          <w:color w:val="DC202E"/>
        </w:rPr>
        <w:t>NOTE 14. ACCRUED LIABILITIES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240" w:type="dxa"/>
            <w:vAlign w:val="bottom"/>
          </w:tcPr>
          <w:p>
            <w:pPr>
              <w:spacing w:after="0"/>
              <w:rPr>
                <w:sz w:val="17"/>
                <w:szCs w:val="17"/>
                <w:color w:val="auto"/>
              </w:rPr>
            </w:pPr>
          </w:p>
        </w:tc>
        <w:tc>
          <w:tcPr>
            <w:tcW w:w="900" w:type="dxa"/>
            <w:vAlign w:val="bottom"/>
            <w:tcBorders>
              <w:bottom w:val="single" w:sz="8" w:color="DC202E"/>
            </w:tcBorders>
          </w:tcPr>
          <w:p>
            <w:pPr>
              <w:spacing w:after="0"/>
              <w:rPr>
                <w:sz w:val="17"/>
                <w:szCs w:val="17"/>
                <w:color w:val="auto"/>
              </w:rPr>
            </w:pPr>
          </w:p>
        </w:tc>
        <w:tc>
          <w:tcPr>
            <w:tcW w:w="1140" w:type="dxa"/>
            <w:vAlign w:val="bottom"/>
            <w:tcBorders>
              <w:bottom w:val="single" w:sz="8" w:color="DC202E"/>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DC202E"/>
            </w:tcBorders>
          </w:tcPr>
          <w:p>
            <w:pPr>
              <w:spacing w:after="0"/>
              <w:rPr>
                <w:sz w:val="17"/>
                <w:szCs w:val="17"/>
                <w:color w:val="auto"/>
              </w:rPr>
            </w:pPr>
          </w:p>
        </w:tc>
      </w:tr>
      <w:tr>
        <w:trPr>
          <w:trHeight w:val="250"/>
        </w:trPr>
        <w:tc>
          <w:tcPr>
            <w:tcW w:w="8240" w:type="dxa"/>
            <w:vAlign w:val="bottom"/>
            <w:tcBorders>
              <w:bottom w:val="single" w:sz="8" w:color="DDDDDD"/>
            </w:tcBorders>
          </w:tcPr>
          <w:p>
            <w:pPr>
              <w:spacing w:after="0"/>
              <w:rPr>
                <w:sz w:val="21"/>
                <w:szCs w:val="21"/>
                <w:color w:val="auto"/>
              </w:rPr>
            </w:pPr>
          </w:p>
        </w:tc>
        <w:tc>
          <w:tcPr>
            <w:tcW w:w="90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DC202E"/>
            </w:tcBorders>
          </w:tcPr>
          <w:p>
            <w:pPr>
              <w:spacing w:after="0"/>
              <w:rPr>
                <w:sz w:val="21"/>
                <w:szCs w:val="21"/>
                <w:color w:val="auto"/>
              </w:rPr>
            </w:pPr>
          </w:p>
        </w:tc>
        <w:tc>
          <w:tcPr>
            <w:tcW w:w="120" w:type="dxa"/>
            <w:vAlign w:val="bottom"/>
            <w:tcBorders>
              <w:bottom w:val="single" w:sz="8" w:color="DDDDDD"/>
            </w:tcBorders>
          </w:tcPr>
          <w:p>
            <w:pPr>
              <w:spacing w:after="0"/>
              <w:rPr>
                <w:sz w:val="21"/>
                <w:szCs w:val="21"/>
                <w:color w:val="auto"/>
              </w:rPr>
            </w:pPr>
          </w:p>
        </w:tc>
        <w:tc>
          <w:tcPr>
            <w:tcW w:w="480" w:type="dxa"/>
            <w:vAlign w:val="bottom"/>
            <w:tcBorders>
              <w:bottom w:val="single" w:sz="8" w:color="DC202E"/>
            </w:tcBorders>
          </w:tcPr>
          <w:p>
            <w:pPr>
              <w:spacing w:after="0"/>
              <w:rPr>
                <w:sz w:val="21"/>
                <w:szCs w:val="21"/>
                <w:color w:val="auto"/>
              </w:rPr>
            </w:pPr>
          </w:p>
        </w:tc>
        <w:tc>
          <w:tcPr>
            <w:tcW w:w="960" w:type="dxa"/>
            <w:vAlign w:val="bottom"/>
            <w:tcBorders>
              <w:bottom w:val="single" w:sz="8" w:color="DC202E"/>
            </w:tcBorders>
          </w:tcPr>
          <w:p>
            <w:pPr>
              <w:jc w:val="right"/>
              <w:ind w:right="471"/>
              <w:spacing w:after="0"/>
              <w:rPr>
                <w:sz w:val="20"/>
                <w:szCs w:val="20"/>
                <w:color w:val="auto"/>
              </w:rPr>
            </w:pPr>
            <w:r>
              <w:rPr>
                <w:rFonts w:ascii="Arial" w:cs="Arial" w:eastAsia="Arial" w:hAnsi="Arial"/>
                <w:sz w:val="14"/>
                <w:szCs w:val="14"/>
                <w:b w:val="1"/>
                <w:bCs w:val="1"/>
                <w:color w:val="auto"/>
              </w:rPr>
              <w:t>2019</w:t>
            </w:r>
          </w:p>
        </w:tc>
      </w:tr>
      <w:tr>
        <w:trPr>
          <w:trHeight w:val="230"/>
        </w:trPr>
        <w:tc>
          <w:tcPr>
            <w:tcW w:w="8240" w:type="dxa"/>
            <w:vAlign w:val="bottom"/>
            <w:shd w:val="clear" w:color="auto" w:fill="DDDDDD"/>
          </w:tcPr>
          <w:p>
            <w:pPr>
              <w:ind w:left="20"/>
              <w:spacing w:after="0"/>
              <w:rPr>
                <w:sz w:val="20"/>
                <w:szCs w:val="20"/>
                <w:color w:val="auto"/>
              </w:rPr>
            </w:pPr>
            <w:r>
              <w:rPr>
                <w:rFonts w:ascii="Arial" w:cs="Arial" w:eastAsia="Arial" w:hAnsi="Arial"/>
                <w:sz w:val="18"/>
                <w:szCs w:val="18"/>
                <w:color w:val="auto"/>
              </w:rPr>
              <w:t>Customer advances and deferred income</w:t>
            </w:r>
          </w:p>
        </w:tc>
        <w:tc>
          <w:tcPr>
            <w:tcW w:w="900" w:type="dxa"/>
            <w:vAlign w:val="bottom"/>
            <w:shd w:val="clear" w:color="auto" w:fill="DDDDDD"/>
          </w:tcPr>
          <w:p>
            <w:pPr>
              <w:jc w:val="right"/>
              <w:ind w:right="69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2,932</w:t>
            </w:r>
          </w:p>
        </w:tc>
        <w:tc>
          <w:tcPr>
            <w:tcW w:w="120" w:type="dxa"/>
            <w:vAlign w:val="bottom"/>
            <w:shd w:val="clear" w:color="auto" w:fill="DDDDDD"/>
          </w:tcPr>
          <w:p>
            <w:pPr>
              <w:spacing w:after="0"/>
              <w:rPr>
                <w:sz w:val="19"/>
                <w:szCs w:val="19"/>
                <w:color w:val="auto"/>
              </w:rPr>
            </w:pPr>
          </w:p>
        </w:tc>
        <w:tc>
          <w:tcPr>
            <w:tcW w:w="480" w:type="dxa"/>
            <w:vAlign w:val="bottom"/>
            <w:shd w:val="clear" w:color="auto" w:fill="DDDDDD"/>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2,490</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Compensation, benefit and other employee related</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1,244</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1,551</w:t>
            </w:r>
          </w:p>
        </w:tc>
      </w:tr>
      <w:tr>
        <w:trPr>
          <w:trHeight w:val="229"/>
        </w:trPr>
        <w:tc>
          <w:tcPr>
            <w:tcW w:w="8240" w:type="dxa"/>
            <w:vAlign w:val="bottom"/>
            <w:shd w:val="clear" w:color="auto" w:fill="DDDDDD"/>
          </w:tcPr>
          <w:p>
            <w:pPr>
              <w:ind w:left="20"/>
              <w:spacing w:after="0"/>
              <w:rPr>
                <w:sz w:val="20"/>
                <w:szCs w:val="20"/>
                <w:color w:val="auto"/>
              </w:rPr>
            </w:pPr>
            <w:r>
              <w:rPr>
                <w:rFonts w:ascii="Arial" w:cs="Arial" w:eastAsia="Arial" w:hAnsi="Arial"/>
                <w:sz w:val="18"/>
                <w:szCs w:val="18"/>
                <w:color w:val="auto"/>
              </w:rPr>
              <w:t>Repositioning</w:t>
            </w:r>
          </w:p>
        </w:tc>
        <w:tc>
          <w:tcPr>
            <w:tcW w:w="900" w:type="dxa"/>
            <w:vAlign w:val="bottom"/>
            <w:shd w:val="clear" w:color="auto" w:fill="DDDDDD"/>
          </w:tcPr>
          <w:p>
            <w:pPr>
              <w:spacing w:after="0"/>
              <w:rPr>
                <w:sz w:val="19"/>
                <w:szCs w:val="19"/>
                <w:color w:val="auto"/>
              </w:rPr>
            </w:pPr>
          </w:p>
        </w:tc>
        <w:tc>
          <w:tcPr>
            <w:tcW w:w="5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601</w:t>
            </w:r>
          </w:p>
        </w:tc>
        <w:tc>
          <w:tcPr>
            <w:tcW w:w="120" w:type="dxa"/>
            <w:vAlign w:val="bottom"/>
            <w:shd w:val="clear" w:color="auto" w:fill="DDDDDD"/>
          </w:tcPr>
          <w:p>
            <w:pPr>
              <w:spacing w:after="0"/>
              <w:rPr>
                <w:sz w:val="19"/>
                <w:szCs w:val="19"/>
                <w:color w:val="auto"/>
              </w:rPr>
            </w:pPr>
          </w:p>
        </w:tc>
        <w:tc>
          <w:tcPr>
            <w:tcW w:w="480" w:type="dxa"/>
            <w:vAlign w:val="bottom"/>
            <w:shd w:val="clear" w:color="auto" w:fill="DDDDDD"/>
          </w:tcPr>
          <w:p>
            <w:pPr>
              <w:spacing w:after="0"/>
              <w:rPr>
                <w:sz w:val="19"/>
                <w:szCs w:val="19"/>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640</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Asbestos related liabilities</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361</w:t>
            </w:r>
          </w:p>
        </w:tc>
      </w:tr>
      <w:tr>
        <w:trPr>
          <w:trHeight w:val="229"/>
        </w:trPr>
        <w:tc>
          <w:tcPr>
            <w:tcW w:w="8240" w:type="dxa"/>
            <w:vAlign w:val="bottom"/>
            <w:shd w:val="clear" w:color="auto" w:fill="DDDDDD"/>
          </w:tcPr>
          <w:p>
            <w:pPr>
              <w:ind w:left="20"/>
              <w:spacing w:after="0"/>
              <w:rPr>
                <w:sz w:val="20"/>
                <w:szCs w:val="20"/>
                <w:color w:val="auto"/>
              </w:rPr>
            </w:pPr>
            <w:r>
              <w:rPr>
                <w:rFonts w:ascii="Arial" w:cs="Arial" w:eastAsia="Arial" w:hAnsi="Arial"/>
                <w:sz w:val="18"/>
                <w:szCs w:val="18"/>
                <w:color w:val="auto"/>
              </w:rPr>
              <w:t>Income taxes</w:t>
            </w:r>
          </w:p>
        </w:tc>
        <w:tc>
          <w:tcPr>
            <w:tcW w:w="900" w:type="dxa"/>
            <w:vAlign w:val="bottom"/>
            <w:shd w:val="clear" w:color="auto" w:fill="DDDDDD"/>
          </w:tcPr>
          <w:p>
            <w:pPr>
              <w:spacing w:after="0"/>
              <w:rPr>
                <w:sz w:val="19"/>
                <w:szCs w:val="19"/>
                <w:color w:val="auto"/>
              </w:rPr>
            </w:pPr>
          </w:p>
        </w:tc>
        <w:tc>
          <w:tcPr>
            <w:tcW w:w="5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307</w:t>
            </w:r>
          </w:p>
        </w:tc>
        <w:tc>
          <w:tcPr>
            <w:tcW w:w="120" w:type="dxa"/>
            <w:vAlign w:val="bottom"/>
            <w:shd w:val="clear" w:color="auto" w:fill="DDDDDD"/>
          </w:tcPr>
          <w:p>
            <w:pPr>
              <w:spacing w:after="0"/>
              <w:rPr>
                <w:sz w:val="19"/>
                <w:szCs w:val="19"/>
                <w:color w:val="auto"/>
              </w:rPr>
            </w:pPr>
          </w:p>
        </w:tc>
        <w:tc>
          <w:tcPr>
            <w:tcW w:w="480" w:type="dxa"/>
            <w:vAlign w:val="bottom"/>
            <w:shd w:val="clear" w:color="auto" w:fill="DDDDDD"/>
          </w:tcPr>
          <w:p>
            <w:pPr>
              <w:spacing w:after="0"/>
              <w:rPr>
                <w:sz w:val="19"/>
                <w:szCs w:val="19"/>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253</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Other taxes</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239</w:t>
            </w:r>
          </w:p>
        </w:tc>
      </w:tr>
      <w:tr>
        <w:trPr>
          <w:trHeight w:val="229"/>
        </w:trPr>
        <w:tc>
          <w:tcPr>
            <w:tcW w:w="8240" w:type="dxa"/>
            <w:vAlign w:val="bottom"/>
            <w:shd w:val="clear" w:color="auto" w:fill="DDDDDD"/>
          </w:tcPr>
          <w:p>
            <w:pPr>
              <w:ind w:left="20"/>
              <w:spacing w:after="0"/>
              <w:rPr>
                <w:sz w:val="20"/>
                <w:szCs w:val="20"/>
                <w:color w:val="auto"/>
              </w:rPr>
            </w:pPr>
            <w:r>
              <w:rPr>
                <w:rFonts w:ascii="Arial" w:cs="Arial" w:eastAsia="Arial" w:hAnsi="Arial"/>
                <w:sz w:val="18"/>
                <w:szCs w:val="18"/>
                <w:color w:val="auto"/>
              </w:rPr>
              <w:t>Environmental costs</w:t>
            </w:r>
          </w:p>
        </w:tc>
        <w:tc>
          <w:tcPr>
            <w:tcW w:w="900" w:type="dxa"/>
            <w:vAlign w:val="bottom"/>
            <w:shd w:val="clear" w:color="auto" w:fill="DDDDDD"/>
          </w:tcPr>
          <w:p>
            <w:pPr>
              <w:spacing w:after="0"/>
              <w:rPr>
                <w:sz w:val="19"/>
                <w:szCs w:val="19"/>
                <w:color w:val="auto"/>
              </w:rPr>
            </w:pPr>
          </w:p>
        </w:tc>
        <w:tc>
          <w:tcPr>
            <w:tcW w:w="5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225</w:t>
            </w:r>
          </w:p>
        </w:tc>
        <w:tc>
          <w:tcPr>
            <w:tcW w:w="120" w:type="dxa"/>
            <w:vAlign w:val="bottom"/>
            <w:shd w:val="clear" w:color="auto" w:fill="DDDDDD"/>
          </w:tcPr>
          <w:p>
            <w:pPr>
              <w:spacing w:after="0"/>
              <w:rPr>
                <w:sz w:val="19"/>
                <w:szCs w:val="19"/>
                <w:color w:val="auto"/>
              </w:rPr>
            </w:pPr>
          </w:p>
        </w:tc>
        <w:tc>
          <w:tcPr>
            <w:tcW w:w="480" w:type="dxa"/>
            <w:vAlign w:val="bottom"/>
            <w:shd w:val="clear" w:color="auto" w:fill="DDDDDD"/>
          </w:tcPr>
          <w:p>
            <w:pPr>
              <w:spacing w:after="0"/>
              <w:rPr>
                <w:sz w:val="19"/>
                <w:szCs w:val="19"/>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222</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171</w:t>
            </w:r>
          </w:p>
        </w:tc>
      </w:tr>
      <w:tr>
        <w:trPr>
          <w:trHeight w:val="230"/>
        </w:trPr>
        <w:tc>
          <w:tcPr>
            <w:tcW w:w="8240" w:type="dxa"/>
            <w:vAlign w:val="bottom"/>
            <w:shd w:val="clear" w:color="auto" w:fill="DDDDDD"/>
          </w:tcPr>
          <w:p>
            <w:pPr>
              <w:ind w:left="20"/>
              <w:spacing w:after="0"/>
              <w:rPr>
                <w:sz w:val="20"/>
                <w:szCs w:val="20"/>
                <w:color w:val="auto"/>
              </w:rPr>
            </w:pPr>
            <w:r>
              <w:rPr>
                <w:rFonts w:ascii="Arial" w:cs="Arial" w:eastAsia="Arial" w:hAnsi="Arial"/>
                <w:sz w:val="18"/>
                <w:szCs w:val="18"/>
                <w:color w:val="auto"/>
              </w:rPr>
              <w:t>Product warranties and performance guarantees</w:t>
            </w:r>
          </w:p>
        </w:tc>
        <w:tc>
          <w:tcPr>
            <w:tcW w:w="900" w:type="dxa"/>
            <w:vAlign w:val="bottom"/>
            <w:shd w:val="clear" w:color="auto" w:fill="DDDDDD"/>
          </w:tcPr>
          <w:p>
            <w:pPr>
              <w:spacing w:after="0"/>
              <w:rPr>
                <w:sz w:val="19"/>
                <w:szCs w:val="19"/>
                <w:color w:val="auto"/>
              </w:rPr>
            </w:pPr>
          </w:p>
        </w:tc>
        <w:tc>
          <w:tcPr>
            <w:tcW w:w="5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183</w:t>
            </w:r>
          </w:p>
        </w:tc>
        <w:tc>
          <w:tcPr>
            <w:tcW w:w="120" w:type="dxa"/>
            <w:vAlign w:val="bottom"/>
            <w:shd w:val="clear" w:color="auto" w:fill="DDDDDD"/>
          </w:tcPr>
          <w:p>
            <w:pPr>
              <w:spacing w:after="0"/>
              <w:rPr>
                <w:sz w:val="19"/>
                <w:szCs w:val="19"/>
                <w:color w:val="auto"/>
              </w:rPr>
            </w:pPr>
          </w:p>
        </w:tc>
        <w:tc>
          <w:tcPr>
            <w:tcW w:w="480" w:type="dxa"/>
            <w:vAlign w:val="bottom"/>
            <w:shd w:val="clear" w:color="auto" w:fill="DDDDDD"/>
          </w:tcPr>
          <w:p>
            <w:pPr>
              <w:spacing w:after="0"/>
              <w:rPr>
                <w:sz w:val="19"/>
                <w:szCs w:val="19"/>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213</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Insurance</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29"/>
        </w:trPr>
        <w:tc>
          <w:tcPr>
            <w:tcW w:w="8240" w:type="dxa"/>
            <w:vAlign w:val="bottom"/>
            <w:shd w:val="clear" w:color="auto" w:fill="DDDDDD"/>
          </w:tcPr>
          <w:p>
            <w:pPr>
              <w:ind w:left="20"/>
              <w:spacing w:after="0"/>
              <w:rPr>
                <w:sz w:val="20"/>
                <w:szCs w:val="20"/>
                <w:color w:val="auto"/>
              </w:rPr>
            </w:pPr>
            <w:r>
              <w:rPr>
                <w:rFonts w:ascii="Arial" w:cs="Arial" w:eastAsia="Arial" w:hAnsi="Arial"/>
                <w:sz w:val="18"/>
                <w:szCs w:val="18"/>
                <w:color w:val="auto"/>
              </w:rPr>
              <w:t>Accrued interest</w:t>
            </w:r>
          </w:p>
        </w:tc>
        <w:tc>
          <w:tcPr>
            <w:tcW w:w="900" w:type="dxa"/>
            <w:vAlign w:val="bottom"/>
            <w:shd w:val="clear" w:color="auto" w:fill="DDDDDD"/>
          </w:tcPr>
          <w:p>
            <w:pPr>
              <w:spacing w:after="0"/>
              <w:rPr>
                <w:sz w:val="19"/>
                <w:szCs w:val="19"/>
                <w:color w:val="auto"/>
              </w:rPr>
            </w:pPr>
          </w:p>
        </w:tc>
        <w:tc>
          <w:tcPr>
            <w:tcW w:w="5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DDDDDD"/>
          </w:tcPr>
          <w:p>
            <w:pPr>
              <w:spacing w:after="0"/>
              <w:rPr>
                <w:sz w:val="19"/>
                <w:szCs w:val="19"/>
                <w:color w:val="auto"/>
              </w:rPr>
            </w:pPr>
          </w:p>
        </w:tc>
        <w:tc>
          <w:tcPr>
            <w:tcW w:w="480" w:type="dxa"/>
            <w:vAlign w:val="bottom"/>
            <w:shd w:val="clear" w:color="auto" w:fill="DDDDDD"/>
          </w:tcPr>
          <w:p>
            <w:pPr>
              <w:spacing w:after="0"/>
              <w:rPr>
                <w:sz w:val="19"/>
                <w:szCs w:val="19"/>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91</w:t>
            </w:r>
          </w:p>
        </w:tc>
      </w:tr>
      <w:tr>
        <w:trPr>
          <w:trHeight w:val="230"/>
        </w:trPr>
        <w:tc>
          <w:tcPr>
            <w:tcW w:w="8240" w:type="dxa"/>
            <w:vAlign w:val="bottom"/>
            <w:tcBorders>
              <w:bottom w:val="single" w:sz="8" w:color="DDDDDD"/>
            </w:tcBorders>
          </w:tcPr>
          <w:p>
            <w:pPr>
              <w:ind w:left="20"/>
              <w:spacing w:after="0"/>
              <w:rPr>
                <w:sz w:val="20"/>
                <w:szCs w:val="20"/>
                <w:color w:val="auto"/>
              </w:rPr>
            </w:pPr>
            <w:r>
              <w:rPr>
                <w:rFonts w:ascii="Arial" w:cs="Arial" w:eastAsia="Arial" w:hAnsi="Arial"/>
                <w:sz w:val="18"/>
                <w:szCs w:val="18"/>
                <w:color w:val="auto"/>
              </w:rPr>
              <w:t>Other (primarily operating expenses)</w:t>
            </w:r>
          </w:p>
        </w:tc>
        <w:tc>
          <w:tcPr>
            <w:tcW w:w="9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w:t>
            </w:r>
          </w:p>
        </w:tc>
        <w:tc>
          <w:tcPr>
            <w:tcW w:w="120" w:type="dxa"/>
            <w:vAlign w:val="bottom"/>
            <w:tcBorders>
              <w:bottom w:val="single" w:sz="8" w:color="DDDDDD"/>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1,102</w:t>
            </w:r>
          </w:p>
        </w:tc>
      </w:tr>
      <w:tr>
        <w:trPr>
          <w:trHeight w:val="248"/>
        </w:trPr>
        <w:tc>
          <w:tcPr>
            <w:tcW w:w="8240" w:type="dxa"/>
            <w:vAlign w:val="bottom"/>
            <w:tcBorders>
              <w:bottom w:val="single" w:sz="8" w:color="DDDDDD"/>
            </w:tcBorders>
            <w:shd w:val="clear" w:color="auto" w:fill="DDDDDD"/>
          </w:tcPr>
          <w:p>
            <w:pPr>
              <w:spacing w:after="0"/>
              <w:rPr>
                <w:sz w:val="21"/>
                <w:szCs w:val="21"/>
                <w:color w:val="auto"/>
              </w:rPr>
            </w:pPr>
          </w:p>
        </w:tc>
        <w:tc>
          <w:tcPr>
            <w:tcW w:w="900" w:type="dxa"/>
            <w:vAlign w:val="bottom"/>
            <w:tcBorders>
              <w:bottom w:val="single" w:sz="8" w:color="auto"/>
            </w:tcBorders>
            <w:shd w:val="clear" w:color="auto" w:fill="DDDDDD"/>
          </w:tcPr>
          <w:p>
            <w:pPr>
              <w:jc w:val="right"/>
              <w:ind w:right="69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7,405</w:t>
            </w:r>
          </w:p>
        </w:tc>
        <w:tc>
          <w:tcPr>
            <w:tcW w:w="120" w:type="dxa"/>
            <w:vAlign w:val="bottom"/>
            <w:tcBorders>
              <w:bottom w:val="single" w:sz="8" w:color="DDDDDD"/>
            </w:tcBorders>
            <w:shd w:val="clear" w:color="auto" w:fill="DDDDDD"/>
          </w:tcPr>
          <w:p>
            <w:pPr>
              <w:spacing w:after="0"/>
              <w:rPr>
                <w:sz w:val="21"/>
                <w:szCs w:val="21"/>
                <w:color w:val="auto"/>
              </w:rPr>
            </w:pPr>
          </w:p>
        </w:tc>
        <w:tc>
          <w:tcPr>
            <w:tcW w:w="480" w:type="dxa"/>
            <w:vAlign w:val="bottom"/>
            <w:tcBorders>
              <w:bottom w:val="single" w:sz="8" w:color="auto"/>
            </w:tcBorders>
            <w:shd w:val="clear" w:color="auto" w:fill="DDDDDD"/>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7,476</w:t>
            </w:r>
          </w:p>
        </w:tc>
      </w:tr>
      <w:tr>
        <w:trPr>
          <w:trHeight w:val="20"/>
        </w:trPr>
        <w:tc>
          <w:tcPr>
            <w:tcW w:w="8240" w:type="dxa"/>
            <w:vAlign w:val="bottom"/>
            <w:tcBorders>
              <w:top w:val="single" w:sz="8" w:color="DDDDDD"/>
            </w:tcBorders>
          </w:tcPr>
          <w:p>
            <w:pPr>
              <w:spacing w:after="0" w:line="20" w:lineRule="exact"/>
              <w:rPr>
                <w:sz w:val="1"/>
                <w:szCs w:val="1"/>
                <w:color w:val="auto"/>
              </w:rPr>
            </w:pPr>
          </w:p>
        </w:tc>
        <w:tc>
          <w:tcPr>
            <w:tcW w:w="900" w:type="dxa"/>
            <w:vAlign w:val="bottom"/>
            <w:tcBorders>
              <w:top w:val="single" w:sz="8" w:color="DDDDDD"/>
              <w:bottom w:val="single" w:sz="8" w:color="auto"/>
            </w:tcBorders>
          </w:tcPr>
          <w:p>
            <w:pPr>
              <w:spacing w:after="0" w:line="20" w:lineRule="exact"/>
              <w:rPr>
                <w:sz w:val="1"/>
                <w:szCs w:val="1"/>
                <w:color w:val="auto"/>
              </w:rPr>
            </w:pPr>
          </w:p>
        </w:tc>
        <w:tc>
          <w:tcPr>
            <w:tcW w:w="540" w:type="dxa"/>
            <w:vAlign w:val="bottom"/>
            <w:tcBorders>
              <w:top w:val="single" w:sz="8" w:color="DDDDDD"/>
              <w:bottom w:val="single" w:sz="8" w:color="auto"/>
            </w:tcBorders>
          </w:tcPr>
          <w:p>
            <w:pPr>
              <w:spacing w:after="0" w:line="20" w:lineRule="exact"/>
              <w:rPr>
                <w:sz w:val="1"/>
                <w:szCs w:val="1"/>
                <w:color w:val="auto"/>
              </w:rPr>
            </w:pPr>
          </w:p>
        </w:tc>
        <w:tc>
          <w:tcPr>
            <w:tcW w:w="120" w:type="dxa"/>
            <w:vAlign w:val="bottom"/>
            <w:tcBorders>
              <w:top w:val="single" w:sz="8" w:color="DDDDDD"/>
            </w:tcBorders>
          </w:tcPr>
          <w:p>
            <w:pPr>
              <w:spacing w:after="0" w:line="20" w:lineRule="exact"/>
              <w:rPr>
                <w:sz w:val="1"/>
                <w:szCs w:val="1"/>
                <w:color w:val="auto"/>
              </w:rPr>
            </w:pPr>
          </w:p>
        </w:tc>
        <w:tc>
          <w:tcPr>
            <w:tcW w:w="480" w:type="dxa"/>
            <w:vAlign w:val="bottom"/>
            <w:tcBorders>
              <w:top w:val="single" w:sz="8" w:color="DDDDDD"/>
              <w:bottom w:val="single" w:sz="8" w:color="auto"/>
            </w:tcBorders>
          </w:tcPr>
          <w:p>
            <w:pPr>
              <w:spacing w:after="0" w:line="20" w:lineRule="exact"/>
              <w:rPr>
                <w:sz w:val="1"/>
                <w:szCs w:val="1"/>
                <w:color w:val="auto"/>
              </w:rPr>
            </w:pPr>
          </w:p>
        </w:tc>
        <w:tc>
          <w:tcPr>
            <w:tcW w:w="960" w:type="dxa"/>
            <w:vAlign w:val="bottom"/>
            <w:tcBorders>
              <w:top w:val="single" w:sz="8" w:color="DDDDDD"/>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9"/>
          <w:szCs w:val="29"/>
          <w:b w:val="1"/>
          <w:bCs w:val="1"/>
          <w:color w:val="DC202E"/>
        </w:rPr>
        <w:t>NOTE 15. OTHER LIABILITIES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240" w:type="dxa"/>
            <w:vAlign w:val="bottom"/>
          </w:tcPr>
          <w:p>
            <w:pPr>
              <w:spacing w:after="0"/>
              <w:rPr>
                <w:sz w:val="17"/>
                <w:szCs w:val="17"/>
                <w:color w:val="auto"/>
              </w:rPr>
            </w:pPr>
          </w:p>
        </w:tc>
        <w:tc>
          <w:tcPr>
            <w:tcW w:w="900" w:type="dxa"/>
            <w:vAlign w:val="bottom"/>
            <w:tcBorders>
              <w:bottom w:val="single" w:sz="8" w:color="DC202E"/>
            </w:tcBorders>
          </w:tcPr>
          <w:p>
            <w:pPr>
              <w:spacing w:after="0"/>
              <w:rPr>
                <w:sz w:val="17"/>
                <w:szCs w:val="17"/>
                <w:color w:val="auto"/>
              </w:rPr>
            </w:pPr>
          </w:p>
        </w:tc>
        <w:tc>
          <w:tcPr>
            <w:tcW w:w="1140" w:type="dxa"/>
            <w:vAlign w:val="bottom"/>
            <w:tcBorders>
              <w:bottom w:val="single" w:sz="8" w:color="DC202E"/>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DC202E"/>
            </w:tcBorders>
          </w:tcPr>
          <w:p>
            <w:pPr>
              <w:spacing w:after="0"/>
              <w:rPr>
                <w:sz w:val="17"/>
                <w:szCs w:val="17"/>
                <w:color w:val="auto"/>
              </w:rPr>
            </w:pPr>
          </w:p>
        </w:tc>
      </w:tr>
      <w:tr>
        <w:trPr>
          <w:trHeight w:val="250"/>
        </w:trPr>
        <w:tc>
          <w:tcPr>
            <w:tcW w:w="8240" w:type="dxa"/>
            <w:vAlign w:val="bottom"/>
            <w:tcBorders>
              <w:bottom w:val="single" w:sz="8" w:color="DDDDDD"/>
            </w:tcBorders>
          </w:tcPr>
          <w:p>
            <w:pPr>
              <w:spacing w:after="0"/>
              <w:rPr>
                <w:sz w:val="21"/>
                <w:szCs w:val="21"/>
                <w:color w:val="auto"/>
              </w:rPr>
            </w:pPr>
          </w:p>
        </w:tc>
        <w:tc>
          <w:tcPr>
            <w:tcW w:w="90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DC202E"/>
            </w:tcBorders>
          </w:tcPr>
          <w:p>
            <w:pPr>
              <w:spacing w:after="0"/>
              <w:rPr>
                <w:sz w:val="21"/>
                <w:szCs w:val="21"/>
                <w:color w:val="auto"/>
              </w:rPr>
            </w:pPr>
          </w:p>
        </w:tc>
        <w:tc>
          <w:tcPr>
            <w:tcW w:w="120" w:type="dxa"/>
            <w:vAlign w:val="bottom"/>
            <w:tcBorders>
              <w:bottom w:val="single" w:sz="8" w:color="DDDDDD"/>
            </w:tcBorders>
          </w:tcPr>
          <w:p>
            <w:pPr>
              <w:spacing w:after="0"/>
              <w:rPr>
                <w:sz w:val="21"/>
                <w:szCs w:val="21"/>
                <w:color w:val="auto"/>
              </w:rPr>
            </w:pPr>
          </w:p>
        </w:tc>
        <w:tc>
          <w:tcPr>
            <w:tcW w:w="480" w:type="dxa"/>
            <w:vAlign w:val="bottom"/>
            <w:tcBorders>
              <w:bottom w:val="single" w:sz="8" w:color="DC202E"/>
            </w:tcBorders>
          </w:tcPr>
          <w:p>
            <w:pPr>
              <w:spacing w:after="0"/>
              <w:rPr>
                <w:sz w:val="21"/>
                <w:szCs w:val="21"/>
                <w:color w:val="auto"/>
              </w:rPr>
            </w:pPr>
          </w:p>
        </w:tc>
        <w:tc>
          <w:tcPr>
            <w:tcW w:w="960" w:type="dxa"/>
            <w:vAlign w:val="bottom"/>
            <w:tcBorders>
              <w:bottom w:val="single" w:sz="8" w:color="DC202E"/>
            </w:tcBorders>
          </w:tcPr>
          <w:p>
            <w:pPr>
              <w:jc w:val="right"/>
              <w:ind w:right="472"/>
              <w:spacing w:after="0"/>
              <w:rPr>
                <w:sz w:val="20"/>
                <w:szCs w:val="20"/>
                <w:color w:val="auto"/>
              </w:rPr>
            </w:pPr>
            <w:r>
              <w:rPr>
                <w:rFonts w:ascii="Arial" w:cs="Arial" w:eastAsia="Arial" w:hAnsi="Arial"/>
                <w:sz w:val="14"/>
                <w:szCs w:val="14"/>
                <w:b w:val="1"/>
                <w:bCs w:val="1"/>
                <w:color w:val="auto"/>
              </w:rPr>
              <w:t>2019</w:t>
            </w:r>
          </w:p>
        </w:tc>
      </w:tr>
      <w:tr>
        <w:trPr>
          <w:trHeight w:val="230"/>
        </w:trPr>
        <w:tc>
          <w:tcPr>
            <w:tcW w:w="8240" w:type="dxa"/>
            <w:vAlign w:val="bottom"/>
            <w:shd w:val="clear" w:color="auto" w:fill="DDDDDD"/>
          </w:tcPr>
          <w:p>
            <w:pPr>
              <w:ind w:left="20"/>
              <w:spacing w:after="0"/>
              <w:rPr>
                <w:sz w:val="20"/>
                <w:szCs w:val="20"/>
                <w:color w:val="auto"/>
              </w:rPr>
            </w:pPr>
            <w:r>
              <w:rPr>
                <w:rFonts w:ascii="Arial" w:cs="Arial" w:eastAsia="Arial" w:hAnsi="Arial"/>
                <w:sz w:val="18"/>
                <w:szCs w:val="18"/>
                <w:color w:val="auto"/>
              </w:rPr>
              <w:t>Income taxes</w:t>
            </w:r>
          </w:p>
        </w:tc>
        <w:tc>
          <w:tcPr>
            <w:tcW w:w="900" w:type="dxa"/>
            <w:vAlign w:val="bottom"/>
            <w:shd w:val="clear" w:color="auto" w:fill="DDDDDD"/>
          </w:tcPr>
          <w:p>
            <w:pPr>
              <w:jc w:val="right"/>
              <w:ind w:right="69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2,009</w:t>
            </w:r>
          </w:p>
        </w:tc>
        <w:tc>
          <w:tcPr>
            <w:tcW w:w="120" w:type="dxa"/>
            <w:vAlign w:val="bottom"/>
            <w:shd w:val="clear" w:color="auto" w:fill="DDDDDD"/>
          </w:tcPr>
          <w:p>
            <w:pPr>
              <w:spacing w:after="0"/>
              <w:rPr>
                <w:sz w:val="19"/>
                <w:szCs w:val="19"/>
                <w:color w:val="auto"/>
              </w:rPr>
            </w:pPr>
          </w:p>
        </w:tc>
        <w:tc>
          <w:tcPr>
            <w:tcW w:w="480" w:type="dxa"/>
            <w:vAlign w:val="bottom"/>
            <w:shd w:val="clear" w:color="auto" w:fill="DDDDDD"/>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2,115</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Pension and other employee related</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1,923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1,873</w:t>
            </w:r>
          </w:p>
        </w:tc>
      </w:tr>
      <w:tr>
        <w:trPr>
          <w:trHeight w:val="230"/>
        </w:trPr>
        <w:tc>
          <w:tcPr>
            <w:tcW w:w="8240" w:type="dxa"/>
            <w:vAlign w:val="bottom"/>
            <w:shd w:val="clear" w:color="auto" w:fill="DDDDDD"/>
          </w:tcPr>
          <w:p>
            <w:pPr>
              <w:ind w:left="20"/>
              <w:spacing w:after="0"/>
              <w:rPr>
                <w:sz w:val="20"/>
                <w:szCs w:val="20"/>
                <w:color w:val="auto"/>
              </w:rPr>
            </w:pPr>
            <w:r>
              <w:rPr>
                <w:rFonts w:ascii="Arial" w:cs="Arial" w:eastAsia="Arial" w:hAnsi="Arial"/>
                <w:sz w:val="18"/>
                <w:szCs w:val="18"/>
                <w:color w:val="auto"/>
              </w:rPr>
              <w:t>Deferred income</w:t>
            </w:r>
          </w:p>
        </w:tc>
        <w:tc>
          <w:tcPr>
            <w:tcW w:w="900" w:type="dxa"/>
            <w:vAlign w:val="bottom"/>
            <w:shd w:val="clear" w:color="auto" w:fill="DDDDDD"/>
          </w:tcPr>
          <w:p>
            <w:pPr>
              <w:spacing w:after="0"/>
              <w:rPr>
                <w:sz w:val="19"/>
                <w:szCs w:val="19"/>
                <w:color w:val="auto"/>
              </w:rPr>
            </w:pPr>
          </w:p>
        </w:tc>
        <w:tc>
          <w:tcPr>
            <w:tcW w:w="5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1,356</w:t>
            </w:r>
          </w:p>
        </w:tc>
        <w:tc>
          <w:tcPr>
            <w:tcW w:w="120" w:type="dxa"/>
            <w:vAlign w:val="bottom"/>
            <w:shd w:val="clear" w:color="auto" w:fill="DDDDDD"/>
          </w:tcPr>
          <w:p>
            <w:pPr>
              <w:spacing w:after="0"/>
              <w:rPr>
                <w:sz w:val="19"/>
                <w:szCs w:val="19"/>
                <w:color w:val="auto"/>
              </w:rPr>
            </w:pPr>
          </w:p>
        </w:tc>
        <w:tc>
          <w:tcPr>
            <w:tcW w:w="480" w:type="dxa"/>
            <w:vAlign w:val="bottom"/>
            <w:shd w:val="clear" w:color="auto" w:fill="DDDDDD"/>
          </w:tcPr>
          <w:p>
            <w:pPr>
              <w:spacing w:after="0"/>
              <w:rPr>
                <w:sz w:val="19"/>
                <w:szCs w:val="19"/>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1,310</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641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534</w:t>
            </w:r>
          </w:p>
        </w:tc>
      </w:tr>
      <w:tr>
        <w:trPr>
          <w:trHeight w:val="230"/>
        </w:trPr>
        <w:tc>
          <w:tcPr>
            <w:tcW w:w="8240" w:type="dxa"/>
            <w:vAlign w:val="bottom"/>
            <w:shd w:val="clear" w:color="auto" w:fill="DDDDDD"/>
          </w:tcPr>
          <w:p>
            <w:pPr>
              <w:ind w:left="20"/>
              <w:spacing w:after="0"/>
              <w:rPr>
                <w:sz w:val="20"/>
                <w:szCs w:val="20"/>
                <w:color w:val="auto"/>
              </w:rPr>
            </w:pPr>
            <w:r>
              <w:rPr>
                <w:rFonts w:ascii="Arial" w:cs="Arial" w:eastAsia="Arial" w:hAnsi="Arial"/>
                <w:sz w:val="18"/>
                <w:szCs w:val="18"/>
                <w:color w:val="auto"/>
              </w:rPr>
              <w:t>Environmental</w:t>
            </w:r>
          </w:p>
        </w:tc>
        <w:tc>
          <w:tcPr>
            <w:tcW w:w="900" w:type="dxa"/>
            <w:vAlign w:val="bottom"/>
            <w:shd w:val="clear" w:color="auto" w:fill="DDDDDD"/>
          </w:tcPr>
          <w:p>
            <w:pPr>
              <w:spacing w:after="0"/>
              <w:rPr>
                <w:sz w:val="19"/>
                <w:szCs w:val="19"/>
                <w:color w:val="auto"/>
              </w:rPr>
            </w:pPr>
          </w:p>
        </w:tc>
        <w:tc>
          <w:tcPr>
            <w:tcW w:w="5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435</w:t>
            </w:r>
          </w:p>
        </w:tc>
        <w:tc>
          <w:tcPr>
            <w:tcW w:w="120" w:type="dxa"/>
            <w:vAlign w:val="bottom"/>
            <w:shd w:val="clear" w:color="auto" w:fill="DDDDDD"/>
          </w:tcPr>
          <w:p>
            <w:pPr>
              <w:spacing w:after="0"/>
              <w:rPr>
                <w:sz w:val="19"/>
                <w:szCs w:val="19"/>
                <w:color w:val="auto"/>
              </w:rPr>
            </w:pPr>
          </w:p>
        </w:tc>
        <w:tc>
          <w:tcPr>
            <w:tcW w:w="480" w:type="dxa"/>
            <w:vAlign w:val="bottom"/>
            <w:shd w:val="clear" w:color="auto" w:fill="DDDDDD"/>
          </w:tcPr>
          <w:p>
            <w:pPr>
              <w:spacing w:after="0"/>
              <w:rPr>
                <w:sz w:val="19"/>
                <w:szCs w:val="19"/>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487</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Insurance</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247</w:t>
            </w:r>
          </w:p>
        </w:tc>
      </w:tr>
      <w:tr>
        <w:trPr>
          <w:trHeight w:val="229"/>
        </w:trPr>
        <w:tc>
          <w:tcPr>
            <w:tcW w:w="8240" w:type="dxa"/>
            <w:vAlign w:val="bottom"/>
            <w:shd w:val="clear" w:color="auto" w:fill="DDDDDD"/>
          </w:tcPr>
          <w:p>
            <w:pPr>
              <w:ind w:left="20"/>
              <w:spacing w:after="0"/>
              <w:rPr>
                <w:sz w:val="20"/>
                <w:szCs w:val="20"/>
                <w:color w:val="auto"/>
              </w:rPr>
            </w:pPr>
            <w:r>
              <w:rPr>
                <w:rFonts w:ascii="Arial" w:cs="Arial" w:eastAsia="Arial" w:hAnsi="Arial"/>
                <w:sz w:val="18"/>
                <w:szCs w:val="18"/>
                <w:color w:val="auto"/>
              </w:rPr>
              <w:t>Product warranties and performance guarantees</w:t>
            </w:r>
          </w:p>
        </w:tc>
        <w:tc>
          <w:tcPr>
            <w:tcW w:w="900" w:type="dxa"/>
            <w:vAlign w:val="bottom"/>
            <w:shd w:val="clear" w:color="auto" w:fill="DDDDDD"/>
          </w:tcPr>
          <w:p>
            <w:pPr>
              <w:spacing w:after="0"/>
              <w:rPr>
                <w:sz w:val="19"/>
                <w:szCs w:val="19"/>
                <w:color w:val="auto"/>
              </w:rPr>
            </w:pPr>
          </w:p>
        </w:tc>
        <w:tc>
          <w:tcPr>
            <w:tcW w:w="5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DDDDDD"/>
          </w:tcPr>
          <w:p>
            <w:pPr>
              <w:spacing w:after="0"/>
              <w:rPr>
                <w:sz w:val="19"/>
                <w:szCs w:val="19"/>
                <w:color w:val="auto"/>
              </w:rPr>
            </w:pPr>
          </w:p>
        </w:tc>
        <w:tc>
          <w:tcPr>
            <w:tcW w:w="480" w:type="dxa"/>
            <w:vAlign w:val="bottom"/>
            <w:shd w:val="clear" w:color="auto" w:fill="DDDDDD"/>
          </w:tcPr>
          <w:p>
            <w:pPr>
              <w:spacing w:after="0"/>
              <w:rPr>
                <w:sz w:val="19"/>
                <w:szCs w:val="19"/>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Asset retirement obligations</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8240" w:type="dxa"/>
            <w:vAlign w:val="bottom"/>
            <w:shd w:val="clear" w:color="auto" w:fill="DDDDDD"/>
          </w:tcPr>
          <w:p>
            <w:pPr>
              <w:ind w:left="20"/>
              <w:spacing w:after="0"/>
              <w:rPr>
                <w:sz w:val="20"/>
                <w:szCs w:val="20"/>
                <w:color w:val="auto"/>
              </w:rPr>
            </w:pPr>
            <w:r>
              <w:rPr>
                <w:rFonts w:ascii="Arial" w:cs="Arial" w:eastAsia="Arial" w:hAnsi="Arial"/>
                <w:sz w:val="18"/>
                <w:szCs w:val="18"/>
                <w:color w:val="auto"/>
              </w:rPr>
              <w:t>Other</w:t>
            </w:r>
          </w:p>
        </w:tc>
        <w:tc>
          <w:tcPr>
            <w:tcW w:w="900" w:type="dxa"/>
            <w:vAlign w:val="bottom"/>
            <w:tcBorders>
              <w:bottom w:val="single" w:sz="8" w:color="auto"/>
            </w:tcBorders>
            <w:shd w:val="clear" w:color="auto" w:fill="DDDDDD"/>
          </w:tcPr>
          <w:p>
            <w:pPr>
              <w:spacing w:after="0"/>
              <w:rPr>
                <w:sz w:val="19"/>
                <w:szCs w:val="19"/>
                <w:color w:val="auto"/>
              </w:rPr>
            </w:pPr>
          </w:p>
        </w:tc>
        <w:tc>
          <w:tcPr>
            <w:tcW w:w="5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240</w:t>
            </w:r>
          </w:p>
        </w:tc>
        <w:tc>
          <w:tcPr>
            <w:tcW w:w="120" w:type="dxa"/>
            <w:vAlign w:val="bottom"/>
            <w:shd w:val="clear" w:color="auto" w:fill="DDDDDD"/>
          </w:tcPr>
          <w:p>
            <w:pPr>
              <w:spacing w:after="0"/>
              <w:rPr>
                <w:sz w:val="19"/>
                <w:szCs w:val="19"/>
                <w:color w:val="auto"/>
              </w:rPr>
            </w:pPr>
          </w:p>
        </w:tc>
        <w:tc>
          <w:tcPr>
            <w:tcW w:w="480" w:type="dxa"/>
            <w:vAlign w:val="bottom"/>
            <w:tcBorders>
              <w:bottom w:val="single" w:sz="8" w:color="auto"/>
            </w:tcBorders>
            <w:shd w:val="clear" w:color="auto" w:fill="DDDDDD"/>
          </w:tcPr>
          <w:p>
            <w:pPr>
              <w:spacing w:after="0"/>
              <w:rPr>
                <w:sz w:val="19"/>
                <w:szCs w:val="19"/>
                <w:color w:val="auto"/>
              </w:rPr>
            </w:pPr>
          </w:p>
        </w:tc>
        <w:tc>
          <w:tcPr>
            <w:tcW w:w="9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83</w:t>
            </w:r>
          </w:p>
        </w:tc>
      </w:tr>
      <w:tr>
        <w:trPr>
          <w:trHeight w:val="223"/>
        </w:trPr>
        <w:tc>
          <w:tcPr>
            <w:tcW w:w="8240" w:type="dxa"/>
            <w:vAlign w:val="bottom"/>
          </w:tcPr>
          <w:p>
            <w:pPr>
              <w:spacing w:after="0"/>
              <w:rPr>
                <w:sz w:val="19"/>
                <w:szCs w:val="19"/>
                <w:color w:val="auto"/>
              </w:rPr>
            </w:pPr>
          </w:p>
        </w:tc>
        <w:tc>
          <w:tcPr>
            <w:tcW w:w="900" w:type="dxa"/>
            <w:vAlign w:val="bottom"/>
            <w:tcBorders>
              <w:bottom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6,975</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6,766</w:t>
            </w:r>
          </w:p>
        </w:tc>
      </w:tr>
      <w:tr>
        <w:trPr>
          <w:trHeight w:val="20"/>
        </w:trPr>
        <w:tc>
          <w:tcPr>
            <w:tcW w:w="8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78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81" w:name="page82"/>
    <w:bookmarkEnd w:id="81"/>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9"/>
          <w:szCs w:val="29"/>
          <w:b w:val="1"/>
          <w:bCs w:val="1"/>
          <w:color w:val="DC202E"/>
        </w:rPr>
        <w:t>NOTE 16. STOCK-BASED COMPENSATION PLANS</w:t>
      </w:r>
    </w:p>
    <w:p>
      <w:pPr>
        <w:spacing w:after="0" w:line="15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2016 Stock Incentive Plan of Honeywell International Inc. and its Affiliates (2016 Plan) and 2016 Stock Plan for Non-Employee Directors of Honeywell International Inc. (2016 Directors Plan) were both approved by the shareowners at the Annual Meeting of Shareowners effective on April 25, 2016. At December 31, 2020, there were 34,104,522, and 832,309 shares of Honeywell common stock available for future grants under terms of the 2016 Plan and 2016 Directors Plan, respectively.</w:t>
      </w:r>
    </w:p>
    <w:p>
      <w:pPr>
        <w:spacing w:after="0" w:line="2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 OPTIONS</w:t>
      </w:r>
    </w:p>
    <w:p>
      <w:pPr>
        <w:spacing w:after="0" w:line="13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exercise price, term and other conditions applicable to each option granted under the Company's stock plans are generally determined by the Management Development and Compensation Committee of the Board of Directors. The exercise price of stock options is set on the grant date and may not be less than the fair market value per share of our stock on that date. The fair value is recognized as an expense over the employee’s requisite service period (generally the vesting period of the award). Options generally vest over a four-year period and expire after ten years.</w:t>
      </w:r>
    </w:p>
    <w:p>
      <w:pPr>
        <w:spacing w:after="0" w:line="9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fair value of each option award is estimated on the date of grant using the Black-Scholes option-pricing model. Expected volatility is based on implied volatilities from traded options on our common stock and historical volatility of our common stock. We used a Monte Carlo simulation model to derive an expected term which represents an estimate of the time options are expected to remain outstanding. Such model uses historical data to estimate option exercise activity and post-vest termination behavior. The risk-free rate for periods within the contractual life of the option is based on the U.S. treasury yield curve in effect at the time of grant.</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impact to the Consolidated Statement of Operations from stock options: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20" w:type="dxa"/>
            <w:vAlign w:val="bottom"/>
          </w:tcPr>
          <w:p>
            <w:pPr>
              <w:spacing w:after="0"/>
              <w:rPr>
                <w:sz w:val="17"/>
                <w:szCs w:val="17"/>
                <w:color w:val="auto"/>
              </w:rPr>
            </w:pPr>
          </w:p>
        </w:tc>
        <w:tc>
          <w:tcPr>
            <w:tcW w:w="1020" w:type="dxa"/>
            <w:vAlign w:val="bottom"/>
            <w:tcBorders>
              <w:bottom w:val="single" w:sz="8" w:color="DC202E"/>
            </w:tcBorders>
          </w:tcPr>
          <w:p>
            <w:pPr>
              <w:spacing w:after="0"/>
              <w:rPr>
                <w:sz w:val="17"/>
                <w:szCs w:val="17"/>
                <w:color w:val="auto"/>
              </w:rPr>
            </w:pPr>
          </w:p>
        </w:tc>
        <w:tc>
          <w:tcPr>
            <w:tcW w:w="2400" w:type="dxa"/>
            <w:vAlign w:val="bottom"/>
            <w:tcBorders>
              <w:bottom w:val="single" w:sz="8" w:color="DC202E"/>
            </w:tcBorders>
            <w:gridSpan w:val="6"/>
          </w:tcPr>
          <w:p>
            <w:pPr>
              <w:jc w:val="right"/>
              <w:ind w:right="150"/>
              <w:spacing w:after="0"/>
              <w:rPr>
                <w:sz w:val="20"/>
                <w:szCs w:val="20"/>
                <w:color w:val="auto"/>
              </w:rPr>
            </w:pPr>
            <w:r>
              <w:rPr>
                <w:rFonts w:ascii="Arial" w:cs="Arial" w:eastAsia="Arial" w:hAnsi="Arial"/>
                <w:sz w:val="14"/>
                <w:szCs w:val="14"/>
                <w:b w:val="1"/>
                <w:bCs w:val="1"/>
                <w:color w:val="auto"/>
              </w:rPr>
              <w:t>Years Ended December 31,</w:t>
            </w:r>
          </w:p>
        </w:tc>
        <w:tc>
          <w:tcPr>
            <w:tcW w:w="1100" w:type="dxa"/>
            <w:vAlign w:val="bottom"/>
            <w:tcBorders>
              <w:bottom w:val="single" w:sz="8" w:color="DC202E"/>
            </w:tcBorders>
          </w:tcPr>
          <w:p>
            <w:pPr>
              <w:spacing w:after="0"/>
              <w:rPr>
                <w:sz w:val="17"/>
                <w:szCs w:val="17"/>
                <w:color w:val="auto"/>
              </w:rPr>
            </w:pPr>
          </w:p>
        </w:tc>
      </w:tr>
      <w:tr>
        <w:trPr>
          <w:trHeight w:val="250"/>
        </w:trPr>
        <w:tc>
          <w:tcPr>
            <w:tcW w:w="6720" w:type="dxa"/>
            <w:vAlign w:val="bottom"/>
            <w:tcBorders>
              <w:bottom w:val="single" w:sz="8" w:color="DDDDDD"/>
            </w:tcBorders>
          </w:tcPr>
          <w:p>
            <w:pPr>
              <w:spacing w:after="0"/>
              <w:rPr>
                <w:sz w:val="21"/>
                <w:szCs w:val="21"/>
                <w:color w:val="auto"/>
              </w:rPr>
            </w:pPr>
          </w:p>
        </w:tc>
        <w:tc>
          <w:tcPr>
            <w:tcW w:w="1020" w:type="dxa"/>
            <w:vAlign w:val="bottom"/>
            <w:tcBorders>
              <w:bottom w:val="single" w:sz="8" w:color="DC202E"/>
            </w:tcBorders>
          </w:tcPr>
          <w:p>
            <w:pPr>
              <w:jc w:val="right"/>
              <w:ind w:right="59"/>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DC202E"/>
            </w:tcBorders>
          </w:tcPr>
          <w:p>
            <w:pPr>
              <w:spacing w:after="0"/>
              <w:rPr>
                <w:sz w:val="21"/>
                <w:szCs w:val="21"/>
                <w:color w:val="auto"/>
              </w:rPr>
            </w:pPr>
          </w:p>
        </w:tc>
        <w:tc>
          <w:tcPr>
            <w:tcW w:w="120" w:type="dxa"/>
            <w:vAlign w:val="bottom"/>
            <w:tcBorders>
              <w:bottom w:val="single" w:sz="8" w:color="DDDDDD"/>
            </w:tcBorders>
          </w:tcPr>
          <w:p>
            <w:pPr>
              <w:spacing w:after="0"/>
              <w:rPr>
                <w:sz w:val="21"/>
                <w:szCs w:val="21"/>
                <w:color w:val="auto"/>
              </w:rPr>
            </w:pPr>
          </w:p>
        </w:tc>
        <w:tc>
          <w:tcPr>
            <w:tcW w:w="340" w:type="dxa"/>
            <w:vAlign w:val="bottom"/>
            <w:tcBorders>
              <w:bottom w:val="single" w:sz="8" w:color="DC202E"/>
            </w:tcBorders>
          </w:tcPr>
          <w:p>
            <w:pPr>
              <w:spacing w:after="0"/>
              <w:rPr>
                <w:sz w:val="21"/>
                <w:szCs w:val="21"/>
                <w:color w:val="auto"/>
              </w:rPr>
            </w:pPr>
          </w:p>
        </w:tc>
        <w:tc>
          <w:tcPr>
            <w:tcW w:w="1080" w:type="dxa"/>
            <w:vAlign w:val="bottom"/>
            <w:tcBorders>
              <w:bottom w:val="single" w:sz="8" w:color="DC202E"/>
            </w:tcBorders>
          </w:tcPr>
          <w:p>
            <w:pPr>
              <w:jc w:val="right"/>
              <w:ind w:right="45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DDDDDD"/>
            </w:tcBorders>
          </w:tcPr>
          <w:p>
            <w:pPr>
              <w:spacing w:after="0"/>
              <w:rPr>
                <w:sz w:val="21"/>
                <w:szCs w:val="21"/>
                <w:color w:val="auto"/>
              </w:rPr>
            </w:pPr>
          </w:p>
        </w:tc>
        <w:tc>
          <w:tcPr>
            <w:tcW w:w="340" w:type="dxa"/>
            <w:vAlign w:val="bottom"/>
            <w:tcBorders>
              <w:bottom w:val="single" w:sz="8" w:color="DC202E"/>
            </w:tcBorders>
          </w:tcPr>
          <w:p>
            <w:pPr>
              <w:spacing w:after="0"/>
              <w:rPr>
                <w:sz w:val="21"/>
                <w:szCs w:val="21"/>
                <w:color w:val="auto"/>
              </w:rPr>
            </w:pPr>
          </w:p>
        </w:tc>
        <w:tc>
          <w:tcPr>
            <w:tcW w:w="1100" w:type="dxa"/>
            <w:vAlign w:val="bottom"/>
            <w:tcBorders>
              <w:bottom w:val="single" w:sz="8" w:color="DC202E"/>
            </w:tcBorders>
          </w:tcPr>
          <w:p>
            <w:pPr>
              <w:jc w:val="right"/>
              <w:ind w:right="476"/>
              <w:spacing w:after="0"/>
              <w:rPr>
                <w:sz w:val="20"/>
                <w:szCs w:val="20"/>
                <w:color w:val="auto"/>
              </w:rPr>
            </w:pPr>
            <w:r>
              <w:rPr>
                <w:rFonts w:ascii="Arial" w:cs="Arial" w:eastAsia="Arial" w:hAnsi="Arial"/>
                <w:sz w:val="14"/>
                <w:szCs w:val="14"/>
                <w:b w:val="1"/>
                <w:bCs w:val="1"/>
                <w:color w:val="auto"/>
              </w:rPr>
              <w:t>2018</w:t>
            </w:r>
          </w:p>
        </w:tc>
      </w:tr>
      <w:tr>
        <w:trPr>
          <w:trHeight w:val="230"/>
        </w:trPr>
        <w:tc>
          <w:tcPr>
            <w:tcW w:w="6720" w:type="dxa"/>
            <w:vAlign w:val="bottom"/>
            <w:shd w:val="clear" w:color="auto" w:fill="DDDDDD"/>
          </w:tcPr>
          <w:p>
            <w:pPr>
              <w:ind w:left="20"/>
              <w:spacing w:after="0"/>
              <w:rPr>
                <w:sz w:val="20"/>
                <w:szCs w:val="20"/>
                <w:color w:val="auto"/>
              </w:rPr>
            </w:pPr>
            <w:r>
              <w:rPr>
                <w:rFonts w:ascii="Arial" w:cs="Arial" w:eastAsia="Arial" w:hAnsi="Arial"/>
                <w:sz w:val="18"/>
                <w:szCs w:val="18"/>
                <w:color w:val="auto"/>
              </w:rPr>
              <w:t>Compensation expense</w:t>
            </w:r>
          </w:p>
        </w:tc>
        <w:tc>
          <w:tcPr>
            <w:tcW w:w="1020" w:type="dxa"/>
            <w:vAlign w:val="bottom"/>
            <w:shd w:val="clear" w:color="auto" w:fill="DDDDDD"/>
          </w:tcPr>
          <w:p>
            <w:pPr>
              <w:jc w:val="right"/>
              <w:ind w:right="819"/>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DDDDDD"/>
          </w:tcPr>
          <w:p>
            <w:pPr>
              <w:spacing w:after="0"/>
              <w:rPr>
                <w:sz w:val="19"/>
                <w:szCs w:val="19"/>
                <w:color w:val="auto"/>
              </w:rPr>
            </w:pPr>
          </w:p>
        </w:tc>
        <w:tc>
          <w:tcPr>
            <w:tcW w:w="3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DDDDDD"/>
          </w:tcPr>
          <w:p>
            <w:pPr>
              <w:spacing w:after="0"/>
              <w:rPr>
                <w:sz w:val="19"/>
                <w:szCs w:val="19"/>
                <w:color w:val="auto"/>
              </w:rPr>
            </w:pPr>
          </w:p>
        </w:tc>
        <w:tc>
          <w:tcPr>
            <w:tcW w:w="3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64</w:t>
            </w: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Future income tax benefit recognized</w:t>
            </w:r>
          </w:p>
        </w:tc>
        <w:tc>
          <w:tcPr>
            <w:tcW w:w="10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w:t>
            </w:r>
          </w:p>
        </w:tc>
      </w:tr>
    </w:tbl>
    <w:p>
      <w:pPr>
        <w:spacing w:after="0" w:line="1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sets forth fair value per share information, including related weighted-average assumptions, used to determine compensation cost.</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60" w:type="dxa"/>
            <w:vAlign w:val="bottom"/>
          </w:tcPr>
          <w:p>
            <w:pPr>
              <w:spacing w:after="0"/>
              <w:rPr>
                <w:sz w:val="17"/>
                <w:szCs w:val="17"/>
                <w:color w:val="auto"/>
              </w:rPr>
            </w:pPr>
          </w:p>
        </w:tc>
        <w:tc>
          <w:tcPr>
            <w:tcW w:w="380" w:type="dxa"/>
            <w:vAlign w:val="bottom"/>
            <w:tcBorders>
              <w:bottom w:val="single" w:sz="8" w:color="DC202E"/>
            </w:tcBorders>
          </w:tcPr>
          <w:p>
            <w:pPr>
              <w:spacing w:after="0"/>
              <w:rPr>
                <w:sz w:val="17"/>
                <w:szCs w:val="17"/>
                <w:color w:val="auto"/>
              </w:rPr>
            </w:pPr>
          </w:p>
        </w:tc>
        <w:tc>
          <w:tcPr>
            <w:tcW w:w="3320" w:type="dxa"/>
            <w:vAlign w:val="bottom"/>
            <w:tcBorders>
              <w:bottom w:val="single" w:sz="8" w:color="DC202E"/>
            </w:tcBorders>
            <w:gridSpan w:val="6"/>
          </w:tcPr>
          <w:p>
            <w:pPr>
              <w:jc w:val="right"/>
              <w:ind w:right="250"/>
              <w:spacing w:after="0"/>
              <w:rPr>
                <w:sz w:val="20"/>
                <w:szCs w:val="20"/>
                <w:color w:val="auto"/>
              </w:rPr>
            </w:pPr>
            <w:r>
              <w:rPr>
                <w:rFonts w:ascii="Arial" w:cs="Arial" w:eastAsia="Arial" w:hAnsi="Arial"/>
                <w:sz w:val="14"/>
                <w:szCs w:val="14"/>
                <w:b w:val="1"/>
                <w:bCs w:val="1"/>
                <w:color w:val="auto"/>
              </w:rPr>
              <w:t>Years Ended December 31,</w:t>
            </w:r>
          </w:p>
        </w:tc>
        <w:tc>
          <w:tcPr>
            <w:tcW w:w="1180" w:type="dxa"/>
            <w:vAlign w:val="bottom"/>
            <w:tcBorders>
              <w:bottom w:val="single" w:sz="8" w:color="DC202E"/>
            </w:tcBorders>
          </w:tcPr>
          <w:p>
            <w:pPr>
              <w:spacing w:after="0"/>
              <w:rPr>
                <w:sz w:val="17"/>
                <w:szCs w:val="17"/>
                <w:color w:val="auto"/>
              </w:rPr>
            </w:pPr>
          </w:p>
        </w:tc>
      </w:tr>
      <w:tr>
        <w:trPr>
          <w:trHeight w:val="358"/>
        </w:trPr>
        <w:tc>
          <w:tcPr>
            <w:tcW w:w="6360" w:type="dxa"/>
            <w:vAlign w:val="bottom"/>
            <w:tcBorders>
              <w:bottom w:val="single" w:sz="8" w:color="DDDDDD"/>
            </w:tcBorders>
          </w:tcPr>
          <w:p>
            <w:pPr>
              <w:spacing w:after="0"/>
              <w:rPr>
                <w:sz w:val="24"/>
                <w:szCs w:val="24"/>
                <w:color w:val="auto"/>
              </w:rPr>
            </w:pPr>
          </w:p>
        </w:tc>
        <w:tc>
          <w:tcPr>
            <w:tcW w:w="380" w:type="dxa"/>
            <w:vAlign w:val="bottom"/>
            <w:tcBorders>
              <w:bottom w:val="single" w:sz="8" w:color="DC202E"/>
            </w:tcBorders>
          </w:tcPr>
          <w:p>
            <w:pPr>
              <w:spacing w:after="0"/>
              <w:rPr>
                <w:sz w:val="24"/>
                <w:szCs w:val="24"/>
                <w:color w:val="auto"/>
              </w:rPr>
            </w:pPr>
          </w:p>
        </w:tc>
        <w:tc>
          <w:tcPr>
            <w:tcW w:w="1180" w:type="dxa"/>
            <w:vAlign w:val="bottom"/>
            <w:tcBorders>
              <w:bottom w:val="single" w:sz="8" w:color="DC202E"/>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DDDDDD"/>
            </w:tcBorders>
          </w:tcPr>
          <w:p>
            <w:pPr>
              <w:spacing w:after="0"/>
              <w:rPr>
                <w:sz w:val="24"/>
                <w:szCs w:val="24"/>
                <w:color w:val="auto"/>
              </w:rPr>
            </w:pPr>
          </w:p>
        </w:tc>
        <w:tc>
          <w:tcPr>
            <w:tcW w:w="380" w:type="dxa"/>
            <w:vAlign w:val="bottom"/>
            <w:tcBorders>
              <w:bottom w:val="single" w:sz="8" w:color="DC202E"/>
            </w:tcBorders>
          </w:tcPr>
          <w:p>
            <w:pPr>
              <w:spacing w:after="0"/>
              <w:rPr>
                <w:sz w:val="24"/>
                <w:szCs w:val="24"/>
                <w:color w:val="auto"/>
              </w:rPr>
            </w:pPr>
          </w:p>
        </w:tc>
        <w:tc>
          <w:tcPr>
            <w:tcW w:w="1180" w:type="dxa"/>
            <w:vAlign w:val="bottom"/>
            <w:tcBorders>
              <w:bottom w:val="single" w:sz="8" w:color="DC202E"/>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DDDDDD"/>
            </w:tcBorders>
          </w:tcPr>
          <w:p>
            <w:pPr>
              <w:spacing w:after="0"/>
              <w:rPr>
                <w:sz w:val="24"/>
                <w:szCs w:val="24"/>
                <w:color w:val="auto"/>
              </w:rPr>
            </w:pPr>
          </w:p>
        </w:tc>
        <w:tc>
          <w:tcPr>
            <w:tcW w:w="380" w:type="dxa"/>
            <w:vAlign w:val="bottom"/>
            <w:tcBorders>
              <w:bottom w:val="single" w:sz="8" w:color="DC202E"/>
            </w:tcBorders>
          </w:tcPr>
          <w:p>
            <w:pPr>
              <w:spacing w:after="0"/>
              <w:rPr>
                <w:sz w:val="24"/>
                <w:szCs w:val="24"/>
                <w:color w:val="auto"/>
              </w:rPr>
            </w:pPr>
          </w:p>
        </w:tc>
        <w:tc>
          <w:tcPr>
            <w:tcW w:w="1180" w:type="dxa"/>
            <w:vAlign w:val="bottom"/>
            <w:tcBorders>
              <w:bottom w:val="single" w:sz="8" w:color="DC202E"/>
            </w:tcBorders>
          </w:tcPr>
          <w:p>
            <w:pPr>
              <w:jc w:val="right"/>
              <w:ind w:right="533"/>
              <w:spacing w:after="0"/>
              <w:rPr>
                <w:sz w:val="20"/>
                <w:szCs w:val="20"/>
                <w:color w:val="auto"/>
              </w:rPr>
            </w:pPr>
            <w:r>
              <w:rPr>
                <w:rFonts w:ascii="Arial" w:cs="Arial" w:eastAsia="Arial" w:hAnsi="Arial"/>
                <w:sz w:val="14"/>
                <w:szCs w:val="14"/>
                <w:b w:val="1"/>
                <w:bCs w:val="1"/>
                <w:color w:val="auto"/>
              </w:rPr>
              <w:t>2018</w:t>
            </w:r>
          </w:p>
        </w:tc>
      </w:tr>
      <w:tr>
        <w:trPr>
          <w:trHeight w:val="229"/>
        </w:trPr>
        <w:tc>
          <w:tcPr>
            <w:tcW w:w="6360" w:type="dxa"/>
            <w:vAlign w:val="bottom"/>
            <w:shd w:val="clear" w:color="auto" w:fill="DDDDDD"/>
          </w:tcPr>
          <w:p>
            <w:pPr>
              <w:ind w:left="20"/>
              <w:spacing w:after="0" w:line="230" w:lineRule="exact"/>
              <w:rPr>
                <w:sz w:val="20"/>
                <w:szCs w:val="20"/>
                <w:color w:val="auto"/>
              </w:rPr>
            </w:pPr>
            <w:r>
              <w:rPr>
                <w:rFonts w:ascii="Arial" w:cs="Arial" w:eastAsia="Arial" w:hAnsi="Arial"/>
                <w:sz w:val="18"/>
                <w:szCs w:val="18"/>
                <w:color w:val="auto"/>
              </w:rPr>
              <w:t>Weighted average fair value per share of options granted during the year</w:t>
            </w:r>
            <w:r>
              <w:rPr>
                <w:rFonts w:ascii="Arial" w:cs="Arial" w:eastAsia="Arial" w:hAnsi="Arial"/>
                <w:sz w:val="23"/>
                <w:szCs w:val="23"/>
                <w:color w:val="auto"/>
                <w:vertAlign w:val="superscript"/>
              </w:rPr>
              <w:t>(1)</w:t>
            </w:r>
          </w:p>
        </w:tc>
        <w:tc>
          <w:tcPr>
            <w:tcW w:w="380" w:type="dxa"/>
            <w:vAlign w:val="bottom"/>
            <w:shd w:val="clear" w:color="auto" w:fill="DDDDDD"/>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DDDDD"/>
          </w:tcPr>
          <w:p>
            <w:pPr>
              <w:jc w:val="right"/>
              <w:ind w:right="155"/>
              <w:spacing w:after="0"/>
              <w:rPr>
                <w:sz w:val="20"/>
                <w:szCs w:val="20"/>
                <w:color w:val="auto"/>
              </w:rPr>
            </w:pPr>
            <w:r>
              <w:rPr>
                <w:rFonts w:ascii="Arial" w:cs="Arial" w:eastAsia="Arial" w:hAnsi="Arial"/>
                <w:sz w:val="18"/>
                <w:szCs w:val="18"/>
                <w:color w:val="auto"/>
              </w:rPr>
              <w:t>21.30</w:t>
            </w:r>
          </w:p>
        </w:tc>
        <w:tc>
          <w:tcPr>
            <w:tcW w:w="100" w:type="dxa"/>
            <w:vAlign w:val="bottom"/>
            <w:shd w:val="clear" w:color="auto" w:fill="DDDDDD"/>
          </w:tcPr>
          <w:p>
            <w:pPr>
              <w:spacing w:after="0"/>
              <w:rPr>
                <w:sz w:val="19"/>
                <w:szCs w:val="19"/>
                <w:color w:val="auto"/>
              </w:rPr>
            </w:pPr>
          </w:p>
        </w:tc>
        <w:tc>
          <w:tcPr>
            <w:tcW w:w="380" w:type="dxa"/>
            <w:vAlign w:val="bottom"/>
            <w:shd w:val="clear" w:color="auto" w:fill="DDDDDD"/>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DDDDD"/>
          </w:tcPr>
          <w:p>
            <w:pPr>
              <w:jc w:val="right"/>
              <w:ind w:right="153"/>
              <w:spacing w:after="0"/>
              <w:rPr>
                <w:sz w:val="20"/>
                <w:szCs w:val="20"/>
                <w:color w:val="auto"/>
              </w:rPr>
            </w:pPr>
            <w:r>
              <w:rPr>
                <w:rFonts w:ascii="Arial" w:cs="Arial" w:eastAsia="Arial" w:hAnsi="Arial"/>
                <w:sz w:val="18"/>
                <w:szCs w:val="18"/>
                <w:color w:val="auto"/>
              </w:rPr>
              <w:t>21.57</w:t>
            </w:r>
          </w:p>
        </w:tc>
        <w:tc>
          <w:tcPr>
            <w:tcW w:w="100" w:type="dxa"/>
            <w:vAlign w:val="bottom"/>
            <w:shd w:val="clear" w:color="auto" w:fill="DDDDDD"/>
          </w:tcPr>
          <w:p>
            <w:pPr>
              <w:spacing w:after="0"/>
              <w:rPr>
                <w:sz w:val="19"/>
                <w:szCs w:val="19"/>
                <w:color w:val="auto"/>
              </w:rPr>
            </w:pPr>
          </w:p>
        </w:tc>
        <w:tc>
          <w:tcPr>
            <w:tcW w:w="380" w:type="dxa"/>
            <w:vAlign w:val="bottom"/>
            <w:shd w:val="clear" w:color="auto" w:fill="DDDDDD"/>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DDDDD"/>
          </w:tcPr>
          <w:p>
            <w:pPr>
              <w:jc w:val="right"/>
              <w:ind w:right="153"/>
              <w:spacing w:after="0"/>
              <w:rPr>
                <w:sz w:val="20"/>
                <w:szCs w:val="20"/>
                <w:color w:val="auto"/>
              </w:rPr>
            </w:pPr>
            <w:r>
              <w:rPr>
                <w:rFonts w:ascii="Arial" w:cs="Arial" w:eastAsia="Arial" w:hAnsi="Arial"/>
                <w:sz w:val="18"/>
                <w:szCs w:val="18"/>
                <w:color w:val="auto"/>
              </w:rPr>
              <w:t>23.63</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Assumptions:</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6360" w:type="dxa"/>
            <w:vAlign w:val="bottom"/>
            <w:shd w:val="clear" w:color="auto" w:fill="DDDDDD"/>
          </w:tcPr>
          <w:p>
            <w:pPr>
              <w:ind w:left="360"/>
              <w:spacing w:after="0"/>
              <w:rPr>
                <w:sz w:val="20"/>
                <w:szCs w:val="20"/>
                <w:color w:val="auto"/>
              </w:rPr>
            </w:pPr>
            <w:r>
              <w:rPr>
                <w:rFonts w:ascii="Arial" w:cs="Arial" w:eastAsia="Arial" w:hAnsi="Arial"/>
                <w:sz w:val="18"/>
                <w:szCs w:val="18"/>
                <w:color w:val="auto"/>
              </w:rPr>
              <w:t>Expected annual dividend yield</w:t>
            </w:r>
          </w:p>
        </w:tc>
        <w:tc>
          <w:tcPr>
            <w:tcW w:w="380" w:type="dxa"/>
            <w:vAlign w:val="bottom"/>
            <w:shd w:val="clear" w:color="auto" w:fill="DDDDDD"/>
          </w:tcPr>
          <w:p>
            <w:pPr>
              <w:spacing w:after="0"/>
              <w:rPr>
                <w:sz w:val="19"/>
                <w:szCs w:val="19"/>
                <w:color w:val="auto"/>
              </w:rPr>
            </w:pPr>
          </w:p>
        </w:tc>
        <w:tc>
          <w:tcPr>
            <w:tcW w:w="11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2.59 %</w:t>
            </w:r>
          </w:p>
        </w:tc>
        <w:tc>
          <w:tcPr>
            <w:tcW w:w="100" w:type="dxa"/>
            <w:vAlign w:val="bottom"/>
            <w:shd w:val="clear" w:color="auto" w:fill="DDDDDD"/>
          </w:tcPr>
          <w:p>
            <w:pPr>
              <w:spacing w:after="0"/>
              <w:rPr>
                <w:sz w:val="19"/>
                <w:szCs w:val="19"/>
                <w:color w:val="auto"/>
              </w:rPr>
            </w:pPr>
          </w:p>
        </w:tc>
        <w:tc>
          <w:tcPr>
            <w:tcW w:w="380" w:type="dxa"/>
            <w:vAlign w:val="bottom"/>
            <w:shd w:val="clear" w:color="auto" w:fill="DDDDDD"/>
          </w:tcPr>
          <w:p>
            <w:pPr>
              <w:spacing w:after="0"/>
              <w:rPr>
                <w:sz w:val="19"/>
                <w:szCs w:val="19"/>
                <w:color w:val="auto"/>
              </w:rPr>
            </w:pPr>
          </w:p>
        </w:tc>
        <w:tc>
          <w:tcPr>
            <w:tcW w:w="11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2.65 %</w:t>
            </w:r>
          </w:p>
        </w:tc>
        <w:tc>
          <w:tcPr>
            <w:tcW w:w="100" w:type="dxa"/>
            <w:vAlign w:val="bottom"/>
            <w:shd w:val="clear" w:color="auto" w:fill="DDDDDD"/>
          </w:tcPr>
          <w:p>
            <w:pPr>
              <w:spacing w:after="0"/>
              <w:rPr>
                <w:sz w:val="19"/>
                <w:szCs w:val="19"/>
                <w:color w:val="auto"/>
              </w:rPr>
            </w:pPr>
          </w:p>
        </w:tc>
        <w:tc>
          <w:tcPr>
            <w:tcW w:w="380" w:type="dxa"/>
            <w:vAlign w:val="bottom"/>
            <w:shd w:val="clear" w:color="auto" w:fill="DDDDDD"/>
          </w:tcPr>
          <w:p>
            <w:pPr>
              <w:spacing w:after="0"/>
              <w:rPr>
                <w:sz w:val="19"/>
                <w:szCs w:val="19"/>
                <w:color w:val="auto"/>
              </w:rPr>
            </w:pPr>
          </w:p>
        </w:tc>
        <w:tc>
          <w:tcPr>
            <w:tcW w:w="11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2.49 %</w:t>
            </w:r>
          </w:p>
        </w:tc>
      </w:tr>
      <w:tr>
        <w:trPr>
          <w:trHeight w:val="230"/>
        </w:trPr>
        <w:tc>
          <w:tcPr>
            <w:tcW w:w="6360" w:type="dxa"/>
            <w:vAlign w:val="bottom"/>
          </w:tcPr>
          <w:p>
            <w:pPr>
              <w:ind w:left="360"/>
              <w:spacing w:after="0"/>
              <w:rPr>
                <w:sz w:val="20"/>
                <w:szCs w:val="20"/>
                <w:color w:val="auto"/>
              </w:rPr>
            </w:pPr>
            <w:r>
              <w:rPr>
                <w:rFonts w:ascii="Arial" w:cs="Arial" w:eastAsia="Arial" w:hAnsi="Arial"/>
                <w:sz w:val="18"/>
                <w:szCs w:val="18"/>
                <w:color w:val="auto"/>
              </w:rPr>
              <w:t>Expected volatility</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18.76 %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18.40 %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18.93 %</w:t>
            </w:r>
          </w:p>
        </w:tc>
      </w:tr>
      <w:tr>
        <w:trPr>
          <w:trHeight w:val="229"/>
        </w:trPr>
        <w:tc>
          <w:tcPr>
            <w:tcW w:w="6360" w:type="dxa"/>
            <w:vAlign w:val="bottom"/>
            <w:shd w:val="clear" w:color="auto" w:fill="DDDDDD"/>
          </w:tcPr>
          <w:p>
            <w:pPr>
              <w:ind w:left="360"/>
              <w:spacing w:after="0"/>
              <w:rPr>
                <w:sz w:val="20"/>
                <w:szCs w:val="20"/>
                <w:color w:val="auto"/>
              </w:rPr>
            </w:pPr>
            <w:r>
              <w:rPr>
                <w:rFonts w:ascii="Arial" w:cs="Arial" w:eastAsia="Arial" w:hAnsi="Arial"/>
                <w:sz w:val="18"/>
                <w:szCs w:val="18"/>
                <w:color w:val="auto"/>
              </w:rPr>
              <w:t>Risk-free rate of return</w:t>
            </w:r>
          </w:p>
        </w:tc>
        <w:tc>
          <w:tcPr>
            <w:tcW w:w="380" w:type="dxa"/>
            <w:vAlign w:val="bottom"/>
            <w:shd w:val="clear" w:color="auto" w:fill="DDDDDD"/>
          </w:tcPr>
          <w:p>
            <w:pPr>
              <w:spacing w:after="0"/>
              <w:rPr>
                <w:sz w:val="19"/>
                <w:szCs w:val="19"/>
                <w:color w:val="auto"/>
              </w:rPr>
            </w:pPr>
          </w:p>
        </w:tc>
        <w:tc>
          <w:tcPr>
            <w:tcW w:w="11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1.32 %</w:t>
            </w:r>
          </w:p>
        </w:tc>
        <w:tc>
          <w:tcPr>
            <w:tcW w:w="100" w:type="dxa"/>
            <w:vAlign w:val="bottom"/>
            <w:shd w:val="clear" w:color="auto" w:fill="DDDDDD"/>
          </w:tcPr>
          <w:p>
            <w:pPr>
              <w:spacing w:after="0"/>
              <w:rPr>
                <w:sz w:val="19"/>
                <w:szCs w:val="19"/>
                <w:color w:val="auto"/>
              </w:rPr>
            </w:pPr>
          </w:p>
        </w:tc>
        <w:tc>
          <w:tcPr>
            <w:tcW w:w="380" w:type="dxa"/>
            <w:vAlign w:val="bottom"/>
            <w:shd w:val="clear" w:color="auto" w:fill="DDDDDD"/>
          </w:tcPr>
          <w:p>
            <w:pPr>
              <w:spacing w:after="0"/>
              <w:rPr>
                <w:sz w:val="19"/>
                <w:szCs w:val="19"/>
                <w:color w:val="auto"/>
              </w:rPr>
            </w:pPr>
          </w:p>
        </w:tc>
        <w:tc>
          <w:tcPr>
            <w:tcW w:w="11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2.46 %</w:t>
            </w:r>
          </w:p>
        </w:tc>
        <w:tc>
          <w:tcPr>
            <w:tcW w:w="100" w:type="dxa"/>
            <w:vAlign w:val="bottom"/>
            <w:shd w:val="clear" w:color="auto" w:fill="DDDDDD"/>
          </w:tcPr>
          <w:p>
            <w:pPr>
              <w:spacing w:after="0"/>
              <w:rPr>
                <w:sz w:val="19"/>
                <w:szCs w:val="19"/>
                <w:color w:val="auto"/>
              </w:rPr>
            </w:pPr>
          </w:p>
        </w:tc>
        <w:tc>
          <w:tcPr>
            <w:tcW w:w="380" w:type="dxa"/>
            <w:vAlign w:val="bottom"/>
            <w:shd w:val="clear" w:color="auto" w:fill="DDDDDD"/>
          </w:tcPr>
          <w:p>
            <w:pPr>
              <w:spacing w:after="0"/>
              <w:rPr>
                <w:sz w:val="19"/>
                <w:szCs w:val="19"/>
                <w:color w:val="auto"/>
              </w:rPr>
            </w:pPr>
          </w:p>
        </w:tc>
        <w:tc>
          <w:tcPr>
            <w:tcW w:w="11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2.71 %</w:t>
            </w:r>
          </w:p>
        </w:tc>
      </w:tr>
      <w:tr>
        <w:trPr>
          <w:trHeight w:val="230"/>
        </w:trPr>
        <w:tc>
          <w:tcPr>
            <w:tcW w:w="6360" w:type="dxa"/>
            <w:vAlign w:val="bottom"/>
          </w:tcPr>
          <w:p>
            <w:pPr>
              <w:ind w:left="360"/>
              <w:spacing w:after="0"/>
              <w:rPr>
                <w:sz w:val="20"/>
                <w:szCs w:val="20"/>
                <w:color w:val="auto"/>
              </w:rPr>
            </w:pPr>
            <w:r>
              <w:rPr>
                <w:rFonts w:ascii="Arial" w:cs="Arial" w:eastAsia="Arial" w:hAnsi="Arial"/>
                <w:sz w:val="18"/>
                <w:szCs w:val="18"/>
                <w:color w:val="auto"/>
              </w:rPr>
              <w:t>Expected option term (years)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4.95</w:t>
            </w: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(1) Estimated on date of grant using Black-Scholes option-pricing model.</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79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82" w:name="page83"/>
    <w:bookmarkEnd w:id="82"/>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 activity for the three years ended December 31, 2020:</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jc w:val="center"/>
              <w:ind w:right="174"/>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35"/>
        </w:trPr>
        <w:tc>
          <w:tcPr>
            <w:tcW w:w="8260" w:type="dxa"/>
            <w:vAlign w:val="bottom"/>
          </w:tcPr>
          <w:p>
            <w:pPr>
              <w:spacing w:after="0"/>
              <w:rPr>
                <w:sz w:val="11"/>
                <w:szCs w:val="11"/>
                <w:color w:val="auto"/>
              </w:rPr>
            </w:pPr>
          </w:p>
        </w:tc>
        <w:tc>
          <w:tcPr>
            <w:tcW w:w="142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jc w:val="center"/>
              <w:ind w:right="174"/>
              <w:spacing w:after="0" w:line="135"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35"/>
        </w:trPr>
        <w:tc>
          <w:tcPr>
            <w:tcW w:w="826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jc w:val="center"/>
              <w:ind w:right="174"/>
              <w:spacing w:after="0" w:line="135" w:lineRule="exact"/>
              <w:rPr>
                <w:sz w:val="20"/>
                <w:szCs w:val="20"/>
                <w:color w:val="auto"/>
              </w:rPr>
            </w:pPr>
            <w:r>
              <w:rPr>
                <w:rFonts w:ascii="Arial" w:cs="Arial" w:eastAsia="Arial" w:hAnsi="Arial"/>
                <w:sz w:val="14"/>
                <w:szCs w:val="14"/>
                <w:b w:val="1"/>
                <w:bCs w:val="1"/>
                <w:color w:val="auto"/>
              </w:rPr>
              <w:t>Exercise</w:t>
            </w:r>
          </w:p>
        </w:tc>
        <w:tc>
          <w:tcPr>
            <w:tcW w:w="0" w:type="dxa"/>
            <w:vAlign w:val="bottom"/>
          </w:tcPr>
          <w:p>
            <w:pPr>
              <w:spacing w:after="0"/>
              <w:rPr>
                <w:sz w:val="1"/>
                <w:szCs w:val="1"/>
                <w:color w:val="auto"/>
              </w:rPr>
            </w:pPr>
          </w:p>
        </w:tc>
      </w:tr>
      <w:tr>
        <w:trPr>
          <w:trHeight w:val="183"/>
        </w:trPr>
        <w:tc>
          <w:tcPr>
            <w:tcW w:w="8260" w:type="dxa"/>
            <w:vAlign w:val="bottom"/>
            <w:tcBorders>
              <w:bottom w:val="single" w:sz="8" w:color="DDDDDD"/>
            </w:tcBorders>
          </w:tcPr>
          <w:p>
            <w:pPr>
              <w:spacing w:after="0"/>
              <w:rPr>
                <w:sz w:val="15"/>
                <w:szCs w:val="15"/>
                <w:color w:val="auto"/>
              </w:rPr>
            </w:pPr>
          </w:p>
        </w:tc>
        <w:tc>
          <w:tcPr>
            <w:tcW w:w="1420" w:type="dxa"/>
            <w:vAlign w:val="bottom"/>
            <w:tcBorders>
              <w:bottom w:val="single" w:sz="8" w:color="DC202E"/>
            </w:tcBorders>
          </w:tcPr>
          <w:p>
            <w:pPr>
              <w:jc w:val="right"/>
              <w:ind w:right="352"/>
              <w:spacing w:after="0"/>
              <w:rPr>
                <w:sz w:val="20"/>
                <w:szCs w:val="20"/>
                <w:color w:val="auto"/>
              </w:rPr>
            </w:pPr>
            <w:r>
              <w:rPr>
                <w:rFonts w:ascii="Arial" w:cs="Arial" w:eastAsia="Arial" w:hAnsi="Arial"/>
                <w:sz w:val="14"/>
                <w:szCs w:val="14"/>
                <w:b w:val="1"/>
                <w:bCs w:val="1"/>
                <w:color w:val="auto"/>
              </w:rPr>
              <w:t>Options</w:t>
            </w:r>
          </w:p>
        </w:tc>
        <w:tc>
          <w:tcPr>
            <w:tcW w:w="120" w:type="dxa"/>
            <w:vAlign w:val="bottom"/>
            <w:tcBorders>
              <w:bottom w:val="single" w:sz="8" w:color="DDDDDD"/>
            </w:tcBorders>
          </w:tcPr>
          <w:p>
            <w:pPr>
              <w:spacing w:after="0"/>
              <w:rPr>
                <w:sz w:val="15"/>
                <w:szCs w:val="15"/>
                <w:color w:val="auto"/>
              </w:rPr>
            </w:pPr>
          </w:p>
        </w:tc>
        <w:tc>
          <w:tcPr>
            <w:tcW w:w="260" w:type="dxa"/>
            <w:vAlign w:val="bottom"/>
            <w:tcBorders>
              <w:bottom w:val="single" w:sz="8" w:color="DC202E"/>
            </w:tcBorders>
          </w:tcPr>
          <w:p>
            <w:pPr>
              <w:spacing w:after="0"/>
              <w:rPr>
                <w:sz w:val="15"/>
                <w:szCs w:val="15"/>
                <w:color w:val="auto"/>
              </w:rPr>
            </w:pPr>
          </w:p>
        </w:tc>
        <w:tc>
          <w:tcPr>
            <w:tcW w:w="1180" w:type="dxa"/>
            <w:vAlign w:val="bottom"/>
            <w:tcBorders>
              <w:bottom w:val="single" w:sz="8" w:color="DC202E"/>
            </w:tcBorders>
          </w:tcPr>
          <w:p>
            <w:pPr>
              <w:jc w:val="center"/>
              <w:ind w:right="174"/>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229"/>
        </w:trPr>
        <w:tc>
          <w:tcPr>
            <w:tcW w:w="8260" w:type="dxa"/>
            <w:vAlign w:val="bottom"/>
            <w:shd w:val="clear" w:color="auto" w:fill="DDDDDD"/>
          </w:tcPr>
          <w:p>
            <w:pPr>
              <w:ind w:left="20"/>
              <w:spacing w:after="0"/>
              <w:rPr>
                <w:sz w:val="20"/>
                <w:szCs w:val="20"/>
                <w:color w:val="auto"/>
              </w:rPr>
            </w:pPr>
            <w:r>
              <w:rPr>
                <w:rFonts w:ascii="Arial" w:cs="Arial" w:eastAsia="Arial" w:hAnsi="Arial"/>
                <w:sz w:val="18"/>
                <w:szCs w:val="18"/>
                <w:color w:val="auto"/>
              </w:rPr>
              <w:t>Outstanding at December 31, 2017</w:t>
            </w:r>
          </w:p>
        </w:tc>
        <w:tc>
          <w:tcPr>
            <w:tcW w:w="14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23,409,293</w:t>
            </w:r>
          </w:p>
        </w:tc>
        <w:tc>
          <w:tcPr>
            <w:tcW w:w="380" w:type="dxa"/>
            <w:vAlign w:val="bottom"/>
            <w:gridSpan w:val="2"/>
            <w:shd w:val="clear" w:color="auto" w:fill="DDDDDD"/>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94.16</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line="230" w:lineRule="exact"/>
              <w:rPr>
                <w:sz w:val="20"/>
                <w:szCs w:val="20"/>
                <w:color w:val="auto"/>
              </w:rPr>
            </w:pPr>
            <w:r>
              <w:rPr>
                <w:rFonts w:ascii="Arial" w:cs="Arial" w:eastAsia="Arial" w:hAnsi="Arial"/>
                <w:sz w:val="18"/>
                <w:szCs w:val="18"/>
                <w:color w:val="auto"/>
              </w:rPr>
              <w:t>Spin related adjustment</w:t>
            </w:r>
            <w:r>
              <w:rPr>
                <w:rFonts w:ascii="Arial" w:cs="Arial" w:eastAsia="Arial" w:hAnsi="Arial"/>
                <w:sz w:val="23"/>
                <w:szCs w:val="23"/>
                <w:color w:val="auto"/>
                <w:vertAlign w:val="superscript"/>
              </w:rPr>
              <w:t>(1)</w:t>
            </w:r>
          </w:p>
        </w:tc>
        <w:tc>
          <w:tcPr>
            <w:tcW w:w="1420" w:type="dxa"/>
            <w:vAlign w:val="bottom"/>
          </w:tcPr>
          <w:p>
            <w:pPr>
              <w:jc w:val="right"/>
              <w:spacing w:after="0"/>
              <w:rPr>
                <w:sz w:val="20"/>
                <w:szCs w:val="20"/>
                <w:color w:val="auto"/>
              </w:rPr>
            </w:pPr>
            <w:r>
              <w:rPr>
                <w:rFonts w:ascii="Arial" w:cs="Arial" w:eastAsia="Arial" w:hAnsi="Arial"/>
                <w:sz w:val="18"/>
                <w:szCs w:val="18"/>
                <w:color w:val="auto"/>
              </w:rPr>
              <w:t>989,158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DDDDDD"/>
          </w:tcPr>
          <w:p>
            <w:pPr>
              <w:ind w:left="20"/>
              <w:spacing w:after="0"/>
              <w:rPr>
                <w:sz w:val="20"/>
                <w:szCs w:val="20"/>
                <w:color w:val="auto"/>
              </w:rPr>
            </w:pPr>
            <w:r>
              <w:rPr>
                <w:rFonts w:ascii="Arial" w:cs="Arial" w:eastAsia="Arial" w:hAnsi="Arial"/>
                <w:sz w:val="18"/>
                <w:szCs w:val="18"/>
                <w:color w:val="auto"/>
              </w:rPr>
              <w:t>Granted</w:t>
            </w:r>
          </w:p>
        </w:tc>
        <w:tc>
          <w:tcPr>
            <w:tcW w:w="14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3,303,722</w:t>
            </w:r>
          </w:p>
        </w:tc>
        <w:tc>
          <w:tcPr>
            <w:tcW w:w="120" w:type="dxa"/>
            <w:vAlign w:val="bottom"/>
            <w:shd w:val="clear" w:color="auto" w:fill="DDDDDD"/>
          </w:tcPr>
          <w:p>
            <w:pPr>
              <w:spacing w:after="0"/>
              <w:rPr>
                <w:sz w:val="19"/>
                <w:szCs w:val="19"/>
                <w:color w:val="auto"/>
              </w:rPr>
            </w:pPr>
          </w:p>
        </w:tc>
        <w:tc>
          <w:tcPr>
            <w:tcW w:w="260" w:type="dxa"/>
            <w:vAlign w:val="bottom"/>
            <w:shd w:val="clear" w:color="auto" w:fill="DDDDDD"/>
          </w:tcPr>
          <w:p>
            <w:pPr>
              <w:spacing w:after="0"/>
              <w:rPr>
                <w:sz w:val="19"/>
                <w:szCs w:val="19"/>
                <w:color w:val="auto"/>
              </w:rPr>
            </w:pPr>
          </w:p>
        </w:tc>
        <w:tc>
          <w:tcPr>
            <w:tcW w:w="11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148.48</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Exercised</w:t>
            </w:r>
          </w:p>
        </w:tc>
        <w:tc>
          <w:tcPr>
            <w:tcW w:w="1420" w:type="dxa"/>
            <w:vAlign w:val="bottom"/>
          </w:tcPr>
          <w:p>
            <w:pPr>
              <w:jc w:val="right"/>
              <w:spacing w:after="0"/>
              <w:rPr>
                <w:sz w:val="20"/>
                <w:szCs w:val="20"/>
                <w:color w:val="auto"/>
              </w:rPr>
            </w:pPr>
            <w:r>
              <w:rPr>
                <w:rFonts w:ascii="Arial" w:cs="Arial" w:eastAsia="Arial" w:hAnsi="Arial"/>
                <w:sz w:val="18"/>
                <w:szCs w:val="18"/>
                <w:color w:val="auto"/>
              </w:rPr>
              <w:t>(3,399,375)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78.29</w:t>
            </w:r>
          </w:p>
        </w:tc>
        <w:tc>
          <w:tcPr>
            <w:tcW w:w="0" w:type="dxa"/>
            <w:vAlign w:val="bottom"/>
          </w:tcPr>
          <w:p>
            <w:pPr>
              <w:spacing w:after="0"/>
              <w:rPr>
                <w:sz w:val="1"/>
                <w:szCs w:val="1"/>
                <w:color w:val="auto"/>
              </w:rPr>
            </w:pPr>
          </w:p>
        </w:tc>
      </w:tr>
      <w:tr>
        <w:trPr>
          <w:trHeight w:val="230"/>
        </w:trPr>
        <w:tc>
          <w:tcPr>
            <w:tcW w:w="8260" w:type="dxa"/>
            <w:vAlign w:val="bottom"/>
            <w:shd w:val="clear" w:color="auto" w:fill="DDDDDD"/>
          </w:tcPr>
          <w:p>
            <w:pPr>
              <w:ind w:left="20"/>
              <w:spacing w:after="0"/>
              <w:rPr>
                <w:sz w:val="20"/>
                <w:szCs w:val="20"/>
                <w:color w:val="auto"/>
              </w:rPr>
            </w:pPr>
            <w:r>
              <w:rPr>
                <w:rFonts w:ascii="Arial" w:cs="Arial" w:eastAsia="Arial" w:hAnsi="Arial"/>
                <w:sz w:val="18"/>
                <w:szCs w:val="18"/>
                <w:color w:val="auto"/>
              </w:rPr>
              <w:t>Lapsed or canceled</w:t>
            </w:r>
          </w:p>
        </w:tc>
        <w:tc>
          <w:tcPr>
            <w:tcW w:w="14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(1,824,217)</w:t>
            </w:r>
          </w:p>
        </w:tc>
        <w:tc>
          <w:tcPr>
            <w:tcW w:w="120" w:type="dxa"/>
            <w:vAlign w:val="bottom"/>
            <w:shd w:val="clear" w:color="auto" w:fill="DDDDDD"/>
          </w:tcPr>
          <w:p>
            <w:pPr>
              <w:spacing w:after="0"/>
              <w:rPr>
                <w:sz w:val="19"/>
                <w:szCs w:val="19"/>
                <w:color w:val="auto"/>
              </w:rPr>
            </w:pPr>
          </w:p>
        </w:tc>
        <w:tc>
          <w:tcPr>
            <w:tcW w:w="260" w:type="dxa"/>
            <w:vAlign w:val="bottom"/>
            <w:shd w:val="clear" w:color="auto" w:fill="DDDDDD"/>
          </w:tcPr>
          <w:p>
            <w:pPr>
              <w:spacing w:after="0"/>
              <w:rPr>
                <w:sz w:val="19"/>
                <w:szCs w:val="19"/>
                <w:color w:val="auto"/>
              </w:rPr>
            </w:pPr>
          </w:p>
        </w:tc>
        <w:tc>
          <w:tcPr>
            <w:tcW w:w="11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123.01</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Outstanding at December 31, 2018</w:t>
            </w:r>
          </w:p>
        </w:tc>
        <w:tc>
          <w:tcPr>
            <w:tcW w:w="1420" w:type="dxa"/>
            <w:vAlign w:val="bottom"/>
          </w:tcPr>
          <w:p>
            <w:pPr>
              <w:jc w:val="right"/>
              <w:spacing w:after="0"/>
              <w:rPr>
                <w:sz w:val="20"/>
                <w:szCs w:val="20"/>
                <w:color w:val="auto"/>
              </w:rPr>
            </w:pPr>
            <w:r>
              <w:rPr>
                <w:rFonts w:ascii="Arial" w:cs="Arial" w:eastAsia="Arial" w:hAnsi="Arial"/>
                <w:sz w:val="18"/>
                <w:szCs w:val="18"/>
                <w:color w:val="auto"/>
              </w:rPr>
              <w:t>22,478,581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97.83</w:t>
            </w:r>
          </w:p>
        </w:tc>
        <w:tc>
          <w:tcPr>
            <w:tcW w:w="0" w:type="dxa"/>
            <w:vAlign w:val="bottom"/>
          </w:tcPr>
          <w:p>
            <w:pPr>
              <w:spacing w:after="0"/>
              <w:rPr>
                <w:sz w:val="1"/>
                <w:szCs w:val="1"/>
                <w:color w:val="auto"/>
              </w:rPr>
            </w:pPr>
          </w:p>
        </w:tc>
      </w:tr>
      <w:tr>
        <w:trPr>
          <w:trHeight w:val="229"/>
        </w:trPr>
        <w:tc>
          <w:tcPr>
            <w:tcW w:w="8260" w:type="dxa"/>
            <w:vAlign w:val="bottom"/>
            <w:shd w:val="clear" w:color="auto" w:fill="DDDDDD"/>
          </w:tcPr>
          <w:p>
            <w:pPr>
              <w:ind w:left="20"/>
              <w:spacing w:after="0"/>
              <w:rPr>
                <w:sz w:val="20"/>
                <w:szCs w:val="20"/>
                <w:color w:val="auto"/>
              </w:rPr>
            </w:pPr>
            <w:r>
              <w:rPr>
                <w:rFonts w:ascii="Arial" w:cs="Arial" w:eastAsia="Arial" w:hAnsi="Arial"/>
                <w:sz w:val="18"/>
                <w:szCs w:val="18"/>
                <w:color w:val="auto"/>
              </w:rPr>
              <w:t>Granted</w:t>
            </w:r>
          </w:p>
        </w:tc>
        <w:tc>
          <w:tcPr>
            <w:tcW w:w="14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3,136,058</w:t>
            </w:r>
          </w:p>
        </w:tc>
        <w:tc>
          <w:tcPr>
            <w:tcW w:w="120" w:type="dxa"/>
            <w:vAlign w:val="bottom"/>
            <w:shd w:val="clear" w:color="auto" w:fill="DDDDDD"/>
          </w:tcPr>
          <w:p>
            <w:pPr>
              <w:spacing w:after="0"/>
              <w:rPr>
                <w:sz w:val="19"/>
                <w:szCs w:val="19"/>
                <w:color w:val="auto"/>
              </w:rPr>
            </w:pPr>
          </w:p>
        </w:tc>
        <w:tc>
          <w:tcPr>
            <w:tcW w:w="260" w:type="dxa"/>
            <w:vAlign w:val="bottom"/>
            <w:shd w:val="clear" w:color="auto" w:fill="DDDDDD"/>
          </w:tcPr>
          <w:p>
            <w:pPr>
              <w:spacing w:after="0"/>
              <w:rPr>
                <w:sz w:val="19"/>
                <w:szCs w:val="19"/>
                <w:color w:val="auto"/>
              </w:rPr>
            </w:pPr>
          </w:p>
        </w:tc>
        <w:tc>
          <w:tcPr>
            <w:tcW w:w="11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155.43</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Exercised</w:t>
            </w:r>
          </w:p>
        </w:tc>
        <w:tc>
          <w:tcPr>
            <w:tcW w:w="1420" w:type="dxa"/>
            <w:vAlign w:val="bottom"/>
          </w:tcPr>
          <w:p>
            <w:pPr>
              <w:jc w:val="right"/>
              <w:spacing w:after="0"/>
              <w:rPr>
                <w:sz w:val="20"/>
                <w:szCs w:val="20"/>
                <w:color w:val="auto"/>
              </w:rPr>
            </w:pPr>
            <w:r>
              <w:rPr>
                <w:rFonts w:ascii="Arial" w:cs="Arial" w:eastAsia="Arial" w:hAnsi="Arial"/>
                <w:sz w:val="18"/>
                <w:szCs w:val="18"/>
                <w:color w:val="auto"/>
              </w:rPr>
              <w:t>(5,897,060)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84.31</w:t>
            </w:r>
          </w:p>
        </w:tc>
        <w:tc>
          <w:tcPr>
            <w:tcW w:w="0" w:type="dxa"/>
            <w:vAlign w:val="bottom"/>
          </w:tcPr>
          <w:p>
            <w:pPr>
              <w:spacing w:after="0"/>
              <w:rPr>
                <w:sz w:val="1"/>
                <w:szCs w:val="1"/>
                <w:color w:val="auto"/>
              </w:rPr>
            </w:pPr>
          </w:p>
        </w:tc>
      </w:tr>
      <w:tr>
        <w:trPr>
          <w:trHeight w:val="229"/>
        </w:trPr>
        <w:tc>
          <w:tcPr>
            <w:tcW w:w="8260" w:type="dxa"/>
            <w:vAlign w:val="bottom"/>
            <w:shd w:val="clear" w:color="auto" w:fill="DDDDDD"/>
          </w:tcPr>
          <w:p>
            <w:pPr>
              <w:ind w:left="20"/>
              <w:spacing w:after="0"/>
              <w:rPr>
                <w:sz w:val="20"/>
                <w:szCs w:val="20"/>
                <w:color w:val="auto"/>
              </w:rPr>
            </w:pPr>
            <w:r>
              <w:rPr>
                <w:rFonts w:ascii="Arial" w:cs="Arial" w:eastAsia="Arial" w:hAnsi="Arial"/>
                <w:sz w:val="18"/>
                <w:szCs w:val="18"/>
                <w:color w:val="auto"/>
              </w:rPr>
              <w:t>Lapsed or canceled</w:t>
            </w:r>
          </w:p>
        </w:tc>
        <w:tc>
          <w:tcPr>
            <w:tcW w:w="14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(986,017)</w:t>
            </w:r>
          </w:p>
        </w:tc>
        <w:tc>
          <w:tcPr>
            <w:tcW w:w="120" w:type="dxa"/>
            <w:vAlign w:val="bottom"/>
            <w:shd w:val="clear" w:color="auto" w:fill="DDDDDD"/>
          </w:tcPr>
          <w:p>
            <w:pPr>
              <w:spacing w:after="0"/>
              <w:rPr>
                <w:sz w:val="19"/>
                <w:szCs w:val="19"/>
                <w:color w:val="auto"/>
              </w:rPr>
            </w:pPr>
          </w:p>
        </w:tc>
        <w:tc>
          <w:tcPr>
            <w:tcW w:w="260" w:type="dxa"/>
            <w:vAlign w:val="bottom"/>
            <w:shd w:val="clear" w:color="auto" w:fill="DDDDDD"/>
          </w:tcPr>
          <w:p>
            <w:pPr>
              <w:spacing w:after="0"/>
              <w:rPr>
                <w:sz w:val="19"/>
                <w:szCs w:val="19"/>
                <w:color w:val="auto"/>
              </w:rPr>
            </w:pPr>
          </w:p>
        </w:tc>
        <w:tc>
          <w:tcPr>
            <w:tcW w:w="11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136.15</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Outstanding at December 31, 2019</w:t>
            </w:r>
          </w:p>
        </w:tc>
        <w:tc>
          <w:tcPr>
            <w:tcW w:w="1420" w:type="dxa"/>
            <w:vAlign w:val="bottom"/>
          </w:tcPr>
          <w:p>
            <w:pPr>
              <w:jc w:val="right"/>
              <w:spacing w:after="0"/>
              <w:rPr>
                <w:sz w:val="20"/>
                <w:szCs w:val="20"/>
                <w:color w:val="auto"/>
              </w:rPr>
            </w:pPr>
            <w:r>
              <w:rPr>
                <w:rFonts w:ascii="Arial" w:cs="Arial" w:eastAsia="Arial" w:hAnsi="Arial"/>
                <w:sz w:val="18"/>
                <w:szCs w:val="18"/>
                <w:color w:val="auto"/>
              </w:rPr>
              <w:t>18,731,562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109.87</w:t>
            </w:r>
          </w:p>
        </w:tc>
        <w:tc>
          <w:tcPr>
            <w:tcW w:w="0" w:type="dxa"/>
            <w:vAlign w:val="bottom"/>
          </w:tcPr>
          <w:p>
            <w:pPr>
              <w:spacing w:after="0"/>
              <w:rPr>
                <w:sz w:val="1"/>
                <w:szCs w:val="1"/>
                <w:color w:val="auto"/>
              </w:rPr>
            </w:pPr>
          </w:p>
        </w:tc>
      </w:tr>
      <w:tr>
        <w:trPr>
          <w:trHeight w:val="229"/>
        </w:trPr>
        <w:tc>
          <w:tcPr>
            <w:tcW w:w="8260" w:type="dxa"/>
            <w:vAlign w:val="bottom"/>
            <w:shd w:val="clear" w:color="auto" w:fill="DDDDDD"/>
          </w:tcPr>
          <w:p>
            <w:pPr>
              <w:ind w:left="20"/>
              <w:spacing w:after="0"/>
              <w:rPr>
                <w:sz w:val="20"/>
                <w:szCs w:val="20"/>
                <w:color w:val="auto"/>
              </w:rPr>
            </w:pPr>
            <w:r>
              <w:rPr>
                <w:rFonts w:ascii="Arial" w:cs="Arial" w:eastAsia="Arial" w:hAnsi="Arial"/>
                <w:sz w:val="18"/>
                <w:szCs w:val="18"/>
                <w:color w:val="auto"/>
              </w:rPr>
              <w:t>Granted</w:t>
            </w:r>
          </w:p>
        </w:tc>
        <w:tc>
          <w:tcPr>
            <w:tcW w:w="14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3,192,693</w:t>
            </w:r>
          </w:p>
        </w:tc>
        <w:tc>
          <w:tcPr>
            <w:tcW w:w="120" w:type="dxa"/>
            <w:vAlign w:val="bottom"/>
            <w:shd w:val="clear" w:color="auto" w:fill="DDDDDD"/>
          </w:tcPr>
          <w:p>
            <w:pPr>
              <w:spacing w:after="0"/>
              <w:rPr>
                <w:sz w:val="19"/>
                <w:szCs w:val="19"/>
                <w:color w:val="auto"/>
              </w:rPr>
            </w:pPr>
          </w:p>
        </w:tc>
        <w:tc>
          <w:tcPr>
            <w:tcW w:w="260" w:type="dxa"/>
            <w:vAlign w:val="bottom"/>
            <w:shd w:val="clear" w:color="auto" w:fill="DDDDDD"/>
          </w:tcPr>
          <w:p>
            <w:pPr>
              <w:spacing w:after="0"/>
              <w:rPr>
                <w:sz w:val="19"/>
                <w:szCs w:val="19"/>
                <w:color w:val="auto"/>
              </w:rPr>
            </w:pPr>
          </w:p>
        </w:tc>
        <w:tc>
          <w:tcPr>
            <w:tcW w:w="11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176.93</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Exercised</w:t>
            </w:r>
          </w:p>
        </w:tc>
        <w:tc>
          <w:tcPr>
            <w:tcW w:w="1420" w:type="dxa"/>
            <w:vAlign w:val="bottom"/>
          </w:tcPr>
          <w:p>
            <w:pPr>
              <w:jc w:val="right"/>
              <w:spacing w:after="0"/>
              <w:rPr>
                <w:sz w:val="20"/>
                <w:szCs w:val="20"/>
                <w:color w:val="auto"/>
              </w:rPr>
            </w:pPr>
            <w:r>
              <w:rPr>
                <w:rFonts w:ascii="Arial" w:cs="Arial" w:eastAsia="Arial" w:hAnsi="Arial"/>
                <w:sz w:val="18"/>
                <w:szCs w:val="18"/>
                <w:color w:val="auto"/>
              </w:rPr>
              <w:t>(4,424,754)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88.96</w:t>
            </w:r>
          </w:p>
        </w:tc>
        <w:tc>
          <w:tcPr>
            <w:tcW w:w="0" w:type="dxa"/>
            <w:vAlign w:val="bottom"/>
          </w:tcPr>
          <w:p>
            <w:pPr>
              <w:spacing w:after="0"/>
              <w:rPr>
                <w:sz w:val="1"/>
                <w:szCs w:val="1"/>
                <w:color w:val="auto"/>
              </w:rPr>
            </w:pPr>
          </w:p>
        </w:tc>
      </w:tr>
      <w:tr>
        <w:trPr>
          <w:trHeight w:val="229"/>
        </w:trPr>
        <w:tc>
          <w:tcPr>
            <w:tcW w:w="8260" w:type="dxa"/>
            <w:vAlign w:val="bottom"/>
            <w:shd w:val="clear" w:color="auto" w:fill="DDDDDD"/>
          </w:tcPr>
          <w:p>
            <w:pPr>
              <w:ind w:left="20"/>
              <w:spacing w:after="0"/>
              <w:rPr>
                <w:sz w:val="20"/>
                <w:szCs w:val="20"/>
                <w:color w:val="auto"/>
              </w:rPr>
            </w:pPr>
            <w:r>
              <w:rPr>
                <w:rFonts w:ascii="Arial" w:cs="Arial" w:eastAsia="Arial" w:hAnsi="Arial"/>
                <w:sz w:val="18"/>
                <w:szCs w:val="18"/>
                <w:color w:val="auto"/>
              </w:rPr>
              <w:t>Lapsed or canceled</w:t>
            </w:r>
          </w:p>
        </w:tc>
        <w:tc>
          <w:tcPr>
            <w:tcW w:w="14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(930,972)</w:t>
            </w:r>
          </w:p>
        </w:tc>
        <w:tc>
          <w:tcPr>
            <w:tcW w:w="120" w:type="dxa"/>
            <w:vAlign w:val="bottom"/>
            <w:shd w:val="clear" w:color="auto" w:fill="DDDDDD"/>
          </w:tcPr>
          <w:p>
            <w:pPr>
              <w:spacing w:after="0"/>
              <w:rPr>
                <w:sz w:val="19"/>
                <w:szCs w:val="19"/>
                <w:color w:val="auto"/>
              </w:rPr>
            </w:pPr>
          </w:p>
        </w:tc>
        <w:tc>
          <w:tcPr>
            <w:tcW w:w="260" w:type="dxa"/>
            <w:vAlign w:val="bottom"/>
            <w:shd w:val="clear" w:color="auto" w:fill="DDDDDD"/>
          </w:tcPr>
          <w:p>
            <w:pPr>
              <w:spacing w:after="0"/>
              <w:rPr>
                <w:sz w:val="19"/>
                <w:szCs w:val="19"/>
                <w:color w:val="auto"/>
              </w:rPr>
            </w:pPr>
          </w:p>
        </w:tc>
        <w:tc>
          <w:tcPr>
            <w:tcW w:w="11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156.62</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Outstanding at December 31, 2020</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16,568,529</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125.75</w:t>
            </w:r>
          </w:p>
        </w:tc>
        <w:tc>
          <w:tcPr>
            <w:tcW w:w="0" w:type="dxa"/>
            <w:vAlign w:val="bottom"/>
          </w:tcPr>
          <w:p>
            <w:pPr>
              <w:spacing w:after="0"/>
              <w:rPr>
                <w:sz w:val="1"/>
                <w:szCs w:val="1"/>
                <w:color w:val="auto"/>
              </w:rPr>
            </w:pPr>
          </w:p>
        </w:tc>
      </w:tr>
      <w:tr>
        <w:trPr>
          <w:trHeight w:val="20"/>
        </w:trPr>
        <w:tc>
          <w:tcPr>
            <w:tcW w:w="8260" w:type="dxa"/>
            <w:vAlign w:val="bottom"/>
            <w:tcBorders>
              <w:bottom w:val="single" w:sz="8" w:color="DDDDDD"/>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DDDDD"/>
            </w:tcBorders>
          </w:tcPr>
          <w:p>
            <w:pPr>
              <w:spacing w:after="0" w:line="20" w:lineRule="exact"/>
              <w:rPr>
                <w:sz w:val="1"/>
                <w:szCs w:val="1"/>
                <w:color w:val="auto"/>
              </w:rPr>
            </w:pPr>
          </w:p>
        </w:tc>
        <w:tc>
          <w:tcPr>
            <w:tcW w:w="260" w:type="dxa"/>
            <w:vAlign w:val="bottom"/>
            <w:tcBorders>
              <w:bottom w:val="single" w:sz="8" w:color="DDDDDD"/>
            </w:tcBorders>
          </w:tcPr>
          <w:p>
            <w:pPr>
              <w:spacing w:after="0" w:line="20" w:lineRule="exact"/>
              <w:rPr>
                <w:sz w:val="1"/>
                <w:szCs w:val="1"/>
                <w:color w:val="auto"/>
              </w:rPr>
            </w:pPr>
          </w:p>
        </w:tc>
        <w:tc>
          <w:tcPr>
            <w:tcW w:w="1180" w:type="dxa"/>
            <w:vAlign w:val="bottom"/>
            <w:tcBorders>
              <w:bottom w:val="single" w:sz="8" w:color="DDDDD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260" w:type="dxa"/>
            <w:vAlign w:val="bottom"/>
            <w:tcBorders>
              <w:bottom w:val="single" w:sz="8" w:color="DDDDDD"/>
            </w:tcBorders>
            <w:shd w:val="clear" w:color="auto" w:fill="DDDDDD"/>
          </w:tcPr>
          <w:p>
            <w:pPr>
              <w:ind w:left="20"/>
              <w:spacing w:after="0" w:line="223" w:lineRule="exact"/>
              <w:rPr>
                <w:sz w:val="20"/>
                <w:szCs w:val="20"/>
                <w:color w:val="auto"/>
              </w:rPr>
            </w:pPr>
            <w:r>
              <w:rPr>
                <w:rFonts w:ascii="Arial" w:cs="Arial" w:eastAsia="Arial" w:hAnsi="Arial"/>
                <w:sz w:val="18"/>
                <w:szCs w:val="18"/>
                <w:color w:val="auto"/>
              </w:rPr>
              <w:t>Vested and expected to vest at December 31, 2020</w:t>
            </w:r>
            <w:r>
              <w:rPr>
                <w:rFonts w:ascii="Arial" w:cs="Arial" w:eastAsia="Arial" w:hAnsi="Arial"/>
                <w:sz w:val="23"/>
                <w:szCs w:val="23"/>
                <w:color w:val="auto"/>
                <w:vertAlign w:val="superscript"/>
              </w:rPr>
              <w:t>(2)</w:t>
            </w:r>
          </w:p>
        </w:tc>
        <w:tc>
          <w:tcPr>
            <w:tcW w:w="14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15,442,367</w:t>
            </w:r>
          </w:p>
        </w:tc>
        <w:tc>
          <w:tcPr>
            <w:tcW w:w="380" w:type="dxa"/>
            <w:vAlign w:val="bottom"/>
            <w:tcBorders>
              <w:bottom w:val="single" w:sz="8" w:color="DDDDDD"/>
            </w:tcBorders>
            <w:gridSpan w:val="2"/>
            <w:shd w:val="clear" w:color="auto" w:fill="DDDDDD"/>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8"/>
                <w:szCs w:val="18"/>
                <w:color w:val="auto"/>
              </w:rPr>
              <w:t>122.63</w:t>
            </w:r>
          </w:p>
        </w:tc>
        <w:tc>
          <w:tcPr>
            <w:tcW w:w="0" w:type="dxa"/>
            <w:vAlign w:val="bottom"/>
          </w:tcPr>
          <w:p>
            <w:pPr>
              <w:spacing w:after="0"/>
              <w:rPr>
                <w:sz w:val="1"/>
                <w:szCs w:val="1"/>
                <w:color w:val="auto"/>
              </w:rPr>
            </w:pPr>
          </w:p>
        </w:tc>
      </w:tr>
      <w:tr>
        <w:trPr>
          <w:trHeight w:val="20"/>
        </w:trPr>
        <w:tc>
          <w:tcPr>
            <w:tcW w:w="8260" w:type="dxa"/>
            <w:vAlign w:val="bottom"/>
            <w:tcBorders>
              <w:top w:val="single" w:sz="8" w:color="DDDDDD"/>
            </w:tcBorders>
          </w:tcPr>
          <w:p>
            <w:pPr>
              <w:spacing w:after="0" w:line="20" w:lineRule="exact"/>
              <w:rPr>
                <w:sz w:val="1"/>
                <w:szCs w:val="1"/>
                <w:color w:val="auto"/>
              </w:rPr>
            </w:pPr>
          </w:p>
        </w:tc>
        <w:tc>
          <w:tcPr>
            <w:tcW w:w="1420" w:type="dxa"/>
            <w:vAlign w:val="bottom"/>
            <w:tcBorders>
              <w:top w:val="single" w:sz="8" w:color="DDDDDD"/>
              <w:bottom w:val="single" w:sz="8" w:color="auto"/>
            </w:tcBorders>
          </w:tcPr>
          <w:p>
            <w:pPr>
              <w:spacing w:after="0" w:line="20" w:lineRule="exact"/>
              <w:rPr>
                <w:sz w:val="1"/>
                <w:szCs w:val="1"/>
                <w:color w:val="auto"/>
              </w:rPr>
            </w:pPr>
          </w:p>
        </w:tc>
        <w:tc>
          <w:tcPr>
            <w:tcW w:w="120" w:type="dxa"/>
            <w:vAlign w:val="bottom"/>
            <w:tcBorders>
              <w:top w:val="single" w:sz="8" w:color="DDDDDD"/>
            </w:tcBorders>
          </w:tcPr>
          <w:p>
            <w:pPr>
              <w:spacing w:after="0" w:line="20" w:lineRule="exact"/>
              <w:rPr>
                <w:sz w:val="1"/>
                <w:szCs w:val="1"/>
                <w:color w:val="auto"/>
              </w:rPr>
            </w:pPr>
          </w:p>
        </w:tc>
        <w:tc>
          <w:tcPr>
            <w:tcW w:w="260" w:type="dxa"/>
            <w:vAlign w:val="bottom"/>
            <w:tcBorders>
              <w:top w:val="single" w:sz="8" w:color="DDDDDD"/>
            </w:tcBorders>
          </w:tcPr>
          <w:p>
            <w:pPr>
              <w:spacing w:after="0" w:line="20" w:lineRule="exact"/>
              <w:rPr>
                <w:sz w:val="1"/>
                <w:szCs w:val="1"/>
                <w:color w:val="auto"/>
              </w:rPr>
            </w:pPr>
          </w:p>
        </w:tc>
        <w:tc>
          <w:tcPr>
            <w:tcW w:w="1180" w:type="dxa"/>
            <w:vAlign w:val="bottom"/>
            <w:tcBorders>
              <w:top w:val="single" w:sz="8" w:color="DDDDD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260" w:type="dxa"/>
            <w:vAlign w:val="bottom"/>
          </w:tcPr>
          <w:p>
            <w:pPr>
              <w:ind w:left="20"/>
              <w:spacing w:after="0" w:line="203" w:lineRule="exact"/>
              <w:rPr>
                <w:sz w:val="20"/>
                <w:szCs w:val="20"/>
                <w:color w:val="auto"/>
              </w:rPr>
            </w:pPr>
            <w:r>
              <w:rPr>
                <w:rFonts w:ascii="Arial" w:cs="Arial" w:eastAsia="Arial" w:hAnsi="Arial"/>
                <w:sz w:val="18"/>
                <w:szCs w:val="18"/>
                <w:color w:val="auto"/>
              </w:rPr>
              <w:t>Exercisable at December 31, 2020</w:t>
            </w:r>
          </w:p>
        </w:tc>
        <w:tc>
          <w:tcPr>
            <w:tcW w:w="14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10,120,793</w:t>
            </w:r>
          </w:p>
        </w:tc>
        <w:tc>
          <w:tcPr>
            <w:tcW w:w="38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203" w:lineRule="exact"/>
              <w:rPr>
                <w:sz w:val="20"/>
                <w:szCs w:val="20"/>
                <w:color w:val="auto"/>
              </w:rPr>
            </w:pPr>
            <w:r>
              <w:rPr>
                <w:rFonts w:ascii="Arial" w:cs="Arial" w:eastAsia="Arial" w:hAnsi="Arial"/>
                <w:sz w:val="18"/>
                <w:szCs w:val="18"/>
                <w:color w:val="auto"/>
              </w:rPr>
              <w:t>103.89</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Additional options granted to offset the dilutive impact of the spin-offs on outstanding options.</w:t>
      </w:r>
    </w:p>
    <w:p>
      <w:pPr>
        <w:spacing w:after="0" w:line="9" w:lineRule="exact"/>
        <w:rPr>
          <w:rFonts w:ascii="Arial" w:cs="Arial" w:eastAsia="Arial" w:hAnsi="Arial"/>
          <w:sz w:val="18"/>
          <w:szCs w:val="18"/>
          <w:color w:val="auto"/>
        </w:rPr>
      </w:pPr>
    </w:p>
    <w:p>
      <w:pPr>
        <w:ind w:left="340" w:hanging="332"/>
        <w:spacing w:after="0" w:line="261" w:lineRule="auto"/>
        <w:tabs>
          <w:tab w:leader="none" w:pos="33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the sum of vested options of 10.1 million and expected to vest options of 5.3 million. Expected to vest options are derived by applying the pre-vesting forfeiture rate assumption to total outstanding unvested options of 6.4 million.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and exercisable at December 31, 2020:</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780" w:type="dxa"/>
            <w:vAlign w:val="bottom"/>
          </w:tcPr>
          <w:p>
            <w:pPr>
              <w:spacing w:after="0"/>
              <w:rPr>
                <w:sz w:val="17"/>
                <w:szCs w:val="17"/>
                <w:color w:val="auto"/>
              </w:rPr>
            </w:pPr>
          </w:p>
        </w:tc>
        <w:tc>
          <w:tcPr>
            <w:tcW w:w="1320" w:type="dxa"/>
            <w:vAlign w:val="bottom"/>
            <w:tcBorders>
              <w:bottom w:val="single" w:sz="8" w:color="DC202E"/>
            </w:tcBorders>
          </w:tcPr>
          <w:p>
            <w:pPr>
              <w:spacing w:after="0"/>
              <w:rPr>
                <w:sz w:val="17"/>
                <w:szCs w:val="17"/>
                <w:color w:val="auto"/>
              </w:rPr>
            </w:pPr>
          </w:p>
        </w:tc>
        <w:tc>
          <w:tcPr>
            <w:tcW w:w="100" w:type="dxa"/>
            <w:vAlign w:val="bottom"/>
            <w:tcBorders>
              <w:bottom w:val="single" w:sz="8" w:color="DC202E"/>
            </w:tcBorders>
          </w:tcPr>
          <w:p>
            <w:pPr>
              <w:spacing w:after="0"/>
              <w:rPr>
                <w:sz w:val="17"/>
                <w:szCs w:val="17"/>
                <w:color w:val="auto"/>
              </w:rPr>
            </w:pPr>
          </w:p>
        </w:tc>
        <w:tc>
          <w:tcPr>
            <w:tcW w:w="2700" w:type="dxa"/>
            <w:vAlign w:val="bottom"/>
            <w:tcBorders>
              <w:bottom w:val="single" w:sz="8" w:color="DC202E"/>
            </w:tcBorders>
            <w:gridSpan w:val="5"/>
          </w:tcPr>
          <w:p>
            <w:pPr>
              <w:ind w:left="520"/>
              <w:spacing w:after="0"/>
              <w:rPr>
                <w:sz w:val="20"/>
                <w:szCs w:val="20"/>
                <w:color w:val="auto"/>
              </w:rPr>
            </w:pPr>
            <w:r>
              <w:rPr>
                <w:rFonts w:ascii="Arial" w:cs="Arial" w:eastAsia="Arial" w:hAnsi="Arial"/>
                <w:sz w:val="14"/>
                <w:szCs w:val="14"/>
                <w:b w:val="1"/>
                <w:bCs w:val="1"/>
                <w:color w:val="auto"/>
              </w:rPr>
              <w:t>Options Outstanding</w:t>
            </w:r>
          </w:p>
        </w:tc>
        <w:tc>
          <w:tcPr>
            <w:tcW w:w="180" w:type="dxa"/>
            <w:vAlign w:val="bottom"/>
            <w:tcBorders>
              <w:bottom w:val="single" w:sz="8" w:color="DC202E"/>
            </w:tcBorders>
          </w:tcPr>
          <w:p>
            <w:pPr>
              <w:spacing w:after="0"/>
              <w:rPr>
                <w:sz w:val="17"/>
                <w:szCs w:val="17"/>
                <w:color w:val="auto"/>
              </w:rPr>
            </w:pPr>
          </w:p>
        </w:tc>
        <w:tc>
          <w:tcPr>
            <w:tcW w:w="1020" w:type="dxa"/>
            <w:vAlign w:val="bottom"/>
            <w:tcBorders>
              <w:bottom w:val="single" w:sz="8" w:color="DC202E"/>
            </w:tcBorders>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Borders>
              <w:bottom w:val="single" w:sz="8" w:color="DC202E"/>
            </w:tcBorders>
          </w:tcPr>
          <w:p>
            <w:pPr>
              <w:spacing w:after="0"/>
              <w:rPr>
                <w:sz w:val="17"/>
                <w:szCs w:val="17"/>
                <w:color w:val="auto"/>
              </w:rPr>
            </w:pPr>
          </w:p>
        </w:tc>
        <w:tc>
          <w:tcPr>
            <w:tcW w:w="1460" w:type="dxa"/>
            <w:vAlign w:val="bottom"/>
            <w:tcBorders>
              <w:bottom w:val="single" w:sz="8" w:color="DC202E"/>
            </w:tcBorders>
            <w:gridSpan w:val="5"/>
          </w:tcPr>
          <w:p>
            <w:pPr>
              <w:ind w:left="20"/>
              <w:spacing w:after="0"/>
              <w:rPr>
                <w:sz w:val="20"/>
                <w:szCs w:val="20"/>
                <w:color w:val="auto"/>
              </w:rPr>
            </w:pPr>
            <w:r>
              <w:rPr>
                <w:rFonts w:ascii="Arial" w:cs="Arial" w:eastAsia="Arial" w:hAnsi="Arial"/>
                <w:sz w:val="14"/>
                <w:szCs w:val="14"/>
                <w:b w:val="1"/>
                <w:bCs w:val="1"/>
                <w:color w:val="auto"/>
              </w:rPr>
              <w:t>Options Exercisable</w:t>
            </w:r>
          </w:p>
        </w:tc>
        <w:tc>
          <w:tcPr>
            <w:tcW w:w="180" w:type="dxa"/>
            <w:vAlign w:val="bottom"/>
            <w:tcBorders>
              <w:bottom w:val="single" w:sz="8" w:color="DC202E"/>
            </w:tcBorders>
          </w:tcPr>
          <w:p>
            <w:pPr>
              <w:spacing w:after="0"/>
              <w:rPr>
                <w:sz w:val="17"/>
                <w:szCs w:val="17"/>
                <w:color w:val="auto"/>
              </w:rPr>
            </w:pPr>
          </w:p>
        </w:tc>
        <w:tc>
          <w:tcPr>
            <w:tcW w:w="1060" w:type="dxa"/>
            <w:vAlign w:val="bottom"/>
            <w:tcBorders>
              <w:bottom w:val="single" w:sz="8" w:color="DC202E"/>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7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Weighted</w:t>
            </w:r>
          </w:p>
        </w:tc>
        <w:tc>
          <w:tcPr>
            <w:tcW w:w="180" w:type="dxa"/>
            <w:vAlign w:val="bottom"/>
          </w:tcPr>
          <w:p>
            <w:pPr>
              <w:spacing w:after="0"/>
              <w:rPr>
                <w:sz w:val="15"/>
                <w:szCs w:val="15"/>
                <w:color w:val="auto"/>
              </w:rPr>
            </w:pPr>
          </w:p>
        </w:tc>
        <w:tc>
          <w:tcPr>
            <w:tcW w:w="11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Aggregate</w:t>
            </w:r>
          </w:p>
        </w:tc>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Weighted</w:t>
            </w:r>
          </w:p>
        </w:tc>
        <w:tc>
          <w:tcPr>
            <w:tcW w:w="180" w:type="dxa"/>
            <w:vAlign w:val="bottom"/>
          </w:tcPr>
          <w:p>
            <w:pPr>
              <w:spacing w:after="0"/>
              <w:rPr>
                <w:sz w:val="15"/>
                <w:szCs w:val="15"/>
                <w:color w:val="auto"/>
              </w:rPr>
            </w:pPr>
          </w:p>
        </w:tc>
        <w:tc>
          <w:tcPr>
            <w:tcW w:w="1060" w:type="dxa"/>
            <w:vAlign w:val="bottom"/>
            <w:vMerge w:val="restart"/>
          </w:tcPr>
          <w:p>
            <w:pPr>
              <w:jc w:val="center"/>
              <w:ind w:right="96"/>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35"/>
        </w:trPr>
        <w:tc>
          <w:tcPr>
            <w:tcW w:w="1780" w:type="dxa"/>
            <w:vAlign w:val="bottom"/>
          </w:tcPr>
          <w:p>
            <w:pPr>
              <w:spacing w:after="0"/>
              <w:rPr>
                <w:sz w:val="11"/>
                <w:szCs w:val="11"/>
                <w:color w:val="auto"/>
              </w:rPr>
            </w:pPr>
          </w:p>
        </w:tc>
        <w:tc>
          <w:tcPr>
            <w:tcW w:w="132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1"/>
                <w:szCs w:val="11"/>
                <w:color w:val="auto"/>
              </w:rPr>
            </w:pPr>
          </w:p>
        </w:tc>
        <w:tc>
          <w:tcPr>
            <w:tcW w:w="142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Weighted</w:t>
            </w:r>
          </w:p>
        </w:tc>
        <w:tc>
          <w:tcPr>
            <w:tcW w:w="180" w:type="dxa"/>
            <w:vAlign w:val="bottom"/>
          </w:tcPr>
          <w:p>
            <w:pPr>
              <w:spacing w:after="0"/>
              <w:rPr>
                <w:sz w:val="11"/>
                <w:szCs w:val="11"/>
                <w:color w:val="auto"/>
              </w:rPr>
            </w:pPr>
          </w:p>
        </w:tc>
        <w:tc>
          <w:tcPr>
            <w:tcW w:w="110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Average</w:t>
            </w:r>
          </w:p>
        </w:tc>
        <w:tc>
          <w:tcPr>
            <w:tcW w:w="18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28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Number</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rPr>
              <w:t>Average</w:t>
            </w:r>
          </w:p>
        </w:tc>
        <w:tc>
          <w:tcPr>
            <w:tcW w:w="18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Range of Exercise Prices</w:t>
            </w:r>
          </w:p>
        </w:tc>
        <w:tc>
          <w:tcPr>
            <w:tcW w:w="13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Exercise</w:t>
            </w:r>
          </w:p>
        </w:tc>
        <w:tc>
          <w:tcPr>
            <w:tcW w:w="180" w:type="dxa"/>
            <w:vAlign w:val="bottom"/>
          </w:tcPr>
          <w:p>
            <w:pPr>
              <w:spacing w:after="0"/>
              <w:rPr>
                <w:sz w:val="11"/>
                <w:szCs w:val="11"/>
                <w:color w:val="auto"/>
              </w:rPr>
            </w:pPr>
          </w:p>
        </w:tc>
        <w:tc>
          <w:tcPr>
            <w:tcW w:w="11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Intrinsic</w:t>
            </w:r>
          </w:p>
        </w:tc>
        <w:tc>
          <w:tcPr>
            <w:tcW w:w="12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Exercise</w:t>
            </w:r>
          </w:p>
        </w:tc>
        <w:tc>
          <w:tcPr>
            <w:tcW w:w="180" w:type="dxa"/>
            <w:vAlign w:val="bottom"/>
          </w:tcPr>
          <w:p>
            <w:pPr>
              <w:spacing w:after="0"/>
              <w:rPr>
                <w:sz w:val="11"/>
                <w:szCs w:val="11"/>
                <w:color w:val="auto"/>
              </w:rPr>
            </w:pPr>
          </w:p>
        </w:tc>
        <w:tc>
          <w:tcPr>
            <w:tcW w:w="1060" w:type="dxa"/>
            <w:vAlign w:val="bottom"/>
          </w:tcPr>
          <w:p>
            <w:pPr>
              <w:jc w:val="center"/>
              <w:ind w:right="96"/>
              <w:spacing w:after="0" w:line="135"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83"/>
        </w:trPr>
        <w:tc>
          <w:tcPr>
            <w:tcW w:w="1780" w:type="dxa"/>
            <w:vAlign w:val="bottom"/>
            <w:tcBorders>
              <w:bottom w:val="single" w:sz="8" w:color="DDDDDD"/>
            </w:tcBorders>
            <w:vMerge w:val="continue"/>
          </w:tcPr>
          <w:p>
            <w:pPr>
              <w:spacing w:after="0"/>
              <w:rPr>
                <w:sz w:val="15"/>
                <w:szCs w:val="15"/>
                <w:color w:val="auto"/>
              </w:rPr>
            </w:pPr>
          </w:p>
        </w:tc>
        <w:tc>
          <w:tcPr>
            <w:tcW w:w="1320" w:type="dxa"/>
            <w:vAlign w:val="bottom"/>
            <w:tcBorders>
              <w:bottom w:val="single" w:sz="8" w:color="DC202E"/>
            </w:tcBorders>
          </w:tcPr>
          <w:p>
            <w:pPr>
              <w:jc w:val="right"/>
              <w:ind w:right="155"/>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Borders>
              <w:bottom w:val="single" w:sz="8" w:color="DDDDDD"/>
            </w:tcBorders>
          </w:tcPr>
          <w:p>
            <w:pPr>
              <w:spacing w:after="0"/>
              <w:rPr>
                <w:sz w:val="15"/>
                <w:szCs w:val="15"/>
                <w:color w:val="auto"/>
              </w:rPr>
            </w:pPr>
          </w:p>
        </w:tc>
        <w:tc>
          <w:tcPr>
            <w:tcW w:w="1300" w:type="dxa"/>
            <w:vAlign w:val="bottom"/>
            <w:tcBorders>
              <w:bottom w:val="single" w:sz="8" w:color="DC202E"/>
            </w:tcBorders>
          </w:tcPr>
          <w:p>
            <w:pPr>
              <w:jc w:val="right"/>
              <w:ind w:right="88"/>
              <w:spacing w:after="0" w:line="176" w:lineRule="exact"/>
              <w:rPr>
                <w:sz w:val="20"/>
                <w:szCs w:val="20"/>
                <w:color w:val="auto"/>
              </w:rPr>
            </w:pPr>
            <w:r>
              <w:rPr>
                <w:rFonts w:ascii="Arial" w:cs="Arial" w:eastAsia="Arial" w:hAnsi="Arial"/>
                <w:sz w:val="14"/>
                <w:szCs w:val="14"/>
                <w:b w:val="1"/>
                <w:bCs w:val="1"/>
                <w:color w:val="auto"/>
              </w:rPr>
              <w:t>Average Life</w:t>
            </w:r>
            <w:r>
              <w:rPr>
                <w:rFonts w:ascii="Arial" w:cs="Arial" w:eastAsia="Arial" w:hAnsi="Arial"/>
                <w:sz w:val="18"/>
                <w:szCs w:val="18"/>
                <w:b w:val="1"/>
                <w:bCs w:val="1"/>
                <w:color w:val="auto"/>
                <w:vertAlign w:val="superscript"/>
              </w:rPr>
              <w:t>(1)</w:t>
            </w:r>
          </w:p>
        </w:tc>
        <w:tc>
          <w:tcPr>
            <w:tcW w:w="120" w:type="dxa"/>
            <w:vAlign w:val="bottom"/>
            <w:tcBorders>
              <w:bottom w:val="single" w:sz="8" w:color="DDDDDD"/>
            </w:tcBorders>
          </w:tcPr>
          <w:p>
            <w:pPr>
              <w:spacing w:after="0"/>
              <w:rPr>
                <w:sz w:val="15"/>
                <w:szCs w:val="15"/>
                <w:color w:val="auto"/>
              </w:rPr>
            </w:pPr>
          </w:p>
        </w:tc>
        <w:tc>
          <w:tcPr>
            <w:tcW w:w="180" w:type="dxa"/>
            <w:vAlign w:val="bottom"/>
            <w:tcBorders>
              <w:bottom w:val="single" w:sz="8" w:color="DC202E"/>
            </w:tcBorders>
          </w:tcPr>
          <w:p>
            <w:pPr>
              <w:spacing w:after="0"/>
              <w:rPr>
                <w:sz w:val="15"/>
                <w:szCs w:val="15"/>
                <w:color w:val="auto"/>
              </w:rPr>
            </w:pPr>
          </w:p>
        </w:tc>
        <w:tc>
          <w:tcPr>
            <w:tcW w:w="980" w:type="dxa"/>
            <w:vAlign w:val="bottom"/>
            <w:tcBorders>
              <w:bottom w:val="single" w:sz="8" w:color="DC202E"/>
            </w:tcBorders>
          </w:tcPr>
          <w:p>
            <w:pPr>
              <w:jc w:val="center"/>
              <w:ind w:right="97"/>
              <w:spacing w:after="0"/>
              <w:rPr>
                <w:sz w:val="20"/>
                <w:szCs w:val="20"/>
                <w:color w:val="auto"/>
              </w:rPr>
            </w:pPr>
            <w:r>
              <w:rPr>
                <w:rFonts w:ascii="Arial" w:cs="Arial" w:eastAsia="Arial" w:hAnsi="Arial"/>
                <w:sz w:val="14"/>
                <w:szCs w:val="14"/>
                <w:b w:val="1"/>
                <w:bCs w:val="1"/>
                <w:color w:val="auto"/>
              </w:rPr>
              <w:t>Price</w:t>
            </w:r>
          </w:p>
        </w:tc>
        <w:tc>
          <w:tcPr>
            <w:tcW w:w="120" w:type="dxa"/>
            <w:vAlign w:val="bottom"/>
            <w:tcBorders>
              <w:bottom w:val="single" w:sz="8" w:color="DDDDDD"/>
            </w:tcBorders>
          </w:tcPr>
          <w:p>
            <w:pPr>
              <w:spacing w:after="0"/>
              <w:rPr>
                <w:sz w:val="15"/>
                <w:szCs w:val="15"/>
                <w:color w:val="auto"/>
              </w:rPr>
            </w:pPr>
          </w:p>
        </w:tc>
        <w:tc>
          <w:tcPr>
            <w:tcW w:w="180" w:type="dxa"/>
            <w:vAlign w:val="bottom"/>
            <w:tcBorders>
              <w:bottom w:val="single" w:sz="8" w:color="DC202E"/>
            </w:tcBorders>
          </w:tcPr>
          <w:p>
            <w:pPr>
              <w:spacing w:after="0"/>
              <w:rPr>
                <w:sz w:val="15"/>
                <w:szCs w:val="15"/>
                <w:color w:val="auto"/>
              </w:rPr>
            </w:pPr>
          </w:p>
        </w:tc>
        <w:tc>
          <w:tcPr>
            <w:tcW w:w="1020" w:type="dxa"/>
            <w:vAlign w:val="bottom"/>
            <w:tcBorders>
              <w:bottom w:val="single" w:sz="8" w:color="DC202E"/>
            </w:tcBorders>
          </w:tcPr>
          <w:p>
            <w:pPr>
              <w:jc w:val="center"/>
              <w:ind w:right="116"/>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DDDDDD"/>
            </w:tcBorders>
          </w:tcPr>
          <w:p>
            <w:pPr>
              <w:spacing w:after="0"/>
              <w:rPr>
                <w:sz w:val="15"/>
                <w:szCs w:val="15"/>
                <w:color w:val="auto"/>
              </w:rPr>
            </w:pPr>
          </w:p>
        </w:tc>
        <w:tc>
          <w:tcPr>
            <w:tcW w:w="1280" w:type="dxa"/>
            <w:vAlign w:val="bottom"/>
            <w:tcBorders>
              <w:bottom w:val="single" w:sz="8" w:color="DC202E"/>
            </w:tcBorders>
          </w:tcPr>
          <w:p>
            <w:pPr>
              <w:jc w:val="right"/>
              <w:ind w:right="135"/>
              <w:spacing w:after="0"/>
              <w:rPr>
                <w:sz w:val="20"/>
                <w:szCs w:val="20"/>
                <w:color w:val="auto"/>
              </w:rPr>
            </w:pPr>
            <w:r>
              <w:rPr>
                <w:rFonts w:ascii="Arial" w:cs="Arial" w:eastAsia="Arial" w:hAnsi="Arial"/>
                <w:sz w:val="14"/>
                <w:szCs w:val="14"/>
                <w:b w:val="1"/>
                <w:bCs w:val="1"/>
                <w:color w:val="auto"/>
              </w:rPr>
              <w:t>Exercisable</w:t>
            </w:r>
          </w:p>
        </w:tc>
        <w:tc>
          <w:tcPr>
            <w:tcW w:w="40" w:type="dxa"/>
            <w:vAlign w:val="bottom"/>
            <w:tcBorders>
              <w:bottom w:val="single" w:sz="8" w:color="DC202E"/>
            </w:tcBorders>
          </w:tcPr>
          <w:p>
            <w:pPr>
              <w:spacing w:after="0"/>
              <w:rPr>
                <w:sz w:val="15"/>
                <w:szCs w:val="15"/>
                <w:color w:val="auto"/>
              </w:rPr>
            </w:pPr>
          </w:p>
        </w:tc>
        <w:tc>
          <w:tcPr>
            <w:tcW w:w="120" w:type="dxa"/>
            <w:vAlign w:val="bottom"/>
            <w:tcBorders>
              <w:bottom w:val="single" w:sz="8" w:color="DDDDDD"/>
            </w:tcBorders>
          </w:tcPr>
          <w:p>
            <w:pPr>
              <w:spacing w:after="0"/>
              <w:rPr>
                <w:sz w:val="15"/>
                <w:szCs w:val="15"/>
                <w:color w:val="auto"/>
              </w:rPr>
            </w:pPr>
          </w:p>
        </w:tc>
        <w:tc>
          <w:tcPr>
            <w:tcW w:w="180" w:type="dxa"/>
            <w:vAlign w:val="bottom"/>
            <w:tcBorders>
              <w:bottom w:val="single" w:sz="8" w:color="DC202E"/>
            </w:tcBorders>
          </w:tcPr>
          <w:p>
            <w:pPr>
              <w:spacing w:after="0"/>
              <w:rPr>
                <w:sz w:val="15"/>
                <w:szCs w:val="15"/>
                <w:color w:val="auto"/>
              </w:rPr>
            </w:pPr>
          </w:p>
        </w:tc>
        <w:tc>
          <w:tcPr>
            <w:tcW w:w="1000" w:type="dxa"/>
            <w:vAlign w:val="bottom"/>
            <w:tcBorders>
              <w:bottom w:val="single" w:sz="8" w:color="DC202E"/>
            </w:tcBorders>
          </w:tcPr>
          <w:p>
            <w:pPr>
              <w:jc w:val="center"/>
              <w:ind w:right="97"/>
              <w:spacing w:after="0"/>
              <w:rPr>
                <w:sz w:val="20"/>
                <w:szCs w:val="20"/>
                <w:color w:val="auto"/>
              </w:rPr>
            </w:pPr>
            <w:r>
              <w:rPr>
                <w:rFonts w:ascii="Arial" w:cs="Arial" w:eastAsia="Arial" w:hAnsi="Arial"/>
                <w:sz w:val="14"/>
                <w:szCs w:val="14"/>
                <w:b w:val="1"/>
                <w:bCs w:val="1"/>
                <w:color w:val="auto"/>
                <w:w w:val="99"/>
              </w:rPr>
              <w:t>Price</w:t>
            </w:r>
          </w:p>
        </w:tc>
        <w:tc>
          <w:tcPr>
            <w:tcW w:w="120" w:type="dxa"/>
            <w:vAlign w:val="bottom"/>
            <w:tcBorders>
              <w:bottom w:val="single" w:sz="8" w:color="DDDDDD"/>
            </w:tcBorders>
          </w:tcPr>
          <w:p>
            <w:pPr>
              <w:spacing w:after="0"/>
              <w:rPr>
                <w:sz w:val="15"/>
                <w:szCs w:val="15"/>
                <w:color w:val="auto"/>
              </w:rPr>
            </w:pPr>
          </w:p>
        </w:tc>
        <w:tc>
          <w:tcPr>
            <w:tcW w:w="180" w:type="dxa"/>
            <w:vAlign w:val="bottom"/>
            <w:tcBorders>
              <w:bottom w:val="single" w:sz="8" w:color="DC202E"/>
            </w:tcBorders>
          </w:tcPr>
          <w:p>
            <w:pPr>
              <w:spacing w:after="0"/>
              <w:rPr>
                <w:sz w:val="15"/>
                <w:szCs w:val="15"/>
                <w:color w:val="auto"/>
              </w:rPr>
            </w:pPr>
          </w:p>
        </w:tc>
        <w:tc>
          <w:tcPr>
            <w:tcW w:w="1060" w:type="dxa"/>
            <w:vAlign w:val="bottom"/>
            <w:tcBorders>
              <w:bottom w:val="single" w:sz="8" w:color="DC202E"/>
            </w:tcBorders>
          </w:tcPr>
          <w:p>
            <w:pPr>
              <w:jc w:val="center"/>
              <w:ind w:right="96"/>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29"/>
        </w:trPr>
        <w:tc>
          <w:tcPr>
            <w:tcW w:w="1780" w:type="dxa"/>
            <w:vAlign w:val="bottom"/>
            <w:shd w:val="clear" w:color="auto" w:fill="DDDDDD"/>
          </w:tcPr>
          <w:p>
            <w:pPr>
              <w:ind w:left="20"/>
              <w:spacing w:after="0"/>
              <w:rPr>
                <w:sz w:val="20"/>
                <w:szCs w:val="20"/>
                <w:color w:val="auto"/>
              </w:rPr>
            </w:pPr>
            <w:r>
              <w:rPr>
                <w:rFonts w:ascii="Arial" w:cs="Arial" w:eastAsia="Arial" w:hAnsi="Arial"/>
                <w:sz w:val="18"/>
                <w:szCs w:val="18"/>
                <w:color w:val="auto"/>
              </w:rPr>
              <w:t>$27.00–$64.99</w:t>
            </w:r>
          </w:p>
        </w:tc>
        <w:tc>
          <w:tcPr>
            <w:tcW w:w="13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236,938</w:t>
            </w:r>
          </w:p>
        </w:tc>
        <w:tc>
          <w:tcPr>
            <w:tcW w:w="1400" w:type="dxa"/>
            <w:vAlign w:val="bottom"/>
            <w:gridSpan w:val="2"/>
            <w:shd w:val="clear" w:color="auto" w:fill="DDDDDD"/>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DDDDDD"/>
          </w:tcPr>
          <w:p>
            <w:pPr>
              <w:spacing w:after="0"/>
              <w:rPr>
                <w:sz w:val="19"/>
                <w:szCs w:val="19"/>
                <w:color w:val="auto"/>
              </w:rPr>
            </w:pPr>
          </w:p>
        </w:tc>
        <w:tc>
          <w:tcPr>
            <w:tcW w:w="180" w:type="dxa"/>
            <w:vAlign w:val="bottom"/>
            <w:shd w:val="clear" w:color="auto" w:fill="DDDDDD"/>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56.58</w:t>
            </w:r>
          </w:p>
        </w:tc>
        <w:tc>
          <w:tcPr>
            <w:tcW w:w="120" w:type="dxa"/>
            <w:vAlign w:val="bottom"/>
            <w:shd w:val="clear" w:color="auto" w:fill="DDDDDD"/>
          </w:tcPr>
          <w:p>
            <w:pPr>
              <w:spacing w:after="0"/>
              <w:rPr>
                <w:sz w:val="19"/>
                <w:szCs w:val="19"/>
                <w:color w:val="auto"/>
              </w:rPr>
            </w:pPr>
          </w:p>
        </w:tc>
        <w:tc>
          <w:tcPr>
            <w:tcW w:w="18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DDDDDD"/>
          </w:tcPr>
          <w:p>
            <w:pPr>
              <w:spacing w:after="0"/>
              <w:rPr>
                <w:sz w:val="19"/>
                <w:szCs w:val="19"/>
                <w:color w:val="auto"/>
              </w:rPr>
            </w:pPr>
          </w:p>
        </w:tc>
        <w:tc>
          <w:tcPr>
            <w:tcW w:w="12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236,938</w:t>
            </w:r>
          </w:p>
        </w:tc>
        <w:tc>
          <w:tcPr>
            <w:tcW w:w="340" w:type="dxa"/>
            <w:vAlign w:val="bottom"/>
            <w:gridSpan w:val="3"/>
            <w:shd w:val="clear" w:color="auto" w:fill="DDDDDD"/>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56.58</w:t>
            </w:r>
          </w:p>
        </w:tc>
        <w:tc>
          <w:tcPr>
            <w:tcW w:w="120" w:type="dxa"/>
            <w:vAlign w:val="bottom"/>
            <w:shd w:val="clear" w:color="auto" w:fill="DDDDDD"/>
          </w:tcPr>
          <w:p>
            <w:pPr>
              <w:spacing w:after="0"/>
              <w:rPr>
                <w:sz w:val="19"/>
                <w:szCs w:val="19"/>
                <w:color w:val="auto"/>
              </w:rPr>
            </w:pPr>
          </w:p>
        </w:tc>
        <w:tc>
          <w:tcPr>
            <w:tcW w:w="180" w:type="dxa"/>
            <w:vAlign w:val="bottom"/>
            <w:shd w:val="clear" w:color="auto" w:fill="DDDDDD"/>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1780" w:type="dxa"/>
            <w:vAlign w:val="bottom"/>
          </w:tcPr>
          <w:p>
            <w:pPr>
              <w:ind w:left="20"/>
              <w:spacing w:after="0"/>
              <w:rPr>
                <w:sz w:val="20"/>
                <w:szCs w:val="20"/>
                <w:color w:val="auto"/>
              </w:rPr>
            </w:pPr>
            <w:r>
              <w:rPr>
                <w:rFonts w:ascii="Arial" w:cs="Arial" w:eastAsia="Arial" w:hAnsi="Arial"/>
                <w:sz w:val="18"/>
                <w:szCs w:val="18"/>
                <w:color w:val="auto"/>
              </w:rPr>
              <w:t>$65.00–$89.99</w:t>
            </w:r>
          </w:p>
        </w:tc>
        <w:tc>
          <w:tcPr>
            <w:tcW w:w="1320" w:type="dxa"/>
            <w:vAlign w:val="bottom"/>
          </w:tcPr>
          <w:p>
            <w:pPr>
              <w:jc w:val="right"/>
              <w:spacing w:after="0"/>
              <w:rPr>
                <w:sz w:val="20"/>
                <w:szCs w:val="20"/>
                <w:color w:val="auto"/>
              </w:rPr>
            </w:pPr>
            <w:r>
              <w:rPr>
                <w:rFonts w:ascii="Arial" w:cs="Arial" w:eastAsia="Arial" w:hAnsi="Arial"/>
                <w:sz w:val="18"/>
                <w:szCs w:val="18"/>
                <w:color w:val="auto"/>
              </w:rPr>
              <w:t>2,541,403</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78.96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2,541,403</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78.96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30"/>
        </w:trPr>
        <w:tc>
          <w:tcPr>
            <w:tcW w:w="1780" w:type="dxa"/>
            <w:vAlign w:val="bottom"/>
            <w:shd w:val="clear" w:color="auto" w:fill="DDDDDD"/>
          </w:tcPr>
          <w:p>
            <w:pPr>
              <w:ind w:left="20"/>
              <w:spacing w:after="0"/>
              <w:rPr>
                <w:sz w:val="20"/>
                <w:szCs w:val="20"/>
                <w:color w:val="auto"/>
              </w:rPr>
            </w:pPr>
            <w:r>
              <w:rPr>
                <w:rFonts w:ascii="Arial" w:cs="Arial" w:eastAsia="Arial" w:hAnsi="Arial"/>
                <w:sz w:val="18"/>
                <w:szCs w:val="18"/>
                <w:color w:val="auto"/>
              </w:rPr>
              <w:t>$90.00–$99.99</w:t>
            </w:r>
          </w:p>
        </w:tc>
        <w:tc>
          <w:tcPr>
            <w:tcW w:w="13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3,980,975</w:t>
            </w:r>
          </w:p>
        </w:tc>
        <w:tc>
          <w:tcPr>
            <w:tcW w:w="1400" w:type="dxa"/>
            <w:vAlign w:val="bottom"/>
            <w:gridSpan w:val="2"/>
            <w:shd w:val="clear" w:color="auto" w:fill="DDDDDD"/>
          </w:tcPr>
          <w:p>
            <w:pPr>
              <w:jc w:val="right"/>
              <w:spacing w:after="0"/>
              <w:rPr>
                <w:sz w:val="20"/>
                <w:szCs w:val="20"/>
                <w:color w:val="auto"/>
              </w:rPr>
            </w:pPr>
            <w:r>
              <w:rPr>
                <w:rFonts w:ascii="Arial" w:cs="Arial" w:eastAsia="Arial" w:hAnsi="Arial"/>
                <w:sz w:val="18"/>
                <w:szCs w:val="18"/>
                <w:color w:val="auto"/>
              </w:rPr>
              <w:t>4.68</w:t>
            </w:r>
          </w:p>
        </w:tc>
        <w:tc>
          <w:tcPr>
            <w:tcW w:w="120" w:type="dxa"/>
            <w:vAlign w:val="bottom"/>
            <w:shd w:val="clear" w:color="auto" w:fill="DDDDDD"/>
          </w:tcPr>
          <w:p>
            <w:pPr>
              <w:spacing w:after="0"/>
              <w:rPr>
                <w:sz w:val="19"/>
                <w:szCs w:val="19"/>
                <w:color w:val="auto"/>
              </w:rPr>
            </w:pPr>
          </w:p>
        </w:tc>
        <w:tc>
          <w:tcPr>
            <w:tcW w:w="180" w:type="dxa"/>
            <w:vAlign w:val="bottom"/>
            <w:shd w:val="clear" w:color="auto" w:fill="DDDDDD"/>
          </w:tcPr>
          <w:p>
            <w:pPr>
              <w:spacing w:after="0"/>
              <w:rPr>
                <w:sz w:val="19"/>
                <w:szCs w:val="19"/>
                <w:color w:val="auto"/>
              </w:rPr>
            </w:pPr>
          </w:p>
        </w:tc>
        <w:tc>
          <w:tcPr>
            <w:tcW w:w="9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98.80</w:t>
            </w:r>
          </w:p>
        </w:tc>
        <w:tc>
          <w:tcPr>
            <w:tcW w:w="120" w:type="dxa"/>
            <w:vAlign w:val="bottom"/>
            <w:shd w:val="clear" w:color="auto" w:fill="DDDDDD"/>
          </w:tcPr>
          <w:p>
            <w:pPr>
              <w:spacing w:after="0"/>
              <w:rPr>
                <w:sz w:val="19"/>
                <w:szCs w:val="19"/>
                <w:color w:val="auto"/>
              </w:rPr>
            </w:pPr>
          </w:p>
        </w:tc>
        <w:tc>
          <w:tcPr>
            <w:tcW w:w="180" w:type="dxa"/>
            <w:vAlign w:val="bottom"/>
            <w:shd w:val="clear" w:color="auto" w:fill="DDDDDD"/>
          </w:tcPr>
          <w:p>
            <w:pPr>
              <w:spacing w:after="0"/>
              <w:rPr>
                <w:sz w:val="19"/>
                <w:szCs w:val="19"/>
                <w:color w:val="auto"/>
              </w:rPr>
            </w:pPr>
          </w:p>
        </w:tc>
        <w:tc>
          <w:tcPr>
            <w:tcW w:w="10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453</w:t>
            </w:r>
          </w:p>
        </w:tc>
        <w:tc>
          <w:tcPr>
            <w:tcW w:w="100" w:type="dxa"/>
            <w:vAlign w:val="bottom"/>
            <w:shd w:val="clear" w:color="auto" w:fill="DDDDDD"/>
          </w:tcPr>
          <w:p>
            <w:pPr>
              <w:spacing w:after="0"/>
              <w:rPr>
                <w:sz w:val="19"/>
                <w:szCs w:val="19"/>
                <w:color w:val="auto"/>
              </w:rPr>
            </w:pPr>
          </w:p>
        </w:tc>
        <w:tc>
          <w:tcPr>
            <w:tcW w:w="12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3,980,975</w:t>
            </w:r>
          </w:p>
        </w:tc>
        <w:tc>
          <w:tcPr>
            <w:tcW w:w="4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180" w:type="dxa"/>
            <w:vAlign w:val="bottom"/>
            <w:shd w:val="clear" w:color="auto" w:fill="DDDDDD"/>
          </w:tcPr>
          <w:p>
            <w:pPr>
              <w:spacing w:after="0"/>
              <w:rPr>
                <w:sz w:val="19"/>
                <w:szCs w:val="19"/>
                <w:color w:val="auto"/>
              </w:rPr>
            </w:pPr>
          </w:p>
        </w:tc>
        <w:tc>
          <w:tcPr>
            <w:tcW w:w="10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98.80</w:t>
            </w:r>
          </w:p>
        </w:tc>
        <w:tc>
          <w:tcPr>
            <w:tcW w:w="120" w:type="dxa"/>
            <w:vAlign w:val="bottom"/>
            <w:shd w:val="clear" w:color="auto" w:fill="DDDDDD"/>
          </w:tcPr>
          <w:p>
            <w:pPr>
              <w:spacing w:after="0"/>
              <w:rPr>
                <w:sz w:val="19"/>
                <w:szCs w:val="19"/>
                <w:color w:val="auto"/>
              </w:rPr>
            </w:pPr>
          </w:p>
        </w:tc>
        <w:tc>
          <w:tcPr>
            <w:tcW w:w="180" w:type="dxa"/>
            <w:vAlign w:val="bottom"/>
            <w:shd w:val="clear" w:color="auto" w:fill="DDDDDD"/>
          </w:tcPr>
          <w:p>
            <w:pPr>
              <w:spacing w:after="0"/>
              <w:rPr>
                <w:sz w:val="19"/>
                <w:szCs w:val="19"/>
                <w:color w:val="auto"/>
              </w:rPr>
            </w:pPr>
          </w:p>
        </w:tc>
        <w:tc>
          <w:tcPr>
            <w:tcW w:w="10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30"/>
        </w:trPr>
        <w:tc>
          <w:tcPr>
            <w:tcW w:w="1780" w:type="dxa"/>
            <w:vAlign w:val="bottom"/>
          </w:tcPr>
          <w:p>
            <w:pPr>
              <w:ind w:left="20"/>
              <w:spacing w:after="0"/>
              <w:rPr>
                <w:sz w:val="20"/>
                <w:szCs w:val="20"/>
                <w:color w:val="auto"/>
              </w:rPr>
            </w:pPr>
            <w:r>
              <w:rPr>
                <w:rFonts w:ascii="Arial" w:cs="Arial" w:eastAsia="Arial" w:hAnsi="Arial"/>
                <w:sz w:val="18"/>
                <w:szCs w:val="18"/>
                <w:color w:val="auto"/>
              </w:rPr>
              <w:t>$100.00–$134.99</w:t>
            </w:r>
          </w:p>
        </w:tc>
        <w:tc>
          <w:tcPr>
            <w:tcW w:w="1320" w:type="dxa"/>
            <w:vAlign w:val="bottom"/>
          </w:tcPr>
          <w:p>
            <w:pPr>
              <w:jc w:val="right"/>
              <w:spacing w:after="0"/>
              <w:rPr>
                <w:sz w:val="20"/>
                <w:szCs w:val="20"/>
                <w:color w:val="auto"/>
              </w:rPr>
            </w:pPr>
            <w:r>
              <w:rPr>
                <w:rFonts w:ascii="Arial" w:cs="Arial" w:eastAsia="Arial" w:hAnsi="Arial"/>
                <w:sz w:val="18"/>
                <w:szCs w:val="18"/>
                <w:color w:val="auto"/>
              </w:rPr>
              <w:t>2,892,011</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6.78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119.58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1,985,364</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118.64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30"/>
        </w:trPr>
        <w:tc>
          <w:tcPr>
            <w:tcW w:w="1780" w:type="dxa"/>
            <w:vAlign w:val="bottom"/>
            <w:shd w:val="clear" w:color="auto" w:fill="DDDDDD"/>
          </w:tcPr>
          <w:p>
            <w:pPr>
              <w:ind w:left="20"/>
              <w:spacing w:after="0"/>
              <w:rPr>
                <w:sz w:val="20"/>
                <w:szCs w:val="20"/>
                <w:color w:val="auto"/>
              </w:rPr>
            </w:pPr>
            <w:r>
              <w:rPr>
                <w:rFonts w:ascii="Arial" w:cs="Arial" w:eastAsia="Arial" w:hAnsi="Arial"/>
                <w:sz w:val="18"/>
                <w:szCs w:val="18"/>
                <w:color w:val="auto"/>
              </w:rPr>
              <w:t>$135.00–$180.99</w:t>
            </w:r>
          </w:p>
        </w:tc>
        <w:tc>
          <w:tcPr>
            <w:tcW w:w="13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6,917,202</w:t>
            </w:r>
          </w:p>
        </w:tc>
        <w:tc>
          <w:tcPr>
            <w:tcW w:w="1400" w:type="dxa"/>
            <w:vAlign w:val="bottom"/>
            <w:gridSpan w:val="2"/>
            <w:shd w:val="clear" w:color="auto" w:fill="DDDDDD"/>
          </w:tcPr>
          <w:p>
            <w:pPr>
              <w:jc w:val="right"/>
              <w:spacing w:after="0"/>
              <w:rPr>
                <w:sz w:val="20"/>
                <w:szCs w:val="20"/>
                <w:color w:val="auto"/>
              </w:rPr>
            </w:pPr>
            <w:r>
              <w:rPr>
                <w:rFonts w:ascii="Arial" w:cs="Arial" w:eastAsia="Arial" w:hAnsi="Arial"/>
                <w:sz w:val="18"/>
                <w:szCs w:val="18"/>
                <w:color w:val="auto"/>
              </w:rPr>
              <w:t>8.34</w:t>
            </w:r>
          </w:p>
        </w:tc>
        <w:tc>
          <w:tcPr>
            <w:tcW w:w="120" w:type="dxa"/>
            <w:vAlign w:val="bottom"/>
            <w:shd w:val="clear" w:color="auto" w:fill="DDDDDD"/>
          </w:tcPr>
          <w:p>
            <w:pPr>
              <w:spacing w:after="0"/>
              <w:rPr>
                <w:sz w:val="19"/>
                <w:szCs w:val="19"/>
                <w:color w:val="auto"/>
              </w:rPr>
            </w:pPr>
          </w:p>
        </w:tc>
        <w:tc>
          <w:tcPr>
            <w:tcW w:w="180" w:type="dxa"/>
            <w:vAlign w:val="bottom"/>
            <w:shd w:val="clear" w:color="auto" w:fill="DDDDDD"/>
          </w:tcPr>
          <w:p>
            <w:pPr>
              <w:spacing w:after="0"/>
              <w:rPr>
                <w:sz w:val="19"/>
                <w:szCs w:val="19"/>
                <w:color w:val="auto"/>
              </w:rPr>
            </w:pPr>
          </w:p>
        </w:tc>
        <w:tc>
          <w:tcPr>
            <w:tcW w:w="9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163.40</w:t>
            </w:r>
          </w:p>
        </w:tc>
        <w:tc>
          <w:tcPr>
            <w:tcW w:w="120" w:type="dxa"/>
            <w:vAlign w:val="bottom"/>
            <w:shd w:val="clear" w:color="auto" w:fill="DDDDDD"/>
          </w:tcPr>
          <w:p>
            <w:pPr>
              <w:spacing w:after="0"/>
              <w:rPr>
                <w:sz w:val="19"/>
                <w:szCs w:val="19"/>
                <w:color w:val="auto"/>
              </w:rPr>
            </w:pPr>
          </w:p>
        </w:tc>
        <w:tc>
          <w:tcPr>
            <w:tcW w:w="180" w:type="dxa"/>
            <w:vAlign w:val="bottom"/>
            <w:tcBorders>
              <w:bottom w:val="single" w:sz="8" w:color="auto"/>
            </w:tcBorders>
            <w:shd w:val="clear" w:color="auto" w:fill="DDDDDD"/>
          </w:tcPr>
          <w:p>
            <w:pPr>
              <w:spacing w:after="0"/>
              <w:rPr>
                <w:sz w:val="19"/>
                <w:szCs w:val="19"/>
                <w:color w:val="auto"/>
              </w:rPr>
            </w:pPr>
          </w:p>
        </w:tc>
        <w:tc>
          <w:tcPr>
            <w:tcW w:w="10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341</w:t>
            </w:r>
          </w:p>
        </w:tc>
        <w:tc>
          <w:tcPr>
            <w:tcW w:w="100" w:type="dxa"/>
            <w:vAlign w:val="bottom"/>
            <w:shd w:val="clear" w:color="auto" w:fill="DDDDDD"/>
          </w:tcPr>
          <w:p>
            <w:pPr>
              <w:spacing w:after="0"/>
              <w:rPr>
                <w:sz w:val="19"/>
                <w:szCs w:val="19"/>
                <w:color w:val="auto"/>
              </w:rPr>
            </w:pPr>
          </w:p>
        </w:tc>
        <w:tc>
          <w:tcPr>
            <w:tcW w:w="12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1,376,113</w:t>
            </w:r>
          </w:p>
        </w:tc>
        <w:tc>
          <w:tcPr>
            <w:tcW w:w="40" w:type="dxa"/>
            <w:vAlign w:val="bottom"/>
            <w:tcBorders>
              <w:bottom w:val="single" w:sz="8" w:color="auto"/>
            </w:tcBorders>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180" w:type="dxa"/>
            <w:vAlign w:val="bottom"/>
            <w:shd w:val="clear" w:color="auto" w:fill="DDDDDD"/>
          </w:tcPr>
          <w:p>
            <w:pPr>
              <w:spacing w:after="0"/>
              <w:rPr>
                <w:sz w:val="19"/>
                <w:szCs w:val="19"/>
                <w:color w:val="auto"/>
              </w:rPr>
            </w:pPr>
          </w:p>
        </w:tc>
        <w:tc>
          <w:tcPr>
            <w:tcW w:w="10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151.53</w:t>
            </w:r>
          </w:p>
        </w:tc>
        <w:tc>
          <w:tcPr>
            <w:tcW w:w="120" w:type="dxa"/>
            <w:vAlign w:val="bottom"/>
            <w:shd w:val="clear" w:color="auto" w:fill="DDDDDD"/>
          </w:tcPr>
          <w:p>
            <w:pPr>
              <w:spacing w:after="0"/>
              <w:rPr>
                <w:sz w:val="19"/>
                <w:szCs w:val="19"/>
                <w:color w:val="auto"/>
              </w:rPr>
            </w:pPr>
          </w:p>
        </w:tc>
        <w:tc>
          <w:tcPr>
            <w:tcW w:w="180" w:type="dxa"/>
            <w:vAlign w:val="bottom"/>
            <w:tcBorders>
              <w:bottom w:val="single" w:sz="8" w:color="auto"/>
            </w:tcBorders>
            <w:shd w:val="clear" w:color="auto" w:fill="DDDDDD"/>
          </w:tcPr>
          <w:p>
            <w:pPr>
              <w:spacing w:after="0"/>
              <w:rPr>
                <w:sz w:val="19"/>
                <w:szCs w:val="19"/>
                <w:color w:val="auto"/>
              </w:rPr>
            </w:pPr>
          </w:p>
        </w:tc>
        <w:tc>
          <w:tcPr>
            <w:tcW w:w="10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3"/>
        </w:trPr>
        <w:tc>
          <w:tcPr>
            <w:tcW w:w="17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16,568,529</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6.22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125.75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1,441</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10,120,793</w:t>
            </w:r>
          </w:p>
        </w:tc>
        <w:tc>
          <w:tcPr>
            <w:tcW w:w="3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103.89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1,101</w:t>
            </w: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(1) Average remaining contractual life in years.</w:t>
      </w:r>
    </w:p>
    <w:p>
      <w:pPr>
        <w:spacing w:after="0" w:line="114" w:lineRule="exact"/>
        <w:rPr>
          <w:sz w:val="20"/>
          <w:szCs w:val="20"/>
          <w:color w:val="auto"/>
        </w:rPr>
      </w:pPr>
    </w:p>
    <w:p>
      <w:pPr>
        <w:ind w:right="20"/>
        <w:spacing w:after="0" w:line="269" w:lineRule="auto"/>
        <w:rPr>
          <w:sz w:val="20"/>
          <w:szCs w:val="20"/>
          <w:color w:val="auto"/>
        </w:rPr>
      </w:pPr>
      <w:r>
        <w:rPr>
          <w:rFonts w:ascii="Arial" w:cs="Arial" w:eastAsia="Arial" w:hAnsi="Arial"/>
          <w:sz w:val="20"/>
          <w:szCs w:val="20"/>
          <w:color w:val="auto"/>
        </w:rPr>
        <w:t>T</w:t>
      </w:r>
      <w:r>
        <w:rPr>
          <w:rFonts w:ascii="Arial" w:cs="Arial" w:eastAsia="Arial" w:hAnsi="Arial"/>
          <w:sz w:val="17"/>
          <w:szCs w:val="17"/>
          <w:color w:val="auto"/>
        </w:rPr>
        <w:t>here were 11,620,992 and 14,073,120 options exercisable at weighted average exercise prices of $92.19 and $83.42 at December 31,</w:t>
      </w:r>
      <w:r>
        <w:rPr>
          <w:rFonts w:ascii="Arial" w:cs="Arial" w:eastAsia="Arial" w:hAnsi="Arial"/>
          <w:sz w:val="20"/>
          <w:szCs w:val="20"/>
          <w:color w:val="auto"/>
        </w:rPr>
        <w:t xml:space="preserve"> </w:t>
      </w:r>
      <w:r>
        <w:rPr>
          <w:rFonts w:ascii="Arial" w:cs="Arial" w:eastAsia="Arial" w:hAnsi="Arial"/>
          <w:sz w:val="17"/>
          <w:szCs w:val="17"/>
          <w:color w:val="auto"/>
        </w:rPr>
        <w:t>2019 and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80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83" w:name="page84"/>
    <w:bookmarkEnd w:id="83"/>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financial statement impact from stock options exercised:</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00" w:type="dxa"/>
            <w:vAlign w:val="bottom"/>
          </w:tcPr>
          <w:p>
            <w:pPr>
              <w:spacing w:after="0"/>
              <w:rPr>
                <w:sz w:val="17"/>
                <w:szCs w:val="17"/>
                <w:color w:val="auto"/>
              </w:rPr>
            </w:pPr>
          </w:p>
        </w:tc>
        <w:tc>
          <w:tcPr>
            <w:tcW w:w="340" w:type="dxa"/>
            <w:vAlign w:val="bottom"/>
            <w:tcBorders>
              <w:bottom w:val="single" w:sz="8" w:color="DC202E"/>
            </w:tcBorders>
          </w:tcPr>
          <w:p>
            <w:pPr>
              <w:spacing w:after="0"/>
              <w:rPr>
                <w:sz w:val="17"/>
                <w:szCs w:val="17"/>
                <w:color w:val="auto"/>
              </w:rPr>
            </w:pPr>
          </w:p>
        </w:tc>
        <w:tc>
          <w:tcPr>
            <w:tcW w:w="3100" w:type="dxa"/>
            <w:vAlign w:val="bottom"/>
            <w:tcBorders>
              <w:bottom w:val="single" w:sz="8" w:color="DC202E"/>
            </w:tcBorders>
            <w:gridSpan w:val="6"/>
          </w:tcPr>
          <w:p>
            <w:pPr>
              <w:jc w:val="right"/>
              <w:ind w:right="150"/>
              <w:spacing w:after="0"/>
              <w:rPr>
                <w:sz w:val="20"/>
                <w:szCs w:val="20"/>
                <w:color w:val="auto"/>
              </w:rPr>
            </w:pPr>
            <w:r>
              <w:rPr>
                <w:rFonts w:ascii="Arial" w:cs="Arial" w:eastAsia="Arial" w:hAnsi="Arial"/>
                <w:sz w:val="14"/>
                <w:szCs w:val="14"/>
                <w:b w:val="1"/>
                <w:bCs w:val="1"/>
                <w:color w:val="auto"/>
              </w:rPr>
              <w:t>Years Ended December 31,</w:t>
            </w:r>
          </w:p>
        </w:tc>
        <w:tc>
          <w:tcPr>
            <w:tcW w:w="1100" w:type="dxa"/>
            <w:vAlign w:val="bottom"/>
            <w:tcBorders>
              <w:bottom w:val="single" w:sz="8" w:color="DC202E"/>
            </w:tcBorders>
          </w:tcPr>
          <w:p>
            <w:pPr>
              <w:spacing w:after="0"/>
              <w:rPr>
                <w:sz w:val="17"/>
                <w:szCs w:val="17"/>
                <w:color w:val="auto"/>
              </w:rPr>
            </w:pPr>
          </w:p>
        </w:tc>
      </w:tr>
      <w:tr>
        <w:trPr>
          <w:trHeight w:val="358"/>
        </w:trPr>
        <w:tc>
          <w:tcPr>
            <w:tcW w:w="6700" w:type="dxa"/>
            <w:vAlign w:val="bottom"/>
            <w:tcBorders>
              <w:bottom w:val="single" w:sz="8" w:color="DC202E"/>
            </w:tcBorders>
          </w:tcPr>
          <w:p>
            <w:pPr>
              <w:ind w:left="20"/>
              <w:spacing w:after="0"/>
              <w:rPr>
                <w:sz w:val="20"/>
                <w:szCs w:val="20"/>
                <w:color w:val="auto"/>
              </w:rPr>
            </w:pPr>
            <w:r>
              <w:rPr>
                <w:rFonts w:ascii="Arial" w:cs="Arial" w:eastAsia="Arial" w:hAnsi="Arial"/>
                <w:sz w:val="14"/>
                <w:szCs w:val="14"/>
                <w:b w:val="1"/>
                <w:bCs w:val="1"/>
                <w:color w:val="auto"/>
              </w:rPr>
              <w:t>Options Exercised</w:t>
            </w:r>
          </w:p>
        </w:tc>
        <w:tc>
          <w:tcPr>
            <w:tcW w:w="340" w:type="dxa"/>
            <w:vAlign w:val="bottom"/>
            <w:tcBorders>
              <w:bottom w:val="single" w:sz="8" w:color="DC202E"/>
            </w:tcBorders>
          </w:tcPr>
          <w:p>
            <w:pPr>
              <w:spacing w:after="0"/>
              <w:rPr>
                <w:sz w:val="24"/>
                <w:szCs w:val="24"/>
                <w:color w:val="auto"/>
              </w:rPr>
            </w:pPr>
          </w:p>
        </w:tc>
        <w:tc>
          <w:tcPr>
            <w:tcW w:w="1100" w:type="dxa"/>
            <w:vAlign w:val="bottom"/>
            <w:tcBorders>
              <w:bottom w:val="single" w:sz="8" w:color="DC202E"/>
            </w:tcBorders>
          </w:tcPr>
          <w:p>
            <w:pPr>
              <w:jc w:val="right"/>
              <w:ind w:right="47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DDDDDD"/>
            </w:tcBorders>
          </w:tcPr>
          <w:p>
            <w:pPr>
              <w:spacing w:after="0"/>
              <w:rPr>
                <w:sz w:val="24"/>
                <w:szCs w:val="24"/>
                <w:color w:val="auto"/>
              </w:rPr>
            </w:pPr>
          </w:p>
        </w:tc>
        <w:tc>
          <w:tcPr>
            <w:tcW w:w="340" w:type="dxa"/>
            <w:vAlign w:val="bottom"/>
            <w:tcBorders>
              <w:bottom w:val="single" w:sz="8" w:color="DC202E"/>
            </w:tcBorders>
          </w:tcPr>
          <w:p>
            <w:pPr>
              <w:spacing w:after="0"/>
              <w:rPr>
                <w:sz w:val="24"/>
                <w:szCs w:val="24"/>
                <w:color w:val="auto"/>
              </w:rPr>
            </w:pPr>
          </w:p>
        </w:tc>
        <w:tc>
          <w:tcPr>
            <w:tcW w:w="1100" w:type="dxa"/>
            <w:vAlign w:val="bottom"/>
            <w:tcBorders>
              <w:bottom w:val="single" w:sz="8" w:color="DC202E"/>
            </w:tcBorders>
          </w:tcPr>
          <w:p>
            <w:pPr>
              <w:jc w:val="right"/>
              <w:ind w:right="47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DDDDDD"/>
            </w:tcBorders>
          </w:tcPr>
          <w:p>
            <w:pPr>
              <w:spacing w:after="0"/>
              <w:rPr>
                <w:sz w:val="24"/>
                <w:szCs w:val="24"/>
                <w:color w:val="auto"/>
              </w:rPr>
            </w:pPr>
          </w:p>
        </w:tc>
        <w:tc>
          <w:tcPr>
            <w:tcW w:w="340" w:type="dxa"/>
            <w:vAlign w:val="bottom"/>
            <w:tcBorders>
              <w:bottom w:val="single" w:sz="8" w:color="DC202E"/>
            </w:tcBorders>
          </w:tcPr>
          <w:p>
            <w:pPr>
              <w:spacing w:after="0"/>
              <w:rPr>
                <w:sz w:val="24"/>
                <w:szCs w:val="24"/>
                <w:color w:val="auto"/>
              </w:rPr>
            </w:pPr>
          </w:p>
        </w:tc>
        <w:tc>
          <w:tcPr>
            <w:tcW w:w="1100" w:type="dxa"/>
            <w:vAlign w:val="bottom"/>
            <w:tcBorders>
              <w:bottom w:val="single" w:sz="8" w:color="DC202E"/>
            </w:tcBorders>
          </w:tcPr>
          <w:p>
            <w:pPr>
              <w:jc w:val="right"/>
              <w:ind w:right="476"/>
              <w:spacing w:after="0"/>
              <w:rPr>
                <w:sz w:val="20"/>
                <w:szCs w:val="20"/>
                <w:color w:val="auto"/>
              </w:rPr>
            </w:pPr>
            <w:r>
              <w:rPr>
                <w:rFonts w:ascii="Arial" w:cs="Arial" w:eastAsia="Arial" w:hAnsi="Arial"/>
                <w:sz w:val="14"/>
                <w:szCs w:val="14"/>
                <w:b w:val="1"/>
                <w:bCs w:val="1"/>
                <w:color w:val="auto"/>
              </w:rPr>
              <w:t>2018</w:t>
            </w:r>
          </w:p>
        </w:tc>
      </w:tr>
      <w:tr>
        <w:trPr>
          <w:trHeight w:val="229"/>
        </w:trPr>
        <w:tc>
          <w:tcPr>
            <w:tcW w:w="6700" w:type="dxa"/>
            <w:vAlign w:val="bottom"/>
            <w:shd w:val="clear" w:color="auto" w:fill="DDDDDD"/>
          </w:tcPr>
          <w:p>
            <w:pPr>
              <w:ind w:left="20"/>
              <w:spacing w:after="0" w:line="230" w:lineRule="exact"/>
              <w:rPr>
                <w:sz w:val="20"/>
                <w:szCs w:val="20"/>
                <w:color w:val="auto"/>
              </w:rPr>
            </w:pPr>
            <w:r>
              <w:rPr>
                <w:rFonts w:ascii="Arial" w:cs="Arial" w:eastAsia="Arial" w:hAnsi="Arial"/>
                <w:sz w:val="18"/>
                <w:szCs w:val="18"/>
                <w:color w:val="auto"/>
              </w:rPr>
              <w:t>Intrinsic value</w:t>
            </w:r>
            <w:r>
              <w:rPr>
                <w:rFonts w:ascii="Arial" w:cs="Arial" w:eastAsia="Arial" w:hAnsi="Arial"/>
                <w:sz w:val="23"/>
                <w:szCs w:val="23"/>
                <w:color w:val="auto"/>
                <w:vertAlign w:val="superscript"/>
              </w:rPr>
              <w:t>(1)</w:t>
            </w:r>
          </w:p>
        </w:tc>
        <w:tc>
          <w:tcPr>
            <w:tcW w:w="3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379</w:t>
            </w:r>
          </w:p>
        </w:tc>
        <w:tc>
          <w:tcPr>
            <w:tcW w:w="100" w:type="dxa"/>
            <w:vAlign w:val="bottom"/>
            <w:shd w:val="clear" w:color="auto" w:fill="DDDDDD"/>
          </w:tcPr>
          <w:p>
            <w:pPr>
              <w:spacing w:after="0"/>
              <w:rPr>
                <w:sz w:val="19"/>
                <w:szCs w:val="19"/>
                <w:color w:val="auto"/>
              </w:rPr>
            </w:pPr>
          </w:p>
        </w:tc>
        <w:tc>
          <w:tcPr>
            <w:tcW w:w="3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483</w:t>
            </w:r>
          </w:p>
        </w:tc>
        <w:tc>
          <w:tcPr>
            <w:tcW w:w="120" w:type="dxa"/>
            <w:vAlign w:val="bottom"/>
            <w:shd w:val="clear" w:color="auto" w:fill="DDDDDD"/>
          </w:tcPr>
          <w:p>
            <w:pPr>
              <w:spacing w:after="0"/>
              <w:rPr>
                <w:sz w:val="19"/>
                <w:szCs w:val="19"/>
                <w:color w:val="auto"/>
              </w:rPr>
            </w:pPr>
          </w:p>
        </w:tc>
        <w:tc>
          <w:tcPr>
            <w:tcW w:w="3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238</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Tax benefit realized</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w:t>
            </w: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(1) Represents the amount by which the stock price exceeded the exercise price of the options on the date of exercise.</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At December 31, 2020, there was $88 million of total unrecognized compensation cost related to non-vested stock option awards which is expected to be recognized over a weighted-average period of 2.46 years. The total fair value of options vested for the years ended December 31, 2020, 2019 and 2018 was $55 million, $61 million and $73 million.</w:t>
      </w: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RESTRICTED STOCK UNITS</w:t>
      </w:r>
    </w:p>
    <w:p>
      <w:pPr>
        <w:spacing w:after="0" w:line="13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Restricted stock unit (RSU) awards entitle the holder to receive one share of common stock for each unit when the units vest. RSUs are issued to certain key employees and directors as compensation at fair market value at the date of grant. RSUs generally become fully vested over periods ranging from three to six years and are payable in Honeywell common stock upon vesting.</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RSU activity for the three years ended December 31, 2020:</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jc w:val="center"/>
              <w:ind w:right="195"/>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35"/>
        </w:trPr>
        <w:tc>
          <w:tcPr>
            <w:tcW w:w="7820" w:type="dxa"/>
            <w:vAlign w:val="bottom"/>
          </w:tcPr>
          <w:p>
            <w:pPr>
              <w:spacing w:after="0"/>
              <w:rPr>
                <w:sz w:val="11"/>
                <w:szCs w:val="11"/>
                <w:color w:val="auto"/>
              </w:rPr>
            </w:pPr>
          </w:p>
        </w:tc>
        <w:tc>
          <w:tcPr>
            <w:tcW w:w="16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tcPr>
          <w:p>
            <w:pPr>
              <w:jc w:val="center"/>
              <w:ind w:right="195"/>
              <w:spacing w:after="0" w:line="135"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35"/>
        </w:trPr>
        <w:tc>
          <w:tcPr>
            <w:tcW w:w="782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tcPr>
          <w:p>
            <w:pPr>
              <w:jc w:val="center"/>
              <w:ind w:right="195"/>
              <w:spacing w:after="0" w:line="135"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35"/>
        </w:trPr>
        <w:tc>
          <w:tcPr>
            <w:tcW w:w="7820" w:type="dxa"/>
            <w:vAlign w:val="bottom"/>
          </w:tcPr>
          <w:p>
            <w:pPr>
              <w:spacing w:after="0"/>
              <w:rPr>
                <w:sz w:val="11"/>
                <w:szCs w:val="11"/>
                <w:color w:val="auto"/>
              </w:rPr>
            </w:pPr>
          </w:p>
        </w:tc>
        <w:tc>
          <w:tcPr>
            <w:tcW w:w="16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Restricted</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tcPr>
          <w:p>
            <w:pPr>
              <w:jc w:val="center"/>
              <w:ind w:right="195"/>
              <w:spacing w:after="0" w:line="135" w:lineRule="exact"/>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83"/>
        </w:trPr>
        <w:tc>
          <w:tcPr>
            <w:tcW w:w="7820" w:type="dxa"/>
            <w:vAlign w:val="bottom"/>
            <w:tcBorders>
              <w:bottom w:val="single" w:sz="8" w:color="DDDDDD"/>
            </w:tcBorders>
          </w:tcPr>
          <w:p>
            <w:pPr>
              <w:spacing w:after="0"/>
              <w:rPr>
                <w:sz w:val="15"/>
                <w:szCs w:val="15"/>
                <w:color w:val="auto"/>
              </w:rPr>
            </w:pPr>
          </w:p>
        </w:tc>
        <w:tc>
          <w:tcPr>
            <w:tcW w:w="1660" w:type="dxa"/>
            <w:vAlign w:val="bottom"/>
            <w:tcBorders>
              <w:bottom w:val="single" w:sz="8" w:color="DC202E"/>
            </w:tcBorders>
          </w:tcPr>
          <w:p>
            <w:pPr>
              <w:jc w:val="center"/>
              <w:spacing w:after="0"/>
              <w:rPr>
                <w:sz w:val="20"/>
                <w:szCs w:val="20"/>
                <w:color w:val="auto"/>
              </w:rPr>
            </w:pPr>
            <w:r>
              <w:rPr>
                <w:rFonts w:ascii="Arial" w:cs="Arial" w:eastAsia="Arial" w:hAnsi="Arial"/>
                <w:sz w:val="14"/>
                <w:szCs w:val="14"/>
                <w:b w:val="1"/>
                <w:bCs w:val="1"/>
                <w:color w:val="auto"/>
              </w:rPr>
              <w:t>Stock Units</w:t>
            </w:r>
          </w:p>
        </w:tc>
        <w:tc>
          <w:tcPr>
            <w:tcW w:w="100" w:type="dxa"/>
            <w:vAlign w:val="bottom"/>
            <w:tcBorders>
              <w:bottom w:val="single" w:sz="8" w:color="DDDDDD"/>
            </w:tcBorders>
          </w:tcPr>
          <w:p>
            <w:pPr>
              <w:spacing w:after="0"/>
              <w:rPr>
                <w:sz w:val="15"/>
                <w:szCs w:val="15"/>
                <w:color w:val="auto"/>
              </w:rPr>
            </w:pPr>
          </w:p>
        </w:tc>
        <w:tc>
          <w:tcPr>
            <w:tcW w:w="280" w:type="dxa"/>
            <w:vAlign w:val="bottom"/>
            <w:tcBorders>
              <w:bottom w:val="single" w:sz="8" w:color="DC202E"/>
            </w:tcBorders>
          </w:tcPr>
          <w:p>
            <w:pPr>
              <w:spacing w:after="0"/>
              <w:rPr>
                <w:sz w:val="15"/>
                <w:szCs w:val="15"/>
                <w:color w:val="auto"/>
              </w:rPr>
            </w:pPr>
          </w:p>
        </w:tc>
        <w:tc>
          <w:tcPr>
            <w:tcW w:w="1380" w:type="dxa"/>
            <w:vAlign w:val="bottom"/>
            <w:tcBorders>
              <w:bottom w:val="single" w:sz="8" w:color="DC202E"/>
            </w:tcBorders>
          </w:tcPr>
          <w:p>
            <w:pPr>
              <w:jc w:val="center"/>
              <w:ind w:right="195"/>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229"/>
        </w:trPr>
        <w:tc>
          <w:tcPr>
            <w:tcW w:w="7820" w:type="dxa"/>
            <w:vAlign w:val="bottom"/>
            <w:shd w:val="clear" w:color="auto" w:fill="DDDDDD"/>
          </w:tcPr>
          <w:p>
            <w:pPr>
              <w:ind w:left="20"/>
              <w:spacing w:after="0"/>
              <w:rPr>
                <w:sz w:val="20"/>
                <w:szCs w:val="20"/>
                <w:color w:val="auto"/>
              </w:rPr>
            </w:pPr>
            <w:r>
              <w:rPr>
                <w:rFonts w:ascii="Arial" w:cs="Arial" w:eastAsia="Arial" w:hAnsi="Arial"/>
                <w:sz w:val="18"/>
                <w:szCs w:val="18"/>
                <w:color w:val="auto"/>
              </w:rPr>
              <w:t>Non-vested at December 31, 2017</w:t>
            </w:r>
          </w:p>
        </w:tc>
        <w:tc>
          <w:tcPr>
            <w:tcW w:w="16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3,946,827</w:t>
            </w:r>
          </w:p>
        </w:tc>
        <w:tc>
          <w:tcPr>
            <w:tcW w:w="380" w:type="dxa"/>
            <w:vAlign w:val="bottom"/>
            <w:gridSpan w:val="2"/>
            <w:shd w:val="clear" w:color="auto" w:fill="DDDDDD"/>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108.60</w:t>
            </w:r>
          </w:p>
        </w:tc>
        <w:tc>
          <w:tcPr>
            <w:tcW w:w="0" w:type="dxa"/>
            <w:vAlign w:val="bottom"/>
          </w:tcPr>
          <w:p>
            <w:pPr>
              <w:spacing w:after="0"/>
              <w:rPr>
                <w:sz w:val="1"/>
                <w:szCs w:val="1"/>
                <w:color w:val="auto"/>
              </w:rPr>
            </w:pPr>
          </w:p>
        </w:tc>
      </w:tr>
      <w:tr>
        <w:trPr>
          <w:trHeight w:val="230"/>
        </w:trPr>
        <w:tc>
          <w:tcPr>
            <w:tcW w:w="7820" w:type="dxa"/>
            <w:vAlign w:val="bottom"/>
          </w:tcPr>
          <w:p>
            <w:pPr>
              <w:ind w:left="20"/>
              <w:spacing w:after="0" w:line="230" w:lineRule="exact"/>
              <w:rPr>
                <w:sz w:val="20"/>
                <w:szCs w:val="20"/>
                <w:color w:val="auto"/>
              </w:rPr>
            </w:pPr>
            <w:r>
              <w:rPr>
                <w:rFonts w:ascii="Arial" w:cs="Arial" w:eastAsia="Arial" w:hAnsi="Arial"/>
                <w:sz w:val="18"/>
                <w:szCs w:val="18"/>
                <w:color w:val="auto"/>
              </w:rPr>
              <w:t>Spin related adjustment</w:t>
            </w:r>
            <w:r>
              <w:rPr>
                <w:rFonts w:ascii="Arial" w:cs="Arial" w:eastAsia="Arial" w:hAnsi="Arial"/>
                <w:sz w:val="23"/>
                <w:szCs w:val="23"/>
                <w:color w:val="auto"/>
                <w:vertAlign w:val="superscript"/>
              </w:rPr>
              <w:t>(1)</w:t>
            </w:r>
          </w:p>
        </w:tc>
        <w:tc>
          <w:tcPr>
            <w:tcW w:w="1660" w:type="dxa"/>
            <w:vAlign w:val="bottom"/>
          </w:tcPr>
          <w:p>
            <w:pPr>
              <w:jc w:val="right"/>
              <w:spacing w:after="0"/>
              <w:rPr>
                <w:sz w:val="20"/>
                <w:szCs w:val="20"/>
                <w:color w:val="auto"/>
              </w:rPr>
            </w:pPr>
            <w:r>
              <w:rPr>
                <w:rFonts w:ascii="Arial" w:cs="Arial" w:eastAsia="Arial" w:hAnsi="Arial"/>
                <w:sz w:val="18"/>
                <w:szCs w:val="18"/>
                <w:color w:val="auto"/>
              </w:rPr>
              <w:t>154,346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DDDDDD"/>
          </w:tcPr>
          <w:p>
            <w:pPr>
              <w:ind w:left="20"/>
              <w:spacing w:after="0"/>
              <w:rPr>
                <w:sz w:val="20"/>
                <w:szCs w:val="20"/>
                <w:color w:val="auto"/>
              </w:rPr>
            </w:pPr>
            <w:r>
              <w:rPr>
                <w:rFonts w:ascii="Arial" w:cs="Arial" w:eastAsia="Arial" w:hAnsi="Arial"/>
                <w:sz w:val="18"/>
                <w:szCs w:val="18"/>
                <w:color w:val="auto"/>
              </w:rPr>
              <w:t>Granted</w:t>
            </w:r>
          </w:p>
        </w:tc>
        <w:tc>
          <w:tcPr>
            <w:tcW w:w="16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1,360,338</w:t>
            </w:r>
          </w:p>
        </w:tc>
        <w:tc>
          <w:tcPr>
            <w:tcW w:w="100" w:type="dxa"/>
            <w:vAlign w:val="bottom"/>
            <w:shd w:val="clear" w:color="auto" w:fill="DDDDDD"/>
          </w:tcPr>
          <w:p>
            <w:pPr>
              <w:spacing w:after="0"/>
              <w:rPr>
                <w:sz w:val="19"/>
                <w:szCs w:val="19"/>
                <w:color w:val="auto"/>
              </w:rPr>
            </w:pPr>
          </w:p>
        </w:tc>
        <w:tc>
          <w:tcPr>
            <w:tcW w:w="280" w:type="dxa"/>
            <w:vAlign w:val="bottom"/>
            <w:shd w:val="clear" w:color="auto" w:fill="DDDDDD"/>
          </w:tcPr>
          <w:p>
            <w:pPr>
              <w:spacing w:after="0"/>
              <w:rPr>
                <w:sz w:val="19"/>
                <w:szCs w:val="19"/>
                <w:color w:val="auto"/>
              </w:rPr>
            </w:pPr>
          </w:p>
        </w:tc>
        <w:tc>
          <w:tcPr>
            <w:tcW w:w="13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153.46</w:t>
            </w:r>
          </w:p>
        </w:tc>
        <w:tc>
          <w:tcPr>
            <w:tcW w:w="0" w:type="dxa"/>
            <w:vAlign w:val="bottom"/>
          </w:tcPr>
          <w:p>
            <w:pPr>
              <w:spacing w:after="0"/>
              <w:rPr>
                <w:sz w:val="1"/>
                <w:szCs w:val="1"/>
                <w:color w:val="auto"/>
              </w:rPr>
            </w:pPr>
          </w:p>
        </w:tc>
      </w:tr>
      <w:tr>
        <w:trPr>
          <w:trHeight w:val="229"/>
        </w:trPr>
        <w:tc>
          <w:tcPr>
            <w:tcW w:w="7820" w:type="dxa"/>
            <w:vAlign w:val="bottom"/>
          </w:tcPr>
          <w:p>
            <w:pPr>
              <w:ind w:left="20"/>
              <w:spacing w:after="0"/>
              <w:rPr>
                <w:sz w:val="20"/>
                <w:szCs w:val="20"/>
                <w:color w:val="auto"/>
              </w:rPr>
            </w:pPr>
            <w:r>
              <w:rPr>
                <w:rFonts w:ascii="Arial" w:cs="Arial" w:eastAsia="Arial" w:hAnsi="Arial"/>
                <w:sz w:val="18"/>
                <w:szCs w:val="18"/>
                <w:color w:val="auto"/>
              </w:rPr>
              <w:t>Vested</w:t>
            </w:r>
          </w:p>
        </w:tc>
        <w:tc>
          <w:tcPr>
            <w:tcW w:w="1660" w:type="dxa"/>
            <w:vAlign w:val="bottom"/>
          </w:tcPr>
          <w:p>
            <w:pPr>
              <w:jc w:val="right"/>
              <w:spacing w:after="0"/>
              <w:rPr>
                <w:sz w:val="20"/>
                <w:szCs w:val="20"/>
                <w:color w:val="auto"/>
              </w:rPr>
            </w:pPr>
            <w:r>
              <w:rPr>
                <w:rFonts w:ascii="Arial" w:cs="Arial" w:eastAsia="Arial" w:hAnsi="Arial"/>
                <w:sz w:val="18"/>
                <w:szCs w:val="18"/>
                <w:color w:val="auto"/>
              </w:rPr>
              <w:t>(988,787)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91.68</w:t>
            </w:r>
          </w:p>
        </w:tc>
        <w:tc>
          <w:tcPr>
            <w:tcW w:w="0" w:type="dxa"/>
            <w:vAlign w:val="bottom"/>
          </w:tcPr>
          <w:p>
            <w:pPr>
              <w:spacing w:after="0"/>
              <w:rPr>
                <w:sz w:val="1"/>
                <w:szCs w:val="1"/>
                <w:color w:val="auto"/>
              </w:rPr>
            </w:pPr>
          </w:p>
        </w:tc>
      </w:tr>
      <w:tr>
        <w:trPr>
          <w:trHeight w:val="230"/>
        </w:trPr>
        <w:tc>
          <w:tcPr>
            <w:tcW w:w="7820" w:type="dxa"/>
            <w:vAlign w:val="bottom"/>
            <w:shd w:val="clear" w:color="auto" w:fill="DDDDDD"/>
          </w:tcPr>
          <w:p>
            <w:pPr>
              <w:ind w:left="20"/>
              <w:spacing w:after="0"/>
              <w:rPr>
                <w:sz w:val="20"/>
                <w:szCs w:val="20"/>
                <w:color w:val="auto"/>
              </w:rPr>
            </w:pPr>
            <w:r>
              <w:rPr>
                <w:rFonts w:ascii="Arial" w:cs="Arial" w:eastAsia="Arial" w:hAnsi="Arial"/>
                <w:sz w:val="18"/>
                <w:szCs w:val="18"/>
                <w:color w:val="auto"/>
              </w:rPr>
              <w:t>Forfeited</w:t>
            </w:r>
          </w:p>
        </w:tc>
        <w:tc>
          <w:tcPr>
            <w:tcW w:w="16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(814,851)</w:t>
            </w:r>
          </w:p>
        </w:tc>
        <w:tc>
          <w:tcPr>
            <w:tcW w:w="100" w:type="dxa"/>
            <w:vAlign w:val="bottom"/>
            <w:shd w:val="clear" w:color="auto" w:fill="DDDDDD"/>
          </w:tcPr>
          <w:p>
            <w:pPr>
              <w:spacing w:after="0"/>
              <w:rPr>
                <w:sz w:val="19"/>
                <w:szCs w:val="19"/>
                <w:color w:val="auto"/>
              </w:rPr>
            </w:pPr>
          </w:p>
        </w:tc>
        <w:tc>
          <w:tcPr>
            <w:tcW w:w="280" w:type="dxa"/>
            <w:vAlign w:val="bottom"/>
            <w:shd w:val="clear" w:color="auto" w:fill="DDDDDD"/>
          </w:tcPr>
          <w:p>
            <w:pPr>
              <w:spacing w:after="0"/>
              <w:rPr>
                <w:sz w:val="19"/>
                <w:szCs w:val="19"/>
                <w:color w:val="auto"/>
              </w:rPr>
            </w:pPr>
          </w:p>
        </w:tc>
        <w:tc>
          <w:tcPr>
            <w:tcW w:w="13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117.40</w:t>
            </w:r>
          </w:p>
        </w:tc>
        <w:tc>
          <w:tcPr>
            <w:tcW w:w="0" w:type="dxa"/>
            <w:vAlign w:val="bottom"/>
          </w:tcPr>
          <w:p>
            <w:pPr>
              <w:spacing w:after="0"/>
              <w:rPr>
                <w:sz w:val="1"/>
                <w:szCs w:val="1"/>
                <w:color w:val="auto"/>
              </w:rPr>
            </w:pPr>
          </w:p>
        </w:tc>
      </w:tr>
      <w:tr>
        <w:trPr>
          <w:trHeight w:val="223"/>
        </w:trPr>
        <w:tc>
          <w:tcPr>
            <w:tcW w:w="7820" w:type="dxa"/>
            <w:vAlign w:val="bottom"/>
          </w:tcPr>
          <w:p>
            <w:pPr>
              <w:ind w:left="20"/>
              <w:spacing w:after="0"/>
              <w:rPr>
                <w:sz w:val="20"/>
                <w:szCs w:val="20"/>
                <w:color w:val="auto"/>
              </w:rPr>
            </w:pPr>
            <w:r>
              <w:rPr>
                <w:rFonts w:ascii="Arial" w:cs="Arial" w:eastAsia="Arial" w:hAnsi="Arial"/>
                <w:sz w:val="18"/>
                <w:szCs w:val="18"/>
                <w:color w:val="auto"/>
              </w:rPr>
              <w:t>Non-vested at December 31, 2018</w:t>
            </w:r>
          </w:p>
        </w:tc>
        <w:tc>
          <w:tcPr>
            <w:tcW w:w="1660" w:type="dxa"/>
            <w:vAlign w:val="bottom"/>
          </w:tcPr>
          <w:p>
            <w:pPr>
              <w:jc w:val="right"/>
              <w:spacing w:after="0"/>
              <w:rPr>
                <w:sz w:val="20"/>
                <w:szCs w:val="20"/>
                <w:color w:val="auto"/>
              </w:rPr>
            </w:pPr>
            <w:r>
              <w:rPr>
                <w:rFonts w:ascii="Arial" w:cs="Arial" w:eastAsia="Arial" w:hAnsi="Arial"/>
                <w:sz w:val="18"/>
                <w:szCs w:val="18"/>
                <w:color w:val="auto"/>
              </w:rPr>
              <w:t>3,657,873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125.35</w:t>
            </w:r>
          </w:p>
        </w:tc>
        <w:tc>
          <w:tcPr>
            <w:tcW w:w="0" w:type="dxa"/>
            <w:vAlign w:val="bottom"/>
          </w:tcPr>
          <w:p>
            <w:pPr>
              <w:spacing w:after="0"/>
              <w:rPr>
                <w:sz w:val="1"/>
                <w:szCs w:val="1"/>
                <w:color w:val="auto"/>
              </w:rPr>
            </w:pPr>
          </w:p>
        </w:tc>
      </w:tr>
      <w:tr>
        <w:trPr>
          <w:trHeight w:val="230"/>
        </w:trPr>
        <w:tc>
          <w:tcPr>
            <w:tcW w:w="7820" w:type="dxa"/>
            <w:vAlign w:val="bottom"/>
            <w:shd w:val="clear" w:color="auto" w:fill="DDDDDD"/>
          </w:tcPr>
          <w:p>
            <w:pPr>
              <w:ind w:left="20"/>
              <w:spacing w:after="0"/>
              <w:rPr>
                <w:sz w:val="20"/>
                <w:szCs w:val="20"/>
                <w:color w:val="auto"/>
              </w:rPr>
            </w:pPr>
            <w:r>
              <w:rPr>
                <w:rFonts w:ascii="Arial" w:cs="Arial" w:eastAsia="Arial" w:hAnsi="Arial"/>
                <w:sz w:val="18"/>
                <w:szCs w:val="18"/>
                <w:color w:val="auto"/>
              </w:rPr>
              <w:t>Granted</w:t>
            </w:r>
          </w:p>
        </w:tc>
        <w:tc>
          <w:tcPr>
            <w:tcW w:w="16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1,200,202</w:t>
            </w:r>
          </w:p>
        </w:tc>
        <w:tc>
          <w:tcPr>
            <w:tcW w:w="100" w:type="dxa"/>
            <w:vAlign w:val="bottom"/>
            <w:shd w:val="clear" w:color="auto" w:fill="DDDDDD"/>
          </w:tcPr>
          <w:p>
            <w:pPr>
              <w:spacing w:after="0"/>
              <w:rPr>
                <w:sz w:val="19"/>
                <w:szCs w:val="19"/>
                <w:color w:val="auto"/>
              </w:rPr>
            </w:pPr>
          </w:p>
        </w:tc>
        <w:tc>
          <w:tcPr>
            <w:tcW w:w="280" w:type="dxa"/>
            <w:vAlign w:val="bottom"/>
            <w:shd w:val="clear" w:color="auto" w:fill="DDDDDD"/>
          </w:tcPr>
          <w:p>
            <w:pPr>
              <w:spacing w:after="0"/>
              <w:rPr>
                <w:sz w:val="19"/>
                <w:szCs w:val="19"/>
                <w:color w:val="auto"/>
              </w:rPr>
            </w:pPr>
          </w:p>
        </w:tc>
        <w:tc>
          <w:tcPr>
            <w:tcW w:w="13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162.43</w:t>
            </w:r>
          </w:p>
        </w:tc>
        <w:tc>
          <w:tcPr>
            <w:tcW w:w="0" w:type="dxa"/>
            <w:vAlign w:val="bottom"/>
          </w:tcPr>
          <w:p>
            <w:pPr>
              <w:spacing w:after="0"/>
              <w:rPr>
                <w:sz w:val="1"/>
                <w:szCs w:val="1"/>
                <w:color w:val="auto"/>
              </w:rPr>
            </w:pP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color w:val="auto"/>
              </w:rPr>
              <w:t>Vested</w:t>
            </w:r>
          </w:p>
        </w:tc>
        <w:tc>
          <w:tcPr>
            <w:tcW w:w="1660" w:type="dxa"/>
            <w:vAlign w:val="bottom"/>
          </w:tcPr>
          <w:p>
            <w:pPr>
              <w:jc w:val="right"/>
              <w:spacing w:after="0"/>
              <w:rPr>
                <w:sz w:val="20"/>
                <w:szCs w:val="20"/>
                <w:color w:val="auto"/>
              </w:rPr>
            </w:pPr>
            <w:r>
              <w:rPr>
                <w:rFonts w:ascii="Arial" w:cs="Arial" w:eastAsia="Arial" w:hAnsi="Arial"/>
                <w:sz w:val="18"/>
                <w:szCs w:val="18"/>
                <w:color w:val="auto"/>
              </w:rPr>
              <w:t>(1,160,333)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104.32</w:t>
            </w:r>
          </w:p>
        </w:tc>
        <w:tc>
          <w:tcPr>
            <w:tcW w:w="0" w:type="dxa"/>
            <w:vAlign w:val="bottom"/>
          </w:tcPr>
          <w:p>
            <w:pPr>
              <w:spacing w:after="0"/>
              <w:rPr>
                <w:sz w:val="1"/>
                <w:szCs w:val="1"/>
                <w:color w:val="auto"/>
              </w:rPr>
            </w:pPr>
          </w:p>
        </w:tc>
      </w:tr>
      <w:tr>
        <w:trPr>
          <w:trHeight w:val="230"/>
        </w:trPr>
        <w:tc>
          <w:tcPr>
            <w:tcW w:w="7820" w:type="dxa"/>
            <w:vAlign w:val="bottom"/>
            <w:shd w:val="clear" w:color="auto" w:fill="DDDDDD"/>
          </w:tcPr>
          <w:p>
            <w:pPr>
              <w:ind w:left="20"/>
              <w:spacing w:after="0"/>
              <w:rPr>
                <w:sz w:val="20"/>
                <w:szCs w:val="20"/>
                <w:color w:val="auto"/>
              </w:rPr>
            </w:pPr>
            <w:r>
              <w:rPr>
                <w:rFonts w:ascii="Arial" w:cs="Arial" w:eastAsia="Arial" w:hAnsi="Arial"/>
                <w:sz w:val="18"/>
                <w:szCs w:val="18"/>
                <w:color w:val="auto"/>
              </w:rPr>
              <w:t>Forfeited</w:t>
            </w:r>
          </w:p>
        </w:tc>
        <w:tc>
          <w:tcPr>
            <w:tcW w:w="16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(457,677)</w:t>
            </w:r>
          </w:p>
        </w:tc>
        <w:tc>
          <w:tcPr>
            <w:tcW w:w="100" w:type="dxa"/>
            <w:vAlign w:val="bottom"/>
            <w:shd w:val="clear" w:color="auto" w:fill="DDDDDD"/>
          </w:tcPr>
          <w:p>
            <w:pPr>
              <w:spacing w:after="0"/>
              <w:rPr>
                <w:sz w:val="19"/>
                <w:szCs w:val="19"/>
                <w:color w:val="auto"/>
              </w:rPr>
            </w:pPr>
          </w:p>
        </w:tc>
        <w:tc>
          <w:tcPr>
            <w:tcW w:w="280" w:type="dxa"/>
            <w:vAlign w:val="bottom"/>
            <w:shd w:val="clear" w:color="auto" w:fill="DDDDDD"/>
          </w:tcPr>
          <w:p>
            <w:pPr>
              <w:spacing w:after="0"/>
              <w:rPr>
                <w:sz w:val="19"/>
                <w:szCs w:val="19"/>
                <w:color w:val="auto"/>
              </w:rPr>
            </w:pPr>
          </w:p>
        </w:tc>
        <w:tc>
          <w:tcPr>
            <w:tcW w:w="13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134.50</w:t>
            </w:r>
          </w:p>
        </w:tc>
        <w:tc>
          <w:tcPr>
            <w:tcW w:w="0" w:type="dxa"/>
            <w:vAlign w:val="bottom"/>
          </w:tcPr>
          <w:p>
            <w:pPr>
              <w:spacing w:after="0"/>
              <w:rPr>
                <w:sz w:val="1"/>
                <w:szCs w:val="1"/>
                <w:color w:val="auto"/>
              </w:rPr>
            </w:pPr>
          </w:p>
        </w:tc>
      </w:tr>
      <w:tr>
        <w:trPr>
          <w:trHeight w:val="223"/>
        </w:trPr>
        <w:tc>
          <w:tcPr>
            <w:tcW w:w="7820" w:type="dxa"/>
            <w:vAlign w:val="bottom"/>
          </w:tcPr>
          <w:p>
            <w:pPr>
              <w:ind w:left="20"/>
              <w:spacing w:after="0"/>
              <w:rPr>
                <w:sz w:val="20"/>
                <w:szCs w:val="20"/>
                <w:color w:val="auto"/>
              </w:rPr>
            </w:pPr>
            <w:r>
              <w:rPr>
                <w:rFonts w:ascii="Arial" w:cs="Arial" w:eastAsia="Arial" w:hAnsi="Arial"/>
                <w:sz w:val="18"/>
                <w:szCs w:val="18"/>
                <w:color w:val="auto"/>
              </w:rPr>
              <w:t>Non-vested at December 31, 2019</w:t>
            </w:r>
          </w:p>
        </w:tc>
        <w:tc>
          <w:tcPr>
            <w:tcW w:w="1660" w:type="dxa"/>
            <w:vAlign w:val="bottom"/>
          </w:tcPr>
          <w:p>
            <w:pPr>
              <w:jc w:val="right"/>
              <w:spacing w:after="0"/>
              <w:rPr>
                <w:sz w:val="20"/>
                <w:szCs w:val="20"/>
                <w:color w:val="auto"/>
              </w:rPr>
            </w:pPr>
            <w:r>
              <w:rPr>
                <w:rFonts w:ascii="Arial" w:cs="Arial" w:eastAsia="Arial" w:hAnsi="Arial"/>
                <w:sz w:val="18"/>
                <w:szCs w:val="18"/>
                <w:color w:val="auto"/>
              </w:rPr>
              <w:t>3,240,065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143.07</w:t>
            </w:r>
          </w:p>
        </w:tc>
        <w:tc>
          <w:tcPr>
            <w:tcW w:w="0" w:type="dxa"/>
            <w:vAlign w:val="bottom"/>
          </w:tcPr>
          <w:p>
            <w:pPr>
              <w:spacing w:after="0"/>
              <w:rPr>
                <w:sz w:val="1"/>
                <w:szCs w:val="1"/>
                <w:color w:val="auto"/>
              </w:rPr>
            </w:pPr>
          </w:p>
        </w:tc>
      </w:tr>
      <w:tr>
        <w:trPr>
          <w:trHeight w:val="229"/>
        </w:trPr>
        <w:tc>
          <w:tcPr>
            <w:tcW w:w="7820" w:type="dxa"/>
            <w:vAlign w:val="bottom"/>
            <w:shd w:val="clear" w:color="auto" w:fill="DDDDDD"/>
          </w:tcPr>
          <w:p>
            <w:pPr>
              <w:ind w:left="20"/>
              <w:spacing w:after="0"/>
              <w:rPr>
                <w:sz w:val="20"/>
                <w:szCs w:val="20"/>
                <w:color w:val="auto"/>
              </w:rPr>
            </w:pPr>
            <w:r>
              <w:rPr>
                <w:rFonts w:ascii="Arial" w:cs="Arial" w:eastAsia="Arial" w:hAnsi="Arial"/>
                <w:sz w:val="18"/>
                <w:szCs w:val="18"/>
                <w:color w:val="auto"/>
              </w:rPr>
              <w:t>Granted</w:t>
            </w:r>
          </w:p>
        </w:tc>
        <w:tc>
          <w:tcPr>
            <w:tcW w:w="16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1,551,675</w:t>
            </w:r>
          </w:p>
        </w:tc>
        <w:tc>
          <w:tcPr>
            <w:tcW w:w="100" w:type="dxa"/>
            <w:vAlign w:val="bottom"/>
            <w:shd w:val="clear" w:color="auto" w:fill="DDDDDD"/>
          </w:tcPr>
          <w:p>
            <w:pPr>
              <w:spacing w:after="0"/>
              <w:rPr>
                <w:sz w:val="19"/>
                <w:szCs w:val="19"/>
                <w:color w:val="auto"/>
              </w:rPr>
            </w:pPr>
          </w:p>
        </w:tc>
        <w:tc>
          <w:tcPr>
            <w:tcW w:w="280" w:type="dxa"/>
            <w:vAlign w:val="bottom"/>
            <w:shd w:val="clear" w:color="auto" w:fill="DDDDDD"/>
          </w:tcPr>
          <w:p>
            <w:pPr>
              <w:spacing w:after="0"/>
              <w:rPr>
                <w:sz w:val="19"/>
                <w:szCs w:val="19"/>
                <w:color w:val="auto"/>
              </w:rPr>
            </w:pPr>
          </w:p>
        </w:tc>
        <w:tc>
          <w:tcPr>
            <w:tcW w:w="13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158.52</w:t>
            </w:r>
          </w:p>
        </w:tc>
        <w:tc>
          <w:tcPr>
            <w:tcW w:w="0" w:type="dxa"/>
            <w:vAlign w:val="bottom"/>
          </w:tcPr>
          <w:p>
            <w:pPr>
              <w:spacing w:after="0"/>
              <w:rPr>
                <w:sz w:val="1"/>
                <w:szCs w:val="1"/>
                <w:color w:val="auto"/>
              </w:rPr>
            </w:pP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color w:val="auto"/>
              </w:rPr>
              <w:t>Vested</w:t>
            </w:r>
          </w:p>
        </w:tc>
        <w:tc>
          <w:tcPr>
            <w:tcW w:w="1660" w:type="dxa"/>
            <w:vAlign w:val="bottom"/>
          </w:tcPr>
          <w:p>
            <w:pPr>
              <w:jc w:val="right"/>
              <w:spacing w:after="0"/>
              <w:rPr>
                <w:sz w:val="20"/>
                <w:szCs w:val="20"/>
                <w:color w:val="auto"/>
              </w:rPr>
            </w:pPr>
            <w:r>
              <w:rPr>
                <w:rFonts w:ascii="Arial" w:cs="Arial" w:eastAsia="Arial" w:hAnsi="Arial"/>
                <w:sz w:val="18"/>
                <w:szCs w:val="18"/>
                <w:color w:val="auto"/>
              </w:rPr>
              <w:t>(1,001,101)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117.84</w:t>
            </w:r>
          </w:p>
        </w:tc>
        <w:tc>
          <w:tcPr>
            <w:tcW w:w="0" w:type="dxa"/>
            <w:vAlign w:val="bottom"/>
          </w:tcPr>
          <w:p>
            <w:pPr>
              <w:spacing w:after="0"/>
              <w:rPr>
                <w:sz w:val="1"/>
                <w:szCs w:val="1"/>
                <w:color w:val="auto"/>
              </w:rPr>
            </w:pPr>
          </w:p>
        </w:tc>
      </w:tr>
      <w:tr>
        <w:trPr>
          <w:trHeight w:val="230"/>
        </w:trPr>
        <w:tc>
          <w:tcPr>
            <w:tcW w:w="7820" w:type="dxa"/>
            <w:vAlign w:val="bottom"/>
            <w:shd w:val="clear" w:color="auto" w:fill="DDDDDD"/>
          </w:tcPr>
          <w:p>
            <w:pPr>
              <w:ind w:left="20"/>
              <w:spacing w:after="0"/>
              <w:rPr>
                <w:sz w:val="20"/>
                <w:szCs w:val="20"/>
                <w:color w:val="auto"/>
              </w:rPr>
            </w:pPr>
            <w:r>
              <w:rPr>
                <w:rFonts w:ascii="Arial" w:cs="Arial" w:eastAsia="Arial" w:hAnsi="Arial"/>
                <w:sz w:val="18"/>
                <w:szCs w:val="18"/>
                <w:color w:val="auto"/>
              </w:rPr>
              <w:t>Forfeited</w:t>
            </w:r>
          </w:p>
        </w:tc>
        <w:tc>
          <w:tcPr>
            <w:tcW w:w="16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(394,116)</w:t>
            </w:r>
          </w:p>
        </w:tc>
        <w:tc>
          <w:tcPr>
            <w:tcW w:w="100" w:type="dxa"/>
            <w:vAlign w:val="bottom"/>
            <w:shd w:val="clear" w:color="auto" w:fill="DDDDDD"/>
          </w:tcPr>
          <w:p>
            <w:pPr>
              <w:spacing w:after="0"/>
              <w:rPr>
                <w:sz w:val="19"/>
                <w:szCs w:val="19"/>
                <w:color w:val="auto"/>
              </w:rPr>
            </w:pPr>
          </w:p>
        </w:tc>
        <w:tc>
          <w:tcPr>
            <w:tcW w:w="280" w:type="dxa"/>
            <w:vAlign w:val="bottom"/>
            <w:shd w:val="clear" w:color="auto" w:fill="DDDDDD"/>
          </w:tcPr>
          <w:p>
            <w:pPr>
              <w:spacing w:after="0"/>
              <w:rPr>
                <w:sz w:val="19"/>
                <w:szCs w:val="19"/>
                <w:color w:val="auto"/>
              </w:rPr>
            </w:pPr>
          </w:p>
        </w:tc>
        <w:tc>
          <w:tcPr>
            <w:tcW w:w="13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145.42</w:t>
            </w:r>
          </w:p>
        </w:tc>
        <w:tc>
          <w:tcPr>
            <w:tcW w:w="0" w:type="dxa"/>
            <w:vAlign w:val="bottom"/>
          </w:tcPr>
          <w:p>
            <w:pPr>
              <w:spacing w:after="0"/>
              <w:rPr>
                <w:sz w:val="1"/>
                <w:szCs w:val="1"/>
                <w:color w:val="auto"/>
              </w:rPr>
            </w:pPr>
          </w:p>
        </w:tc>
      </w:tr>
      <w:tr>
        <w:trPr>
          <w:trHeight w:val="223"/>
        </w:trPr>
        <w:tc>
          <w:tcPr>
            <w:tcW w:w="7820" w:type="dxa"/>
            <w:vAlign w:val="bottom"/>
          </w:tcPr>
          <w:p>
            <w:pPr>
              <w:ind w:left="20"/>
              <w:spacing w:after="0"/>
              <w:rPr>
                <w:sz w:val="20"/>
                <w:szCs w:val="20"/>
                <w:color w:val="auto"/>
              </w:rPr>
            </w:pPr>
            <w:r>
              <w:rPr>
                <w:rFonts w:ascii="Arial" w:cs="Arial" w:eastAsia="Arial" w:hAnsi="Arial"/>
                <w:sz w:val="18"/>
                <w:szCs w:val="18"/>
                <w:color w:val="auto"/>
              </w:rPr>
              <w:t>Non-vested at December 31, 2020</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3,396,523</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148.23</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(1) Additional RSU grants to offset the dilutive impact of the spin-offs on non-vested RSUs.</w:t>
      </w:r>
    </w:p>
    <w:p>
      <w:pPr>
        <w:spacing w:after="0" w:line="11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of December 31, 2020, there was approximately $290 million of total unrecognized compensation cost related to non-vested RSUs granted under our stock plans which is expected to be recognized over a weighted-average period of 3.30 years.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impact to the Consolidated Statement of Operations from RSUs: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20" w:type="dxa"/>
            <w:vAlign w:val="bottom"/>
          </w:tcPr>
          <w:p>
            <w:pPr>
              <w:spacing w:after="0"/>
              <w:rPr>
                <w:sz w:val="17"/>
                <w:szCs w:val="17"/>
                <w:color w:val="auto"/>
              </w:rPr>
            </w:pPr>
          </w:p>
        </w:tc>
        <w:tc>
          <w:tcPr>
            <w:tcW w:w="960" w:type="dxa"/>
            <w:vAlign w:val="bottom"/>
            <w:tcBorders>
              <w:bottom w:val="single" w:sz="8" w:color="DC202E"/>
            </w:tcBorders>
          </w:tcPr>
          <w:p>
            <w:pPr>
              <w:spacing w:after="0"/>
              <w:rPr>
                <w:sz w:val="17"/>
                <w:szCs w:val="17"/>
                <w:color w:val="auto"/>
              </w:rPr>
            </w:pPr>
          </w:p>
        </w:tc>
        <w:tc>
          <w:tcPr>
            <w:tcW w:w="2460" w:type="dxa"/>
            <w:vAlign w:val="bottom"/>
            <w:tcBorders>
              <w:bottom w:val="single" w:sz="8" w:color="DC202E"/>
            </w:tcBorders>
            <w:gridSpan w:val="6"/>
          </w:tcPr>
          <w:p>
            <w:pPr>
              <w:jc w:val="right"/>
              <w:ind w:right="150"/>
              <w:spacing w:after="0"/>
              <w:rPr>
                <w:sz w:val="20"/>
                <w:szCs w:val="20"/>
                <w:color w:val="auto"/>
              </w:rPr>
            </w:pPr>
            <w:r>
              <w:rPr>
                <w:rFonts w:ascii="Arial" w:cs="Arial" w:eastAsia="Arial" w:hAnsi="Arial"/>
                <w:sz w:val="14"/>
                <w:szCs w:val="14"/>
                <w:b w:val="1"/>
                <w:bCs w:val="1"/>
                <w:color w:val="auto"/>
              </w:rPr>
              <w:t>Years Ended December 31,</w:t>
            </w:r>
          </w:p>
        </w:tc>
        <w:tc>
          <w:tcPr>
            <w:tcW w:w="1100" w:type="dxa"/>
            <w:vAlign w:val="bottom"/>
            <w:tcBorders>
              <w:bottom w:val="single" w:sz="8" w:color="DC202E"/>
            </w:tcBorders>
          </w:tcPr>
          <w:p>
            <w:pPr>
              <w:spacing w:after="0"/>
              <w:rPr>
                <w:sz w:val="17"/>
                <w:szCs w:val="17"/>
                <w:color w:val="auto"/>
              </w:rPr>
            </w:pPr>
          </w:p>
        </w:tc>
      </w:tr>
      <w:tr>
        <w:trPr>
          <w:trHeight w:val="250"/>
        </w:trPr>
        <w:tc>
          <w:tcPr>
            <w:tcW w:w="6720" w:type="dxa"/>
            <w:vAlign w:val="bottom"/>
            <w:tcBorders>
              <w:bottom w:val="single" w:sz="8" w:color="DDDDDD"/>
            </w:tcBorders>
          </w:tcPr>
          <w:p>
            <w:pPr>
              <w:spacing w:after="0"/>
              <w:rPr>
                <w:sz w:val="21"/>
                <w:szCs w:val="21"/>
                <w:color w:val="auto"/>
              </w:rPr>
            </w:pPr>
          </w:p>
        </w:tc>
        <w:tc>
          <w:tcPr>
            <w:tcW w:w="96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DC202E"/>
            </w:tcBorders>
          </w:tcPr>
          <w:p>
            <w:pPr>
              <w:spacing w:after="0"/>
              <w:rPr>
                <w:sz w:val="21"/>
                <w:szCs w:val="21"/>
                <w:color w:val="auto"/>
              </w:rPr>
            </w:pPr>
          </w:p>
        </w:tc>
        <w:tc>
          <w:tcPr>
            <w:tcW w:w="120" w:type="dxa"/>
            <w:vAlign w:val="bottom"/>
            <w:tcBorders>
              <w:bottom w:val="single" w:sz="8" w:color="DDDDDD"/>
            </w:tcBorders>
          </w:tcPr>
          <w:p>
            <w:pPr>
              <w:spacing w:after="0"/>
              <w:rPr>
                <w:sz w:val="21"/>
                <w:szCs w:val="21"/>
                <w:color w:val="auto"/>
              </w:rPr>
            </w:pPr>
          </w:p>
        </w:tc>
        <w:tc>
          <w:tcPr>
            <w:tcW w:w="340" w:type="dxa"/>
            <w:vAlign w:val="bottom"/>
            <w:tcBorders>
              <w:bottom w:val="single" w:sz="8" w:color="DC202E"/>
            </w:tcBorders>
          </w:tcPr>
          <w:p>
            <w:pPr>
              <w:spacing w:after="0"/>
              <w:rPr>
                <w:sz w:val="21"/>
                <w:szCs w:val="21"/>
                <w:color w:val="auto"/>
              </w:rPr>
            </w:pPr>
          </w:p>
        </w:tc>
        <w:tc>
          <w:tcPr>
            <w:tcW w:w="1080" w:type="dxa"/>
            <w:vAlign w:val="bottom"/>
            <w:tcBorders>
              <w:bottom w:val="single" w:sz="8" w:color="DC202E"/>
            </w:tcBorders>
          </w:tcPr>
          <w:p>
            <w:pPr>
              <w:jc w:val="right"/>
              <w:ind w:right="45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DDDDDD"/>
            </w:tcBorders>
          </w:tcPr>
          <w:p>
            <w:pPr>
              <w:spacing w:after="0"/>
              <w:rPr>
                <w:sz w:val="21"/>
                <w:szCs w:val="21"/>
                <w:color w:val="auto"/>
              </w:rPr>
            </w:pPr>
          </w:p>
        </w:tc>
        <w:tc>
          <w:tcPr>
            <w:tcW w:w="340" w:type="dxa"/>
            <w:vAlign w:val="bottom"/>
            <w:tcBorders>
              <w:bottom w:val="single" w:sz="8" w:color="DC202E"/>
            </w:tcBorders>
          </w:tcPr>
          <w:p>
            <w:pPr>
              <w:spacing w:after="0"/>
              <w:rPr>
                <w:sz w:val="21"/>
                <w:szCs w:val="21"/>
                <w:color w:val="auto"/>
              </w:rPr>
            </w:pPr>
          </w:p>
        </w:tc>
        <w:tc>
          <w:tcPr>
            <w:tcW w:w="1100" w:type="dxa"/>
            <w:vAlign w:val="bottom"/>
            <w:tcBorders>
              <w:bottom w:val="single" w:sz="8" w:color="DC202E"/>
            </w:tcBorders>
          </w:tcPr>
          <w:p>
            <w:pPr>
              <w:jc w:val="right"/>
              <w:ind w:right="476"/>
              <w:spacing w:after="0"/>
              <w:rPr>
                <w:sz w:val="20"/>
                <w:szCs w:val="20"/>
                <w:color w:val="auto"/>
              </w:rPr>
            </w:pPr>
            <w:r>
              <w:rPr>
                <w:rFonts w:ascii="Arial" w:cs="Arial" w:eastAsia="Arial" w:hAnsi="Arial"/>
                <w:sz w:val="14"/>
                <w:szCs w:val="14"/>
                <w:b w:val="1"/>
                <w:bCs w:val="1"/>
                <w:color w:val="auto"/>
              </w:rPr>
              <w:t>2018</w:t>
            </w:r>
          </w:p>
        </w:tc>
      </w:tr>
      <w:tr>
        <w:trPr>
          <w:trHeight w:val="230"/>
        </w:trPr>
        <w:tc>
          <w:tcPr>
            <w:tcW w:w="6720" w:type="dxa"/>
            <w:vAlign w:val="bottom"/>
            <w:shd w:val="clear" w:color="auto" w:fill="DDDDDD"/>
          </w:tcPr>
          <w:p>
            <w:pPr>
              <w:ind w:left="20"/>
              <w:spacing w:after="0"/>
              <w:rPr>
                <w:sz w:val="20"/>
                <w:szCs w:val="20"/>
                <w:color w:val="auto"/>
              </w:rPr>
            </w:pPr>
            <w:r>
              <w:rPr>
                <w:rFonts w:ascii="Arial" w:cs="Arial" w:eastAsia="Arial" w:hAnsi="Arial"/>
                <w:sz w:val="18"/>
                <w:szCs w:val="18"/>
                <w:color w:val="auto"/>
              </w:rPr>
              <w:t>Compensation expense</w:t>
            </w:r>
          </w:p>
        </w:tc>
        <w:tc>
          <w:tcPr>
            <w:tcW w:w="960" w:type="dxa"/>
            <w:vAlign w:val="bottom"/>
            <w:shd w:val="clear" w:color="auto" w:fill="DDDDDD"/>
          </w:tcPr>
          <w:p>
            <w:pPr>
              <w:jc w:val="right"/>
              <w:ind w:right="759"/>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DDDDDD"/>
          </w:tcPr>
          <w:p>
            <w:pPr>
              <w:spacing w:after="0"/>
              <w:rPr>
                <w:sz w:val="19"/>
                <w:szCs w:val="19"/>
                <w:color w:val="auto"/>
              </w:rPr>
            </w:pPr>
          </w:p>
        </w:tc>
        <w:tc>
          <w:tcPr>
            <w:tcW w:w="3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DDDDDD"/>
          </w:tcPr>
          <w:p>
            <w:pPr>
              <w:spacing w:after="0"/>
              <w:rPr>
                <w:sz w:val="19"/>
                <w:szCs w:val="19"/>
                <w:color w:val="auto"/>
              </w:rPr>
            </w:pPr>
          </w:p>
        </w:tc>
        <w:tc>
          <w:tcPr>
            <w:tcW w:w="3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111</w:t>
            </w:r>
          </w:p>
        </w:tc>
      </w:tr>
      <w:tr>
        <w:trPr>
          <w:trHeight w:val="229"/>
        </w:trPr>
        <w:tc>
          <w:tcPr>
            <w:tcW w:w="6720" w:type="dxa"/>
            <w:vAlign w:val="bottom"/>
          </w:tcPr>
          <w:p>
            <w:pPr>
              <w:ind w:left="20"/>
              <w:spacing w:after="0"/>
              <w:rPr>
                <w:sz w:val="20"/>
                <w:szCs w:val="20"/>
                <w:color w:val="auto"/>
              </w:rPr>
            </w:pPr>
            <w:r>
              <w:rPr>
                <w:rFonts w:ascii="Arial" w:cs="Arial" w:eastAsia="Arial" w:hAnsi="Arial"/>
                <w:sz w:val="18"/>
                <w:szCs w:val="18"/>
                <w:color w:val="auto"/>
              </w:rPr>
              <w:t>Future income tax benefit recognized</w:t>
            </w: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81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84" w:name="page85"/>
    <w:bookmarkEnd w:id="84"/>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9"/>
          <w:szCs w:val="29"/>
          <w:b w:val="1"/>
          <w:bCs w:val="1"/>
          <w:color w:val="DC202E"/>
        </w:rPr>
        <w:t>NOTE 17. EARNINGS PER SHARE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details of the earnings per share calculations for the years ended December 31, 2020, 2019 and 2018 are as follows (shares in millions):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340" w:type="dxa"/>
            <w:vAlign w:val="bottom"/>
            <w:tcBorders>
              <w:bottom w:val="single" w:sz="8" w:color="DC202E"/>
            </w:tcBorders>
          </w:tcPr>
          <w:p>
            <w:pPr>
              <w:spacing w:after="0"/>
              <w:rPr>
                <w:sz w:val="17"/>
                <w:szCs w:val="17"/>
                <w:color w:val="auto"/>
              </w:rPr>
            </w:pPr>
          </w:p>
        </w:tc>
        <w:tc>
          <w:tcPr>
            <w:tcW w:w="3100" w:type="dxa"/>
            <w:vAlign w:val="bottom"/>
            <w:tcBorders>
              <w:bottom w:val="single" w:sz="8" w:color="DC202E"/>
            </w:tcBorders>
            <w:gridSpan w:val="6"/>
          </w:tcPr>
          <w:p>
            <w:pPr>
              <w:jc w:val="center"/>
              <w:ind w:left="656"/>
              <w:spacing w:after="0"/>
              <w:rPr>
                <w:sz w:val="20"/>
                <w:szCs w:val="20"/>
                <w:color w:val="auto"/>
              </w:rPr>
            </w:pPr>
            <w:r>
              <w:rPr>
                <w:rFonts w:ascii="Arial" w:cs="Arial" w:eastAsia="Arial" w:hAnsi="Arial"/>
                <w:sz w:val="14"/>
                <w:szCs w:val="14"/>
                <w:b w:val="1"/>
                <w:bCs w:val="1"/>
                <w:color w:val="auto"/>
              </w:rPr>
              <w:t>Years Ended December 31,</w:t>
            </w:r>
          </w:p>
        </w:tc>
        <w:tc>
          <w:tcPr>
            <w:tcW w:w="1100" w:type="dxa"/>
            <w:vAlign w:val="bottom"/>
            <w:tcBorders>
              <w:bottom w:val="single" w:sz="8" w:color="DC202E"/>
            </w:tcBorders>
          </w:tcPr>
          <w:p>
            <w:pPr>
              <w:spacing w:after="0"/>
              <w:rPr>
                <w:sz w:val="17"/>
                <w:szCs w:val="17"/>
                <w:color w:val="auto"/>
              </w:rPr>
            </w:pPr>
          </w:p>
        </w:tc>
      </w:tr>
      <w:tr>
        <w:trPr>
          <w:trHeight w:val="250"/>
        </w:trPr>
        <w:tc>
          <w:tcPr>
            <w:tcW w:w="20" w:type="dxa"/>
            <w:vAlign w:val="bottom"/>
            <w:tcBorders>
              <w:bottom w:val="single" w:sz="8" w:color="DC202E"/>
            </w:tcBorders>
          </w:tcPr>
          <w:p>
            <w:pPr>
              <w:spacing w:after="0"/>
              <w:rPr>
                <w:sz w:val="21"/>
                <w:szCs w:val="21"/>
                <w:color w:val="auto"/>
              </w:rPr>
            </w:pPr>
          </w:p>
        </w:tc>
        <w:tc>
          <w:tcPr>
            <w:tcW w:w="6680" w:type="dxa"/>
            <w:vAlign w:val="bottom"/>
            <w:tcBorders>
              <w:bottom w:val="single" w:sz="8" w:color="DC202E"/>
            </w:tcBorders>
            <w:gridSpan w:val="2"/>
          </w:tcPr>
          <w:p>
            <w:pPr>
              <w:spacing w:after="0"/>
              <w:rPr>
                <w:sz w:val="20"/>
                <w:szCs w:val="20"/>
                <w:color w:val="auto"/>
              </w:rPr>
            </w:pPr>
            <w:r>
              <w:rPr>
                <w:rFonts w:ascii="Arial" w:cs="Arial" w:eastAsia="Arial" w:hAnsi="Arial"/>
                <w:sz w:val="14"/>
                <w:szCs w:val="14"/>
                <w:b w:val="1"/>
                <w:bCs w:val="1"/>
                <w:color w:val="auto"/>
              </w:rPr>
              <w:t>Basic</w:t>
            </w:r>
          </w:p>
        </w:tc>
        <w:tc>
          <w:tcPr>
            <w:tcW w:w="340" w:type="dxa"/>
            <w:vAlign w:val="bottom"/>
            <w:tcBorders>
              <w:bottom w:val="single" w:sz="8" w:color="DC202E"/>
            </w:tcBorders>
          </w:tcPr>
          <w:p>
            <w:pPr>
              <w:spacing w:after="0"/>
              <w:rPr>
                <w:sz w:val="21"/>
                <w:szCs w:val="21"/>
                <w:color w:val="auto"/>
              </w:rPr>
            </w:pPr>
          </w:p>
        </w:tc>
        <w:tc>
          <w:tcPr>
            <w:tcW w:w="1100" w:type="dxa"/>
            <w:vAlign w:val="bottom"/>
            <w:tcBorders>
              <w:bottom w:val="single" w:sz="8" w:color="DC202E"/>
            </w:tcBorders>
          </w:tcPr>
          <w:p>
            <w:pPr>
              <w:jc w:val="right"/>
              <w:ind w:right="47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DDDDDD"/>
            </w:tcBorders>
          </w:tcPr>
          <w:p>
            <w:pPr>
              <w:spacing w:after="0"/>
              <w:rPr>
                <w:sz w:val="21"/>
                <w:szCs w:val="21"/>
                <w:color w:val="auto"/>
              </w:rPr>
            </w:pPr>
          </w:p>
        </w:tc>
        <w:tc>
          <w:tcPr>
            <w:tcW w:w="340" w:type="dxa"/>
            <w:vAlign w:val="bottom"/>
            <w:tcBorders>
              <w:bottom w:val="single" w:sz="8" w:color="DC202E"/>
            </w:tcBorders>
          </w:tcPr>
          <w:p>
            <w:pPr>
              <w:spacing w:after="0"/>
              <w:rPr>
                <w:sz w:val="21"/>
                <w:szCs w:val="21"/>
                <w:color w:val="auto"/>
              </w:rPr>
            </w:pPr>
          </w:p>
        </w:tc>
        <w:tc>
          <w:tcPr>
            <w:tcW w:w="1100" w:type="dxa"/>
            <w:vAlign w:val="bottom"/>
            <w:tcBorders>
              <w:bottom w:val="single" w:sz="8" w:color="DC202E"/>
            </w:tcBorders>
          </w:tcPr>
          <w:p>
            <w:pPr>
              <w:jc w:val="center"/>
              <w:ind w:right="25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DDDDDD"/>
            </w:tcBorders>
          </w:tcPr>
          <w:p>
            <w:pPr>
              <w:spacing w:after="0"/>
              <w:rPr>
                <w:sz w:val="21"/>
                <w:szCs w:val="21"/>
                <w:color w:val="auto"/>
              </w:rPr>
            </w:pPr>
          </w:p>
        </w:tc>
        <w:tc>
          <w:tcPr>
            <w:tcW w:w="340" w:type="dxa"/>
            <w:vAlign w:val="bottom"/>
            <w:tcBorders>
              <w:bottom w:val="single" w:sz="8" w:color="DC202E"/>
            </w:tcBorders>
          </w:tcPr>
          <w:p>
            <w:pPr>
              <w:spacing w:after="0"/>
              <w:rPr>
                <w:sz w:val="21"/>
                <w:szCs w:val="21"/>
                <w:color w:val="auto"/>
              </w:rPr>
            </w:pPr>
          </w:p>
        </w:tc>
        <w:tc>
          <w:tcPr>
            <w:tcW w:w="1100" w:type="dxa"/>
            <w:vAlign w:val="bottom"/>
            <w:tcBorders>
              <w:bottom w:val="single" w:sz="8" w:color="DC202E"/>
            </w:tcBorders>
          </w:tcPr>
          <w:p>
            <w:pPr>
              <w:jc w:val="right"/>
              <w:ind w:right="474"/>
              <w:spacing w:after="0"/>
              <w:rPr>
                <w:sz w:val="20"/>
                <w:szCs w:val="20"/>
                <w:color w:val="auto"/>
              </w:rPr>
            </w:pPr>
            <w:r>
              <w:rPr>
                <w:rFonts w:ascii="Arial" w:cs="Arial" w:eastAsia="Arial" w:hAnsi="Arial"/>
                <w:sz w:val="14"/>
                <w:szCs w:val="14"/>
                <w:b w:val="1"/>
                <w:bCs w:val="1"/>
                <w:color w:val="auto"/>
              </w:rPr>
              <w:t>2018</w:t>
            </w:r>
          </w:p>
        </w:tc>
      </w:tr>
      <w:tr>
        <w:trPr>
          <w:trHeight w:val="229"/>
        </w:trPr>
        <w:tc>
          <w:tcPr>
            <w:tcW w:w="20" w:type="dxa"/>
            <w:vAlign w:val="bottom"/>
            <w:shd w:val="clear" w:color="auto" w:fill="DDDDDD"/>
          </w:tcPr>
          <w:p>
            <w:pPr>
              <w:spacing w:after="0"/>
              <w:rPr>
                <w:sz w:val="19"/>
                <w:szCs w:val="19"/>
                <w:color w:val="auto"/>
              </w:rPr>
            </w:pPr>
          </w:p>
        </w:tc>
        <w:tc>
          <w:tcPr>
            <w:tcW w:w="6680" w:type="dxa"/>
            <w:vAlign w:val="bottom"/>
            <w:gridSpan w:val="2"/>
            <w:shd w:val="clear" w:color="auto" w:fill="DDDDDD"/>
          </w:tcPr>
          <w:p>
            <w:pPr>
              <w:spacing w:after="0"/>
              <w:rPr>
                <w:sz w:val="20"/>
                <w:szCs w:val="20"/>
                <w:color w:val="auto"/>
              </w:rPr>
            </w:pPr>
            <w:r>
              <w:rPr>
                <w:rFonts w:ascii="Arial" w:cs="Arial" w:eastAsia="Arial" w:hAnsi="Arial"/>
                <w:sz w:val="18"/>
                <w:szCs w:val="18"/>
                <w:color w:val="auto"/>
              </w:rPr>
              <w:t>Net income attributable to Honeywell</w:t>
            </w:r>
          </w:p>
        </w:tc>
        <w:tc>
          <w:tcPr>
            <w:tcW w:w="34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4,779</w:t>
            </w:r>
          </w:p>
        </w:tc>
        <w:tc>
          <w:tcPr>
            <w:tcW w:w="100" w:type="dxa"/>
            <w:vAlign w:val="bottom"/>
            <w:shd w:val="clear" w:color="auto" w:fill="DDDDDD"/>
          </w:tcPr>
          <w:p>
            <w:pPr>
              <w:spacing w:after="0"/>
              <w:rPr>
                <w:sz w:val="19"/>
                <w:szCs w:val="19"/>
                <w:color w:val="auto"/>
              </w:rPr>
            </w:pPr>
          </w:p>
        </w:tc>
        <w:tc>
          <w:tcPr>
            <w:tcW w:w="3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6,143</w:t>
            </w:r>
          </w:p>
        </w:tc>
        <w:tc>
          <w:tcPr>
            <w:tcW w:w="120" w:type="dxa"/>
            <w:vAlign w:val="bottom"/>
            <w:shd w:val="clear" w:color="auto" w:fill="DDDDDD"/>
          </w:tcPr>
          <w:p>
            <w:pPr>
              <w:spacing w:after="0"/>
              <w:rPr>
                <w:sz w:val="19"/>
                <w:szCs w:val="19"/>
                <w:color w:val="auto"/>
              </w:rPr>
            </w:pPr>
          </w:p>
        </w:tc>
        <w:tc>
          <w:tcPr>
            <w:tcW w:w="3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6,765</w:t>
            </w:r>
          </w:p>
        </w:tc>
      </w:tr>
      <w:tr>
        <w:trPr>
          <w:trHeight w:val="229"/>
        </w:trPr>
        <w:tc>
          <w:tcPr>
            <w:tcW w:w="20" w:type="dxa"/>
            <w:vAlign w:val="bottom"/>
          </w:tcPr>
          <w:p>
            <w:pPr>
              <w:spacing w:after="0"/>
              <w:rPr>
                <w:sz w:val="19"/>
                <w:szCs w:val="19"/>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Weighted average shares outstanding</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721.0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743.0</w:t>
            </w:r>
          </w:p>
        </w:tc>
      </w:tr>
      <w:tr>
        <w:trPr>
          <w:trHeight w:val="230"/>
        </w:trPr>
        <w:tc>
          <w:tcPr>
            <w:tcW w:w="20" w:type="dxa"/>
            <w:vAlign w:val="bottom"/>
            <w:shd w:val="clear" w:color="auto" w:fill="DDDDDD"/>
          </w:tcPr>
          <w:p>
            <w:pPr>
              <w:spacing w:after="0"/>
              <w:rPr>
                <w:sz w:val="19"/>
                <w:szCs w:val="19"/>
                <w:color w:val="auto"/>
              </w:rPr>
            </w:pPr>
          </w:p>
        </w:tc>
        <w:tc>
          <w:tcPr>
            <w:tcW w:w="6680" w:type="dxa"/>
            <w:vAlign w:val="bottom"/>
            <w:gridSpan w:val="2"/>
            <w:shd w:val="clear" w:color="auto" w:fill="DDDDDD"/>
          </w:tcPr>
          <w:p>
            <w:pPr>
              <w:spacing w:after="0"/>
              <w:rPr>
                <w:sz w:val="20"/>
                <w:szCs w:val="20"/>
                <w:color w:val="auto"/>
              </w:rPr>
            </w:pPr>
            <w:r>
              <w:rPr>
                <w:rFonts w:ascii="Arial" w:cs="Arial" w:eastAsia="Arial" w:hAnsi="Arial"/>
                <w:sz w:val="18"/>
                <w:szCs w:val="18"/>
                <w:color w:val="auto"/>
              </w:rPr>
              <w:t>Earnings per share of common stock</w:t>
            </w:r>
          </w:p>
        </w:tc>
        <w:tc>
          <w:tcPr>
            <w:tcW w:w="34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6.79</w:t>
            </w:r>
          </w:p>
        </w:tc>
        <w:tc>
          <w:tcPr>
            <w:tcW w:w="100" w:type="dxa"/>
            <w:vAlign w:val="bottom"/>
            <w:shd w:val="clear" w:color="auto" w:fill="DDDDDD"/>
          </w:tcPr>
          <w:p>
            <w:pPr>
              <w:spacing w:after="0"/>
              <w:rPr>
                <w:sz w:val="19"/>
                <w:szCs w:val="19"/>
                <w:color w:val="auto"/>
              </w:rPr>
            </w:pPr>
          </w:p>
        </w:tc>
        <w:tc>
          <w:tcPr>
            <w:tcW w:w="3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8.52</w:t>
            </w:r>
          </w:p>
        </w:tc>
        <w:tc>
          <w:tcPr>
            <w:tcW w:w="120" w:type="dxa"/>
            <w:vAlign w:val="bottom"/>
            <w:shd w:val="clear" w:color="auto" w:fill="DDDDDD"/>
          </w:tcPr>
          <w:p>
            <w:pPr>
              <w:spacing w:after="0"/>
              <w:rPr>
                <w:sz w:val="19"/>
                <w:szCs w:val="19"/>
                <w:color w:val="auto"/>
              </w:rPr>
            </w:pPr>
          </w:p>
        </w:tc>
        <w:tc>
          <w:tcPr>
            <w:tcW w:w="3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9.10</w:t>
            </w:r>
          </w:p>
        </w:tc>
      </w:tr>
      <w:tr>
        <w:trPr>
          <w:trHeight w:val="628"/>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340" w:type="dxa"/>
            <w:vAlign w:val="bottom"/>
            <w:tcBorders>
              <w:bottom w:val="single" w:sz="8" w:color="DC202E"/>
            </w:tcBorders>
          </w:tcPr>
          <w:p>
            <w:pPr>
              <w:spacing w:after="0"/>
              <w:rPr>
                <w:sz w:val="24"/>
                <w:szCs w:val="24"/>
                <w:color w:val="auto"/>
              </w:rPr>
            </w:pPr>
          </w:p>
        </w:tc>
        <w:tc>
          <w:tcPr>
            <w:tcW w:w="3100" w:type="dxa"/>
            <w:vAlign w:val="bottom"/>
            <w:tcBorders>
              <w:bottom w:val="single" w:sz="8" w:color="DC202E"/>
            </w:tcBorders>
            <w:gridSpan w:val="6"/>
          </w:tcPr>
          <w:p>
            <w:pPr>
              <w:jc w:val="center"/>
              <w:ind w:left="656"/>
              <w:spacing w:after="0"/>
              <w:rPr>
                <w:sz w:val="20"/>
                <w:szCs w:val="20"/>
                <w:color w:val="auto"/>
              </w:rPr>
            </w:pPr>
            <w:r>
              <w:rPr>
                <w:rFonts w:ascii="Arial" w:cs="Arial" w:eastAsia="Arial" w:hAnsi="Arial"/>
                <w:sz w:val="14"/>
                <w:szCs w:val="14"/>
                <w:b w:val="1"/>
                <w:bCs w:val="1"/>
                <w:color w:val="auto"/>
              </w:rPr>
              <w:t>Years Ended December 31,</w:t>
            </w:r>
          </w:p>
        </w:tc>
        <w:tc>
          <w:tcPr>
            <w:tcW w:w="1100" w:type="dxa"/>
            <w:vAlign w:val="bottom"/>
            <w:tcBorders>
              <w:bottom w:val="single" w:sz="8" w:color="DC202E"/>
            </w:tcBorders>
          </w:tcPr>
          <w:p>
            <w:pPr>
              <w:spacing w:after="0"/>
              <w:rPr>
                <w:sz w:val="24"/>
                <w:szCs w:val="24"/>
                <w:color w:val="auto"/>
              </w:rPr>
            </w:pPr>
          </w:p>
        </w:tc>
      </w:tr>
      <w:tr>
        <w:trPr>
          <w:trHeight w:val="250"/>
        </w:trPr>
        <w:tc>
          <w:tcPr>
            <w:tcW w:w="20" w:type="dxa"/>
            <w:vAlign w:val="bottom"/>
            <w:tcBorders>
              <w:bottom w:val="single" w:sz="8" w:color="DC202E"/>
            </w:tcBorders>
          </w:tcPr>
          <w:p>
            <w:pPr>
              <w:spacing w:after="0"/>
              <w:rPr>
                <w:sz w:val="21"/>
                <w:szCs w:val="21"/>
                <w:color w:val="auto"/>
              </w:rPr>
            </w:pPr>
          </w:p>
        </w:tc>
        <w:tc>
          <w:tcPr>
            <w:tcW w:w="6680" w:type="dxa"/>
            <w:vAlign w:val="bottom"/>
            <w:tcBorders>
              <w:bottom w:val="single" w:sz="8" w:color="DC202E"/>
            </w:tcBorders>
            <w:gridSpan w:val="2"/>
          </w:tcPr>
          <w:p>
            <w:pPr>
              <w:spacing w:after="0"/>
              <w:rPr>
                <w:sz w:val="20"/>
                <w:szCs w:val="20"/>
                <w:color w:val="auto"/>
              </w:rPr>
            </w:pPr>
            <w:r>
              <w:rPr>
                <w:rFonts w:ascii="Arial" w:cs="Arial" w:eastAsia="Arial" w:hAnsi="Arial"/>
                <w:sz w:val="14"/>
                <w:szCs w:val="14"/>
                <w:b w:val="1"/>
                <w:bCs w:val="1"/>
                <w:color w:val="auto"/>
              </w:rPr>
              <w:t>Assuming Dilution</w:t>
            </w:r>
          </w:p>
        </w:tc>
        <w:tc>
          <w:tcPr>
            <w:tcW w:w="340" w:type="dxa"/>
            <w:vAlign w:val="bottom"/>
            <w:tcBorders>
              <w:bottom w:val="single" w:sz="8" w:color="DC202E"/>
            </w:tcBorders>
          </w:tcPr>
          <w:p>
            <w:pPr>
              <w:spacing w:after="0"/>
              <w:rPr>
                <w:sz w:val="21"/>
                <w:szCs w:val="21"/>
                <w:color w:val="auto"/>
              </w:rPr>
            </w:pPr>
          </w:p>
        </w:tc>
        <w:tc>
          <w:tcPr>
            <w:tcW w:w="1100" w:type="dxa"/>
            <w:vAlign w:val="bottom"/>
            <w:tcBorders>
              <w:bottom w:val="single" w:sz="8" w:color="DC202E"/>
            </w:tcBorders>
          </w:tcPr>
          <w:p>
            <w:pPr>
              <w:jc w:val="right"/>
              <w:ind w:right="47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DDDDDD"/>
            </w:tcBorders>
          </w:tcPr>
          <w:p>
            <w:pPr>
              <w:spacing w:after="0"/>
              <w:rPr>
                <w:sz w:val="21"/>
                <w:szCs w:val="21"/>
                <w:color w:val="auto"/>
              </w:rPr>
            </w:pPr>
          </w:p>
        </w:tc>
        <w:tc>
          <w:tcPr>
            <w:tcW w:w="340" w:type="dxa"/>
            <w:vAlign w:val="bottom"/>
            <w:tcBorders>
              <w:bottom w:val="single" w:sz="8" w:color="DC202E"/>
            </w:tcBorders>
          </w:tcPr>
          <w:p>
            <w:pPr>
              <w:spacing w:after="0"/>
              <w:rPr>
                <w:sz w:val="21"/>
                <w:szCs w:val="21"/>
                <w:color w:val="auto"/>
              </w:rPr>
            </w:pPr>
          </w:p>
        </w:tc>
        <w:tc>
          <w:tcPr>
            <w:tcW w:w="1100" w:type="dxa"/>
            <w:vAlign w:val="bottom"/>
            <w:tcBorders>
              <w:bottom w:val="single" w:sz="8" w:color="DC202E"/>
            </w:tcBorders>
          </w:tcPr>
          <w:p>
            <w:pPr>
              <w:jc w:val="center"/>
              <w:ind w:right="25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DDDDDD"/>
            </w:tcBorders>
          </w:tcPr>
          <w:p>
            <w:pPr>
              <w:spacing w:after="0"/>
              <w:rPr>
                <w:sz w:val="21"/>
                <w:szCs w:val="21"/>
                <w:color w:val="auto"/>
              </w:rPr>
            </w:pPr>
          </w:p>
        </w:tc>
        <w:tc>
          <w:tcPr>
            <w:tcW w:w="340" w:type="dxa"/>
            <w:vAlign w:val="bottom"/>
            <w:tcBorders>
              <w:bottom w:val="single" w:sz="8" w:color="DC202E"/>
            </w:tcBorders>
          </w:tcPr>
          <w:p>
            <w:pPr>
              <w:spacing w:after="0"/>
              <w:rPr>
                <w:sz w:val="21"/>
                <w:szCs w:val="21"/>
                <w:color w:val="auto"/>
              </w:rPr>
            </w:pPr>
          </w:p>
        </w:tc>
        <w:tc>
          <w:tcPr>
            <w:tcW w:w="1100" w:type="dxa"/>
            <w:vAlign w:val="bottom"/>
            <w:tcBorders>
              <w:bottom w:val="single" w:sz="8" w:color="DC202E"/>
            </w:tcBorders>
          </w:tcPr>
          <w:p>
            <w:pPr>
              <w:jc w:val="right"/>
              <w:ind w:right="474"/>
              <w:spacing w:after="0"/>
              <w:rPr>
                <w:sz w:val="20"/>
                <w:szCs w:val="20"/>
                <w:color w:val="auto"/>
              </w:rPr>
            </w:pPr>
            <w:r>
              <w:rPr>
                <w:rFonts w:ascii="Arial" w:cs="Arial" w:eastAsia="Arial" w:hAnsi="Arial"/>
                <w:sz w:val="14"/>
                <w:szCs w:val="14"/>
                <w:b w:val="1"/>
                <w:bCs w:val="1"/>
                <w:color w:val="auto"/>
              </w:rPr>
              <w:t>2018</w:t>
            </w:r>
          </w:p>
        </w:tc>
      </w:tr>
      <w:tr>
        <w:trPr>
          <w:trHeight w:val="230"/>
        </w:trPr>
        <w:tc>
          <w:tcPr>
            <w:tcW w:w="20" w:type="dxa"/>
            <w:vAlign w:val="bottom"/>
            <w:shd w:val="clear" w:color="auto" w:fill="DDDDDD"/>
          </w:tcPr>
          <w:p>
            <w:pPr>
              <w:spacing w:after="0"/>
              <w:rPr>
                <w:sz w:val="19"/>
                <w:szCs w:val="19"/>
                <w:color w:val="auto"/>
              </w:rPr>
            </w:pPr>
          </w:p>
        </w:tc>
        <w:tc>
          <w:tcPr>
            <w:tcW w:w="6680" w:type="dxa"/>
            <w:vAlign w:val="bottom"/>
            <w:gridSpan w:val="2"/>
            <w:shd w:val="clear" w:color="auto" w:fill="DDDDDD"/>
          </w:tcPr>
          <w:p>
            <w:pPr>
              <w:spacing w:after="0"/>
              <w:rPr>
                <w:sz w:val="20"/>
                <w:szCs w:val="20"/>
                <w:color w:val="auto"/>
              </w:rPr>
            </w:pPr>
            <w:r>
              <w:rPr>
                <w:rFonts w:ascii="Arial" w:cs="Arial" w:eastAsia="Arial" w:hAnsi="Arial"/>
                <w:sz w:val="18"/>
                <w:szCs w:val="18"/>
                <w:color w:val="auto"/>
              </w:rPr>
              <w:t>Net income attributable to Honeywell</w:t>
            </w:r>
          </w:p>
        </w:tc>
        <w:tc>
          <w:tcPr>
            <w:tcW w:w="34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4,779</w:t>
            </w:r>
          </w:p>
        </w:tc>
        <w:tc>
          <w:tcPr>
            <w:tcW w:w="100" w:type="dxa"/>
            <w:vAlign w:val="bottom"/>
            <w:shd w:val="clear" w:color="auto" w:fill="DDDDDD"/>
          </w:tcPr>
          <w:p>
            <w:pPr>
              <w:spacing w:after="0"/>
              <w:rPr>
                <w:sz w:val="19"/>
                <w:szCs w:val="19"/>
                <w:color w:val="auto"/>
              </w:rPr>
            </w:pPr>
          </w:p>
        </w:tc>
        <w:tc>
          <w:tcPr>
            <w:tcW w:w="3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6,143</w:t>
            </w:r>
          </w:p>
        </w:tc>
        <w:tc>
          <w:tcPr>
            <w:tcW w:w="120" w:type="dxa"/>
            <w:vAlign w:val="bottom"/>
            <w:shd w:val="clear" w:color="auto" w:fill="DDDDDD"/>
          </w:tcPr>
          <w:p>
            <w:pPr>
              <w:spacing w:after="0"/>
              <w:rPr>
                <w:sz w:val="19"/>
                <w:szCs w:val="19"/>
                <w:color w:val="auto"/>
              </w:rPr>
            </w:pPr>
          </w:p>
        </w:tc>
        <w:tc>
          <w:tcPr>
            <w:tcW w:w="3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6,765</w:t>
            </w:r>
          </w:p>
        </w:tc>
      </w:tr>
      <w:tr>
        <w:trPr>
          <w:trHeight w:val="162"/>
        </w:trPr>
        <w:tc>
          <w:tcPr>
            <w:tcW w:w="20" w:type="dxa"/>
            <w:vAlign w:val="bottom"/>
          </w:tcPr>
          <w:p>
            <w:pPr>
              <w:spacing w:after="0"/>
              <w:rPr>
                <w:sz w:val="14"/>
                <w:szCs w:val="14"/>
                <w:color w:val="auto"/>
              </w:rPr>
            </w:pPr>
          </w:p>
        </w:tc>
        <w:tc>
          <w:tcPr>
            <w:tcW w:w="6680" w:type="dxa"/>
            <w:vAlign w:val="bottom"/>
            <w:gridSpan w:val="2"/>
          </w:tcPr>
          <w:p>
            <w:pPr>
              <w:spacing w:after="0"/>
              <w:rPr>
                <w:sz w:val="20"/>
                <w:szCs w:val="20"/>
                <w:color w:val="auto"/>
              </w:rPr>
            </w:pPr>
            <w:r>
              <w:rPr>
                <w:rFonts w:ascii="Arial" w:cs="Arial" w:eastAsia="Arial" w:hAnsi="Arial"/>
                <w:sz w:val="14"/>
                <w:szCs w:val="14"/>
                <w:b w:val="1"/>
                <w:bCs w:val="1"/>
                <w:color w:val="auto"/>
              </w:rPr>
              <w:t>Average Shares</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5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0"/>
        </w:trPr>
        <w:tc>
          <w:tcPr>
            <w:tcW w:w="20" w:type="dxa"/>
            <w:vAlign w:val="bottom"/>
            <w:shd w:val="clear" w:color="auto" w:fill="DDDDDD"/>
          </w:tcPr>
          <w:p>
            <w:pPr>
              <w:spacing w:after="0"/>
              <w:rPr>
                <w:sz w:val="19"/>
                <w:szCs w:val="19"/>
                <w:color w:val="auto"/>
              </w:rPr>
            </w:pPr>
          </w:p>
        </w:tc>
        <w:tc>
          <w:tcPr>
            <w:tcW w:w="6680" w:type="dxa"/>
            <w:vAlign w:val="bottom"/>
            <w:gridSpan w:val="2"/>
            <w:shd w:val="clear" w:color="auto" w:fill="DDDDDD"/>
          </w:tcPr>
          <w:p>
            <w:pPr>
              <w:spacing w:after="0"/>
              <w:rPr>
                <w:sz w:val="20"/>
                <w:szCs w:val="20"/>
                <w:color w:val="auto"/>
              </w:rPr>
            </w:pPr>
            <w:r>
              <w:rPr>
                <w:rFonts w:ascii="Arial" w:cs="Arial" w:eastAsia="Arial" w:hAnsi="Arial"/>
                <w:sz w:val="18"/>
                <w:szCs w:val="18"/>
                <w:color w:val="auto"/>
              </w:rPr>
              <w:t>Weighted average shares outstanding</w:t>
            </w: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704.1</w:t>
            </w:r>
          </w:p>
        </w:tc>
        <w:tc>
          <w:tcPr>
            <w:tcW w:w="10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721.0</w:t>
            </w:r>
          </w:p>
        </w:tc>
        <w:tc>
          <w:tcPr>
            <w:tcW w:w="12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743.0</w:t>
            </w:r>
          </w:p>
        </w:tc>
      </w:tr>
      <w:tr>
        <w:trPr>
          <w:trHeight w:val="229"/>
        </w:trPr>
        <w:tc>
          <w:tcPr>
            <w:tcW w:w="20" w:type="dxa"/>
            <w:vAlign w:val="bottom"/>
            <w:tcBorders>
              <w:bottom w:val="single" w:sz="8" w:color="DDDDDD"/>
            </w:tcBorders>
          </w:tcPr>
          <w:p>
            <w:pPr>
              <w:spacing w:after="0"/>
              <w:rPr>
                <w:sz w:val="19"/>
                <w:szCs w:val="19"/>
                <w:color w:val="auto"/>
              </w:rPr>
            </w:pPr>
          </w:p>
        </w:tc>
        <w:tc>
          <w:tcPr>
            <w:tcW w:w="6680" w:type="dxa"/>
            <w:vAlign w:val="bottom"/>
            <w:tcBorders>
              <w:bottom w:val="single" w:sz="8" w:color="DDDDDD"/>
            </w:tcBorders>
            <w:gridSpan w:val="2"/>
          </w:tcPr>
          <w:p>
            <w:pPr>
              <w:spacing w:after="0"/>
              <w:rPr>
                <w:sz w:val="20"/>
                <w:szCs w:val="20"/>
                <w:color w:val="auto"/>
              </w:rPr>
            </w:pPr>
            <w:r>
              <w:rPr>
                <w:rFonts w:ascii="Arial" w:cs="Arial" w:eastAsia="Arial" w:hAnsi="Arial"/>
                <w:sz w:val="18"/>
                <w:szCs w:val="18"/>
                <w:color w:val="auto"/>
              </w:rPr>
              <w:t>Dilutive securities issuable—stock plans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DDDDDD"/>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DDDDDD"/>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48"/>
        </w:trPr>
        <w:tc>
          <w:tcPr>
            <w:tcW w:w="20" w:type="dxa"/>
            <w:vAlign w:val="bottom"/>
            <w:tcBorders>
              <w:bottom w:val="single" w:sz="8" w:color="DDDDDD"/>
            </w:tcBorders>
            <w:shd w:val="clear" w:color="auto" w:fill="DDDDDD"/>
          </w:tcPr>
          <w:p>
            <w:pPr>
              <w:spacing w:after="0"/>
              <w:rPr>
                <w:sz w:val="21"/>
                <w:szCs w:val="21"/>
                <w:color w:val="auto"/>
              </w:rPr>
            </w:pPr>
          </w:p>
        </w:tc>
        <w:tc>
          <w:tcPr>
            <w:tcW w:w="6680" w:type="dxa"/>
            <w:vAlign w:val="bottom"/>
            <w:tcBorders>
              <w:bottom w:val="single" w:sz="8" w:color="DDDDDD"/>
            </w:tcBorders>
            <w:gridSpan w:val="2"/>
            <w:shd w:val="clear" w:color="auto" w:fill="DDDDDD"/>
          </w:tcPr>
          <w:p>
            <w:pPr>
              <w:spacing w:after="0"/>
              <w:rPr>
                <w:sz w:val="20"/>
                <w:szCs w:val="20"/>
                <w:color w:val="auto"/>
              </w:rPr>
            </w:pPr>
            <w:r>
              <w:rPr>
                <w:rFonts w:ascii="Arial" w:cs="Arial" w:eastAsia="Arial" w:hAnsi="Arial"/>
                <w:sz w:val="18"/>
                <w:szCs w:val="18"/>
                <w:color w:val="auto"/>
              </w:rPr>
              <w:t>Total weighted average diluted shares outstanding</w:t>
            </w:r>
          </w:p>
        </w:tc>
        <w:tc>
          <w:tcPr>
            <w:tcW w:w="340" w:type="dxa"/>
            <w:vAlign w:val="bottom"/>
            <w:tcBorders>
              <w:bottom w:val="single" w:sz="8" w:color="auto"/>
            </w:tcBorders>
            <w:shd w:val="clear" w:color="auto" w:fill="DDDDDD"/>
          </w:tcPr>
          <w:p>
            <w:pPr>
              <w:spacing w:after="0"/>
              <w:rPr>
                <w:sz w:val="21"/>
                <w:szCs w:val="21"/>
                <w:color w:val="auto"/>
              </w:rPr>
            </w:pPr>
          </w:p>
        </w:tc>
        <w:tc>
          <w:tcPr>
            <w:tcW w:w="11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711.2</w:t>
            </w:r>
          </w:p>
        </w:tc>
        <w:tc>
          <w:tcPr>
            <w:tcW w:w="100" w:type="dxa"/>
            <w:vAlign w:val="bottom"/>
            <w:tcBorders>
              <w:bottom w:val="single" w:sz="8" w:color="DDDDDD"/>
            </w:tcBorders>
            <w:shd w:val="clear" w:color="auto" w:fill="DDDDDD"/>
          </w:tcPr>
          <w:p>
            <w:pPr>
              <w:spacing w:after="0"/>
              <w:rPr>
                <w:sz w:val="21"/>
                <w:szCs w:val="21"/>
                <w:color w:val="auto"/>
              </w:rPr>
            </w:pPr>
          </w:p>
        </w:tc>
        <w:tc>
          <w:tcPr>
            <w:tcW w:w="340" w:type="dxa"/>
            <w:vAlign w:val="bottom"/>
            <w:tcBorders>
              <w:bottom w:val="single" w:sz="8" w:color="auto"/>
            </w:tcBorders>
            <w:shd w:val="clear" w:color="auto" w:fill="DDDDDD"/>
          </w:tcPr>
          <w:p>
            <w:pPr>
              <w:spacing w:after="0"/>
              <w:rPr>
                <w:sz w:val="21"/>
                <w:szCs w:val="21"/>
                <w:color w:val="auto"/>
              </w:rPr>
            </w:pPr>
          </w:p>
        </w:tc>
        <w:tc>
          <w:tcPr>
            <w:tcW w:w="11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730.3</w:t>
            </w:r>
          </w:p>
        </w:tc>
        <w:tc>
          <w:tcPr>
            <w:tcW w:w="120" w:type="dxa"/>
            <w:vAlign w:val="bottom"/>
            <w:tcBorders>
              <w:bottom w:val="single" w:sz="8" w:color="DDDDDD"/>
            </w:tcBorders>
            <w:shd w:val="clear" w:color="auto" w:fill="DDDDDD"/>
          </w:tcPr>
          <w:p>
            <w:pPr>
              <w:spacing w:after="0"/>
              <w:rPr>
                <w:sz w:val="21"/>
                <w:szCs w:val="21"/>
                <w:color w:val="auto"/>
              </w:rPr>
            </w:pPr>
          </w:p>
        </w:tc>
        <w:tc>
          <w:tcPr>
            <w:tcW w:w="340" w:type="dxa"/>
            <w:vAlign w:val="bottom"/>
            <w:tcBorders>
              <w:bottom w:val="single" w:sz="8" w:color="auto"/>
            </w:tcBorders>
            <w:shd w:val="clear" w:color="auto" w:fill="DDDDDD"/>
          </w:tcPr>
          <w:p>
            <w:pPr>
              <w:spacing w:after="0"/>
              <w:rPr>
                <w:sz w:val="21"/>
                <w:szCs w:val="21"/>
                <w:color w:val="auto"/>
              </w:rPr>
            </w:pPr>
          </w:p>
        </w:tc>
        <w:tc>
          <w:tcPr>
            <w:tcW w:w="11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753.0</w:t>
            </w:r>
          </w:p>
        </w:tc>
      </w:tr>
      <w:tr>
        <w:trPr>
          <w:trHeight w:val="20"/>
        </w:trPr>
        <w:tc>
          <w:tcPr>
            <w:tcW w:w="20" w:type="dxa"/>
            <w:vAlign w:val="bottom"/>
            <w:tcBorders>
              <w:top w:val="single" w:sz="8" w:color="DDDDDD"/>
            </w:tcBorders>
          </w:tcPr>
          <w:p>
            <w:pPr>
              <w:spacing w:after="0" w:line="20" w:lineRule="exact"/>
              <w:rPr>
                <w:sz w:val="1"/>
                <w:szCs w:val="1"/>
                <w:color w:val="auto"/>
              </w:rPr>
            </w:pPr>
          </w:p>
        </w:tc>
        <w:tc>
          <w:tcPr>
            <w:tcW w:w="1080" w:type="dxa"/>
            <w:vAlign w:val="bottom"/>
            <w:tcBorders>
              <w:top w:val="single" w:sz="8" w:color="DDDDDD"/>
            </w:tcBorders>
          </w:tcPr>
          <w:p>
            <w:pPr>
              <w:spacing w:after="0" w:line="20" w:lineRule="exact"/>
              <w:rPr>
                <w:sz w:val="1"/>
                <w:szCs w:val="1"/>
                <w:color w:val="auto"/>
              </w:rPr>
            </w:pPr>
          </w:p>
        </w:tc>
        <w:tc>
          <w:tcPr>
            <w:tcW w:w="5600" w:type="dxa"/>
            <w:vAlign w:val="bottom"/>
            <w:tcBorders>
              <w:top w:val="single" w:sz="8" w:color="DDDDDD"/>
            </w:tcBorders>
          </w:tcPr>
          <w:p>
            <w:pPr>
              <w:spacing w:after="0" w:line="20" w:lineRule="exact"/>
              <w:rPr>
                <w:sz w:val="1"/>
                <w:szCs w:val="1"/>
                <w:color w:val="auto"/>
              </w:rPr>
            </w:pPr>
          </w:p>
        </w:tc>
        <w:tc>
          <w:tcPr>
            <w:tcW w:w="340" w:type="dxa"/>
            <w:vAlign w:val="bottom"/>
            <w:tcBorders>
              <w:top w:val="single" w:sz="8" w:color="DDDDDD"/>
              <w:bottom w:val="single" w:sz="8" w:color="auto"/>
            </w:tcBorders>
          </w:tcPr>
          <w:p>
            <w:pPr>
              <w:spacing w:after="0" w:line="20" w:lineRule="exact"/>
              <w:rPr>
                <w:sz w:val="1"/>
                <w:szCs w:val="1"/>
                <w:color w:val="auto"/>
              </w:rPr>
            </w:pPr>
          </w:p>
        </w:tc>
        <w:tc>
          <w:tcPr>
            <w:tcW w:w="1100" w:type="dxa"/>
            <w:vAlign w:val="bottom"/>
            <w:tcBorders>
              <w:top w:val="single" w:sz="8" w:color="DDDDDD"/>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340" w:type="dxa"/>
            <w:vAlign w:val="bottom"/>
            <w:tcBorders>
              <w:top w:val="single" w:sz="8" w:color="DDDDDD"/>
              <w:bottom w:val="single" w:sz="8" w:color="auto"/>
            </w:tcBorders>
          </w:tcPr>
          <w:p>
            <w:pPr>
              <w:spacing w:after="0" w:line="20" w:lineRule="exact"/>
              <w:rPr>
                <w:sz w:val="1"/>
                <w:szCs w:val="1"/>
                <w:color w:val="auto"/>
              </w:rPr>
            </w:pPr>
          </w:p>
        </w:tc>
        <w:tc>
          <w:tcPr>
            <w:tcW w:w="1100" w:type="dxa"/>
            <w:vAlign w:val="bottom"/>
            <w:tcBorders>
              <w:top w:val="single" w:sz="8" w:color="DDDDDD"/>
              <w:bottom w:val="single" w:sz="8" w:color="auto"/>
            </w:tcBorders>
          </w:tcPr>
          <w:p>
            <w:pPr>
              <w:spacing w:after="0" w:line="20" w:lineRule="exact"/>
              <w:rPr>
                <w:sz w:val="1"/>
                <w:szCs w:val="1"/>
                <w:color w:val="auto"/>
              </w:rPr>
            </w:pPr>
          </w:p>
        </w:tc>
        <w:tc>
          <w:tcPr>
            <w:tcW w:w="120" w:type="dxa"/>
            <w:vAlign w:val="bottom"/>
            <w:tcBorders>
              <w:top w:val="single" w:sz="8" w:color="DDDDDD"/>
            </w:tcBorders>
          </w:tcPr>
          <w:p>
            <w:pPr>
              <w:spacing w:after="0" w:line="20" w:lineRule="exact"/>
              <w:rPr>
                <w:sz w:val="1"/>
                <w:szCs w:val="1"/>
                <w:color w:val="auto"/>
              </w:rPr>
            </w:pPr>
          </w:p>
        </w:tc>
        <w:tc>
          <w:tcPr>
            <w:tcW w:w="340" w:type="dxa"/>
            <w:vAlign w:val="bottom"/>
            <w:tcBorders>
              <w:top w:val="single" w:sz="8" w:color="DDDDDD"/>
              <w:bottom w:val="single" w:sz="8" w:color="auto"/>
            </w:tcBorders>
          </w:tcPr>
          <w:p>
            <w:pPr>
              <w:spacing w:after="0" w:line="20" w:lineRule="exact"/>
              <w:rPr>
                <w:sz w:val="1"/>
                <w:szCs w:val="1"/>
                <w:color w:val="auto"/>
              </w:rPr>
            </w:pPr>
          </w:p>
        </w:tc>
        <w:tc>
          <w:tcPr>
            <w:tcW w:w="1100" w:type="dxa"/>
            <w:vAlign w:val="bottom"/>
            <w:tcBorders>
              <w:top w:val="single" w:sz="8" w:color="DDDDDD"/>
              <w:bottom w:val="single" w:sz="8" w:color="auto"/>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gridSpan w:val="2"/>
          </w:tcPr>
          <w:p>
            <w:pPr>
              <w:spacing w:after="0" w:line="203" w:lineRule="exact"/>
              <w:rPr>
                <w:sz w:val="20"/>
                <w:szCs w:val="20"/>
                <w:color w:val="auto"/>
              </w:rPr>
            </w:pPr>
            <w:r>
              <w:rPr>
                <w:rFonts w:ascii="Arial" w:cs="Arial" w:eastAsia="Arial" w:hAnsi="Arial"/>
                <w:sz w:val="18"/>
                <w:szCs w:val="18"/>
                <w:color w:val="auto"/>
              </w:rPr>
              <w:t>Earnings per share of common stock—assuming dilution</w:t>
            </w:r>
          </w:p>
        </w:tc>
        <w:tc>
          <w:tcPr>
            <w:tcW w:w="340" w:type="dxa"/>
            <w:vAlign w:val="bottom"/>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line="203" w:lineRule="exact"/>
              <w:rPr>
                <w:sz w:val="20"/>
                <w:szCs w:val="20"/>
                <w:color w:val="auto"/>
              </w:rPr>
            </w:pPr>
            <w:r>
              <w:rPr>
                <w:rFonts w:ascii="Arial" w:cs="Arial" w:eastAsia="Arial" w:hAnsi="Arial"/>
                <w:sz w:val="18"/>
                <w:szCs w:val="18"/>
                <w:color w:val="auto"/>
              </w:rPr>
              <w:t>6.72</w:t>
            </w:r>
          </w:p>
        </w:tc>
        <w:tc>
          <w:tcPr>
            <w:tcW w:w="100" w:type="dxa"/>
            <w:vAlign w:val="bottom"/>
          </w:tcPr>
          <w:p>
            <w:pPr>
              <w:spacing w:after="0"/>
              <w:rPr>
                <w:sz w:val="17"/>
                <w:szCs w:val="17"/>
                <w:color w:val="auto"/>
              </w:rPr>
            </w:pPr>
          </w:p>
        </w:tc>
        <w:tc>
          <w:tcPr>
            <w:tcW w:w="340" w:type="dxa"/>
            <w:vAlign w:val="bottom"/>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line="203" w:lineRule="exact"/>
              <w:rPr>
                <w:sz w:val="20"/>
                <w:szCs w:val="20"/>
                <w:color w:val="auto"/>
              </w:rPr>
            </w:pPr>
            <w:r>
              <w:rPr>
                <w:rFonts w:ascii="Arial" w:cs="Arial" w:eastAsia="Arial" w:hAnsi="Arial"/>
                <w:sz w:val="18"/>
                <w:szCs w:val="18"/>
                <w:color w:val="auto"/>
              </w:rPr>
              <w:t>8.41</w:t>
            </w:r>
          </w:p>
        </w:tc>
        <w:tc>
          <w:tcPr>
            <w:tcW w:w="120" w:type="dxa"/>
            <w:vAlign w:val="bottom"/>
          </w:tcPr>
          <w:p>
            <w:pPr>
              <w:spacing w:after="0"/>
              <w:rPr>
                <w:sz w:val="17"/>
                <w:szCs w:val="17"/>
                <w:color w:val="auto"/>
              </w:rPr>
            </w:pPr>
          </w:p>
        </w:tc>
        <w:tc>
          <w:tcPr>
            <w:tcW w:w="340" w:type="dxa"/>
            <w:vAlign w:val="bottom"/>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line="203" w:lineRule="exact"/>
              <w:rPr>
                <w:sz w:val="20"/>
                <w:szCs w:val="20"/>
                <w:color w:val="auto"/>
              </w:rPr>
            </w:pPr>
            <w:r>
              <w:rPr>
                <w:rFonts w:ascii="Arial" w:cs="Arial" w:eastAsia="Arial" w:hAnsi="Arial"/>
                <w:sz w:val="18"/>
                <w:szCs w:val="18"/>
                <w:color w:val="auto"/>
              </w:rPr>
              <w:t>8.98</w:t>
            </w:r>
          </w:p>
        </w:tc>
      </w:tr>
    </w:tbl>
    <w:p>
      <w:pPr>
        <w:spacing w:after="0" w:line="32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diluted earnings per share calculations exclude the effect of stock options when the options’ assumed proceeds exceed the average market price of the common shares during the period. In 2020, 2019 and 2018 the weighted number of stock options excluded from the computations were 5.5 million, 2.5 million and 2.5 million. These stock options were outstanding at the end of each of the respective periods.</w:t>
      </w:r>
    </w:p>
    <w:p>
      <w:pPr>
        <w:spacing w:after="0" w:line="270" w:lineRule="exact"/>
        <w:rPr>
          <w:sz w:val="20"/>
          <w:szCs w:val="20"/>
          <w:color w:val="auto"/>
        </w:rPr>
      </w:pPr>
    </w:p>
    <w:p>
      <w:pPr>
        <w:spacing w:after="0"/>
        <w:rPr>
          <w:sz w:val="20"/>
          <w:szCs w:val="20"/>
          <w:color w:val="auto"/>
        </w:rPr>
      </w:pPr>
      <w:r>
        <w:rPr>
          <w:rFonts w:ascii="Arial" w:cs="Arial" w:eastAsia="Arial" w:hAnsi="Arial"/>
          <w:sz w:val="29"/>
          <w:szCs w:val="29"/>
          <w:b w:val="1"/>
          <w:bCs w:val="1"/>
          <w:color w:val="DC202E"/>
        </w:rPr>
        <w:t>NOTE 18. ACCUMULATED OTHER COMPREHENSIVE INCOME (LOSS)</w:t>
      </w:r>
    </w:p>
    <w:p>
      <w:pPr>
        <w:spacing w:after="0" w:line="15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changes in Accumulated other comprehensive income (loss) are provided in the tables below. Comprehensive income (loss) attributable to noncontrolling interest consists predominantly of net income.</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Pre-tax</w:t>
            </w:r>
          </w:p>
        </w:tc>
        <w:tc>
          <w:tcPr>
            <w:tcW w:w="360" w:type="dxa"/>
            <w:vAlign w:val="bottom"/>
          </w:tcPr>
          <w:p>
            <w:pPr>
              <w:spacing w:after="0"/>
              <w:rPr>
                <w:sz w:val="17"/>
                <w:szCs w:val="17"/>
                <w:color w:val="auto"/>
              </w:rPr>
            </w:pPr>
          </w:p>
        </w:tc>
        <w:tc>
          <w:tcPr>
            <w:tcW w:w="1180" w:type="dxa"/>
            <w:vAlign w:val="bottom"/>
            <w:gridSpan w:val="2"/>
          </w:tcPr>
          <w:p>
            <w:pPr>
              <w:ind w:left="240"/>
              <w:spacing w:after="0"/>
              <w:rPr>
                <w:sz w:val="20"/>
                <w:szCs w:val="20"/>
                <w:color w:val="auto"/>
              </w:rPr>
            </w:pPr>
            <w:r>
              <w:rPr>
                <w:rFonts w:ascii="Arial" w:cs="Arial" w:eastAsia="Arial" w:hAnsi="Arial"/>
                <w:sz w:val="14"/>
                <w:szCs w:val="14"/>
                <w:b w:val="1"/>
                <w:bCs w:val="1"/>
                <w:color w:val="auto"/>
              </w:rPr>
              <w:t>Tax</w:t>
            </w:r>
          </w:p>
        </w:tc>
        <w:tc>
          <w:tcPr>
            <w:tcW w:w="260" w:type="dxa"/>
            <w:vAlign w:val="bottom"/>
          </w:tcPr>
          <w:p>
            <w:pPr>
              <w:spacing w:after="0"/>
              <w:rPr>
                <w:sz w:val="17"/>
                <w:szCs w:val="17"/>
                <w:color w:val="auto"/>
              </w:rPr>
            </w:pPr>
          </w:p>
        </w:tc>
        <w:tc>
          <w:tcPr>
            <w:tcW w:w="1180" w:type="dxa"/>
            <w:vAlign w:val="bottom"/>
          </w:tcPr>
          <w:p>
            <w:pPr>
              <w:jc w:val="right"/>
              <w:ind w:right="331"/>
              <w:spacing w:after="0"/>
              <w:rPr>
                <w:sz w:val="20"/>
                <w:szCs w:val="20"/>
                <w:color w:val="auto"/>
              </w:rPr>
            </w:pPr>
            <w:r>
              <w:rPr>
                <w:rFonts w:ascii="Arial" w:cs="Arial" w:eastAsia="Arial" w:hAnsi="Arial"/>
                <w:sz w:val="14"/>
                <w:szCs w:val="14"/>
                <w:b w:val="1"/>
                <w:bCs w:val="1"/>
                <w:color w:val="auto"/>
              </w:rPr>
              <w:t>After-Tax</w:t>
            </w:r>
          </w:p>
        </w:tc>
        <w:tc>
          <w:tcPr>
            <w:tcW w:w="0" w:type="dxa"/>
            <w:vAlign w:val="bottom"/>
          </w:tcPr>
          <w:p>
            <w:pPr>
              <w:spacing w:after="0"/>
              <w:rPr>
                <w:sz w:val="1"/>
                <w:szCs w:val="1"/>
                <w:color w:val="auto"/>
              </w:rPr>
            </w:pPr>
          </w:p>
        </w:tc>
      </w:tr>
      <w:tr>
        <w:trPr>
          <w:trHeight w:val="230"/>
        </w:trPr>
        <w:tc>
          <w:tcPr>
            <w:tcW w:w="6700" w:type="dxa"/>
            <w:vAlign w:val="bottom"/>
            <w:tcBorders>
              <w:top w:val="single" w:sz="8" w:color="DDDDDD"/>
            </w:tcBorders>
            <w:shd w:val="clear" w:color="auto" w:fill="DDDDDD"/>
          </w:tcPr>
          <w:p>
            <w:pPr>
              <w:ind w:left="20"/>
              <w:spacing w:after="0"/>
              <w:rPr>
                <w:sz w:val="20"/>
                <w:szCs w:val="20"/>
                <w:color w:val="auto"/>
              </w:rPr>
            </w:pPr>
            <w:r>
              <w:rPr>
                <w:rFonts w:ascii="Arial" w:cs="Arial" w:eastAsia="Arial" w:hAnsi="Arial"/>
                <w:sz w:val="18"/>
                <w:szCs w:val="18"/>
                <w:b w:val="1"/>
                <w:bCs w:val="1"/>
                <w:color w:val="auto"/>
              </w:rPr>
              <w:t>Year Ended December 31, 2020</w:t>
            </w:r>
          </w:p>
        </w:tc>
        <w:tc>
          <w:tcPr>
            <w:tcW w:w="300" w:type="dxa"/>
            <w:vAlign w:val="bottom"/>
            <w:tcBorders>
              <w:top w:val="single" w:sz="8" w:color="DC202E"/>
            </w:tcBorders>
            <w:shd w:val="clear" w:color="auto" w:fill="DDDDDD"/>
          </w:tcPr>
          <w:p>
            <w:pPr>
              <w:spacing w:after="0"/>
              <w:rPr>
                <w:sz w:val="19"/>
                <w:szCs w:val="19"/>
                <w:color w:val="auto"/>
              </w:rPr>
            </w:pPr>
          </w:p>
        </w:tc>
        <w:tc>
          <w:tcPr>
            <w:tcW w:w="1140" w:type="dxa"/>
            <w:vAlign w:val="bottom"/>
            <w:tcBorders>
              <w:top w:val="single" w:sz="8" w:color="DC202E"/>
            </w:tcBorders>
            <w:shd w:val="clear" w:color="auto" w:fill="DDDDDD"/>
          </w:tcPr>
          <w:p>
            <w:pPr>
              <w:spacing w:after="0"/>
              <w:rPr>
                <w:sz w:val="19"/>
                <w:szCs w:val="19"/>
                <w:color w:val="auto"/>
              </w:rPr>
            </w:pPr>
          </w:p>
        </w:tc>
        <w:tc>
          <w:tcPr>
            <w:tcW w:w="120" w:type="dxa"/>
            <w:vAlign w:val="bottom"/>
            <w:tcBorders>
              <w:top w:val="single" w:sz="8" w:color="DDDDDD"/>
            </w:tcBorders>
            <w:shd w:val="clear" w:color="auto" w:fill="DDDDDD"/>
          </w:tcPr>
          <w:p>
            <w:pPr>
              <w:spacing w:after="0"/>
              <w:rPr>
                <w:sz w:val="19"/>
                <w:szCs w:val="19"/>
                <w:color w:val="auto"/>
              </w:rPr>
            </w:pPr>
          </w:p>
        </w:tc>
        <w:tc>
          <w:tcPr>
            <w:tcW w:w="360" w:type="dxa"/>
            <w:vAlign w:val="bottom"/>
            <w:tcBorders>
              <w:top w:val="single" w:sz="8" w:color="DC202E"/>
            </w:tcBorders>
            <w:shd w:val="clear" w:color="auto" w:fill="DDDDDD"/>
          </w:tcPr>
          <w:p>
            <w:pPr>
              <w:spacing w:after="0"/>
              <w:rPr>
                <w:sz w:val="19"/>
                <w:szCs w:val="19"/>
                <w:color w:val="auto"/>
              </w:rPr>
            </w:pPr>
          </w:p>
        </w:tc>
        <w:tc>
          <w:tcPr>
            <w:tcW w:w="1060" w:type="dxa"/>
            <w:vAlign w:val="bottom"/>
            <w:tcBorders>
              <w:top w:val="single" w:sz="8" w:color="DC202E"/>
            </w:tcBorders>
            <w:shd w:val="clear" w:color="auto" w:fill="DDDDDD"/>
          </w:tcPr>
          <w:p>
            <w:pPr>
              <w:spacing w:after="0"/>
              <w:rPr>
                <w:sz w:val="19"/>
                <w:szCs w:val="19"/>
                <w:color w:val="auto"/>
              </w:rPr>
            </w:pPr>
          </w:p>
        </w:tc>
        <w:tc>
          <w:tcPr>
            <w:tcW w:w="120" w:type="dxa"/>
            <w:vAlign w:val="bottom"/>
            <w:tcBorders>
              <w:top w:val="single" w:sz="8" w:color="DDDDDD"/>
            </w:tcBorders>
            <w:shd w:val="clear" w:color="auto" w:fill="DDDDDD"/>
          </w:tcPr>
          <w:p>
            <w:pPr>
              <w:spacing w:after="0"/>
              <w:rPr>
                <w:sz w:val="19"/>
                <w:szCs w:val="19"/>
                <w:color w:val="auto"/>
              </w:rPr>
            </w:pPr>
          </w:p>
        </w:tc>
        <w:tc>
          <w:tcPr>
            <w:tcW w:w="260" w:type="dxa"/>
            <w:vAlign w:val="bottom"/>
            <w:tcBorders>
              <w:top w:val="single" w:sz="8" w:color="DC202E"/>
            </w:tcBorders>
            <w:shd w:val="clear" w:color="auto" w:fill="DDDDDD"/>
          </w:tcPr>
          <w:p>
            <w:pPr>
              <w:spacing w:after="0"/>
              <w:rPr>
                <w:sz w:val="19"/>
                <w:szCs w:val="19"/>
                <w:color w:val="auto"/>
              </w:rPr>
            </w:pPr>
          </w:p>
        </w:tc>
        <w:tc>
          <w:tcPr>
            <w:tcW w:w="1180" w:type="dxa"/>
            <w:vAlign w:val="bottom"/>
            <w:tcBorders>
              <w:top w:val="single" w:sz="8" w:color="DC202E"/>
            </w:tcBorders>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Foreign exchange translation adjustment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29"/>
        </w:trPr>
        <w:tc>
          <w:tcPr>
            <w:tcW w:w="6700" w:type="dxa"/>
            <w:vAlign w:val="bottom"/>
            <w:shd w:val="clear" w:color="auto" w:fill="DDDDDD"/>
          </w:tcPr>
          <w:p>
            <w:pPr>
              <w:ind w:left="20"/>
              <w:spacing w:after="0"/>
              <w:rPr>
                <w:sz w:val="20"/>
                <w:szCs w:val="20"/>
                <w:color w:val="auto"/>
              </w:rPr>
            </w:pPr>
            <w:r>
              <w:rPr>
                <w:rFonts w:ascii="Arial" w:cs="Arial" w:eastAsia="Arial" w:hAnsi="Arial"/>
                <w:sz w:val="18"/>
                <w:szCs w:val="18"/>
                <w:color w:val="auto"/>
              </w:rPr>
              <w:t>Pensions and other postretirement benefit adjustments</w:t>
            </w:r>
          </w:p>
        </w:tc>
        <w:tc>
          <w:tcPr>
            <w:tcW w:w="300" w:type="dxa"/>
            <w:vAlign w:val="bottom"/>
            <w:shd w:val="clear" w:color="auto" w:fill="DDDDDD"/>
          </w:tcPr>
          <w:p>
            <w:pPr>
              <w:spacing w:after="0"/>
              <w:rPr>
                <w:sz w:val="19"/>
                <w:szCs w:val="19"/>
                <w:color w:val="auto"/>
              </w:rPr>
            </w:pPr>
          </w:p>
        </w:tc>
        <w:tc>
          <w:tcPr>
            <w:tcW w:w="11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76</w:t>
            </w:r>
          </w:p>
        </w:tc>
        <w:tc>
          <w:tcPr>
            <w:tcW w:w="120" w:type="dxa"/>
            <w:vAlign w:val="bottom"/>
            <w:shd w:val="clear" w:color="auto" w:fill="DDDDDD"/>
          </w:tcPr>
          <w:p>
            <w:pPr>
              <w:spacing w:after="0"/>
              <w:rPr>
                <w:sz w:val="19"/>
                <w:szCs w:val="19"/>
                <w:color w:val="auto"/>
              </w:rPr>
            </w:pPr>
          </w:p>
        </w:tc>
        <w:tc>
          <w:tcPr>
            <w:tcW w:w="360" w:type="dxa"/>
            <w:vAlign w:val="bottom"/>
            <w:shd w:val="clear" w:color="auto" w:fill="DDDDDD"/>
          </w:tcPr>
          <w:p>
            <w:pPr>
              <w:spacing w:after="0"/>
              <w:rPr>
                <w:sz w:val="19"/>
                <w:szCs w:val="19"/>
                <w:color w:val="auto"/>
              </w:rPr>
            </w:pPr>
          </w:p>
        </w:tc>
        <w:tc>
          <w:tcPr>
            <w:tcW w:w="10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DDDDDD"/>
          </w:tcPr>
          <w:p>
            <w:pPr>
              <w:spacing w:after="0"/>
              <w:rPr>
                <w:sz w:val="19"/>
                <w:szCs w:val="19"/>
                <w:color w:val="auto"/>
              </w:rPr>
            </w:pPr>
          </w:p>
        </w:tc>
        <w:tc>
          <w:tcPr>
            <w:tcW w:w="260" w:type="dxa"/>
            <w:vAlign w:val="bottom"/>
            <w:shd w:val="clear" w:color="auto" w:fill="DDDDDD"/>
          </w:tcPr>
          <w:p>
            <w:pPr>
              <w:spacing w:after="0"/>
              <w:rPr>
                <w:sz w:val="19"/>
                <w:szCs w:val="19"/>
                <w:color w:val="auto"/>
              </w:rPr>
            </w:pPr>
          </w:p>
        </w:tc>
        <w:tc>
          <w:tcPr>
            <w:tcW w:w="11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Changes in fair value of available for sale investments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6700" w:type="dxa"/>
            <w:vAlign w:val="bottom"/>
            <w:shd w:val="clear" w:color="auto" w:fill="DDDDDD"/>
          </w:tcPr>
          <w:p>
            <w:pPr>
              <w:ind w:left="20"/>
              <w:spacing w:after="0"/>
              <w:rPr>
                <w:sz w:val="20"/>
                <w:szCs w:val="20"/>
                <w:color w:val="auto"/>
              </w:rPr>
            </w:pPr>
            <w:r>
              <w:rPr>
                <w:rFonts w:ascii="Arial" w:cs="Arial" w:eastAsia="Arial" w:hAnsi="Arial"/>
                <w:sz w:val="18"/>
                <w:szCs w:val="18"/>
                <w:color w:val="auto"/>
              </w:rPr>
              <w:t>Changes in fair value of designated cash flow hedges</w:t>
            </w:r>
          </w:p>
        </w:tc>
        <w:tc>
          <w:tcPr>
            <w:tcW w:w="300" w:type="dxa"/>
            <w:vAlign w:val="bottom"/>
            <w:tcBorders>
              <w:bottom w:val="single" w:sz="8" w:color="auto"/>
            </w:tcBorders>
            <w:shd w:val="clear" w:color="auto" w:fill="DDDDDD"/>
          </w:tcPr>
          <w:p>
            <w:pPr>
              <w:spacing w:after="0"/>
              <w:rPr>
                <w:sz w:val="19"/>
                <w:szCs w:val="19"/>
                <w:color w:val="auto"/>
              </w:rPr>
            </w:pPr>
          </w:p>
        </w:tc>
        <w:tc>
          <w:tcPr>
            <w:tcW w:w="1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DDDDDD"/>
          </w:tcPr>
          <w:p>
            <w:pPr>
              <w:spacing w:after="0"/>
              <w:rPr>
                <w:sz w:val="19"/>
                <w:szCs w:val="19"/>
                <w:color w:val="auto"/>
              </w:rPr>
            </w:pPr>
          </w:p>
        </w:tc>
        <w:tc>
          <w:tcPr>
            <w:tcW w:w="360" w:type="dxa"/>
            <w:vAlign w:val="bottom"/>
            <w:tcBorders>
              <w:bottom w:val="single" w:sz="8" w:color="auto"/>
            </w:tcBorders>
            <w:shd w:val="clear" w:color="auto" w:fill="DDDDDD"/>
          </w:tcPr>
          <w:p>
            <w:pPr>
              <w:spacing w:after="0"/>
              <w:rPr>
                <w:sz w:val="19"/>
                <w:szCs w:val="19"/>
                <w:color w:val="auto"/>
              </w:rPr>
            </w:pPr>
          </w:p>
        </w:tc>
        <w:tc>
          <w:tcPr>
            <w:tcW w:w="10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DDDDDD"/>
          </w:tcPr>
          <w:p>
            <w:pPr>
              <w:spacing w:after="0"/>
              <w:rPr>
                <w:sz w:val="19"/>
                <w:szCs w:val="19"/>
                <w:color w:val="auto"/>
              </w:rPr>
            </w:pPr>
          </w:p>
        </w:tc>
        <w:tc>
          <w:tcPr>
            <w:tcW w:w="260" w:type="dxa"/>
            <w:vAlign w:val="bottom"/>
            <w:tcBorders>
              <w:bottom w:val="single" w:sz="8" w:color="auto"/>
            </w:tcBorders>
            <w:shd w:val="clear" w:color="auto" w:fill="DDDDDD"/>
          </w:tcPr>
          <w:p>
            <w:pPr>
              <w:spacing w:after="0"/>
              <w:rPr>
                <w:sz w:val="19"/>
                <w:szCs w:val="19"/>
                <w:color w:val="auto"/>
              </w:rPr>
            </w:pPr>
          </w:p>
        </w:tc>
        <w:tc>
          <w:tcPr>
            <w:tcW w:w="11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3"/>
        </w:trPr>
        <w:tc>
          <w:tcPr>
            <w:tcW w:w="67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0"/>
        </w:trPr>
        <w:tc>
          <w:tcPr>
            <w:tcW w:w="6700" w:type="dxa"/>
            <w:vAlign w:val="bottom"/>
            <w:tcBorders>
              <w:bottom w:val="single" w:sz="8" w:color="DDDDDD"/>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DDDDD"/>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DDDDD"/>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00" w:type="dxa"/>
            <w:vAlign w:val="bottom"/>
            <w:shd w:val="clear" w:color="auto" w:fill="DDDDDD"/>
          </w:tcPr>
          <w:p>
            <w:pPr>
              <w:ind w:left="20"/>
              <w:spacing w:after="0" w:line="196" w:lineRule="exact"/>
              <w:rPr>
                <w:sz w:val="20"/>
                <w:szCs w:val="20"/>
                <w:color w:val="auto"/>
              </w:rPr>
            </w:pPr>
            <w:r>
              <w:rPr>
                <w:rFonts w:ascii="Arial" w:cs="Arial" w:eastAsia="Arial" w:hAnsi="Arial"/>
                <w:sz w:val="18"/>
                <w:szCs w:val="18"/>
                <w:b w:val="1"/>
                <w:bCs w:val="1"/>
                <w:color w:val="auto"/>
              </w:rPr>
              <w:t>Year Ended December 31, 2019</w:t>
            </w:r>
          </w:p>
        </w:tc>
        <w:tc>
          <w:tcPr>
            <w:tcW w:w="300" w:type="dxa"/>
            <w:vAlign w:val="bottom"/>
            <w:shd w:val="clear" w:color="auto" w:fill="DDDDDD"/>
          </w:tcPr>
          <w:p>
            <w:pPr>
              <w:spacing w:after="0"/>
              <w:rPr>
                <w:sz w:val="17"/>
                <w:szCs w:val="17"/>
                <w:color w:val="auto"/>
              </w:rPr>
            </w:pPr>
          </w:p>
        </w:tc>
        <w:tc>
          <w:tcPr>
            <w:tcW w:w="114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360" w:type="dxa"/>
            <w:vAlign w:val="bottom"/>
            <w:shd w:val="clear" w:color="auto" w:fill="DDDDDD"/>
          </w:tcPr>
          <w:p>
            <w:pPr>
              <w:spacing w:after="0"/>
              <w:rPr>
                <w:sz w:val="17"/>
                <w:szCs w:val="17"/>
                <w:color w:val="auto"/>
              </w:rPr>
            </w:pPr>
          </w:p>
        </w:tc>
        <w:tc>
          <w:tcPr>
            <w:tcW w:w="106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260" w:type="dxa"/>
            <w:vAlign w:val="bottom"/>
            <w:shd w:val="clear" w:color="auto" w:fill="DDDDDD"/>
          </w:tcPr>
          <w:p>
            <w:pPr>
              <w:spacing w:after="0"/>
              <w:rPr>
                <w:sz w:val="17"/>
                <w:szCs w:val="17"/>
                <w:color w:val="auto"/>
              </w:rPr>
            </w:pPr>
          </w:p>
        </w:tc>
        <w:tc>
          <w:tcPr>
            <w:tcW w:w="1180" w:type="dxa"/>
            <w:vAlign w:val="bottom"/>
            <w:shd w:val="clear" w:color="auto" w:fill="DDDDDD"/>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Foreign exchange translation adjustment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30"/>
        </w:trPr>
        <w:tc>
          <w:tcPr>
            <w:tcW w:w="6700" w:type="dxa"/>
            <w:vAlign w:val="bottom"/>
            <w:shd w:val="clear" w:color="auto" w:fill="DDDDDD"/>
          </w:tcPr>
          <w:p>
            <w:pPr>
              <w:ind w:left="20"/>
              <w:spacing w:after="0"/>
              <w:rPr>
                <w:sz w:val="20"/>
                <w:szCs w:val="20"/>
                <w:color w:val="auto"/>
              </w:rPr>
            </w:pPr>
            <w:r>
              <w:rPr>
                <w:rFonts w:ascii="Arial" w:cs="Arial" w:eastAsia="Arial" w:hAnsi="Arial"/>
                <w:sz w:val="18"/>
                <w:szCs w:val="18"/>
                <w:color w:val="auto"/>
              </w:rPr>
              <w:t>Pensions and other postretirement benefit adjustments</w:t>
            </w:r>
          </w:p>
        </w:tc>
        <w:tc>
          <w:tcPr>
            <w:tcW w:w="300" w:type="dxa"/>
            <w:vAlign w:val="bottom"/>
            <w:shd w:val="clear" w:color="auto" w:fill="DDDDDD"/>
          </w:tcPr>
          <w:p>
            <w:pPr>
              <w:spacing w:after="0"/>
              <w:rPr>
                <w:sz w:val="19"/>
                <w:szCs w:val="19"/>
                <w:color w:val="auto"/>
              </w:rPr>
            </w:pPr>
          </w:p>
        </w:tc>
        <w:tc>
          <w:tcPr>
            <w:tcW w:w="11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DDDDDD"/>
          </w:tcPr>
          <w:p>
            <w:pPr>
              <w:spacing w:after="0"/>
              <w:rPr>
                <w:sz w:val="19"/>
                <w:szCs w:val="19"/>
                <w:color w:val="auto"/>
              </w:rPr>
            </w:pPr>
          </w:p>
        </w:tc>
        <w:tc>
          <w:tcPr>
            <w:tcW w:w="360" w:type="dxa"/>
            <w:vAlign w:val="bottom"/>
            <w:shd w:val="clear" w:color="auto" w:fill="DDDDDD"/>
          </w:tcPr>
          <w:p>
            <w:pPr>
              <w:spacing w:after="0"/>
              <w:rPr>
                <w:sz w:val="19"/>
                <w:szCs w:val="19"/>
                <w:color w:val="auto"/>
              </w:rPr>
            </w:pPr>
          </w:p>
        </w:tc>
        <w:tc>
          <w:tcPr>
            <w:tcW w:w="10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DDDDDD"/>
          </w:tcPr>
          <w:p>
            <w:pPr>
              <w:spacing w:after="0"/>
              <w:rPr>
                <w:sz w:val="19"/>
                <w:szCs w:val="19"/>
                <w:color w:val="auto"/>
              </w:rPr>
            </w:pPr>
          </w:p>
        </w:tc>
        <w:tc>
          <w:tcPr>
            <w:tcW w:w="260" w:type="dxa"/>
            <w:vAlign w:val="bottom"/>
            <w:shd w:val="clear" w:color="auto" w:fill="DDDDDD"/>
          </w:tcPr>
          <w:p>
            <w:pPr>
              <w:spacing w:after="0"/>
              <w:rPr>
                <w:sz w:val="19"/>
                <w:szCs w:val="19"/>
                <w:color w:val="auto"/>
              </w:rPr>
            </w:pPr>
          </w:p>
        </w:tc>
        <w:tc>
          <w:tcPr>
            <w:tcW w:w="11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30"/>
        </w:trPr>
        <w:tc>
          <w:tcPr>
            <w:tcW w:w="6700" w:type="dxa"/>
            <w:vAlign w:val="bottom"/>
            <w:tcBorders>
              <w:bottom w:val="single" w:sz="8" w:color="DDDDDD"/>
            </w:tcBorders>
          </w:tcPr>
          <w:p>
            <w:pPr>
              <w:ind w:left="20"/>
              <w:spacing w:after="0"/>
              <w:rPr>
                <w:sz w:val="20"/>
                <w:szCs w:val="20"/>
                <w:color w:val="auto"/>
              </w:rPr>
            </w:pPr>
            <w:r>
              <w:rPr>
                <w:rFonts w:ascii="Arial" w:cs="Arial" w:eastAsia="Arial" w:hAnsi="Arial"/>
                <w:sz w:val="18"/>
                <w:szCs w:val="18"/>
                <w:color w:val="auto"/>
              </w:rPr>
              <w:t>Changes in fair value of designated cash flow hedges</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DDDDDD"/>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DDDDDD"/>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8"/>
        </w:trPr>
        <w:tc>
          <w:tcPr>
            <w:tcW w:w="6700" w:type="dxa"/>
            <w:vAlign w:val="bottom"/>
            <w:tcBorders>
              <w:bottom w:val="single" w:sz="8" w:color="DDDDDD"/>
            </w:tcBorders>
            <w:shd w:val="clear" w:color="auto" w:fill="DDDDDD"/>
          </w:tcPr>
          <w:p>
            <w:pPr>
              <w:spacing w:after="0"/>
              <w:rPr>
                <w:sz w:val="21"/>
                <w:szCs w:val="21"/>
                <w:color w:val="auto"/>
              </w:rPr>
            </w:pPr>
          </w:p>
        </w:tc>
        <w:tc>
          <w:tcPr>
            <w:tcW w:w="300" w:type="dxa"/>
            <w:vAlign w:val="bottom"/>
            <w:tcBorders>
              <w:bottom w:val="single" w:sz="8" w:color="auto"/>
            </w:tcBorders>
            <w:shd w:val="clear" w:color="auto" w:fill="DDDDDD"/>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278</w:t>
            </w:r>
          </w:p>
        </w:tc>
        <w:tc>
          <w:tcPr>
            <w:tcW w:w="120" w:type="dxa"/>
            <w:vAlign w:val="bottom"/>
            <w:tcBorders>
              <w:bottom w:val="single" w:sz="8" w:color="DDDDDD"/>
            </w:tcBorders>
            <w:shd w:val="clear" w:color="auto" w:fill="DDDDDD"/>
          </w:tcPr>
          <w:p>
            <w:pPr>
              <w:spacing w:after="0"/>
              <w:rPr>
                <w:sz w:val="21"/>
                <w:szCs w:val="21"/>
                <w:color w:val="auto"/>
              </w:rPr>
            </w:pPr>
          </w:p>
        </w:tc>
        <w:tc>
          <w:tcPr>
            <w:tcW w:w="360" w:type="dxa"/>
            <w:vAlign w:val="bottom"/>
            <w:tcBorders>
              <w:bottom w:val="single" w:sz="8" w:color="auto"/>
            </w:tcBorders>
            <w:shd w:val="clear" w:color="auto" w:fill="DDDDDD"/>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DDDDDD"/>
            </w:tcBorders>
            <w:shd w:val="clear" w:color="auto" w:fill="DDDDDD"/>
          </w:tcPr>
          <w:p>
            <w:pPr>
              <w:spacing w:after="0"/>
              <w:rPr>
                <w:sz w:val="21"/>
                <w:szCs w:val="21"/>
                <w:color w:val="auto"/>
              </w:rPr>
            </w:pPr>
          </w:p>
        </w:tc>
        <w:tc>
          <w:tcPr>
            <w:tcW w:w="260" w:type="dxa"/>
            <w:vAlign w:val="bottom"/>
            <w:tcBorders>
              <w:bottom w:val="single" w:sz="8" w:color="auto"/>
            </w:tcBorders>
            <w:shd w:val="clear" w:color="auto" w:fill="DDDDDD"/>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0"/>
        </w:trPr>
        <w:tc>
          <w:tcPr>
            <w:tcW w:w="6700" w:type="dxa"/>
            <w:vAlign w:val="bottom"/>
            <w:tcBorders>
              <w:top w:val="single" w:sz="8" w:color="DDDDDD"/>
              <w:bottom w:val="single" w:sz="8" w:color="DDDDDD"/>
            </w:tcBorders>
            <w:vMerge w:val="restart"/>
          </w:tcPr>
          <w:p>
            <w:pPr>
              <w:ind w:left="20"/>
              <w:spacing w:after="0"/>
              <w:rPr>
                <w:sz w:val="20"/>
                <w:szCs w:val="20"/>
                <w:color w:val="auto"/>
              </w:rPr>
            </w:pPr>
            <w:r>
              <w:rPr>
                <w:rFonts w:ascii="Arial" w:cs="Arial" w:eastAsia="Arial" w:hAnsi="Arial"/>
                <w:sz w:val="18"/>
                <w:szCs w:val="18"/>
                <w:b w:val="1"/>
                <w:bCs w:val="1"/>
                <w:color w:val="auto"/>
              </w:rPr>
              <w:t>Year Ended December 31, 2018</w:t>
            </w:r>
          </w:p>
        </w:tc>
        <w:tc>
          <w:tcPr>
            <w:tcW w:w="300" w:type="dxa"/>
            <w:vAlign w:val="bottom"/>
            <w:tcBorders>
              <w:top w:val="single" w:sz="8" w:color="DDDDDD"/>
              <w:bottom w:val="single" w:sz="8" w:color="auto"/>
            </w:tcBorders>
          </w:tcPr>
          <w:p>
            <w:pPr>
              <w:spacing w:after="0" w:line="20" w:lineRule="exact"/>
              <w:rPr>
                <w:sz w:val="1"/>
                <w:szCs w:val="1"/>
                <w:color w:val="auto"/>
              </w:rPr>
            </w:pPr>
          </w:p>
        </w:tc>
        <w:tc>
          <w:tcPr>
            <w:tcW w:w="1140" w:type="dxa"/>
            <w:vAlign w:val="bottom"/>
            <w:tcBorders>
              <w:top w:val="single" w:sz="8" w:color="DDDDDD"/>
              <w:bottom w:val="single" w:sz="8" w:color="auto"/>
            </w:tcBorders>
          </w:tcPr>
          <w:p>
            <w:pPr>
              <w:spacing w:after="0" w:line="20" w:lineRule="exact"/>
              <w:rPr>
                <w:sz w:val="1"/>
                <w:szCs w:val="1"/>
                <w:color w:val="auto"/>
              </w:rPr>
            </w:pPr>
          </w:p>
        </w:tc>
        <w:tc>
          <w:tcPr>
            <w:tcW w:w="120" w:type="dxa"/>
            <w:vAlign w:val="bottom"/>
            <w:tcBorders>
              <w:top w:val="single" w:sz="8" w:color="DDDDDD"/>
            </w:tcBorders>
          </w:tcPr>
          <w:p>
            <w:pPr>
              <w:spacing w:after="0" w:line="20" w:lineRule="exact"/>
              <w:rPr>
                <w:sz w:val="1"/>
                <w:szCs w:val="1"/>
                <w:color w:val="auto"/>
              </w:rPr>
            </w:pPr>
          </w:p>
        </w:tc>
        <w:tc>
          <w:tcPr>
            <w:tcW w:w="360" w:type="dxa"/>
            <w:vAlign w:val="bottom"/>
            <w:tcBorders>
              <w:top w:val="single" w:sz="8" w:color="DDDDDD"/>
              <w:bottom w:val="single" w:sz="8" w:color="auto"/>
            </w:tcBorders>
          </w:tcPr>
          <w:p>
            <w:pPr>
              <w:spacing w:after="0" w:line="20" w:lineRule="exact"/>
              <w:rPr>
                <w:sz w:val="1"/>
                <w:szCs w:val="1"/>
                <w:color w:val="auto"/>
              </w:rPr>
            </w:pPr>
          </w:p>
        </w:tc>
        <w:tc>
          <w:tcPr>
            <w:tcW w:w="1060" w:type="dxa"/>
            <w:vAlign w:val="bottom"/>
            <w:tcBorders>
              <w:top w:val="single" w:sz="8" w:color="DDDDDD"/>
              <w:bottom w:val="single" w:sz="8" w:color="auto"/>
            </w:tcBorders>
          </w:tcPr>
          <w:p>
            <w:pPr>
              <w:spacing w:after="0" w:line="20" w:lineRule="exact"/>
              <w:rPr>
                <w:sz w:val="1"/>
                <w:szCs w:val="1"/>
                <w:color w:val="auto"/>
              </w:rPr>
            </w:pPr>
          </w:p>
        </w:tc>
        <w:tc>
          <w:tcPr>
            <w:tcW w:w="120" w:type="dxa"/>
            <w:vAlign w:val="bottom"/>
            <w:tcBorders>
              <w:top w:val="single" w:sz="8" w:color="DDDDDD"/>
            </w:tcBorders>
          </w:tcPr>
          <w:p>
            <w:pPr>
              <w:spacing w:after="0" w:line="20" w:lineRule="exact"/>
              <w:rPr>
                <w:sz w:val="1"/>
                <w:szCs w:val="1"/>
                <w:color w:val="auto"/>
              </w:rPr>
            </w:pPr>
          </w:p>
        </w:tc>
        <w:tc>
          <w:tcPr>
            <w:tcW w:w="260" w:type="dxa"/>
            <w:vAlign w:val="bottom"/>
            <w:tcBorders>
              <w:top w:val="single" w:sz="8" w:color="DDDDDD"/>
              <w:bottom w:val="single" w:sz="8" w:color="auto"/>
            </w:tcBorders>
          </w:tcPr>
          <w:p>
            <w:pPr>
              <w:spacing w:after="0" w:line="20" w:lineRule="exact"/>
              <w:rPr>
                <w:sz w:val="1"/>
                <w:szCs w:val="1"/>
                <w:color w:val="auto"/>
              </w:rPr>
            </w:pPr>
          </w:p>
        </w:tc>
        <w:tc>
          <w:tcPr>
            <w:tcW w:w="1180" w:type="dxa"/>
            <w:vAlign w:val="bottom"/>
            <w:tcBorders>
              <w:top w:val="single" w:sz="8" w:color="DDDDD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7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DDDDDD"/>
          </w:tcPr>
          <w:p>
            <w:pPr>
              <w:ind w:left="20"/>
              <w:spacing w:after="0"/>
              <w:rPr>
                <w:sz w:val="20"/>
                <w:szCs w:val="20"/>
                <w:color w:val="auto"/>
              </w:rPr>
            </w:pPr>
            <w:r>
              <w:rPr>
                <w:rFonts w:ascii="Arial" w:cs="Arial" w:eastAsia="Arial" w:hAnsi="Arial"/>
                <w:sz w:val="18"/>
                <w:szCs w:val="18"/>
                <w:color w:val="auto"/>
              </w:rPr>
              <w:t>Foreign exchange translation adjustment</w:t>
            </w:r>
          </w:p>
        </w:tc>
        <w:tc>
          <w:tcPr>
            <w:tcW w:w="300" w:type="dxa"/>
            <w:vAlign w:val="bottom"/>
            <w:shd w:val="clear" w:color="auto" w:fill="DDDDDD"/>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(728)</w:t>
            </w:r>
          </w:p>
        </w:tc>
        <w:tc>
          <w:tcPr>
            <w:tcW w:w="120" w:type="dxa"/>
            <w:vAlign w:val="bottom"/>
            <w:shd w:val="clear" w:color="auto" w:fill="DDDDDD"/>
          </w:tcPr>
          <w:p>
            <w:pPr>
              <w:spacing w:after="0"/>
              <w:rPr>
                <w:sz w:val="19"/>
                <w:szCs w:val="19"/>
                <w:color w:val="auto"/>
              </w:rPr>
            </w:pPr>
          </w:p>
        </w:tc>
        <w:tc>
          <w:tcPr>
            <w:tcW w:w="36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DDDDDD"/>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DDDDDD"/>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Pensions and other postretirement benefit adjustments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30"/>
        </w:trPr>
        <w:tc>
          <w:tcPr>
            <w:tcW w:w="6700" w:type="dxa"/>
            <w:vAlign w:val="bottom"/>
            <w:shd w:val="clear" w:color="auto" w:fill="DDDDDD"/>
          </w:tcPr>
          <w:p>
            <w:pPr>
              <w:ind w:left="20"/>
              <w:spacing w:after="0"/>
              <w:rPr>
                <w:sz w:val="20"/>
                <w:szCs w:val="20"/>
                <w:color w:val="auto"/>
              </w:rPr>
            </w:pPr>
            <w:r>
              <w:rPr>
                <w:rFonts w:ascii="Arial" w:cs="Arial" w:eastAsia="Arial" w:hAnsi="Arial"/>
                <w:sz w:val="18"/>
                <w:szCs w:val="18"/>
                <w:color w:val="auto"/>
              </w:rPr>
              <w:t>Changes in fair value of designated cash flow hedges</w:t>
            </w:r>
          </w:p>
        </w:tc>
        <w:tc>
          <w:tcPr>
            <w:tcW w:w="300" w:type="dxa"/>
            <w:vAlign w:val="bottom"/>
            <w:tcBorders>
              <w:bottom w:val="single" w:sz="8" w:color="auto"/>
            </w:tcBorders>
            <w:shd w:val="clear" w:color="auto" w:fill="DDDDDD"/>
          </w:tcPr>
          <w:p>
            <w:pPr>
              <w:spacing w:after="0"/>
              <w:rPr>
                <w:sz w:val="19"/>
                <w:szCs w:val="19"/>
                <w:color w:val="auto"/>
              </w:rPr>
            </w:pPr>
          </w:p>
        </w:tc>
        <w:tc>
          <w:tcPr>
            <w:tcW w:w="1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DDDDDD"/>
          </w:tcPr>
          <w:p>
            <w:pPr>
              <w:spacing w:after="0"/>
              <w:rPr>
                <w:sz w:val="19"/>
                <w:szCs w:val="19"/>
                <w:color w:val="auto"/>
              </w:rPr>
            </w:pPr>
          </w:p>
        </w:tc>
        <w:tc>
          <w:tcPr>
            <w:tcW w:w="360" w:type="dxa"/>
            <w:vAlign w:val="bottom"/>
            <w:tcBorders>
              <w:bottom w:val="single" w:sz="8" w:color="auto"/>
            </w:tcBorders>
            <w:shd w:val="clear" w:color="auto" w:fill="DDDDDD"/>
          </w:tcPr>
          <w:p>
            <w:pPr>
              <w:spacing w:after="0"/>
              <w:rPr>
                <w:sz w:val="19"/>
                <w:szCs w:val="19"/>
                <w:color w:val="auto"/>
              </w:rPr>
            </w:pPr>
          </w:p>
        </w:tc>
        <w:tc>
          <w:tcPr>
            <w:tcW w:w="10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DDDDDD"/>
          </w:tcPr>
          <w:p>
            <w:pPr>
              <w:spacing w:after="0"/>
              <w:rPr>
                <w:sz w:val="19"/>
                <w:szCs w:val="19"/>
                <w:color w:val="auto"/>
              </w:rPr>
            </w:pPr>
          </w:p>
        </w:tc>
        <w:tc>
          <w:tcPr>
            <w:tcW w:w="260" w:type="dxa"/>
            <w:vAlign w:val="bottom"/>
            <w:tcBorders>
              <w:bottom w:val="single" w:sz="8" w:color="auto"/>
            </w:tcBorders>
            <w:shd w:val="clear" w:color="auto" w:fill="DDDDDD"/>
          </w:tcPr>
          <w:p>
            <w:pPr>
              <w:spacing w:after="0"/>
              <w:rPr>
                <w:sz w:val="19"/>
                <w:szCs w:val="19"/>
                <w:color w:val="auto"/>
              </w:rPr>
            </w:pPr>
          </w:p>
        </w:tc>
        <w:tc>
          <w:tcPr>
            <w:tcW w:w="11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3"/>
        </w:trPr>
        <w:tc>
          <w:tcPr>
            <w:tcW w:w="67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(1,353)</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(1,202)</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82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85" w:name="page86"/>
    <w:bookmarkEnd w:id="85"/>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COMPONENTS OF ACCUMULATED OTHER COMPREHENSIVE INCOME (LOSS)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240" w:type="dxa"/>
            <w:vAlign w:val="bottom"/>
          </w:tcPr>
          <w:p>
            <w:pPr>
              <w:spacing w:after="0"/>
              <w:rPr>
                <w:sz w:val="17"/>
                <w:szCs w:val="17"/>
                <w:color w:val="auto"/>
              </w:rPr>
            </w:pPr>
          </w:p>
        </w:tc>
        <w:tc>
          <w:tcPr>
            <w:tcW w:w="340" w:type="dxa"/>
            <w:vAlign w:val="bottom"/>
            <w:tcBorders>
              <w:bottom w:val="single" w:sz="8" w:color="DC202E"/>
            </w:tcBorders>
          </w:tcPr>
          <w:p>
            <w:pPr>
              <w:spacing w:after="0"/>
              <w:rPr>
                <w:sz w:val="17"/>
                <w:szCs w:val="17"/>
                <w:color w:val="auto"/>
              </w:rPr>
            </w:pPr>
          </w:p>
        </w:tc>
        <w:tc>
          <w:tcPr>
            <w:tcW w:w="1700" w:type="dxa"/>
            <w:vAlign w:val="bottom"/>
            <w:tcBorders>
              <w:bottom w:val="single" w:sz="8" w:color="DC202E"/>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DC202E"/>
            </w:tcBorders>
          </w:tcPr>
          <w:p>
            <w:pPr>
              <w:spacing w:after="0"/>
              <w:rPr>
                <w:sz w:val="17"/>
                <w:szCs w:val="17"/>
                <w:color w:val="auto"/>
              </w:rPr>
            </w:pPr>
          </w:p>
        </w:tc>
      </w:tr>
      <w:tr>
        <w:trPr>
          <w:trHeight w:val="237"/>
        </w:trPr>
        <w:tc>
          <w:tcPr>
            <w:tcW w:w="8240" w:type="dxa"/>
            <w:vAlign w:val="bottom"/>
            <w:tcBorders>
              <w:bottom w:val="single" w:sz="8" w:color="DDDDDD"/>
            </w:tcBorders>
          </w:tcPr>
          <w:p>
            <w:pPr>
              <w:spacing w:after="0"/>
              <w:rPr>
                <w:sz w:val="20"/>
                <w:szCs w:val="20"/>
                <w:color w:val="auto"/>
              </w:rPr>
            </w:pPr>
          </w:p>
        </w:tc>
        <w:tc>
          <w:tcPr>
            <w:tcW w:w="340" w:type="dxa"/>
            <w:vAlign w:val="bottom"/>
            <w:tcBorders>
              <w:bottom w:val="single" w:sz="8" w:color="DC202E"/>
            </w:tcBorders>
          </w:tcPr>
          <w:p>
            <w:pPr>
              <w:spacing w:after="0"/>
              <w:rPr>
                <w:sz w:val="20"/>
                <w:szCs w:val="20"/>
                <w:color w:val="auto"/>
              </w:rPr>
            </w:pPr>
          </w:p>
        </w:tc>
        <w:tc>
          <w:tcPr>
            <w:tcW w:w="1100" w:type="dxa"/>
            <w:vAlign w:val="bottom"/>
            <w:tcBorders>
              <w:bottom w:val="single" w:sz="8" w:color="DC202E"/>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DDDDDD"/>
            </w:tcBorders>
          </w:tcPr>
          <w:p>
            <w:pPr>
              <w:spacing w:after="0"/>
              <w:rPr>
                <w:sz w:val="20"/>
                <w:szCs w:val="20"/>
                <w:color w:val="auto"/>
              </w:rPr>
            </w:pPr>
          </w:p>
        </w:tc>
        <w:tc>
          <w:tcPr>
            <w:tcW w:w="480" w:type="dxa"/>
            <w:vAlign w:val="bottom"/>
            <w:tcBorders>
              <w:bottom w:val="single" w:sz="8" w:color="DC202E"/>
            </w:tcBorders>
          </w:tcPr>
          <w:p>
            <w:pPr>
              <w:spacing w:after="0"/>
              <w:rPr>
                <w:sz w:val="20"/>
                <w:szCs w:val="20"/>
                <w:color w:val="auto"/>
              </w:rPr>
            </w:pPr>
          </w:p>
        </w:tc>
        <w:tc>
          <w:tcPr>
            <w:tcW w:w="960" w:type="dxa"/>
            <w:vAlign w:val="bottom"/>
            <w:tcBorders>
              <w:bottom w:val="single" w:sz="8" w:color="DC202E"/>
            </w:tcBorders>
          </w:tcPr>
          <w:p>
            <w:pPr>
              <w:jc w:val="right"/>
              <w:ind w:right="472"/>
              <w:spacing w:after="0"/>
              <w:rPr>
                <w:sz w:val="20"/>
                <w:szCs w:val="20"/>
                <w:color w:val="auto"/>
              </w:rPr>
            </w:pPr>
            <w:r>
              <w:rPr>
                <w:rFonts w:ascii="Arial" w:cs="Arial" w:eastAsia="Arial" w:hAnsi="Arial"/>
                <w:sz w:val="14"/>
                <w:szCs w:val="14"/>
                <w:b w:val="1"/>
                <w:bCs w:val="1"/>
                <w:color w:val="auto"/>
              </w:rPr>
              <w:t>2019</w:t>
            </w:r>
          </w:p>
        </w:tc>
      </w:tr>
      <w:tr>
        <w:trPr>
          <w:trHeight w:val="229"/>
        </w:trPr>
        <w:tc>
          <w:tcPr>
            <w:tcW w:w="8240" w:type="dxa"/>
            <w:vAlign w:val="bottom"/>
            <w:shd w:val="clear" w:color="auto" w:fill="DDDDDD"/>
          </w:tcPr>
          <w:p>
            <w:pPr>
              <w:ind w:left="20"/>
              <w:spacing w:after="0"/>
              <w:rPr>
                <w:sz w:val="20"/>
                <w:szCs w:val="20"/>
                <w:color w:val="auto"/>
              </w:rPr>
            </w:pPr>
            <w:r>
              <w:rPr>
                <w:rFonts w:ascii="Arial" w:cs="Arial" w:eastAsia="Arial" w:hAnsi="Arial"/>
                <w:sz w:val="18"/>
                <w:szCs w:val="18"/>
                <w:color w:val="auto"/>
              </w:rPr>
              <w:t>Cumulative foreign exchange translation adjustment</w:t>
            </w:r>
          </w:p>
        </w:tc>
        <w:tc>
          <w:tcPr>
            <w:tcW w:w="3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(2,780)</w:t>
            </w:r>
          </w:p>
        </w:tc>
        <w:tc>
          <w:tcPr>
            <w:tcW w:w="120" w:type="dxa"/>
            <w:vAlign w:val="bottom"/>
            <w:shd w:val="clear" w:color="auto" w:fill="DDDDDD"/>
          </w:tcPr>
          <w:p>
            <w:pPr>
              <w:spacing w:after="0"/>
              <w:rPr>
                <w:sz w:val="19"/>
                <w:szCs w:val="19"/>
                <w:color w:val="auto"/>
              </w:rPr>
            </w:pPr>
          </w:p>
        </w:tc>
        <w:tc>
          <w:tcPr>
            <w:tcW w:w="480" w:type="dxa"/>
            <w:vAlign w:val="bottom"/>
            <w:shd w:val="clear" w:color="auto" w:fill="DDDDDD"/>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(2,566)</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Pensions and other postretirement benefit adjustments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(675)</w:t>
            </w:r>
          </w:p>
        </w:tc>
      </w:tr>
      <w:tr>
        <w:trPr>
          <w:trHeight w:val="243"/>
        </w:trPr>
        <w:tc>
          <w:tcPr>
            <w:tcW w:w="8240" w:type="dxa"/>
            <w:vAlign w:val="bottom"/>
            <w:shd w:val="clear" w:color="auto" w:fill="DDDDDD"/>
          </w:tcPr>
          <w:p>
            <w:pPr>
              <w:ind w:left="20"/>
              <w:spacing w:after="0"/>
              <w:rPr>
                <w:sz w:val="20"/>
                <w:szCs w:val="20"/>
                <w:color w:val="auto"/>
              </w:rPr>
            </w:pPr>
            <w:r>
              <w:rPr>
                <w:rFonts w:ascii="Arial" w:cs="Arial" w:eastAsia="Arial" w:hAnsi="Arial"/>
                <w:sz w:val="18"/>
                <w:szCs w:val="18"/>
                <w:color w:val="auto"/>
              </w:rPr>
              <w:t>Changes in fair value of available for sale investments</w:t>
            </w:r>
          </w:p>
        </w:tc>
        <w:tc>
          <w:tcPr>
            <w:tcW w:w="340" w:type="dxa"/>
            <w:vAlign w:val="bottom"/>
            <w:shd w:val="clear" w:color="auto" w:fill="DDDDDD"/>
          </w:tcPr>
          <w:p>
            <w:pPr>
              <w:spacing w:after="0"/>
              <w:rPr>
                <w:sz w:val="21"/>
                <w:szCs w:val="21"/>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DDDDDD"/>
          </w:tcPr>
          <w:p>
            <w:pPr>
              <w:spacing w:after="0"/>
              <w:rPr>
                <w:sz w:val="21"/>
                <w:szCs w:val="21"/>
                <w:color w:val="auto"/>
              </w:rPr>
            </w:pPr>
          </w:p>
        </w:tc>
        <w:tc>
          <w:tcPr>
            <w:tcW w:w="480" w:type="dxa"/>
            <w:vAlign w:val="bottom"/>
            <w:shd w:val="clear" w:color="auto" w:fill="DDDDDD"/>
          </w:tcPr>
          <w:p>
            <w:pPr>
              <w:spacing w:after="0"/>
              <w:rPr>
                <w:sz w:val="21"/>
                <w:szCs w:val="21"/>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20"/>
                <w:szCs w:val="20"/>
                <w:color w:val="auto"/>
              </w:rPr>
              <w:t>—</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Changes in fair value of designated cash flow hedges</w:t>
            </w:r>
          </w:p>
        </w:tc>
        <w:tc>
          <w:tcPr>
            <w:tcW w:w="3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48"/>
        </w:trPr>
        <w:tc>
          <w:tcPr>
            <w:tcW w:w="8240" w:type="dxa"/>
            <w:vAlign w:val="bottom"/>
            <w:tcBorders>
              <w:top w:val="single" w:sz="8" w:color="DDDDDD"/>
              <w:bottom w:val="single" w:sz="8" w:color="DDDDDD"/>
            </w:tcBorders>
            <w:shd w:val="clear" w:color="auto" w:fill="DDDDDD"/>
          </w:tcPr>
          <w:p>
            <w:pPr>
              <w:spacing w:after="0"/>
              <w:rPr>
                <w:sz w:val="21"/>
                <w:szCs w:val="21"/>
                <w:color w:val="auto"/>
              </w:rPr>
            </w:pPr>
          </w:p>
        </w:tc>
        <w:tc>
          <w:tcPr>
            <w:tcW w:w="340" w:type="dxa"/>
            <w:vAlign w:val="bottom"/>
            <w:tcBorders>
              <w:top w:val="single" w:sz="8" w:color="auto"/>
              <w:bottom w:val="single" w:sz="8" w:color="auto"/>
            </w:tcBorders>
            <w:shd w:val="clear" w:color="auto" w:fill="DDDDDD"/>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(3,377)</w:t>
            </w:r>
          </w:p>
        </w:tc>
        <w:tc>
          <w:tcPr>
            <w:tcW w:w="120" w:type="dxa"/>
            <w:vAlign w:val="bottom"/>
            <w:tcBorders>
              <w:top w:val="single" w:sz="8" w:color="DDDDDD"/>
              <w:bottom w:val="single" w:sz="8" w:color="DDDDDD"/>
            </w:tcBorders>
            <w:shd w:val="clear" w:color="auto" w:fill="DDDDDD"/>
          </w:tcPr>
          <w:p>
            <w:pPr>
              <w:spacing w:after="0"/>
              <w:rPr>
                <w:sz w:val="21"/>
                <w:szCs w:val="21"/>
                <w:color w:val="auto"/>
              </w:rPr>
            </w:pPr>
          </w:p>
        </w:tc>
        <w:tc>
          <w:tcPr>
            <w:tcW w:w="480" w:type="dxa"/>
            <w:vAlign w:val="bottom"/>
            <w:tcBorders>
              <w:top w:val="single" w:sz="8" w:color="auto"/>
              <w:bottom w:val="single" w:sz="8" w:color="auto"/>
            </w:tcBorders>
            <w:shd w:val="clear" w:color="auto" w:fill="DDDDDD"/>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(3,197)</w:t>
            </w:r>
          </w:p>
        </w:tc>
      </w:tr>
      <w:tr>
        <w:trPr>
          <w:trHeight w:val="20"/>
        </w:trPr>
        <w:tc>
          <w:tcPr>
            <w:tcW w:w="8240" w:type="dxa"/>
            <w:vAlign w:val="bottom"/>
            <w:tcBorders>
              <w:top w:val="single" w:sz="8" w:color="DDDDDD"/>
            </w:tcBorders>
          </w:tcPr>
          <w:p>
            <w:pPr>
              <w:spacing w:after="0" w:line="20" w:lineRule="exact"/>
              <w:rPr>
                <w:sz w:val="1"/>
                <w:szCs w:val="1"/>
                <w:color w:val="auto"/>
              </w:rPr>
            </w:pPr>
          </w:p>
        </w:tc>
        <w:tc>
          <w:tcPr>
            <w:tcW w:w="340" w:type="dxa"/>
            <w:vAlign w:val="bottom"/>
            <w:tcBorders>
              <w:top w:val="single" w:sz="8" w:color="DDDDDD"/>
              <w:bottom w:val="single" w:sz="8" w:color="auto"/>
            </w:tcBorders>
          </w:tcPr>
          <w:p>
            <w:pPr>
              <w:spacing w:after="0" w:line="20" w:lineRule="exact"/>
              <w:rPr>
                <w:sz w:val="1"/>
                <w:szCs w:val="1"/>
                <w:color w:val="auto"/>
              </w:rPr>
            </w:pPr>
          </w:p>
        </w:tc>
        <w:tc>
          <w:tcPr>
            <w:tcW w:w="1100" w:type="dxa"/>
            <w:vAlign w:val="bottom"/>
            <w:tcBorders>
              <w:top w:val="single" w:sz="8" w:color="DDDDDD"/>
              <w:bottom w:val="single" w:sz="8" w:color="auto"/>
            </w:tcBorders>
          </w:tcPr>
          <w:p>
            <w:pPr>
              <w:spacing w:after="0" w:line="20" w:lineRule="exact"/>
              <w:rPr>
                <w:sz w:val="1"/>
                <w:szCs w:val="1"/>
                <w:color w:val="auto"/>
              </w:rPr>
            </w:pPr>
          </w:p>
        </w:tc>
        <w:tc>
          <w:tcPr>
            <w:tcW w:w="120" w:type="dxa"/>
            <w:vAlign w:val="bottom"/>
            <w:tcBorders>
              <w:top w:val="single" w:sz="8" w:color="DDDDDD"/>
            </w:tcBorders>
          </w:tcPr>
          <w:p>
            <w:pPr>
              <w:spacing w:after="0" w:line="20" w:lineRule="exact"/>
              <w:rPr>
                <w:sz w:val="1"/>
                <w:szCs w:val="1"/>
                <w:color w:val="auto"/>
              </w:rPr>
            </w:pPr>
          </w:p>
        </w:tc>
        <w:tc>
          <w:tcPr>
            <w:tcW w:w="480" w:type="dxa"/>
            <w:vAlign w:val="bottom"/>
            <w:tcBorders>
              <w:top w:val="single" w:sz="8" w:color="DDDDDD"/>
              <w:bottom w:val="single" w:sz="8" w:color="auto"/>
            </w:tcBorders>
          </w:tcPr>
          <w:p>
            <w:pPr>
              <w:spacing w:after="0" w:line="20" w:lineRule="exact"/>
              <w:rPr>
                <w:sz w:val="1"/>
                <w:szCs w:val="1"/>
                <w:color w:val="auto"/>
              </w:rPr>
            </w:pPr>
          </w:p>
        </w:tc>
        <w:tc>
          <w:tcPr>
            <w:tcW w:w="960" w:type="dxa"/>
            <w:vAlign w:val="bottom"/>
            <w:tcBorders>
              <w:top w:val="single" w:sz="8" w:color="DDDDDD"/>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CHANGES IN ACCUMULATED OTHER COMPREHENSIVE INCOME (LOSS) BY COMPONENT</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Foreign</w:t>
            </w:r>
          </w:p>
        </w:tc>
        <w:tc>
          <w:tcPr>
            <w:tcW w:w="16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Pension</w:t>
            </w:r>
          </w:p>
        </w:tc>
        <w:tc>
          <w:tcPr>
            <w:tcW w:w="16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Changes in Fair</w:t>
            </w:r>
          </w:p>
        </w:tc>
        <w:tc>
          <w:tcPr>
            <w:tcW w:w="200" w:type="dxa"/>
            <w:vAlign w:val="bottom"/>
          </w:tcPr>
          <w:p>
            <w:pPr>
              <w:spacing w:after="0"/>
              <w:rPr>
                <w:sz w:val="14"/>
                <w:szCs w:val="1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Changes in</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rPr>
              <w:t>Exchange</w:t>
            </w:r>
          </w:p>
        </w:tc>
        <w:tc>
          <w:tcPr>
            <w:tcW w:w="160" w:type="dxa"/>
            <w:vAlign w:val="bottom"/>
          </w:tcPr>
          <w:p>
            <w:pPr>
              <w:spacing w:after="0"/>
              <w:rPr>
                <w:sz w:val="11"/>
                <w:szCs w:val="11"/>
                <w:color w:val="auto"/>
              </w:rPr>
            </w:pPr>
          </w:p>
        </w:tc>
        <w:tc>
          <w:tcPr>
            <w:tcW w:w="13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and Other</w:t>
            </w:r>
          </w:p>
        </w:tc>
        <w:tc>
          <w:tcPr>
            <w:tcW w:w="154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rPr>
              <w:t>Value of Available</w:t>
            </w:r>
          </w:p>
        </w:tc>
        <w:tc>
          <w:tcPr>
            <w:tcW w:w="200" w:type="dxa"/>
            <w:vAlign w:val="bottom"/>
          </w:tcPr>
          <w:p>
            <w:pPr>
              <w:spacing w:after="0"/>
              <w:rPr>
                <w:sz w:val="11"/>
                <w:szCs w:val="11"/>
                <w:color w:val="auto"/>
              </w:rPr>
            </w:pPr>
          </w:p>
        </w:tc>
        <w:tc>
          <w:tcPr>
            <w:tcW w:w="132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rPr>
              <w:t>Fair Value of</w:t>
            </w: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rPr>
              <w:t>Translation</w:t>
            </w:r>
          </w:p>
        </w:tc>
        <w:tc>
          <w:tcPr>
            <w:tcW w:w="160" w:type="dxa"/>
            <w:vAlign w:val="bottom"/>
          </w:tcPr>
          <w:p>
            <w:pPr>
              <w:spacing w:after="0"/>
              <w:rPr>
                <w:sz w:val="11"/>
                <w:szCs w:val="11"/>
                <w:color w:val="auto"/>
              </w:rPr>
            </w:pPr>
          </w:p>
        </w:tc>
        <w:tc>
          <w:tcPr>
            <w:tcW w:w="13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Postretirement</w:t>
            </w:r>
          </w:p>
        </w:tc>
        <w:tc>
          <w:tcPr>
            <w:tcW w:w="160" w:type="dxa"/>
            <w:vAlign w:val="bottom"/>
          </w:tcPr>
          <w:p>
            <w:pPr>
              <w:spacing w:after="0"/>
              <w:rPr>
                <w:sz w:val="11"/>
                <w:szCs w:val="11"/>
                <w:color w:val="auto"/>
              </w:rPr>
            </w:pPr>
          </w:p>
        </w:tc>
        <w:tc>
          <w:tcPr>
            <w:tcW w:w="13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for Sale</w:t>
            </w:r>
          </w:p>
        </w:tc>
        <w:tc>
          <w:tcPr>
            <w:tcW w:w="200" w:type="dxa"/>
            <w:vAlign w:val="bottom"/>
          </w:tcPr>
          <w:p>
            <w:pPr>
              <w:spacing w:after="0"/>
              <w:rPr>
                <w:sz w:val="11"/>
                <w:szCs w:val="11"/>
                <w:color w:val="auto"/>
              </w:rPr>
            </w:pPr>
          </w:p>
        </w:tc>
        <w:tc>
          <w:tcPr>
            <w:tcW w:w="13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Cash Flow</w:t>
            </w:r>
          </w:p>
        </w:tc>
        <w:tc>
          <w:tcPr>
            <w:tcW w:w="340" w:type="dxa"/>
            <w:vAlign w:val="bottom"/>
          </w:tcPr>
          <w:p>
            <w:pPr>
              <w:spacing w:after="0"/>
              <w:rPr>
                <w:sz w:val="11"/>
                <w:szCs w:val="11"/>
                <w:color w:val="auto"/>
              </w:rPr>
            </w:pPr>
          </w:p>
        </w:tc>
        <w:tc>
          <w:tcPr>
            <w:tcW w:w="110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3660" w:type="dxa"/>
            <w:vAlign w:val="bottom"/>
            <w:tcBorders>
              <w:bottom w:val="single" w:sz="8" w:color="DDDDDD"/>
            </w:tcBorders>
          </w:tcPr>
          <w:p>
            <w:pPr>
              <w:spacing w:after="0"/>
              <w:rPr>
                <w:sz w:val="15"/>
                <w:szCs w:val="15"/>
                <w:color w:val="auto"/>
              </w:rPr>
            </w:pPr>
          </w:p>
        </w:tc>
        <w:tc>
          <w:tcPr>
            <w:tcW w:w="220" w:type="dxa"/>
            <w:vAlign w:val="bottom"/>
            <w:tcBorders>
              <w:bottom w:val="single" w:sz="8" w:color="DC202E"/>
            </w:tcBorders>
          </w:tcPr>
          <w:p>
            <w:pPr>
              <w:spacing w:after="0"/>
              <w:rPr>
                <w:sz w:val="15"/>
                <w:szCs w:val="15"/>
                <w:color w:val="auto"/>
              </w:rPr>
            </w:pPr>
          </w:p>
        </w:tc>
        <w:tc>
          <w:tcPr>
            <w:tcW w:w="1220" w:type="dxa"/>
            <w:vAlign w:val="bottom"/>
            <w:tcBorders>
              <w:bottom w:val="single" w:sz="8" w:color="DC202E"/>
            </w:tcBorders>
          </w:tcPr>
          <w:p>
            <w:pPr>
              <w:jc w:val="center"/>
              <w:ind w:right="136"/>
              <w:spacing w:after="0"/>
              <w:rPr>
                <w:sz w:val="20"/>
                <w:szCs w:val="20"/>
                <w:color w:val="auto"/>
              </w:rPr>
            </w:pPr>
            <w:r>
              <w:rPr>
                <w:rFonts w:ascii="Arial" w:cs="Arial" w:eastAsia="Arial" w:hAnsi="Arial"/>
                <w:sz w:val="14"/>
                <w:szCs w:val="14"/>
                <w:b w:val="1"/>
                <w:bCs w:val="1"/>
                <w:color w:val="auto"/>
              </w:rPr>
              <w:t>Adjustment</w:t>
            </w:r>
          </w:p>
        </w:tc>
        <w:tc>
          <w:tcPr>
            <w:tcW w:w="100" w:type="dxa"/>
            <w:vAlign w:val="bottom"/>
            <w:tcBorders>
              <w:bottom w:val="single" w:sz="8" w:color="DDDDDD"/>
            </w:tcBorders>
          </w:tcPr>
          <w:p>
            <w:pPr>
              <w:spacing w:after="0"/>
              <w:rPr>
                <w:sz w:val="15"/>
                <w:szCs w:val="15"/>
                <w:color w:val="auto"/>
              </w:rPr>
            </w:pPr>
          </w:p>
        </w:tc>
        <w:tc>
          <w:tcPr>
            <w:tcW w:w="160" w:type="dxa"/>
            <w:vAlign w:val="bottom"/>
            <w:tcBorders>
              <w:bottom w:val="single" w:sz="8" w:color="DC202E"/>
            </w:tcBorders>
          </w:tcPr>
          <w:p>
            <w:pPr>
              <w:spacing w:after="0"/>
              <w:rPr>
                <w:sz w:val="15"/>
                <w:szCs w:val="15"/>
                <w:color w:val="auto"/>
              </w:rPr>
            </w:pPr>
          </w:p>
        </w:tc>
        <w:tc>
          <w:tcPr>
            <w:tcW w:w="1280" w:type="dxa"/>
            <w:vAlign w:val="bottom"/>
            <w:tcBorders>
              <w:bottom w:val="single" w:sz="8" w:color="DC202E"/>
            </w:tcBorders>
          </w:tcPr>
          <w:p>
            <w:pPr>
              <w:jc w:val="center"/>
              <w:ind w:right="76"/>
              <w:spacing w:after="0"/>
              <w:rPr>
                <w:sz w:val="20"/>
                <w:szCs w:val="20"/>
                <w:color w:val="auto"/>
              </w:rPr>
            </w:pPr>
            <w:r>
              <w:rPr>
                <w:rFonts w:ascii="Arial" w:cs="Arial" w:eastAsia="Arial" w:hAnsi="Arial"/>
                <w:sz w:val="14"/>
                <w:szCs w:val="14"/>
                <w:b w:val="1"/>
                <w:bCs w:val="1"/>
                <w:color w:val="auto"/>
              </w:rPr>
              <w:t>Adjustments</w:t>
            </w:r>
          </w:p>
        </w:tc>
        <w:tc>
          <w:tcPr>
            <w:tcW w:w="100" w:type="dxa"/>
            <w:vAlign w:val="bottom"/>
            <w:tcBorders>
              <w:bottom w:val="single" w:sz="8" w:color="DDDDDD"/>
            </w:tcBorders>
          </w:tcPr>
          <w:p>
            <w:pPr>
              <w:spacing w:after="0"/>
              <w:rPr>
                <w:sz w:val="15"/>
                <w:szCs w:val="15"/>
                <w:color w:val="auto"/>
              </w:rPr>
            </w:pPr>
          </w:p>
        </w:tc>
        <w:tc>
          <w:tcPr>
            <w:tcW w:w="160" w:type="dxa"/>
            <w:vAlign w:val="bottom"/>
            <w:tcBorders>
              <w:bottom w:val="single" w:sz="8" w:color="DC202E"/>
            </w:tcBorders>
          </w:tcPr>
          <w:p>
            <w:pPr>
              <w:spacing w:after="0"/>
              <w:rPr>
                <w:sz w:val="15"/>
                <w:szCs w:val="15"/>
                <w:color w:val="auto"/>
              </w:rPr>
            </w:pPr>
          </w:p>
        </w:tc>
        <w:tc>
          <w:tcPr>
            <w:tcW w:w="1280" w:type="dxa"/>
            <w:vAlign w:val="bottom"/>
            <w:tcBorders>
              <w:bottom w:val="single" w:sz="8" w:color="DC202E"/>
            </w:tcBorders>
          </w:tcPr>
          <w:p>
            <w:pPr>
              <w:jc w:val="center"/>
              <w:ind w:right="75"/>
              <w:spacing w:after="0"/>
              <w:rPr>
                <w:sz w:val="20"/>
                <w:szCs w:val="20"/>
                <w:color w:val="auto"/>
              </w:rPr>
            </w:pPr>
            <w:r>
              <w:rPr>
                <w:rFonts w:ascii="Arial" w:cs="Arial" w:eastAsia="Arial" w:hAnsi="Arial"/>
                <w:sz w:val="14"/>
                <w:szCs w:val="14"/>
                <w:b w:val="1"/>
                <w:bCs w:val="1"/>
                <w:color w:val="auto"/>
              </w:rPr>
              <w:t>Investments</w:t>
            </w:r>
          </w:p>
        </w:tc>
        <w:tc>
          <w:tcPr>
            <w:tcW w:w="100" w:type="dxa"/>
            <w:vAlign w:val="bottom"/>
            <w:tcBorders>
              <w:bottom w:val="single" w:sz="8" w:color="DDDDDD"/>
            </w:tcBorders>
          </w:tcPr>
          <w:p>
            <w:pPr>
              <w:spacing w:after="0"/>
              <w:rPr>
                <w:sz w:val="15"/>
                <w:szCs w:val="15"/>
                <w:color w:val="auto"/>
              </w:rPr>
            </w:pPr>
          </w:p>
        </w:tc>
        <w:tc>
          <w:tcPr>
            <w:tcW w:w="200" w:type="dxa"/>
            <w:vAlign w:val="bottom"/>
            <w:tcBorders>
              <w:bottom w:val="single" w:sz="8" w:color="DC202E"/>
            </w:tcBorders>
          </w:tcPr>
          <w:p>
            <w:pPr>
              <w:spacing w:after="0"/>
              <w:rPr>
                <w:sz w:val="15"/>
                <w:szCs w:val="15"/>
                <w:color w:val="auto"/>
              </w:rPr>
            </w:pPr>
          </w:p>
        </w:tc>
        <w:tc>
          <w:tcPr>
            <w:tcW w:w="1220" w:type="dxa"/>
            <w:vAlign w:val="bottom"/>
            <w:tcBorders>
              <w:bottom w:val="single" w:sz="8" w:color="DC202E"/>
            </w:tcBorders>
          </w:tcPr>
          <w:p>
            <w:pPr>
              <w:jc w:val="center"/>
              <w:ind w:right="96"/>
              <w:spacing w:after="0"/>
              <w:rPr>
                <w:sz w:val="20"/>
                <w:szCs w:val="20"/>
                <w:color w:val="auto"/>
              </w:rPr>
            </w:pPr>
            <w:r>
              <w:rPr>
                <w:rFonts w:ascii="Arial" w:cs="Arial" w:eastAsia="Arial" w:hAnsi="Arial"/>
                <w:sz w:val="14"/>
                <w:szCs w:val="14"/>
                <w:b w:val="1"/>
                <w:bCs w:val="1"/>
                <w:color w:val="auto"/>
              </w:rPr>
              <w:t>Hedges</w:t>
            </w:r>
          </w:p>
        </w:tc>
        <w:tc>
          <w:tcPr>
            <w:tcW w:w="100" w:type="dxa"/>
            <w:vAlign w:val="bottom"/>
            <w:tcBorders>
              <w:bottom w:val="single" w:sz="8" w:color="DDDDDD"/>
            </w:tcBorders>
          </w:tcPr>
          <w:p>
            <w:pPr>
              <w:spacing w:after="0"/>
              <w:rPr>
                <w:sz w:val="15"/>
                <w:szCs w:val="15"/>
                <w:color w:val="auto"/>
              </w:rPr>
            </w:pPr>
          </w:p>
        </w:tc>
        <w:tc>
          <w:tcPr>
            <w:tcW w:w="340" w:type="dxa"/>
            <w:vAlign w:val="bottom"/>
            <w:tcBorders>
              <w:bottom w:val="single" w:sz="8" w:color="DC202E"/>
            </w:tcBorders>
          </w:tcPr>
          <w:p>
            <w:pPr>
              <w:spacing w:after="0"/>
              <w:rPr>
                <w:sz w:val="15"/>
                <w:szCs w:val="15"/>
                <w:color w:val="auto"/>
              </w:rPr>
            </w:pPr>
          </w:p>
        </w:tc>
        <w:tc>
          <w:tcPr>
            <w:tcW w:w="1100" w:type="dxa"/>
            <w:vAlign w:val="bottom"/>
            <w:tcBorders>
              <w:bottom w:val="single" w:sz="8" w:color="DC202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DDDDDD"/>
          </w:tcPr>
          <w:p>
            <w:pPr>
              <w:ind w:left="20"/>
              <w:spacing w:after="0"/>
              <w:rPr>
                <w:sz w:val="20"/>
                <w:szCs w:val="20"/>
                <w:color w:val="auto"/>
              </w:rPr>
            </w:pPr>
            <w:r>
              <w:rPr>
                <w:rFonts w:ascii="Arial" w:cs="Arial" w:eastAsia="Arial" w:hAnsi="Arial"/>
                <w:sz w:val="18"/>
                <w:szCs w:val="18"/>
                <w:color w:val="auto"/>
              </w:rPr>
              <w:t>Balance at December 31, 2018</w:t>
            </w:r>
          </w:p>
        </w:tc>
        <w:tc>
          <w:tcPr>
            <w:tcW w:w="22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(2,709)</w:t>
            </w:r>
          </w:p>
        </w:tc>
        <w:tc>
          <w:tcPr>
            <w:tcW w:w="100" w:type="dxa"/>
            <w:vAlign w:val="bottom"/>
            <w:shd w:val="clear" w:color="auto" w:fill="DDDDDD"/>
          </w:tcPr>
          <w:p>
            <w:pPr>
              <w:spacing w:after="0"/>
              <w:rPr>
                <w:sz w:val="19"/>
                <w:szCs w:val="19"/>
                <w:color w:val="auto"/>
              </w:rPr>
            </w:pPr>
          </w:p>
        </w:tc>
        <w:tc>
          <w:tcPr>
            <w:tcW w:w="16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(761)</w:t>
            </w:r>
          </w:p>
        </w:tc>
        <w:tc>
          <w:tcPr>
            <w:tcW w:w="100" w:type="dxa"/>
            <w:vAlign w:val="bottom"/>
            <w:shd w:val="clear" w:color="auto" w:fill="DDDDDD"/>
          </w:tcPr>
          <w:p>
            <w:pPr>
              <w:spacing w:after="0"/>
              <w:rPr>
                <w:sz w:val="19"/>
                <w:szCs w:val="19"/>
                <w:color w:val="auto"/>
              </w:rPr>
            </w:pPr>
          </w:p>
        </w:tc>
        <w:tc>
          <w:tcPr>
            <w:tcW w:w="16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DDDDDD"/>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DDDDDD"/>
          </w:tcPr>
          <w:p>
            <w:pPr>
              <w:spacing w:after="0"/>
              <w:rPr>
                <w:sz w:val="19"/>
                <w:szCs w:val="19"/>
                <w:color w:val="auto"/>
              </w:rPr>
            </w:pPr>
          </w:p>
        </w:tc>
        <w:tc>
          <w:tcPr>
            <w:tcW w:w="3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(3,437)</w:t>
            </w:r>
          </w:p>
        </w:tc>
        <w:tc>
          <w:tcPr>
            <w:tcW w:w="0" w:type="dxa"/>
            <w:vAlign w:val="bottom"/>
          </w:tcPr>
          <w:p>
            <w:pPr>
              <w:spacing w:after="0"/>
              <w:rPr>
                <w:sz w:val="1"/>
                <w:szCs w:val="1"/>
                <w:color w:val="auto"/>
              </w:rPr>
            </w:pPr>
          </w:p>
        </w:tc>
      </w:tr>
      <w:tr>
        <w:trPr>
          <w:trHeight w:val="188"/>
        </w:trPr>
        <w:tc>
          <w:tcPr>
            <w:tcW w:w="3660" w:type="dxa"/>
            <w:vAlign w:val="bottom"/>
          </w:tcPr>
          <w:p>
            <w:pPr>
              <w:ind w:left="140"/>
              <w:spacing w:after="0" w:line="189" w:lineRule="exact"/>
              <w:rPr>
                <w:sz w:val="20"/>
                <w:szCs w:val="20"/>
                <w:color w:val="auto"/>
              </w:rPr>
            </w:pPr>
            <w:r>
              <w:rPr>
                <w:rFonts w:ascii="Arial" w:cs="Arial" w:eastAsia="Arial" w:hAnsi="Arial"/>
                <w:sz w:val="18"/>
                <w:szCs w:val="18"/>
                <w:color w:val="auto"/>
              </w:rPr>
              <w:t>Other comprehensive income (loss) before</w:t>
            </w: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660" w:type="dxa"/>
            <w:vAlign w:val="bottom"/>
          </w:tcPr>
          <w:p>
            <w:pPr>
              <w:ind w:left="140"/>
              <w:spacing w:after="0"/>
              <w:rPr>
                <w:sz w:val="20"/>
                <w:szCs w:val="20"/>
                <w:color w:val="auto"/>
              </w:rPr>
            </w:pPr>
            <w:r>
              <w:rPr>
                <w:rFonts w:ascii="Arial" w:cs="Arial" w:eastAsia="Arial" w:hAnsi="Arial"/>
                <w:sz w:val="18"/>
                <w:szCs w:val="18"/>
                <w:color w:val="auto"/>
              </w:rPr>
              <w:t>reclassifications</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188"/>
        </w:trPr>
        <w:tc>
          <w:tcPr>
            <w:tcW w:w="3660" w:type="dxa"/>
            <w:vAlign w:val="bottom"/>
            <w:shd w:val="clear" w:color="auto" w:fill="DDDDDD"/>
          </w:tcPr>
          <w:p>
            <w:pPr>
              <w:ind w:left="140"/>
              <w:spacing w:after="0" w:line="189" w:lineRule="exact"/>
              <w:rPr>
                <w:sz w:val="20"/>
                <w:szCs w:val="20"/>
                <w:color w:val="auto"/>
              </w:rPr>
            </w:pPr>
            <w:r>
              <w:rPr>
                <w:rFonts w:ascii="Arial" w:cs="Arial" w:eastAsia="Arial" w:hAnsi="Arial"/>
                <w:sz w:val="18"/>
                <w:szCs w:val="18"/>
                <w:color w:val="auto"/>
              </w:rPr>
              <w:t>Amounts reclassified from accumulated</w:t>
            </w:r>
          </w:p>
        </w:tc>
        <w:tc>
          <w:tcPr>
            <w:tcW w:w="220" w:type="dxa"/>
            <w:vAlign w:val="bottom"/>
            <w:shd w:val="clear" w:color="auto" w:fill="DDDDDD"/>
          </w:tcPr>
          <w:p>
            <w:pPr>
              <w:spacing w:after="0"/>
              <w:rPr>
                <w:sz w:val="16"/>
                <w:szCs w:val="16"/>
                <w:color w:val="auto"/>
              </w:rPr>
            </w:pPr>
          </w:p>
        </w:tc>
        <w:tc>
          <w:tcPr>
            <w:tcW w:w="12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12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12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00" w:type="dxa"/>
            <w:vAlign w:val="bottom"/>
            <w:shd w:val="clear" w:color="auto" w:fill="DDDDDD"/>
          </w:tcPr>
          <w:p>
            <w:pPr>
              <w:spacing w:after="0"/>
              <w:rPr>
                <w:sz w:val="16"/>
                <w:szCs w:val="16"/>
                <w:color w:val="auto"/>
              </w:rPr>
            </w:pPr>
          </w:p>
        </w:tc>
        <w:tc>
          <w:tcPr>
            <w:tcW w:w="12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340" w:type="dxa"/>
            <w:vAlign w:val="bottom"/>
            <w:shd w:val="clear" w:color="auto" w:fill="DDDDDD"/>
          </w:tcPr>
          <w:p>
            <w:pPr>
              <w:spacing w:after="0"/>
              <w:rPr>
                <w:sz w:val="16"/>
                <w:szCs w:val="16"/>
                <w:color w:val="auto"/>
              </w:rPr>
            </w:pPr>
          </w:p>
        </w:tc>
        <w:tc>
          <w:tcPr>
            <w:tcW w:w="110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660" w:type="dxa"/>
            <w:vAlign w:val="bottom"/>
            <w:shd w:val="clear" w:color="auto" w:fill="DDDDDD"/>
          </w:tcPr>
          <w:p>
            <w:pPr>
              <w:ind w:left="140"/>
              <w:spacing w:after="0"/>
              <w:rPr>
                <w:sz w:val="20"/>
                <w:szCs w:val="20"/>
                <w:color w:val="auto"/>
              </w:rPr>
            </w:pPr>
            <w:r>
              <w:rPr>
                <w:rFonts w:ascii="Arial" w:cs="Arial" w:eastAsia="Arial" w:hAnsi="Arial"/>
                <w:sz w:val="18"/>
                <w:szCs w:val="18"/>
                <w:color w:val="auto"/>
              </w:rPr>
              <w:t>other comprehensive income</w:t>
            </w:r>
          </w:p>
        </w:tc>
        <w:tc>
          <w:tcPr>
            <w:tcW w:w="220" w:type="dxa"/>
            <w:vAlign w:val="bottom"/>
            <w:shd w:val="clear" w:color="auto" w:fill="DDDDDD"/>
          </w:tcPr>
          <w:p>
            <w:pPr>
              <w:spacing w:after="0"/>
              <w:rPr>
                <w:sz w:val="18"/>
                <w:szCs w:val="18"/>
                <w:color w:val="auto"/>
              </w:rPr>
            </w:pPr>
          </w:p>
        </w:tc>
        <w:tc>
          <w:tcPr>
            <w:tcW w:w="12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DDDDDD"/>
          </w:tcPr>
          <w:p>
            <w:pPr>
              <w:spacing w:after="0"/>
              <w:rPr>
                <w:sz w:val="18"/>
                <w:szCs w:val="18"/>
                <w:color w:val="auto"/>
              </w:rPr>
            </w:pPr>
          </w:p>
        </w:tc>
        <w:tc>
          <w:tcPr>
            <w:tcW w:w="160" w:type="dxa"/>
            <w:vAlign w:val="bottom"/>
            <w:shd w:val="clear" w:color="auto" w:fill="DDDDDD"/>
          </w:tcPr>
          <w:p>
            <w:pPr>
              <w:spacing w:after="0"/>
              <w:rPr>
                <w:sz w:val="18"/>
                <w:szCs w:val="18"/>
                <w:color w:val="auto"/>
              </w:rPr>
            </w:pPr>
          </w:p>
        </w:tc>
        <w:tc>
          <w:tcPr>
            <w:tcW w:w="12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DDDDDD"/>
          </w:tcPr>
          <w:p>
            <w:pPr>
              <w:spacing w:after="0"/>
              <w:rPr>
                <w:sz w:val="18"/>
                <w:szCs w:val="18"/>
                <w:color w:val="auto"/>
              </w:rPr>
            </w:pPr>
          </w:p>
        </w:tc>
        <w:tc>
          <w:tcPr>
            <w:tcW w:w="160" w:type="dxa"/>
            <w:vAlign w:val="bottom"/>
            <w:shd w:val="clear" w:color="auto" w:fill="DDDDDD"/>
          </w:tcPr>
          <w:p>
            <w:pPr>
              <w:spacing w:after="0"/>
              <w:rPr>
                <w:sz w:val="18"/>
                <w:szCs w:val="18"/>
                <w:color w:val="auto"/>
              </w:rPr>
            </w:pPr>
          </w:p>
        </w:tc>
        <w:tc>
          <w:tcPr>
            <w:tcW w:w="1380" w:type="dxa"/>
            <w:vAlign w:val="bottom"/>
            <w:gridSpan w:val="2"/>
            <w:shd w:val="clear" w:color="auto" w:fill="DDDDDD"/>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DDDDDD"/>
          </w:tcPr>
          <w:p>
            <w:pPr>
              <w:spacing w:after="0"/>
              <w:rPr>
                <w:sz w:val="18"/>
                <w:szCs w:val="18"/>
                <w:color w:val="auto"/>
              </w:rPr>
            </w:pPr>
          </w:p>
        </w:tc>
        <w:tc>
          <w:tcPr>
            <w:tcW w:w="12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DDDDDD"/>
          </w:tcPr>
          <w:p>
            <w:pPr>
              <w:spacing w:after="0"/>
              <w:rPr>
                <w:sz w:val="18"/>
                <w:szCs w:val="18"/>
                <w:color w:val="auto"/>
              </w:rPr>
            </w:pPr>
          </w:p>
        </w:tc>
        <w:tc>
          <w:tcPr>
            <w:tcW w:w="340" w:type="dxa"/>
            <w:vAlign w:val="bottom"/>
            <w:shd w:val="clear" w:color="auto" w:fill="DDDDDD"/>
          </w:tcPr>
          <w:p>
            <w:pPr>
              <w:spacing w:after="0"/>
              <w:rPr>
                <w:sz w:val="18"/>
                <w:szCs w:val="18"/>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168"/>
        </w:trPr>
        <w:tc>
          <w:tcPr>
            <w:tcW w:w="3660" w:type="dxa"/>
            <w:vAlign w:val="bottom"/>
          </w:tcPr>
          <w:p>
            <w:pPr>
              <w:ind w:left="360"/>
              <w:spacing w:after="0" w:line="168" w:lineRule="exact"/>
              <w:rPr>
                <w:sz w:val="20"/>
                <w:szCs w:val="20"/>
                <w:color w:val="auto"/>
              </w:rPr>
            </w:pPr>
            <w:r>
              <w:rPr>
                <w:rFonts w:ascii="Arial" w:cs="Arial" w:eastAsia="Arial" w:hAnsi="Arial"/>
                <w:sz w:val="18"/>
                <w:szCs w:val="18"/>
                <w:color w:val="auto"/>
              </w:rPr>
              <w:t>Net current period other comprehensive</w:t>
            </w:r>
          </w:p>
        </w:tc>
        <w:tc>
          <w:tcPr>
            <w:tcW w:w="22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660" w:type="dxa"/>
            <w:vAlign w:val="bottom"/>
            <w:tcBorders>
              <w:bottom w:val="single" w:sz="8" w:color="DDDDDD"/>
            </w:tcBorders>
          </w:tcPr>
          <w:p>
            <w:pPr>
              <w:ind w:left="360"/>
              <w:spacing w:after="0"/>
              <w:rPr>
                <w:sz w:val="20"/>
                <w:szCs w:val="20"/>
                <w:color w:val="auto"/>
              </w:rPr>
            </w:pPr>
            <w:r>
              <w:rPr>
                <w:rFonts w:ascii="Arial" w:cs="Arial" w:eastAsia="Arial" w:hAnsi="Arial"/>
                <w:sz w:val="18"/>
                <w:szCs w:val="18"/>
                <w:color w:val="auto"/>
              </w:rPr>
              <w:t>income (loss)</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DDDDDD"/>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DDDDDD"/>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DDDDD"/>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DDDDDD"/>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23"/>
        </w:trPr>
        <w:tc>
          <w:tcPr>
            <w:tcW w:w="3660" w:type="dxa"/>
            <w:vAlign w:val="bottom"/>
            <w:shd w:val="clear" w:color="auto" w:fill="DDDDDD"/>
          </w:tcPr>
          <w:p>
            <w:pPr>
              <w:ind w:left="20"/>
              <w:spacing w:after="0"/>
              <w:rPr>
                <w:sz w:val="20"/>
                <w:szCs w:val="20"/>
                <w:color w:val="auto"/>
              </w:rPr>
            </w:pPr>
            <w:r>
              <w:rPr>
                <w:rFonts w:ascii="Arial" w:cs="Arial" w:eastAsia="Arial" w:hAnsi="Arial"/>
                <w:sz w:val="18"/>
                <w:szCs w:val="18"/>
                <w:color w:val="auto"/>
              </w:rPr>
              <w:t>Balance at December 31, 2019</w:t>
            </w:r>
          </w:p>
        </w:tc>
        <w:tc>
          <w:tcPr>
            <w:tcW w:w="22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(2,566)</w:t>
            </w:r>
          </w:p>
        </w:tc>
        <w:tc>
          <w:tcPr>
            <w:tcW w:w="100" w:type="dxa"/>
            <w:vAlign w:val="bottom"/>
            <w:shd w:val="clear" w:color="auto" w:fill="DDDDDD"/>
          </w:tcPr>
          <w:p>
            <w:pPr>
              <w:spacing w:after="0"/>
              <w:rPr>
                <w:sz w:val="19"/>
                <w:szCs w:val="19"/>
                <w:color w:val="auto"/>
              </w:rPr>
            </w:pPr>
          </w:p>
        </w:tc>
        <w:tc>
          <w:tcPr>
            <w:tcW w:w="16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(675)</w:t>
            </w:r>
          </w:p>
        </w:tc>
        <w:tc>
          <w:tcPr>
            <w:tcW w:w="100" w:type="dxa"/>
            <w:vAlign w:val="bottom"/>
            <w:shd w:val="clear" w:color="auto" w:fill="DDDDDD"/>
          </w:tcPr>
          <w:p>
            <w:pPr>
              <w:spacing w:after="0"/>
              <w:rPr>
                <w:sz w:val="19"/>
                <w:szCs w:val="19"/>
                <w:color w:val="auto"/>
              </w:rPr>
            </w:pPr>
          </w:p>
        </w:tc>
        <w:tc>
          <w:tcPr>
            <w:tcW w:w="16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DDDDDD"/>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DDDDDD"/>
          </w:tcPr>
          <w:p>
            <w:pPr>
              <w:spacing w:after="0"/>
              <w:rPr>
                <w:sz w:val="19"/>
                <w:szCs w:val="19"/>
                <w:color w:val="auto"/>
              </w:rPr>
            </w:pPr>
          </w:p>
        </w:tc>
        <w:tc>
          <w:tcPr>
            <w:tcW w:w="3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(3,197)</w:t>
            </w:r>
          </w:p>
        </w:tc>
        <w:tc>
          <w:tcPr>
            <w:tcW w:w="0" w:type="dxa"/>
            <w:vAlign w:val="bottom"/>
          </w:tcPr>
          <w:p>
            <w:pPr>
              <w:spacing w:after="0"/>
              <w:rPr>
                <w:sz w:val="1"/>
                <w:szCs w:val="1"/>
                <w:color w:val="auto"/>
              </w:rPr>
            </w:pPr>
          </w:p>
        </w:tc>
      </w:tr>
      <w:tr>
        <w:trPr>
          <w:trHeight w:val="168"/>
        </w:trPr>
        <w:tc>
          <w:tcPr>
            <w:tcW w:w="3660" w:type="dxa"/>
            <w:vAlign w:val="bottom"/>
          </w:tcPr>
          <w:p>
            <w:pPr>
              <w:ind w:left="140"/>
              <w:spacing w:after="0" w:line="168" w:lineRule="exact"/>
              <w:rPr>
                <w:sz w:val="20"/>
                <w:szCs w:val="20"/>
                <w:color w:val="auto"/>
              </w:rPr>
            </w:pPr>
            <w:r>
              <w:rPr>
                <w:rFonts w:ascii="Arial" w:cs="Arial" w:eastAsia="Arial" w:hAnsi="Arial"/>
                <w:sz w:val="18"/>
                <w:szCs w:val="18"/>
                <w:color w:val="auto"/>
              </w:rPr>
              <w:t>Other comprehensive income (loss) before</w:t>
            </w:r>
          </w:p>
        </w:tc>
        <w:tc>
          <w:tcPr>
            <w:tcW w:w="22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660" w:type="dxa"/>
            <w:vAlign w:val="bottom"/>
          </w:tcPr>
          <w:p>
            <w:pPr>
              <w:ind w:left="140"/>
              <w:spacing w:after="0"/>
              <w:rPr>
                <w:sz w:val="20"/>
                <w:szCs w:val="20"/>
                <w:color w:val="auto"/>
              </w:rPr>
            </w:pPr>
            <w:r>
              <w:rPr>
                <w:rFonts w:ascii="Arial" w:cs="Arial" w:eastAsia="Arial" w:hAnsi="Arial"/>
                <w:sz w:val="18"/>
                <w:szCs w:val="18"/>
                <w:color w:val="auto"/>
              </w:rPr>
              <w:t>reclassifications</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88"/>
        </w:trPr>
        <w:tc>
          <w:tcPr>
            <w:tcW w:w="3660" w:type="dxa"/>
            <w:vAlign w:val="bottom"/>
            <w:shd w:val="clear" w:color="auto" w:fill="DDDDDD"/>
          </w:tcPr>
          <w:p>
            <w:pPr>
              <w:ind w:left="140"/>
              <w:spacing w:after="0" w:line="189" w:lineRule="exact"/>
              <w:rPr>
                <w:sz w:val="20"/>
                <w:szCs w:val="20"/>
                <w:color w:val="auto"/>
              </w:rPr>
            </w:pPr>
            <w:r>
              <w:rPr>
                <w:rFonts w:ascii="Arial" w:cs="Arial" w:eastAsia="Arial" w:hAnsi="Arial"/>
                <w:sz w:val="18"/>
                <w:szCs w:val="18"/>
                <w:color w:val="auto"/>
              </w:rPr>
              <w:t>Amounts reclassified from accumulated</w:t>
            </w:r>
          </w:p>
        </w:tc>
        <w:tc>
          <w:tcPr>
            <w:tcW w:w="220" w:type="dxa"/>
            <w:vAlign w:val="bottom"/>
            <w:shd w:val="clear" w:color="auto" w:fill="DDDDDD"/>
          </w:tcPr>
          <w:p>
            <w:pPr>
              <w:spacing w:after="0"/>
              <w:rPr>
                <w:sz w:val="16"/>
                <w:szCs w:val="16"/>
                <w:color w:val="auto"/>
              </w:rPr>
            </w:pPr>
          </w:p>
        </w:tc>
        <w:tc>
          <w:tcPr>
            <w:tcW w:w="12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12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12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00" w:type="dxa"/>
            <w:vAlign w:val="bottom"/>
            <w:shd w:val="clear" w:color="auto" w:fill="DDDDDD"/>
          </w:tcPr>
          <w:p>
            <w:pPr>
              <w:spacing w:after="0"/>
              <w:rPr>
                <w:sz w:val="16"/>
                <w:szCs w:val="16"/>
                <w:color w:val="auto"/>
              </w:rPr>
            </w:pPr>
          </w:p>
        </w:tc>
        <w:tc>
          <w:tcPr>
            <w:tcW w:w="12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340" w:type="dxa"/>
            <w:vAlign w:val="bottom"/>
            <w:shd w:val="clear" w:color="auto" w:fill="DDDDDD"/>
          </w:tcPr>
          <w:p>
            <w:pPr>
              <w:spacing w:after="0"/>
              <w:rPr>
                <w:sz w:val="16"/>
                <w:szCs w:val="16"/>
                <w:color w:val="auto"/>
              </w:rPr>
            </w:pPr>
          </w:p>
        </w:tc>
        <w:tc>
          <w:tcPr>
            <w:tcW w:w="110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660" w:type="dxa"/>
            <w:vAlign w:val="bottom"/>
            <w:shd w:val="clear" w:color="auto" w:fill="DDDDDD"/>
          </w:tcPr>
          <w:p>
            <w:pPr>
              <w:ind w:left="140"/>
              <w:spacing w:after="0"/>
              <w:rPr>
                <w:sz w:val="20"/>
                <w:szCs w:val="20"/>
                <w:color w:val="auto"/>
              </w:rPr>
            </w:pPr>
            <w:r>
              <w:rPr>
                <w:rFonts w:ascii="Arial" w:cs="Arial" w:eastAsia="Arial" w:hAnsi="Arial"/>
                <w:sz w:val="18"/>
                <w:szCs w:val="18"/>
                <w:color w:val="auto"/>
              </w:rPr>
              <w:t>other comprehensive income</w:t>
            </w:r>
          </w:p>
        </w:tc>
        <w:tc>
          <w:tcPr>
            <w:tcW w:w="220" w:type="dxa"/>
            <w:vAlign w:val="bottom"/>
            <w:shd w:val="clear" w:color="auto" w:fill="DDDDDD"/>
          </w:tcPr>
          <w:p>
            <w:pPr>
              <w:spacing w:after="0"/>
              <w:rPr>
                <w:sz w:val="18"/>
                <w:szCs w:val="18"/>
                <w:color w:val="auto"/>
              </w:rPr>
            </w:pPr>
          </w:p>
        </w:tc>
        <w:tc>
          <w:tcPr>
            <w:tcW w:w="12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DDDDDD"/>
          </w:tcPr>
          <w:p>
            <w:pPr>
              <w:spacing w:after="0"/>
              <w:rPr>
                <w:sz w:val="18"/>
                <w:szCs w:val="18"/>
                <w:color w:val="auto"/>
              </w:rPr>
            </w:pPr>
          </w:p>
        </w:tc>
        <w:tc>
          <w:tcPr>
            <w:tcW w:w="160" w:type="dxa"/>
            <w:vAlign w:val="bottom"/>
            <w:shd w:val="clear" w:color="auto" w:fill="DDDDDD"/>
          </w:tcPr>
          <w:p>
            <w:pPr>
              <w:spacing w:after="0"/>
              <w:rPr>
                <w:sz w:val="18"/>
                <w:szCs w:val="18"/>
                <w:color w:val="auto"/>
              </w:rPr>
            </w:pPr>
          </w:p>
        </w:tc>
        <w:tc>
          <w:tcPr>
            <w:tcW w:w="12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DDDDDD"/>
          </w:tcPr>
          <w:p>
            <w:pPr>
              <w:spacing w:after="0"/>
              <w:rPr>
                <w:sz w:val="18"/>
                <w:szCs w:val="18"/>
                <w:color w:val="auto"/>
              </w:rPr>
            </w:pPr>
          </w:p>
        </w:tc>
        <w:tc>
          <w:tcPr>
            <w:tcW w:w="160" w:type="dxa"/>
            <w:vAlign w:val="bottom"/>
            <w:shd w:val="clear" w:color="auto" w:fill="DDDDDD"/>
          </w:tcPr>
          <w:p>
            <w:pPr>
              <w:spacing w:after="0"/>
              <w:rPr>
                <w:sz w:val="18"/>
                <w:szCs w:val="18"/>
                <w:color w:val="auto"/>
              </w:rPr>
            </w:pPr>
          </w:p>
        </w:tc>
        <w:tc>
          <w:tcPr>
            <w:tcW w:w="1380" w:type="dxa"/>
            <w:vAlign w:val="bottom"/>
            <w:gridSpan w:val="2"/>
            <w:shd w:val="clear" w:color="auto" w:fill="DDDDDD"/>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DDDDDD"/>
          </w:tcPr>
          <w:p>
            <w:pPr>
              <w:spacing w:after="0"/>
              <w:rPr>
                <w:sz w:val="18"/>
                <w:szCs w:val="18"/>
                <w:color w:val="auto"/>
              </w:rPr>
            </w:pPr>
          </w:p>
        </w:tc>
        <w:tc>
          <w:tcPr>
            <w:tcW w:w="12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DDDDDD"/>
          </w:tcPr>
          <w:p>
            <w:pPr>
              <w:spacing w:after="0"/>
              <w:rPr>
                <w:sz w:val="18"/>
                <w:szCs w:val="18"/>
                <w:color w:val="auto"/>
              </w:rPr>
            </w:pPr>
          </w:p>
        </w:tc>
        <w:tc>
          <w:tcPr>
            <w:tcW w:w="340" w:type="dxa"/>
            <w:vAlign w:val="bottom"/>
            <w:shd w:val="clear" w:color="auto" w:fill="DDDDDD"/>
          </w:tcPr>
          <w:p>
            <w:pPr>
              <w:spacing w:after="0"/>
              <w:rPr>
                <w:sz w:val="18"/>
                <w:szCs w:val="18"/>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168"/>
        </w:trPr>
        <w:tc>
          <w:tcPr>
            <w:tcW w:w="3660" w:type="dxa"/>
            <w:vAlign w:val="bottom"/>
          </w:tcPr>
          <w:p>
            <w:pPr>
              <w:ind w:left="360"/>
              <w:spacing w:after="0" w:line="168" w:lineRule="exact"/>
              <w:rPr>
                <w:sz w:val="20"/>
                <w:szCs w:val="20"/>
                <w:color w:val="auto"/>
              </w:rPr>
            </w:pPr>
            <w:r>
              <w:rPr>
                <w:rFonts w:ascii="Arial" w:cs="Arial" w:eastAsia="Arial" w:hAnsi="Arial"/>
                <w:sz w:val="18"/>
                <w:szCs w:val="18"/>
                <w:color w:val="auto"/>
              </w:rPr>
              <w:t>Net current period other comprehensive</w:t>
            </w:r>
          </w:p>
        </w:tc>
        <w:tc>
          <w:tcPr>
            <w:tcW w:w="22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660" w:type="dxa"/>
            <w:vAlign w:val="bottom"/>
            <w:tcBorders>
              <w:bottom w:val="single" w:sz="8" w:color="DDDDDD"/>
            </w:tcBorders>
          </w:tcPr>
          <w:p>
            <w:pPr>
              <w:ind w:left="360"/>
              <w:spacing w:after="0"/>
              <w:rPr>
                <w:sz w:val="20"/>
                <w:szCs w:val="20"/>
                <w:color w:val="auto"/>
              </w:rPr>
            </w:pPr>
            <w:r>
              <w:rPr>
                <w:rFonts w:ascii="Arial" w:cs="Arial" w:eastAsia="Arial" w:hAnsi="Arial"/>
                <w:sz w:val="18"/>
                <w:szCs w:val="18"/>
                <w:color w:val="auto"/>
              </w:rPr>
              <w:t>income (loss)</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DDDDDD"/>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DDDDDD"/>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DDDDDD"/>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DDDDDD"/>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43"/>
        </w:trPr>
        <w:tc>
          <w:tcPr>
            <w:tcW w:w="3660" w:type="dxa"/>
            <w:vAlign w:val="bottom"/>
            <w:shd w:val="clear" w:color="auto" w:fill="DDDDDD"/>
          </w:tcPr>
          <w:p>
            <w:pPr>
              <w:ind w:left="20"/>
              <w:spacing w:after="0"/>
              <w:rPr>
                <w:sz w:val="20"/>
                <w:szCs w:val="20"/>
                <w:color w:val="auto"/>
              </w:rPr>
            </w:pPr>
            <w:r>
              <w:rPr>
                <w:rFonts w:ascii="Arial" w:cs="Arial" w:eastAsia="Arial" w:hAnsi="Arial"/>
                <w:sz w:val="18"/>
                <w:szCs w:val="18"/>
                <w:color w:val="auto"/>
              </w:rPr>
              <w:t>Balance at December 31, 2020</w:t>
            </w:r>
          </w:p>
        </w:tc>
        <w:tc>
          <w:tcPr>
            <w:tcW w:w="22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(2,780)</w:t>
            </w:r>
          </w:p>
        </w:tc>
        <w:tc>
          <w:tcPr>
            <w:tcW w:w="100" w:type="dxa"/>
            <w:vAlign w:val="bottom"/>
            <w:shd w:val="clear" w:color="auto" w:fill="DDDDDD"/>
          </w:tcPr>
          <w:p>
            <w:pPr>
              <w:spacing w:after="0"/>
              <w:rPr>
                <w:sz w:val="21"/>
                <w:szCs w:val="21"/>
                <w:color w:val="auto"/>
              </w:rPr>
            </w:pPr>
          </w:p>
        </w:tc>
        <w:tc>
          <w:tcPr>
            <w:tcW w:w="16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(601)</w:t>
            </w:r>
          </w:p>
        </w:tc>
        <w:tc>
          <w:tcPr>
            <w:tcW w:w="100" w:type="dxa"/>
            <w:vAlign w:val="bottom"/>
            <w:shd w:val="clear" w:color="auto" w:fill="DDDDDD"/>
          </w:tcPr>
          <w:p>
            <w:pPr>
              <w:spacing w:after="0"/>
              <w:rPr>
                <w:sz w:val="21"/>
                <w:szCs w:val="21"/>
                <w:color w:val="auto"/>
              </w:rPr>
            </w:pPr>
          </w:p>
        </w:tc>
        <w:tc>
          <w:tcPr>
            <w:tcW w:w="16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DDDDDD"/>
          </w:tcPr>
          <w:p>
            <w:pPr>
              <w:spacing w:after="0"/>
              <w:rPr>
                <w:sz w:val="21"/>
                <w:szCs w:val="21"/>
                <w:color w:val="auto"/>
              </w:rPr>
            </w:pPr>
          </w:p>
        </w:tc>
        <w:tc>
          <w:tcPr>
            <w:tcW w:w="20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DDDDDD"/>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(3,377)</w:t>
            </w:r>
          </w:p>
        </w:tc>
        <w:tc>
          <w:tcPr>
            <w:tcW w:w="0" w:type="dxa"/>
            <w:vAlign w:val="bottom"/>
          </w:tcPr>
          <w:p>
            <w:pPr>
              <w:spacing w:after="0"/>
              <w:rPr>
                <w:sz w:val="1"/>
                <w:szCs w:val="1"/>
                <w:color w:val="auto"/>
              </w:rPr>
            </w:pPr>
          </w:p>
        </w:tc>
      </w:tr>
      <w:tr>
        <w:trPr>
          <w:trHeight w:val="20"/>
        </w:trPr>
        <w:tc>
          <w:tcPr>
            <w:tcW w:w="3660" w:type="dxa"/>
            <w:vAlign w:val="bottom"/>
            <w:tcBorders>
              <w:top w:val="single" w:sz="8" w:color="DDDDDD"/>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83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86" w:name="page87"/>
    <w:bookmarkEnd w:id="86"/>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RECLASSIFICATIONS OUT OF ACCUMULATED OTHER COMPREHENSIVE INCOME (LOSS)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8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40" w:type="dxa"/>
            <w:vAlign w:val="bottom"/>
            <w:gridSpan w:val="11"/>
          </w:tcPr>
          <w:p>
            <w:pPr>
              <w:jc w:val="center"/>
              <w:ind w:right="160"/>
              <w:spacing w:after="0"/>
              <w:rPr>
                <w:sz w:val="20"/>
                <w:szCs w:val="20"/>
                <w:color w:val="auto"/>
              </w:rPr>
            </w:pPr>
            <w:r>
              <w:rPr>
                <w:rFonts w:ascii="Arial" w:cs="Arial" w:eastAsia="Arial" w:hAnsi="Arial"/>
                <w:sz w:val="14"/>
                <w:szCs w:val="14"/>
                <w:b w:val="1"/>
                <w:bCs w:val="1"/>
                <w:color w:val="auto"/>
              </w:rPr>
              <w:t>Year Ended December 31, 2020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1840" w:type="dxa"/>
            <w:vAlign w:val="bottom"/>
          </w:tcPr>
          <w:p>
            <w:pPr>
              <w:spacing w:after="0"/>
              <w:rPr>
                <w:sz w:val="21"/>
                <w:szCs w:val="21"/>
                <w:color w:val="auto"/>
              </w:rPr>
            </w:pPr>
          </w:p>
        </w:tc>
        <w:tc>
          <w:tcPr>
            <w:tcW w:w="960" w:type="dxa"/>
            <w:vAlign w:val="bottom"/>
            <w:tcBorders>
              <w:bottom w:val="single" w:sz="8" w:color="EE2724"/>
            </w:tcBorders>
          </w:tcPr>
          <w:p>
            <w:pPr>
              <w:spacing w:after="0"/>
              <w:rPr>
                <w:sz w:val="21"/>
                <w:szCs w:val="21"/>
                <w:color w:val="auto"/>
              </w:rPr>
            </w:pPr>
          </w:p>
        </w:tc>
        <w:tc>
          <w:tcPr>
            <w:tcW w:w="280" w:type="dxa"/>
            <w:vAlign w:val="bottom"/>
            <w:tcBorders>
              <w:bottom w:val="single" w:sz="8" w:color="EE2724"/>
            </w:tcBorders>
          </w:tcPr>
          <w:p>
            <w:pPr>
              <w:spacing w:after="0"/>
              <w:rPr>
                <w:sz w:val="21"/>
                <w:szCs w:val="21"/>
                <w:color w:val="auto"/>
              </w:rPr>
            </w:pPr>
          </w:p>
        </w:tc>
        <w:tc>
          <w:tcPr>
            <w:tcW w:w="100" w:type="dxa"/>
            <w:vAlign w:val="bottom"/>
            <w:tcBorders>
              <w:bottom w:val="single" w:sz="8" w:color="EE2724"/>
            </w:tcBorders>
          </w:tcPr>
          <w:p>
            <w:pPr>
              <w:spacing w:after="0"/>
              <w:rPr>
                <w:sz w:val="21"/>
                <w:szCs w:val="21"/>
                <w:color w:val="auto"/>
              </w:rPr>
            </w:pPr>
          </w:p>
        </w:tc>
        <w:tc>
          <w:tcPr>
            <w:tcW w:w="180" w:type="dxa"/>
            <w:vAlign w:val="bottom"/>
            <w:tcBorders>
              <w:bottom w:val="single" w:sz="8" w:color="EE2724"/>
            </w:tcBorders>
          </w:tcPr>
          <w:p>
            <w:pPr>
              <w:spacing w:after="0"/>
              <w:rPr>
                <w:sz w:val="21"/>
                <w:szCs w:val="21"/>
                <w:color w:val="auto"/>
              </w:rPr>
            </w:pPr>
          </w:p>
        </w:tc>
        <w:tc>
          <w:tcPr>
            <w:tcW w:w="960" w:type="dxa"/>
            <w:vAlign w:val="bottom"/>
            <w:tcBorders>
              <w:bottom w:val="single" w:sz="8" w:color="EE2724"/>
            </w:tcBorders>
          </w:tcPr>
          <w:p>
            <w:pPr>
              <w:spacing w:after="0"/>
              <w:rPr>
                <w:sz w:val="21"/>
                <w:szCs w:val="21"/>
                <w:color w:val="auto"/>
              </w:rPr>
            </w:pPr>
          </w:p>
        </w:tc>
        <w:tc>
          <w:tcPr>
            <w:tcW w:w="120" w:type="dxa"/>
            <w:vAlign w:val="bottom"/>
            <w:tcBorders>
              <w:bottom w:val="single" w:sz="8" w:color="EE2724"/>
            </w:tcBorders>
          </w:tcPr>
          <w:p>
            <w:pPr>
              <w:spacing w:after="0"/>
              <w:rPr>
                <w:sz w:val="21"/>
                <w:szCs w:val="21"/>
                <w:color w:val="auto"/>
              </w:rPr>
            </w:pPr>
          </w:p>
        </w:tc>
        <w:tc>
          <w:tcPr>
            <w:tcW w:w="4100" w:type="dxa"/>
            <w:vAlign w:val="bottom"/>
            <w:tcBorders>
              <w:bottom w:val="single" w:sz="8" w:color="EE2724"/>
            </w:tcBorders>
            <w:gridSpan w:val="13"/>
          </w:tcPr>
          <w:p>
            <w:pPr>
              <w:jc w:val="center"/>
              <w:ind w:left="14"/>
              <w:spacing w:after="0"/>
              <w:rPr>
                <w:sz w:val="20"/>
                <w:szCs w:val="20"/>
                <w:color w:val="auto"/>
              </w:rPr>
            </w:pPr>
            <w:r>
              <w:rPr>
                <w:rFonts w:ascii="Arial" w:cs="Arial" w:eastAsia="Arial" w:hAnsi="Arial"/>
                <w:sz w:val="14"/>
                <w:szCs w:val="14"/>
                <w:b w:val="1"/>
                <w:bCs w:val="1"/>
                <w:color w:val="auto"/>
              </w:rPr>
              <w:t>Affected Line in the Consolidated Statement of Operations</w:t>
            </w:r>
          </w:p>
        </w:tc>
        <w:tc>
          <w:tcPr>
            <w:tcW w:w="100" w:type="dxa"/>
            <w:vAlign w:val="bottom"/>
            <w:tcBorders>
              <w:bottom w:val="single" w:sz="8" w:color="EE2724"/>
            </w:tcBorders>
          </w:tcPr>
          <w:p>
            <w:pPr>
              <w:spacing w:after="0"/>
              <w:rPr>
                <w:sz w:val="21"/>
                <w:szCs w:val="21"/>
                <w:color w:val="auto"/>
              </w:rPr>
            </w:pPr>
          </w:p>
        </w:tc>
        <w:tc>
          <w:tcPr>
            <w:tcW w:w="160" w:type="dxa"/>
            <w:vAlign w:val="bottom"/>
            <w:tcBorders>
              <w:bottom w:val="single" w:sz="8" w:color="EE2724"/>
            </w:tcBorders>
          </w:tcPr>
          <w:p>
            <w:pPr>
              <w:spacing w:after="0"/>
              <w:rPr>
                <w:sz w:val="21"/>
                <w:szCs w:val="21"/>
                <w:color w:val="auto"/>
              </w:rPr>
            </w:pPr>
          </w:p>
        </w:tc>
        <w:tc>
          <w:tcPr>
            <w:tcW w:w="1000" w:type="dxa"/>
            <w:vAlign w:val="bottom"/>
            <w:tcBorders>
              <w:bottom w:val="single" w:sz="8" w:color="EE2724"/>
            </w:tcBorders>
          </w:tcPr>
          <w:p>
            <w:pPr>
              <w:spacing w:after="0"/>
              <w:rPr>
                <w:sz w:val="21"/>
                <w:szCs w:val="21"/>
                <w:color w:val="auto"/>
              </w:rPr>
            </w:pPr>
          </w:p>
        </w:tc>
        <w:tc>
          <w:tcPr>
            <w:tcW w:w="80" w:type="dxa"/>
            <w:vAlign w:val="bottom"/>
            <w:tcBorders>
              <w:bottom w:val="single" w:sz="8" w:color="EE2724"/>
            </w:tcBorders>
          </w:tcPr>
          <w:p>
            <w:pPr>
              <w:spacing w:after="0"/>
              <w:rPr>
                <w:sz w:val="21"/>
                <w:szCs w:val="21"/>
                <w:color w:val="auto"/>
              </w:rPr>
            </w:pPr>
          </w:p>
        </w:tc>
        <w:tc>
          <w:tcPr>
            <w:tcW w:w="40" w:type="dxa"/>
            <w:vAlign w:val="bottom"/>
            <w:tcBorders>
              <w:bottom w:val="single" w:sz="8" w:color="EE2724"/>
            </w:tcBorders>
          </w:tcPr>
          <w:p>
            <w:pPr>
              <w:spacing w:after="0"/>
              <w:rPr>
                <w:sz w:val="21"/>
                <w:szCs w:val="21"/>
                <w:color w:val="auto"/>
              </w:rPr>
            </w:pPr>
          </w:p>
        </w:tc>
        <w:tc>
          <w:tcPr>
            <w:tcW w:w="80" w:type="dxa"/>
            <w:vAlign w:val="bottom"/>
            <w:tcBorders>
              <w:bottom w:val="single" w:sz="8" w:color="EE2724"/>
            </w:tcBorders>
          </w:tcPr>
          <w:p>
            <w:pPr>
              <w:spacing w:after="0"/>
              <w:rPr>
                <w:sz w:val="21"/>
                <w:szCs w:val="21"/>
                <w:color w:val="auto"/>
              </w:rPr>
            </w:pPr>
          </w:p>
        </w:tc>
        <w:tc>
          <w:tcPr>
            <w:tcW w:w="240" w:type="dxa"/>
            <w:vAlign w:val="bottom"/>
            <w:tcBorders>
              <w:bottom w:val="single" w:sz="8" w:color="EE2724"/>
            </w:tcBorders>
          </w:tcPr>
          <w:p>
            <w:pPr>
              <w:spacing w:after="0"/>
              <w:rPr>
                <w:sz w:val="21"/>
                <w:szCs w:val="21"/>
                <w:color w:val="auto"/>
              </w:rPr>
            </w:pPr>
          </w:p>
        </w:tc>
        <w:tc>
          <w:tcPr>
            <w:tcW w:w="940" w:type="dxa"/>
            <w:vAlign w:val="bottom"/>
            <w:tcBorders>
              <w:bottom w:val="single" w:sz="8" w:color="EE2724"/>
            </w:tcBorders>
          </w:tcPr>
          <w:p>
            <w:pPr>
              <w:spacing w:after="0"/>
              <w:rPr>
                <w:sz w:val="21"/>
                <w:szCs w:val="21"/>
                <w:color w:val="auto"/>
              </w:rPr>
            </w:pPr>
          </w:p>
        </w:tc>
        <w:tc>
          <w:tcPr>
            <w:tcW w:w="60" w:type="dxa"/>
            <w:vAlign w:val="bottom"/>
            <w:tcBorders>
              <w:bottom w:val="single" w:sz="8" w:color="EE2724"/>
            </w:tcBorders>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1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Cost of</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Cost of</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Selling,</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3"/>
            <w:vMerge w:val="restart"/>
          </w:tcPr>
          <w:p>
            <w:pPr>
              <w:ind w:left="28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Interest and</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84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Product</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General and</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4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rPr>
              <w:t>Products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rPr>
              <w:t>Services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Admin.</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3"/>
          </w:tcPr>
          <w:p>
            <w:pPr>
              <w:ind w:left="180"/>
              <w:spacing w:after="0" w:line="135" w:lineRule="exact"/>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1"/>
                <w:szCs w:val="11"/>
                <w:color w:val="auto"/>
              </w:rPr>
            </w:pPr>
          </w:p>
        </w:tc>
        <w:tc>
          <w:tcPr>
            <w:tcW w:w="1240" w:type="dxa"/>
            <w:vAlign w:val="bottom"/>
            <w:gridSpan w:val="3"/>
          </w:tcPr>
          <w:p>
            <w:pPr>
              <w:ind w:left="100"/>
              <w:spacing w:after="0" w:line="135" w:lineRule="exact"/>
              <w:rPr>
                <w:sz w:val="20"/>
                <w:szCs w:val="20"/>
                <w:color w:val="auto"/>
              </w:rPr>
            </w:pPr>
            <w:r>
              <w:rPr>
                <w:rFonts w:ascii="Arial" w:cs="Arial" w:eastAsia="Arial" w:hAnsi="Arial"/>
                <w:sz w:val="14"/>
                <w:szCs w:val="14"/>
                <w:b w:val="1"/>
                <w:bCs w:val="1"/>
                <w:color w:val="auto"/>
              </w:rPr>
              <w:t>Other Financial</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1840" w:type="dxa"/>
            <w:vAlign w:val="bottom"/>
          </w:tcPr>
          <w:p>
            <w:pPr>
              <w:spacing w:after="0"/>
              <w:rPr>
                <w:sz w:val="15"/>
                <w:szCs w:val="15"/>
                <w:color w:val="auto"/>
              </w:rPr>
            </w:pPr>
          </w:p>
        </w:tc>
        <w:tc>
          <w:tcPr>
            <w:tcW w:w="960" w:type="dxa"/>
            <w:vAlign w:val="bottom"/>
          </w:tcPr>
          <w:p>
            <w:pPr>
              <w:jc w:val="right"/>
              <w:ind w:right="79"/>
              <w:spacing w:after="0"/>
              <w:rPr>
                <w:sz w:val="20"/>
                <w:szCs w:val="20"/>
                <w:color w:val="auto"/>
              </w:rPr>
            </w:pPr>
            <w:r>
              <w:rPr>
                <w:rFonts w:ascii="Arial" w:cs="Arial" w:eastAsia="Arial" w:hAnsi="Arial"/>
                <w:sz w:val="14"/>
                <w:szCs w:val="14"/>
                <w:b w:val="1"/>
                <w:bCs w:val="1"/>
                <w:color w:val="auto"/>
              </w:rPr>
              <w:t>Sales</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Sold</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Sold</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Expenses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3"/>
          </w:tcPr>
          <w:p>
            <w:pPr>
              <w:ind w:left="180"/>
              <w:spacing w:after="0"/>
              <w:rPr>
                <w:sz w:val="20"/>
                <w:szCs w:val="20"/>
                <w:color w:val="auto"/>
              </w:rPr>
            </w:pPr>
            <w:r>
              <w:rPr>
                <w:rFonts w:ascii="Arial" w:cs="Arial" w:eastAsia="Arial" w:hAnsi="Arial"/>
                <w:sz w:val="14"/>
                <w:szCs w:val="14"/>
                <w:b w:val="1"/>
                <w:bCs w:val="1"/>
                <w:color w:val="auto"/>
              </w:rPr>
              <w:t>Expense</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ind w:left="180"/>
              <w:spacing w:after="0"/>
              <w:rPr>
                <w:sz w:val="20"/>
                <w:szCs w:val="20"/>
                <w:color w:val="auto"/>
              </w:rPr>
            </w:pPr>
            <w:r>
              <w:rPr>
                <w:rFonts w:ascii="Arial" w:cs="Arial" w:eastAsia="Arial" w:hAnsi="Arial"/>
                <w:sz w:val="14"/>
                <w:szCs w:val="14"/>
                <w:b w:val="1"/>
                <w:bCs w:val="1"/>
                <w:color w:val="auto"/>
              </w:rPr>
              <w:t>Charges</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40" w:type="dxa"/>
            <w:vAlign w:val="bottom"/>
            <w:tcBorders>
              <w:top w:val="single" w:sz="8" w:color="DDDDDD"/>
            </w:tcBorders>
            <w:shd w:val="clear" w:color="auto" w:fill="DDDDDD"/>
          </w:tcPr>
          <w:p>
            <w:pPr>
              <w:ind w:left="20"/>
              <w:spacing w:after="0" w:line="175" w:lineRule="exact"/>
              <w:rPr>
                <w:sz w:val="20"/>
                <w:szCs w:val="20"/>
                <w:color w:val="auto"/>
              </w:rPr>
            </w:pPr>
            <w:r>
              <w:rPr>
                <w:rFonts w:ascii="Arial" w:cs="Arial" w:eastAsia="Arial" w:hAnsi="Arial"/>
                <w:sz w:val="18"/>
                <w:szCs w:val="18"/>
                <w:color w:val="auto"/>
              </w:rPr>
              <w:t>Amortization of</w:t>
            </w:r>
          </w:p>
        </w:tc>
        <w:tc>
          <w:tcPr>
            <w:tcW w:w="960" w:type="dxa"/>
            <w:vAlign w:val="bottom"/>
            <w:tcBorders>
              <w:top w:val="single" w:sz="8" w:color="EE2724"/>
            </w:tcBorders>
            <w:shd w:val="clear" w:color="auto" w:fill="DDDDDD"/>
          </w:tcPr>
          <w:p>
            <w:pPr>
              <w:spacing w:after="0"/>
              <w:rPr>
                <w:sz w:val="15"/>
                <w:szCs w:val="15"/>
                <w:color w:val="auto"/>
              </w:rPr>
            </w:pPr>
          </w:p>
        </w:tc>
        <w:tc>
          <w:tcPr>
            <w:tcW w:w="280" w:type="dxa"/>
            <w:vAlign w:val="bottom"/>
            <w:tcBorders>
              <w:top w:val="single" w:sz="8" w:color="EE2724"/>
            </w:tcBorders>
            <w:shd w:val="clear" w:color="auto" w:fill="DDDDDD"/>
          </w:tcPr>
          <w:p>
            <w:pPr>
              <w:spacing w:after="0"/>
              <w:rPr>
                <w:sz w:val="15"/>
                <w:szCs w:val="15"/>
                <w:color w:val="auto"/>
              </w:rPr>
            </w:pPr>
          </w:p>
        </w:tc>
        <w:tc>
          <w:tcPr>
            <w:tcW w:w="100" w:type="dxa"/>
            <w:vAlign w:val="bottom"/>
            <w:tcBorders>
              <w:top w:val="single" w:sz="8" w:color="DDDDDD"/>
            </w:tcBorders>
            <w:shd w:val="clear" w:color="auto" w:fill="DDDDDD"/>
          </w:tcPr>
          <w:p>
            <w:pPr>
              <w:spacing w:after="0"/>
              <w:rPr>
                <w:sz w:val="15"/>
                <w:szCs w:val="15"/>
                <w:color w:val="auto"/>
              </w:rPr>
            </w:pPr>
          </w:p>
        </w:tc>
        <w:tc>
          <w:tcPr>
            <w:tcW w:w="180" w:type="dxa"/>
            <w:vAlign w:val="bottom"/>
            <w:tcBorders>
              <w:top w:val="single" w:sz="8" w:color="EE2724"/>
            </w:tcBorders>
            <w:shd w:val="clear" w:color="auto" w:fill="DDDDDD"/>
          </w:tcPr>
          <w:p>
            <w:pPr>
              <w:spacing w:after="0"/>
              <w:rPr>
                <w:sz w:val="15"/>
                <w:szCs w:val="15"/>
                <w:color w:val="auto"/>
              </w:rPr>
            </w:pPr>
          </w:p>
        </w:tc>
        <w:tc>
          <w:tcPr>
            <w:tcW w:w="960" w:type="dxa"/>
            <w:vAlign w:val="bottom"/>
            <w:tcBorders>
              <w:top w:val="single" w:sz="8" w:color="EE2724"/>
            </w:tcBorders>
            <w:shd w:val="clear" w:color="auto" w:fill="DDDDDD"/>
          </w:tcPr>
          <w:p>
            <w:pPr>
              <w:spacing w:after="0"/>
              <w:rPr>
                <w:sz w:val="15"/>
                <w:szCs w:val="15"/>
                <w:color w:val="auto"/>
              </w:rPr>
            </w:pPr>
          </w:p>
        </w:tc>
        <w:tc>
          <w:tcPr>
            <w:tcW w:w="120" w:type="dxa"/>
            <w:vAlign w:val="bottom"/>
            <w:tcBorders>
              <w:top w:val="single" w:sz="8" w:color="EE2724"/>
            </w:tcBorders>
            <w:shd w:val="clear" w:color="auto" w:fill="DDDDDD"/>
          </w:tcPr>
          <w:p>
            <w:pPr>
              <w:spacing w:after="0"/>
              <w:rPr>
                <w:sz w:val="15"/>
                <w:szCs w:val="15"/>
                <w:color w:val="auto"/>
              </w:rPr>
            </w:pPr>
          </w:p>
        </w:tc>
        <w:tc>
          <w:tcPr>
            <w:tcW w:w="100" w:type="dxa"/>
            <w:vAlign w:val="bottom"/>
            <w:tcBorders>
              <w:top w:val="single" w:sz="8" w:color="DDDDDD"/>
            </w:tcBorders>
            <w:shd w:val="clear" w:color="auto" w:fill="DDDDDD"/>
          </w:tcPr>
          <w:p>
            <w:pPr>
              <w:spacing w:after="0"/>
              <w:rPr>
                <w:sz w:val="15"/>
                <w:szCs w:val="15"/>
                <w:color w:val="auto"/>
              </w:rPr>
            </w:pPr>
          </w:p>
        </w:tc>
        <w:tc>
          <w:tcPr>
            <w:tcW w:w="160" w:type="dxa"/>
            <w:vAlign w:val="bottom"/>
            <w:tcBorders>
              <w:top w:val="single" w:sz="8" w:color="EE2724"/>
            </w:tcBorders>
            <w:shd w:val="clear" w:color="auto" w:fill="DDDDDD"/>
          </w:tcPr>
          <w:p>
            <w:pPr>
              <w:spacing w:after="0"/>
              <w:rPr>
                <w:sz w:val="15"/>
                <w:szCs w:val="15"/>
                <w:color w:val="auto"/>
              </w:rPr>
            </w:pPr>
          </w:p>
        </w:tc>
        <w:tc>
          <w:tcPr>
            <w:tcW w:w="1000" w:type="dxa"/>
            <w:vAlign w:val="bottom"/>
            <w:tcBorders>
              <w:top w:val="single" w:sz="8" w:color="EE2724"/>
            </w:tcBorders>
            <w:shd w:val="clear" w:color="auto" w:fill="DDDDDD"/>
          </w:tcPr>
          <w:p>
            <w:pPr>
              <w:spacing w:after="0"/>
              <w:rPr>
                <w:sz w:val="15"/>
                <w:szCs w:val="15"/>
                <w:color w:val="auto"/>
              </w:rPr>
            </w:pPr>
          </w:p>
        </w:tc>
        <w:tc>
          <w:tcPr>
            <w:tcW w:w="100" w:type="dxa"/>
            <w:vAlign w:val="bottom"/>
            <w:tcBorders>
              <w:top w:val="single" w:sz="8" w:color="EE2724"/>
            </w:tcBorders>
            <w:shd w:val="clear" w:color="auto" w:fill="DDDDDD"/>
          </w:tcPr>
          <w:p>
            <w:pPr>
              <w:spacing w:after="0"/>
              <w:rPr>
                <w:sz w:val="15"/>
                <w:szCs w:val="15"/>
                <w:color w:val="auto"/>
              </w:rPr>
            </w:pPr>
          </w:p>
        </w:tc>
        <w:tc>
          <w:tcPr>
            <w:tcW w:w="100" w:type="dxa"/>
            <w:vAlign w:val="bottom"/>
            <w:tcBorders>
              <w:top w:val="single" w:sz="8" w:color="DDDDDD"/>
            </w:tcBorders>
            <w:shd w:val="clear" w:color="auto" w:fill="DDDDDD"/>
          </w:tcPr>
          <w:p>
            <w:pPr>
              <w:spacing w:after="0"/>
              <w:rPr>
                <w:sz w:val="15"/>
                <w:szCs w:val="15"/>
                <w:color w:val="auto"/>
              </w:rPr>
            </w:pPr>
          </w:p>
        </w:tc>
        <w:tc>
          <w:tcPr>
            <w:tcW w:w="140" w:type="dxa"/>
            <w:vAlign w:val="bottom"/>
            <w:tcBorders>
              <w:top w:val="single" w:sz="8" w:color="EE2724"/>
            </w:tcBorders>
            <w:shd w:val="clear" w:color="auto" w:fill="DDDDDD"/>
          </w:tcPr>
          <w:p>
            <w:pPr>
              <w:spacing w:after="0"/>
              <w:rPr>
                <w:sz w:val="15"/>
                <w:szCs w:val="15"/>
                <w:color w:val="auto"/>
              </w:rPr>
            </w:pPr>
          </w:p>
        </w:tc>
        <w:tc>
          <w:tcPr>
            <w:tcW w:w="1020" w:type="dxa"/>
            <w:vAlign w:val="bottom"/>
            <w:tcBorders>
              <w:top w:val="single" w:sz="8" w:color="EE2724"/>
            </w:tcBorders>
            <w:shd w:val="clear" w:color="auto" w:fill="DDDDDD"/>
          </w:tcPr>
          <w:p>
            <w:pPr>
              <w:spacing w:after="0"/>
              <w:rPr>
                <w:sz w:val="15"/>
                <w:szCs w:val="15"/>
                <w:color w:val="auto"/>
              </w:rPr>
            </w:pPr>
          </w:p>
        </w:tc>
        <w:tc>
          <w:tcPr>
            <w:tcW w:w="100" w:type="dxa"/>
            <w:vAlign w:val="bottom"/>
            <w:tcBorders>
              <w:top w:val="single" w:sz="8" w:color="EE2724"/>
            </w:tcBorders>
            <w:shd w:val="clear" w:color="auto" w:fill="DDDDDD"/>
          </w:tcPr>
          <w:p>
            <w:pPr>
              <w:spacing w:after="0"/>
              <w:rPr>
                <w:sz w:val="15"/>
                <w:szCs w:val="15"/>
                <w:color w:val="auto"/>
              </w:rPr>
            </w:pPr>
          </w:p>
        </w:tc>
        <w:tc>
          <w:tcPr>
            <w:tcW w:w="120" w:type="dxa"/>
            <w:vAlign w:val="bottom"/>
            <w:tcBorders>
              <w:top w:val="single" w:sz="8" w:color="DDDDDD"/>
            </w:tcBorders>
            <w:shd w:val="clear" w:color="auto" w:fill="DDDDDD"/>
          </w:tcPr>
          <w:p>
            <w:pPr>
              <w:spacing w:after="0"/>
              <w:rPr>
                <w:sz w:val="15"/>
                <w:szCs w:val="15"/>
                <w:color w:val="auto"/>
              </w:rPr>
            </w:pPr>
          </w:p>
        </w:tc>
        <w:tc>
          <w:tcPr>
            <w:tcW w:w="140" w:type="dxa"/>
            <w:vAlign w:val="bottom"/>
            <w:tcBorders>
              <w:top w:val="single" w:sz="8" w:color="EE2724"/>
            </w:tcBorders>
            <w:shd w:val="clear" w:color="auto" w:fill="DDDDDD"/>
          </w:tcPr>
          <w:p>
            <w:pPr>
              <w:spacing w:after="0"/>
              <w:rPr>
                <w:sz w:val="15"/>
                <w:szCs w:val="15"/>
                <w:color w:val="auto"/>
              </w:rPr>
            </w:pPr>
          </w:p>
        </w:tc>
        <w:tc>
          <w:tcPr>
            <w:tcW w:w="1020" w:type="dxa"/>
            <w:vAlign w:val="bottom"/>
            <w:tcBorders>
              <w:top w:val="single" w:sz="8" w:color="EE2724"/>
            </w:tcBorders>
            <w:shd w:val="clear" w:color="auto" w:fill="DDDDDD"/>
          </w:tcPr>
          <w:p>
            <w:pPr>
              <w:spacing w:after="0"/>
              <w:rPr>
                <w:sz w:val="15"/>
                <w:szCs w:val="15"/>
                <w:color w:val="auto"/>
              </w:rPr>
            </w:pPr>
          </w:p>
        </w:tc>
        <w:tc>
          <w:tcPr>
            <w:tcW w:w="80" w:type="dxa"/>
            <w:vAlign w:val="bottom"/>
            <w:tcBorders>
              <w:top w:val="single" w:sz="8" w:color="EE2724"/>
            </w:tcBorders>
            <w:shd w:val="clear" w:color="auto" w:fill="DDDDDD"/>
          </w:tcPr>
          <w:p>
            <w:pPr>
              <w:spacing w:after="0"/>
              <w:rPr>
                <w:sz w:val="15"/>
                <w:szCs w:val="15"/>
                <w:color w:val="auto"/>
              </w:rPr>
            </w:pPr>
          </w:p>
        </w:tc>
        <w:tc>
          <w:tcPr>
            <w:tcW w:w="20" w:type="dxa"/>
            <w:vAlign w:val="bottom"/>
            <w:tcBorders>
              <w:top w:val="single" w:sz="8" w:color="DDDDDD"/>
            </w:tcBorders>
            <w:shd w:val="clear" w:color="auto" w:fill="DDDDDD"/>
          </w:tcPr>
          <w:p>
            <w:pPr>
              <w:spacing w:after="0"/>
              <w:rPr>
                <w:sz w:val="15"/>
                <w:szCs w:val="15"/>
                <w:color w:val="auto"/>
              </w:rPr>
            </w:pPr>
          </w:p>
        </w:tc>
        <w:tc>
          <w:tcPr>
            <w:tcW w:w="100" w:type="dxa"/>
            <w:vAlign w:val="bottom"/>
            <w:tcBorders>
              <w:top w:val="single" w:sz="8" w:color="DDDDDD"/>
            </w:tcBorders>
            <w:shd w:val="clear" w:color="auto" w:fill="DDDDDD"/>
          </w:tcPr>
          <w:p>
            <w:pPr>
              <w:spacing w:after="0"/>
              <w:rPr>
                <w:sz w:val="15"/>
                <w:szCs w:val="15"/>
                <w:color w:val="auto"/>
              </w:rPr>
            </w:pPr>
          </w:p>
        </w:tc>
        <w:tc>
          <w:tcPr>
            <w:tcW w:w="160" w:type="dxa"/>
            <w:vAlign w:val="bottom"/>
            <w:tcBorders>
              <w:top w:val="single" w:sz="8" w:color="EE2724"/>
            </w:tcBorders>
            <w:shd w:val="clear" w:color="auto" w:fill="DDDDDD"/>
          </w:tcPr>
          <w:p>
            <w:pPr>
              <w:spacing w:after="0"/>
              <w:rPr>
                <w:sz w:val="15"/>
                <w:szCs w:val="15"/>
                <w:color w:val="auto"/>
              </w:rPr>
            </w:pPr>
          </w:p>
        </w:tc>
        <w:tc>
          <w:tcPr>
            <w:tcW w:w="1000" w:type="dxa"/>
            <w:vAlign w:val="bottom"/>
            <w:tcBorders>
              <w:top w:val="single" w:sz="8" w:color="EE2724"/>
            </w:tcBorders>
            <w:shd w:val="clear" w:color="auto" w:fill="DDDDDD"/>
          </w:tcPr>
          <w:p>
            <w:pPr>
              <w:spacing w:after="0"/>
              <w:rPr>
                <w:sz w:val="15"/>
                <w:szCs w:val="15"/>
                <w:color w:val="auto"/>
              </w:rPr>
            </w:pPr>
          </w:p>
        </w:tc>
        <w:tc>
          <w:tcPr>
            <w:tcW w:w="80" w:type="dxa"/>
            <w:vAlign w:val="bottom"/>
            <w:tcBorders>
              <w:top w:val="single" w:sz="8" w:color="EE2724"/>
            </w:tcBorders>
            <w:shd w:val="clear" w:color="auto" w:fill="DDDDDD"/>
          </w:tcPr>
          <w:p>
            <w:pPr>
              <w:spacing w:after="0"/>
              <w:rPr>
                <w:sz w:val="15"/>
                <w:szCs w:val="15"/>
                <w:color w:val="auto"/>
              </w:rPr>
            </w:pPr>
          </w:p>
        </w:tc>
        <w:tc>
          <w:tcPr>
            <w:tcW w:w="40" w:type="dxa"/>
            <w:vAlign w:val="bottom"/>
            <w:tcBorders>
              <w:top w:val="single" w:sz="8" w:color="DDDDDD"/>
            </w:tcBorders>
            <w:shd w:val="clear" w:color="auto" w:fill="DDDDDD"/>
          </w:tcPr>
          <w:p>
            <w:pPr>
              <w:spacing w:after="0"/>
              <w:rPr>
                <w:sz w:val="15"/>
                <w:szCs w:val="15"/>
                <w:color w:val="auto"/>
              </w:rPr>
            </w:pPr>
          </w:p>
        </w:tc>
        <w:tc>
          <w:tcPr>
            <w:tcW w:w="80" w:type="dxa"/>
            <w:vAlign w:val="bottom"/>
            <w:tcBorders>
              <w:top w:val="single" w:sz="8" w:color="DDDDDD"/>
            </w:tcBorders>
            <w:shd w:val="clear" w:color="auto" w:fill="DDDDDD"/>
          </w:tcPr>
          <w:p>
            <w:pPr>
              <w:spacing w:after="0"/>
              <w:rPr>
                <w:sz w:val="15"/>
                <w:szCs w:val="15"/>
                <w:color w:val="auto"/>
              </w:rPr>
            </w:pPr>
          </w:p>
        </w:tc>
        <w:tc>
          <w:tcPr>
            <w:tcW w:w="240" w:type="dxa"/>
            <w:vAlign w:val="bottom"/>
            <w:tcBorders>
              <w:top w:val="single" w:sz="8" w:color="EE2724"/>
            </w:tcBorders>
            <w:shd w:val="clear" w:color="auto" w:fill="DDDDDD"/>
          </w:tcPr>
          <w:p>
            <w:pPr>
              <w:spacing w:after="0"/>
              <w:rPr>
                <w:sz w:val="15"/>
                <w:szCs w:val="15"/>
                <w:color w:val="auto"/>
              </w:rPr>
            </w:pPr>
          </w:p>
        </w:tc>
        <w:tc>
          <w:tcPr>
            <w:tcW w:w="940" w:type="dxa"/>
            <w:vAlign w:val="bottom"/>
            <w:tcBorders>
              <w:top w:val="single" w:sz="8" w:color="EE2724"/>
            </w:tcBorders>
            <w:shd w:val="clear" w:color="auto" w:fill="DDDDDD"/>
          </w:tcPr>
          <w:p>
            <w:pPr>
              <w:spacing w:after="0"/>
              <w:rPr>
                <w:sz w:val="15"/>
                <w:szCs w:val="15"/>
                <w:color w:val="auto"/>
              </w:rPr>
            </w:pPr>
          </w:p>
        </w:tc>
        <w:tc>
          <w:tcPr>
            <w:tcW w:w="60" w:type="dxa"/>
            <w:vAlign w:val="bottom"/>
            <w:tcBorders>
              <w:top w:val="single" w:sz="8" w:color="EE2724"/>
            </w:tcBorders>
            <w:shd w:val="clear" w:color="auto" w:fill="DDDDDD"/>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840" w:type="dxa"/>
            <w:vAlign w:val="bottom"/>
            <w:shd w:val="clear" w:color="auto" w:fill="DDDDDD"/>
          </w:tcPr>
          <w:p>
            <w:pPr>
              <w:ind w:left="20"/>
              <w:spacing w:after="0" w:line="176" w:lineRule="exact"/>
              <w:rPr>
                <w:sz w:val="20"/>
                <w:szCs w:val="20"/>
                <w:color w:val="auto"/>
              </w:rPr>
            </w:pPr>
            <w:r>
              <w:rPr>
                <w:rFonts w:ascii="Arial" w:cs="Arial" w:eastAsia="Arial" w:hAnsi="Arial"/>
                <w:sz w:val="18"/>
                <w:szCs w:val="18"/>
                <w:color w:val="auto"/>
              </w:rPr>
              <w:t>Pension and Other</w:t>
            </w:r>
          </w:p>
        </w:tc>
        <w:tc>
          <w:tcPr>
            <w:tcW w:w="960" w:type="dxa"/>
            <w:vAlign w:val="bottom"/>
            <w:shd w:val="clear" w:color="auto" w:fill="DDDDDD"/>
          </w:tcPr>
          <w:p>
            <w:pPr>
              <w:spacing w:after="0"/>
              <w:rPr>
                <w:sz w:val="15"/>
                <w:szCs w:val="15"/>
                <w:color w:val="auto"/>
              </w:rPr>
            </w:pPr>
          </w:p>
        </w:tc>
        <w:tc>
          <w:tcPr>
            <w:tcW w:w="280" w:type="dxa"/>
            <w:vAlign w:val="bottom"/>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180" w:type="dxa"/>
            <w:vAlign w:val="bottom"/>
            <w:shd w:val="clear" w:color="auto" w:fill="DDDDDD"/>
          </w:tcPr>
          <w:p>
            <w:pPr>
              <w:spacing w:after="0"/>
              <w:rPr>
                <w:sz w:val="15"/>
                <w:szCs w:val="15"/>
                <w:color w:val="auto"/>
              </w:rPr>
            </w:pPr>
          </w:p>
        </w:tc>
        <w:tc>
          <w:tcPr>
            <w:tcW w:w="960" w:type="dxa"/>
            <w:vAlign w:val="bottom"/>
            <w:shd w:val="clear" w:color="auto" w:fill="DDDDDD"/>
          </w:tcPr>
          <w:p>
            <w:pPr>
              <w:spacing w:after="0"/>
              <w:rPr>
                <w:sz w:val="15"/>
                <w:szCs w:val="15"/>
                <w:color w:val="auto"/>
              </w:rPr>
            </w:pPr>
          </w:p>
        </w:tc>
        <w:tc>
          <w:tcPr>
            <w:tcW w:w="120" w:type="dxa"/>
            <w:vAlign w:val="bottom"/>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160" w:type="dxa"/>
            <w:vAlign w:val="bottom"/>
            <w:shd w:val="clear" w:color="auto" w:fill="DDDDDD"/>
          </w:tcPr>
          <w:p>
            <w:pPr>
              <w:spacing w:after="0"/>
              <w:rPr>
                <w:sz w:val="15"/>
                <w:szCs w:val="15"/>
                <w:color w:val="auto"/>
              </w:rPr>
            </w:pPr>
          </w:p>
        </w:tc>
        <w:tc>
          <w:tcPr>
            <w:tcW w:w="1000" w:type="dxa"/>
            <w:vAlign w:val="bottom"/>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140" w:type="dxa"/>
            <w:vAlign w:val="bottom"/>
            <w:shd w:val="clear" w:color="auto" w:fill="DDDDDD"/>
          </w:tcPr>
          <w:p>
            <w:pPr>
              <w:spacing w:after="0"/>
              <w:rPr>
                <w:sz w:val="15"/>
                <w:szCs w:val="15"/>
                <w:color w:val="auto"/>
              </w:rPr>
            </w:pPr>
          </w:p>
        </w:tc>
        <w:tc>
          <w:tcPr>
            <w:tcW w:w="1020" w:type="dxa"/>
            <w:vAlign w:val="bottom"/>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120" w:type="dxa"/>
            <w:vAlign w:val="bottom"/>
            <w:shd w:val="clear" w:color="auto" w:fill="DDDDDD"/>
          </w:tcPr>
          <w:p>
            <w:pPr>
              <w:spacing w:after="0"/>
              <w:rPr>
                <w:sz w:val="15"/>
                <w:szCs w:val="15"/>
                <w:color w:val="auto"/>
              </w:rPr>
            </w:pPr>
          </w:p>
        </w:tc>
        <w:tc>
          <w:tcPr>
            <w:tcW w:w="140" w:type="dxa"/>
            <w:vAlign w:val="bottom"/>
            <w:shd w:val="clear" w:color="auto" w:fill="DDDDDD"/>
          </w:tcPr>
          <w:p>
            <w:pPr>
              <w:spacing w:after="0"/>
              <w:rPr>
                <w:sz w:val="15"/>
                <w:szCs w:val="15"/>
                <w:color w:val="auto"/>
              </w:rPr>
            </w:pPr>
          </w:p>
        </w:tc>
        <w:tc>
          <w:tcPr>
            <w:tcW w:w="1020" w:type="dxa"/>
            <w:vAlign w:val="bottom"/>
            <w:shd w:val="clear" w:color="auto" w:fill="DDDDDD"/>
          </w:tcPr>
          <w:p>
            <w:pPr>
              <w:spacing w:after="0"/>
              <w:rPr>
                <w:sz w:val="15"/>
                <w:szCs w:val="15"/>
                <w:color w:val="auto"/>
              </w:rPr>
            </w:pPr>
          </w:p>
        </w:tc>
        <w:tc>
          <w:tcPr>
            <w:tcW w:w="80" w:type="dxa"/>
            <w:vAlign w:val="bottom"/>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160" w:type="dxa"/>
            <w:vAlign w:val="bottom"/>
            <w:shd w:val="clear" w:color="auto" w:fill="DDDDDD"/>
          </w:tcPr>
          <w:p>
            <w:pPr>
              <w:spacing w:after="0"/>
              <w:rPr>
                <w:sz w:val="15"/>
                <w:szCs w:val="15"/>
                <w:color w:val="auto"/>
              </w:rPr>
            </w:pPr>
          </w:p>
        </w:tc>
        <w:tc>
          <w:tcPr>
            <w:tcW w:w="1000" w:type="dxa"/>
            <w:vAlign w:val="bottom"/>
            <w:shd w:val="clear" w:color="auto" w:fill="DDDDDD"/>
          </w:tcPr>
          <w:p>
            <w:pPr>
              <w:spacing w:after="0"/>
              <w:rPr>
                <w:sz w:val="15"/>
                <w:szCs w:val="15"/>
                <w:color w:val="auto"/>
              </w:rPr>
            </w:pPr>
          </w:p>
        </w:tc>
        <w:tc>
          <w:tcPr>
            <w:tcW w:w="80" w:type="dxa"/>
            <w:vAlign w:val="bottom"/>
            <w:shd w:val="clear" w:color="auto" w:fill="DDDDDD"/>
          </w:tcPr>
          <w:p>
            <w:pPr>
              <w:spacing w:after="0"/>
              <w:rPr>
                <w:sz w:val="15"/>
                <w:szCs w:val="15"/>
                <w:color w:val="auto"/>
              </w:rPr>
            </w:pPr>
          </w:p>
        </w:tc>
        <w:tc>
          <w:tcPr>
            <w:tcW w:w="40" w:type="dxa"/>
            <w:vAlign w:val="bottom"/>
            <w:shd w:val="clear" w:color="auto" w:fill="DDDDDD"/>
          </w:tcPr>
          <w:p>
            <w:pPr>
              <w:spacing w:after="0"/>
              <w:rPr>
                <w:sz w:val="15"/>
                <w:szCs w:val="15"/>
                <w:color w:val="auto"/>
              </w:rPr>
            </w:pPr>
          </w:p>
        </w:tc>
        <w:tc>
          <w:tcPr>
            <w:tcW w:w="80" w:type="dxa"/>
            <w:vAlign w:val="bottom"/>
            <w:shd w:val="clear" w:color="auto" w:fill="DDDDDD"/>
          </w:tcPr>
          <w:p>
            <w:pPr>
              <w:spacing w:after="0"/>
              <w:rPr>
                <w:sz w:val="15"/>
                <w:szCs w:val="15"/>
                <w:color w:val="auto"/>
              </w:rPr>
            </w:pPr>
          </w:p>
        </w:tc>
        <w:tc>
          <w:tcPr>
            <w:tcW w:w="240" w:type="dxa"/>
            <w:vAlign w:val="bottom"/>
            <w:shd w:val="clear" w:color="auto" w:fill="DDDDDD"/>
          </w:tcPr>
          <w:p>
            <w:pPr>
              <w:spacing w:after="0"/>
              <w:rPr>
                <w:sz w:val="15"/>
                <w:szCs w:val="15"/>
                <w:color w:val="auto"/>
              </w:rPr>
            </w:pPr>
          </w:p>
        </w:tc>
        <w:tc>
          <w:tcPr>
            <w:tcW w:w="940" w:type="dxa"/>
            <w:vAlign w:val="bottom"/>
            <w:shd w:val="clear" w:color="auto" w:fill="DDDDDD"/>
          </w:tcPr>
          <w:p>
            <w:pPr>
              <w:spacing w:after="0"/>
              <w:rPr>
                <w:sz w:val="15"/>
                <w:szCs w:val="15"/>
                <w:color w:val="auto"/>
              </w:rPr>
            </w:pPr>
          </w:p>
        </w:tc>
        <w:tc>
          <w:tcPr>
            <w:tcW w:w="60" w:type="dxa"/>
            <w:vAlign w:val="bottom"/>
            <w:shd w:val="clear" w:color="auto" w:fill="DDDDDD"/>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840" w:type="dxa"/>
            <w:vAlign w:val="bottom"/>
            <w:shd w:val="clear" w:color="auto" w:fill="DDDDDD"/>
          </w:tcPr>
          <w:p>
            <w:pPr>
              <w:ind w:left="20"/>
              <w:spacing w:after="0"/>
              <w:rPr>
                <w:sz w:val="20"/>
                <w:szCs w:val="20"/>
                <w:color w:val="auto"/>
              </w:rPr>
            </w:pPr>
            <w:r>
              <w:rPr>
                <w:rFonts w:ascii="Arial" w:cs="Arial" w:eastAsia="Arial" w:hAnsi="Arial"/>
                <w:sz w:val="18"/>
                <w:szCs w:val="18"/>
                <w:color w:val="auto"/>
              </w:rPr>
              <w:t>Postretirement Items:</w:t>
            </w:r>
          </w:p>
        </w:tc>
        <w:tc>
          <w:tcPr>
            <w:tcW w:w="960" w:type="dxa"/>
            <w:vAlign w:val="bottom"/>
            <w:shd w:val="clear" w:color="auto" w:fill="DDDDDD"/>
          </w:tcPr>
          <w:p>
            <w:pPr>
              <w:spacing w:after="0"/>
              <w:rPr>
                <w:sz w:val="18"/>
                <w:szCs w:val="18"/>
                <w:color w:val="auto"/>
              </w:rPr>
            </w:pPr>
          </w:p>
        </w:tc>
        <w:tc>
          <w:tcPr>
            <w:tcW w:w="28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80" w:type="dxa"/>
            <w:vAlign w:val="bottom"/>
            <w:shd w:val="clear" w:color="auto" w:fill="DDDDDD"/>
          </w:tcPr>
          <w:p>
            <w:pPr>
              <w:spacing w:after="0"/>
              <w:rPr>
                <w:sz w:val="18"/>
                <w:szCs w:val="18"/>
                <w:color w:val="auto"/>
              </w:rPr>
            </w:pPr>
          </w:p>
        </w:tc>
        <w:tc>
          <w:tcPr>
            <w:tcW w:w="96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60" w:type="dxa"/>
            <w:vAlign w:val="bottom"/>
            <w:shd w:val="clear" w:color="auto" w:fill="DDDDDD"/>
          </w:tcPr>
          <w:p>
            <w:pPr>
              <w:spacing w:after="0"/>
              <w:rPr>
                <w:sz w:val="18"/>
                <w:szCs w:val="18"/>
                <w:color w:val="auto"/>
              </w:rPr>
            </w:pPr>
          </w:p>
        </w:tc>
        <w:tc>
          <w:tcPr>
            <w:tcW w:w="100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40" w:type="dxa"/>
            <w:vAlign w:val="bottom"/>
            <w:shd w:val="clear" w:color="auto" w:fill="DDDDDD"/>
          </w:tcPr>
          <w:p>
            <w:pPr>
              <w:spacing w:after="0"/>
              <w:rPr>
                <w:sz w:val="18"/>
                <w:szCs w:val="18"/>
                <w:color w:val="auto"/>
              </w:rPr>
            </w:pPr>
          </w:p>
        </w:tc>
        <w:tc>
          <w:tcPr>
            <w:tcW w:w="10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140" w:type="dxa"/>
            <w:vAlign w:val="bottom"/>
            <w:shd w:val="clear" w:color="auto" w:fill="DDDDDD"/>
          </w:tcPr>
          <w:p>
            <w:pPr>
              <w:spacing w:after="0"/>
              <w:rPr>
                <w:sz w:val="18"/>
                <w:szCs w:val="18"/>
                <w:color w:val="auto"/>
              </w:rPr>
            </w:pPr>
          </w:p>
        </w:tc>
        <w:tc>
          <w:tcPr>
            <w:tcW w:w="1020" w:type="dxa"/>
            <w:vAlign w:val="bottom"/>
            <w:shd w:val="clear" w:color="auto" w:fill="DDDDDD"/>
          </w:tcPr>
          <w:p>
            <w:pPr>
              <w:spacing w:after="0"/>
              <w:rPr>
                <w:sz w:val="18"/>
                <w:szCs w:val="18"/>
                <w:color w:val="auto"/>
              </w:rPr>
            </w:pPr>
          </w:p>
        </w:tc>
        <w:tc>
          <w:tcPr>
            <w:tcW w:w="8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60" w:type="dxa"/>
            <w:vAlign w:val="bottom"/>
            <w:shd w:val="clear" w:color="auto" w:fill="DDDDDD"/>
          </w:tcPr>
          <w:p>
            <w:pPr>
              <w:spacing w:after="0"/>
              <w:rPr>
                <w:sz w:val="18"/>
                <w:szCs w:val="18"/>
                <w:color w:val="auto"/>
              </w:rPr>
            </w:pPr>
          </w:p>
        </w:tc>
        <w:tc>
          <w:tcPr>
            <w:tcW w:w="1000" w:type="dxa"/>
            <w:vAlign w:val="bottom"/>
            <w:shd w:val="clear" w:color="auto" w:fill="DDDDDD"/>
          </w:tcPr>
          <w:p>
            <w:pPr>
              <w:spacing w:after="0"/>
              <w:rPr>
                <w:sz w:val="18"/>
                <w:szCs w:val="18"/>
                <w:color w:val="auto"/>
              </w:rPr>
            </w:pPr>
          </w:p>
        </w:tc>
        <w:tc>
          <w:tcPr>
            <w:tcW w:w="80" w:type="dxa"/>
            <w:vAlign w:val="bottom"/>
            <w:shd w:val="clear" w:color="auto" w:fill="DDDDDD"/>
          </w:tcPr>
          <w:p>
            <w:pPr>
              <w:spacing w:after="0"/>
              <w:rPr>
                <w:sz w:val="18"/>
                <w:szCs w:val="18"/>
                <w:color w:val="auto"/>
              </w:rPr>
            </w:pPr>
          </w:p>
        </w:tc>
        <w:tc>
          <w:tcPr>
            <w:tcW w:w="40" w:type="dxa"/>
            <w:vAlign w:val="bottom"/>
            <w:shd w:val="clear" w:color="auto" w:fill="DDDDDD"/>
          </w:tcPr>
          <w:p>
            <w:pPr>
              <w:spacing w:after="0"/>
              <w:rPr>
                <w:sz w:val="18"/>
                <w:szCs w:val="18"/>
                <w:color w:val="auto"/>
              </w:rPr>
            </w:pPr>
          </w:p>
        </w:tc>
        <w:tc>
          <w:tcPr>
            <w:tcW w:w="80" w:type="dxa"/>
            <w:vAlign w:val="bottom"/>
            <w:shd w:val="clear" w:color="auto" w:fill="DDDDDD"/>
          </w:tcPr>
          <w:p>
            <w:pPr>
              <w:spacing w:after="0"/>
              <w:rPr>
                <w:sz w:val="18"/>
                <w:szCs w:val="18"/>
                <w:color w:val="auto"/>
              </w:rPr>
            </w:pPr>
          </w:p>
        </w:tc>
        <w:tc>
          <w:tcPr>
            <w:tcW w:w="240" w:type="dxa"/>
            <w:vAlign w:val="bottom"/>
            <w:shd w:val="clear" w:color="auto" w:fill="DDDDDD"/>
          </w:tcPr>
          <w:p>
            <w:pPr>
              <w:spacing w:after="0"/>
              <w:rPr>
                <w:sz w:val="18"/>
                <w:szCs w:val="18"/>
                <w:color w:val="auto"/>
              </w:rPr>
            </w:pPr>
          </w:p>
        </w:tc>
        <w:tc>
          <w:tcPr>
            <w:tcW w:w="940" w:type="dxa"/>
            <w:vAlign w:val="bottom"/>
            <w:shd w:val="clear" w:color="auto" w:fill="DDDDDD"/>
          </w:tcPr>
          <w:p>
            <w:pPr>
              <w:spacing w:after="0"/>
              <w:rPr>
                <w:sz w:val="18"/>
                <w:szCs w:val="18"/>
                <w:color w:val="auto"/>
              </w:rPr>
            </w:pPr>
          </w:p>
        </w:tc>
        <w:tc>
          <w:tcPr>
            <w:tcW w:w="60" w:type="dxa"/>
            <w:vAlign w:val="bottom"/>
            <w:shd w:val="clear" w:color="auto" w:fill="DDDDDD"/>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840" w:type="dxa"/>
            <w:vAlign w:val="bottom"/>
          </w:tcPr>
          <w:p>
            <w:pPr>
              <w:ind w:left="140"/>
              <w:spacing w:after="0" w:line="189" w:lineRule="exact"/>
              <w:rPr>
                <w:sz w:val="20"/>
                <w:szCs w:val="20"/>
                <w:color w:val="auto"/>
              </w:rPr>
            </w:pPr>
            <w:r>
              <w:rPr>
                <w:rFonts w:ascii="Arial" w:cs="Arial" w:eastAsia="Arial" w:hAnsi="Arial"/>
                <w:sz w:val="18"/>
                <w:szCs w:val="18"/>
                <w:color w:val="auto"/>
              </w:rPr>
              <w:t>Actuarial losses</w:t>
            </w: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840" w:type="dxa"/>
            <w:vAlign w:val="bottom"/>
          </w:tcPr>
          <w:p>
            <w:pPr>
              <w:ind w:left="140"/>
              <w:spacing w:after="0"/>
              <w:rPr>
                <w:sz w:val="20"/>
                <w:szCs w:val="20"/>
                <w:color w:val="auto"/>
              </w:rPr>
            </w:pPr>
            <w:r>
              <w:rPr>
                <w:rFonts w:ascii="Arial" w:cs="Arial" w:eastAsia="Arial" w:hAnsi="Arial"/>
                <w:sz w:val="18"/>
                <w:szCs w:val="18"/>
                <w:color w:val="auto"/>
              </w:rPr>
              <w:t>recognized</w:t>
            </w:r>
          </w:p>
        </w:tc>
        <w:tc>
          <w:tcPr>
            <w:tcW w:w="960" w:type="dxa"/>
            <w:vAlign w:val="bottom"/>
          </w:tcPr>
          <w:p>
            <w:pPr>
              <w:jc w:val="right"/>
              <w:ind w:right="779"/>
              <w:spacing w:after="0"/>
              <w:rPr>
                <w:sz w:val="20"/>
                <w:szCs w:val="20"/>
                <w:color w:val="auto"/>
              </w:rPr>
            </w:pPr>
            <w:r>
              <w:rPr>
                <w:rFonts w:ascii="Arial" w:cs="Arial" w:eastAsia="Arial" w:hAnsi="Arial"/>
                <w:sz w:val="18"/>
                <w:szCs w:val="18"/>
                <w:color w:val="auto"/>
                <w:w w:val="79"/>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center"/>
              <w:ind w:left="696"/>
              <w:spacing w:after="0"/>
              <w:rPr>
                <w:sz w:val="20"/>
                <w:szCs w:val="20"/>
                <w:color w:val="auto"/>
              </w:rPr>
            </w:pPr>
            <w:r>
              <w:rPr>
                <w:rFonts w:ascii="Arial" w:cs="Arial" w:eastAsia="Arial" w:hAnsi="Arial"/>
                <w:sz w:val="18"/>
                <w:szCs w:val="18"/>
                <w:color w:val="auto"/>
                <w:w w:val="99"/>
              </w:rPr>
              <w:t>—</w:t>
            </w:r>
          </w:p>
        </w:tc>
        <w:tc>
          <w:tcPr>
            <w:tcW w:w="3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840" w:type="dxa"/>
            <w:vAlign w:val="bottom"/>
            <w:shd w:val="clear" w:color="auto" w:fill="DDDDDD"/>
          </w:tcPr>
          <w:p>
            <w:pPr>
              <w:ind w:left="140"/>
              <w:spacing w:after="0" w:line="189" w:lineRule="exact"/>
              <w:rPr>
                <w:sz w:val="20"/>
                <w:szCs w:val="20"/>
                <w:color w:val="auto"/>
              </w:rPr>
            </w:pPr>
            <w:r>
              <w:rPr>
                <w:rFonts w:ascii="Arial" w:cs="Arial" w:eastAsia="Arial" w:hAnsi="Arial"/>
                <w:sz w:val="18"/>
                <w:szCs w:val="18"/>
                <w:color w:val="auto"/>
              </w:rPr>
              <w:t>Prior service (credit)</w:t>
            </w:r>
          </w:p>
        </w:tc>
        <w:tc>
          <w:tcPr>
            <w:tcW w:w="960" w:type="dxa"/>
            <w:vAlign w:val="bottom"/>
            <w:shd w:val="clear" w:color="auto" w:fill="DDDDDD"/>
          </w:tcPr>
          <w:p>
            <w:pPr>
              <w:spacing w:after="0"/>
              <w:rPr>
                <w:sz w:val="16"/>
                <w:szCs w:val="16"/>
                <w:color w:val="auto"/>
              </w:rPr>
            </w:pPr>
          </w:p>
        </w:tc>
        <w:tc>
          <w:tcPr>
            <w:tcW w:w="2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96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10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40" w:type="dxa"/>
            <w:vAlign w:val="bottom"/>
            <w:shd w:val="clear" w:color="auto" w:fill="DDDDDD"/>
          </w:tcPr>
          <w:p>
            <w:pPr>
              <w:spacing w:after="0"/>
              <w:rPr>
                <w:sz w:val="16"/>
                <w:szCs w:val="16"/>
                <w:color w:val="auto"/>
              </w:rPr>
            </w:pPr>
          </w:p>
        </w:tc>
        <w:tc>
          <w:tcPr>
            <w:tcW w:w="10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140" w:type="dxa"/>
            <w:vAlign w:val="bottom"/>
            <w:shd w:val="clear" w:color="auto" w:fill="DDDDDD"/>
          </w:tcPr>
          <w:p>
            <w:pPr>
              <w:spacing w:after="0"/>
              <w:rPr>
                <w:sz w:val="16"/>
                <w:szCs w:val="16"/>
                <w:color w:val="auto"/>
              </w:rPr>
            </w:pPr>
          </w:p>
        </w:tc>
        <w:tc>
          <w:tcPr>
            <w:tcW w:w="1020" w:type="dxa"/>
            <w:vAlign w:val="bottom"/>
            <w:shd w:val="clear" w:color="auto" w:fill="DDDDDD"/>
          </w:tcPr>
          <w:p>
            <w:pPr>
              <w:spacing w:after="0"/>
              <w:rPr>
                <w:sz w:val="16"/>
                <w:szCs w:val="16"/>
                <w:color w:val="auto"/>
              </w:rPr>
            </w:pPr>
          </w:p>
        </w:tc>
        <w:tc>
          <w:tcPr>
            <w:tcW w:w="80" w:type="dxa"/>
            <w:vAlign w:val="bottom"/>
            <w:shd w:val="clear" w:color="auto" w:fill="DDDDDD"/>
          </w:tcPr>
          <w:p>
            <w:pPr>
              <w:spacing w:after="0"/>
              <w:rPr>
                <w:sz w:val="16"/>
                <w:szCs w:val="16"/>
                <w:color w:val="auto"/>
              </w:rPr>
            </w:pPr>
          </w:p>
        </w:tc>
        <w:tc>
          <w:tcPr>
            <w:tcW w:w="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1000" w:type="dxa"/>
            <w:vAlign w:val="bottom"/>
            <w:shd w:val="clear" w:color="auto" w:fill="DDDDDD"/>
          </w:tcPr>
          <w:p>
            <w:pPr>
              <w:spacing w:after="0"/>
              <w:rPr>
                <w:sz w:val="16"/>
                <w:szCs w:val="16"/>
                <w:color w:val="auto"/>
              </w:rPr>
            </w:pPr>
          </w:p>
        </w:tc>
        <w:tc>
          <w:tcPr>
            <w:tcW w:w="80" w:type="dxa"/>
            <w:vAlign w:val="bottom"/>
            <w:shd w:val="clear" w:color="auto" w:fill="DDDDDD"/>
          </w:tcPr>
          <w:p>
            <w:pPr>
              <w:spacing w:after="0"/>
              <w:rPr>
                <w:sz w:val="16"/>
                <w:szCs w:val="16"/>
                <w:color w:val="auto"/>
              </w:rPr>
            </w:pPr>
          </w:p>
        </w:tc>
        <w:tc>
          <w:tcPr>
            <w:tcW w:w="40" w:type="dxa"/>
            <w:vAlign w:val="bottom"/>
            <w:shd w:val="clear" w:color="auto" w:fill="DDDDDD"/>
          </w:tcPr>
          <w:p>
            <w:pPr>
              <w:spacing w:after="0"/>
              <w:rPr>
                <w:sz w:val="16"/>
                <w:szCs w:val="16"/>
                <w:color w:val="auto"/>
              </w:rPr>
            </w:pPr>
          </w:p>
        </w:tc>
        <w:tc>
          <w:tcPr>
            <w:tcW w:w="8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940" w:type="dxa"/>
            <w:vAlign w:val="bottom"/>
            <w:shd w:val="clear" w:color="auto" w:fill="DDDDDD"/>
          </w:tcPr>
          <w:p>
            <w:pPr>
              <w:spacing w:after="0"/>
              <w:rPr>
                <w:sz w:val="16"/>
                <w:szCs w:val="16"/>
                <w:color w:val="auto"/>
              </w:rPr>
            </w:pPr>
          </w:p>
        </w:tc>
        <w:tc>
          <w:tcPr>
            <w:tcW w:w="6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840" w:type="dxa"/>
            <w:vAlign w:val="bottom"/>
            <w:shd w:val="clear" w:color="auto" w:fill="DDDDDD"/>
          </w:tcPr>
          <w:p>
            <w:pPr>
              <w:ind w:left="140"/>
              <w:spacing w:after="0"/>
              <w:rPr>
                <w:sz w:val="20"/>
                <w:szCs w:val="20"/>
                <w:color w:val="auto"/>
              </w:rPr>
            </w:pPr>
            <w:r>
              <w:rPr>
                <w:rFonts w:ascii="Arial" w:cs="Arial" w:eastAsia="Arial" w:hAnsi="Arial"/>
                <w:sz w:val="18"/>
                <w:szCs w:val="18"/>
                <w:color w:val="auto"/>
              </w:rPr>
              <w:t>recognized</w:t>
            </w:r>
          </w:p>
        </w:tc>
        <w:tc>
          <w:tcPr>
            <w:tcW w:w="960" w:type="dxa"/>
            <w:vAlign w:val="bottom"/>
            <w:shd w:val="clear" w:color="auto" w:fill="DDDDDD"/>
          </w:tcPr>
          <w:p>
            <w:pPr>
              <w:spacing w:after="0"/>
              <w:rPr>
                <w:sz w:val="18"/>
                <w:szCs w:val="18"/>
                <w:color w:val="auto"/>
              </w:rPr>
            </w:pPr>
          </w:p>
        </w:tc>
        <w:tc>
          <w:tcPr>
            <w:tcW w:w="28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DDDDDD"/>
          </w:tcPr>
          <w:p>
            <w:pPr>
              <w:spacing w:after="0"/>
              <w:rPr>
                <w:sz w:val="18"/>
                <w:szCs w:val="18"/>
                <w:color w:val="auto"/>
              </w:rPr>
            </w:pPr>
          </w:p>
        </w:tc>
        <w:tc>
          <w:tcPr>
            <w:tcW w:w="180" w:type="dxa"/>
            <w:vAlign w:val="bottom"/>
            <w:shd w:val="clear" w:color="auto" w:fill="DDDDDD"/>
          </w:tcPr>
          <w:p>
            <w:pPr>
              <w:spacing w:after="0"/>
              <w:rPr>
                <w:sz w:val="18"/>
                <w:szCs w:val="18"/>
                <w:color w:val="auto"/>
              </w:rPr>
            </w:pPr>
          </w:p>
        </w:tc>
        <w:tc>
          <w:tcPr>
            <w:tcW w:w="1080" w:type="dxa"/>
            <w:vAlign w:val="bottom"/>
            <w:gridSpan w:val="2"/>
            <w:shd w:val="clear" w:color="auto" w:fill="DDDDDD"/>
          </w:tcPr>
          <w:p>
            <w:pPr>
              <w:ind w:left="820"/>
              <w:spacing w:after="0"/>
              <w:rPr>
                <w:sz w:val="20"/>
                <w:szCs w:val="20"/>
                <w:color w:val="auto"/>
              </w:rPr>
            </w:pPr>
            <w:r>
              <w:rPr>
                <w:rFonts w:ascii="Arial" w:cs="Arial" w:eastAsia="Arial" w:hAnsi="Arial"/>
                <w:sz w:val="18"/>
                <w:szCs w:val="18"/>
                <w:color w:val="auto"/>
              </w:rPr>
              <w:t>—</w:t>
            </w:r>
          </w:p>
        </w:tc>
        <w:tc>
          <w:tcPr>
            <w:tcW w:w="100" w:type="dxa"/>
            <w:vAlign w:val="bottom"/>
            <w:shd w:val="clear" w:color="auto" w:fill="DDDDDD"/>
          </w:tcPr>
          <w:p>
            <w:pPr>
              <w:spacing w:after="0"/>
              <w:rPr>
                <w:sz w:val="18"/>
                <w:szCs w:val="18"/>
                <w:color w:val="auto"/>
              </w:rPr>
            </w:pPr>
          </w:p>
        </w:tc>
        <w:tc>
          <w:tcPr>
            <w:tcW w:w="160" w:type="dxa"/>
            <w:vAlign w:val="bottom"/>
            <w:shd w:val="clear" w:color="auto" w:fill="DDDDDD"/>
          </w:tcPr>
          <w:p>
            <w:pPr>
              <w:spacing w:after="0"/>
              <w:rPr>
                <w:sz w:val="18"/>
                <w:szCs w:val="18"/>
                <w:color w:val="auto"/>
              </w:rPr>
            </w:pPr>
          </w:p>
        </w:tc>
        <w:tc>
          <w:tcPr>
            <w:tcW w:w="1100" w:type="dxa"/>
            <w:vAlign w:val="bottom"/>
            <w:gridSpan w:val="2"/>
            <w:shd w:val="clear" w:color="auto" w:fill="DDDDDD"/>
          </w:tcPr>
          <w:p>
            <w:pPr>
              <w:ind w:left="840"/>
              <w:spacing w:after="0"/>
              <w:rPr>
                <w:sz w:val="20"/>
                <w:szCs w:val="20"/>
                <w:color w:val="auto"/>
              </w:rPr>
            </w:pPr>
            <w:r>
              <w:rPr>
                <w:rFonts w:ascii="Arial" w:cs="Arial" w:eastAsia="Arial" w:hAnsi="Arial"/>
                <w:sz w:val="18"/>
                <w:szCs w:val="18"/>
                <w:color w:val="auto"/>
              </w:rPr>
              <w:t>—</w:t>
            </w:r>
          </w:p>
        </w:tc>
        <w:tc>
          <w:tcPr>
            <w:tcW w:w="100" w:type="dxa"/>
            <w:vAlign w:val="bottom"/>
            <w:shd w:val="clear" w:color="auto" w:fill="DDDDDD"/>
          </w:tcPr>
          <w:p>
            <w:pPr>
              <w:spacing w:after="0"/>
              <w:rPr>
                <w:sz w:val="18"/>
                <w:szCs w:val="18"/>
                <w:color w:val="auto"/>
              </w:rPr>
            </w:pPr>
          </w:p>
        </w:tc>
        <w:tc>
          <w:tcPr>
            <w:tcW w:w="140" w:type="dxa"/>
            <w:vAlign w:val="bottom"/>
            <w:shd w:val="clear" w:color="auto" w:fill="DDDDDD"/>
          </w:tcPr>
          <w:p>
            <w:pPr>
              <w:spacing w:after="0"/>
              <w:rPr>
                <w:sz w:val="18"/>
                <w:szCs w:val="18"/>
                <w:color w:val="auto"/>
              </w:rPr>
            </w:pPr>
          </w:p>
        </w:tc>
        <w:tc>
          <w:tcPr>
            <w:tcW w:w="1120" w:type="dxa"/>
            <w:vAlign w:val="bottom"/>
            <w:gridSpan w:val="2"/>
            <w:shd w:val="clear" w:color="auto" w:fill="DDDDDD"/>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DDDDDD"/>
          </w:tcPr>
          <w:p>
            <w:pPr>
              <w:spacing w:after="0"/>
              <w:rPr>
                <w:sz w:val="18"/>
                <w:szCs w:val="18"/>
                <w:color w:val="auto"/>
              </w:rPr>
            </w:pPr>
          </w:p>
        </w:tc>
        <w:tc>
          <w:tcPr>
            <w:tcW w:w="140" w:type="dxa"/>
            <w:vAlign w:val="bottom"/>
            <w:shd w:val="clear" w:color="auto" w:fill="DDDDDD"/>
          </w:tcPr>
          <w:p>
            <w:pPr>
              <w:spacing w:after="0"/>
              <w:rPr>
                <w:sz w:val="18"/>
                <w:szCs w:val="18"/>
                <w:color w:val="auto"/>
              </w:rPr>
            </w:pPr>
          </w:p>
        </w:tc>
        <w:tc>
          <w:tcPr>
            <w:tcW w:w="1100" w:type="dxa"/>
            <w:vAlign w:val="bottom"/>
            <w:gridSpan w:val="2"/>
            <w:shd w:val="clear" w:color="auto" w:fill="DDDDDD"/>
          </w:tcPr>
          <w:p>
            <w:pPr>
              <w:ind w:left="660"/>
              <w:spacing w:after="0"/>
              <w:rPr>
                <w:sz w:val="20"/>
                <w:szCs w:val="20"/>
                <w:color w:val="auto"/>
              </w:rPr>
            </w:pPr>
            <w:r>
              <w:rPr>
                <w:rFonts w:ascii="Arial" w:cs="Arial" w:eastAsia="Arial" w:hAnsi="Arial"/>
                <w:sz w:val="18"/>
                <w:szCs w:val="18"/>
                <w:color w:val="auto"/>
                <w:w w:val="99"/>
              </w:rPr>
              <w:t>(108)</w:t>
            </w:r>
          </w:p>
        </w:tc>
        <w:tc>
          <w:tcPr>
            <w:tcW w:w="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60" w:type="dxa"/>
            <w:vAlign w:val="bottom"/>
            <w:shd w:val="clear" w:color="auto" w:fill="DDDDDD"/>
          </w:tcPr>
          <w:p>
            <w:pPr>
              <w:spacing w:after="0"/>
              <w:rPr>
                <w:sz w:val="18"/>
                <w:szCs w:val="18"/>
                <w:color w:val="auto"/>
              </w:rPr>
            </w:pPr>
          </w:p>
        </w:tc>
        <w:tc>
          <w:tcPr>
            <w:tcW w:w="1080" w:type="dxa"/>
            <w:vAlign w:val="bottom"/>
            <w:gridSpan w:val="2"/>
            <w:shd w:val="clear" w:color="auto" w:fill="DDDDDD"/>
          </w:tcPr>
          <w:p>
            <w:pPr>
              <w:jc w:val="center"/>
              <w:ind w:left="696"/>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DDDDDD"/>
          </w:tcPr>
          <w:p>
            <w:pPr>
              <w:spacing w:after="0"/>
              <w:rPr>
                <w:sz w:val="18"/>
                <w:szCs w:val="18"/>
                <w:color w:val="auto"/>
              </w:rPr>
            </w:pPr>
          </w:p>
        </w:tc>
        <w:tc>
          <w:tcPr>
            <w:tcW w:w="80" w:type="dxa"/>
            <w:vAlign w:val="bottom"/>
            <w:shd w:val="clear" w:color="auto" w:fill="DDDDDD"/>
          </w:tcPr>
          <w:p>
            <w:pPr>
              <w:spacing w:after="0"/>
              <w:rPr>
                <w:sz w:val="18"/>
                <w:szCs w:val="18"/>
                <w:color w:val="auto"/>
              </w:rPr>
            </w:pPr>
          </w:p>
        </w:tc>
        <w:tc>
          <w:tcPr>
            <w:tcW w:w="240" w:type="dxa"/>
            <w:vAlign w:val="bottom"/>
            <w:shd w:val="clear" w:color="auto" w:fill="DDDDDD"/>
          </w:tcPr>
          <w:p>
            <w:pPr>
              <w:spacing w:after="0"/>
              <w:rPr>
                <w:sz w:val="18"/>
                <w:szCs w:val="18"/>
                <w:color w:val="auto"/>
              </w:rPr>
            </w:pPr>
          </w:p>
        </w:tc>
        <w:tc>
          <w:tcPr>
            <w:tcW w:w="1000" w:type="dxa"/>
            <w:vAlign w:val="bottom"/>
            <w:gridSpan w:val="2"/>
            <w:shd w:val="clear" w:color="auto" w:fill="DDDDDD"/>
          </w:tcPr>
          <w:p>
            <w:pPr>
              <w:jc w:val="right"/>
              <w:ind w:right="2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188"/>
        </w:trPr>
        <w:tc>
          <w:tcPr>
            <w:tcW w:w="1840" w:type="dxa"/>
            <w:vAlign w:val="bottom"/>
          </w:tcPr>
          <w:p>
            <w:pPr>
              <w:ind w:left="20"/>
              <w:spacing w:after="0" w:line="189" w:lineRule="exact"/>
              <w:rPr>
                <w:sz w:val="20"/>
                <w:szCs w:val="20"/>
                <w:color w:val="auto"/>
              </w:rPr>
            </w:pPr>
            <w:r>
              <w:rPr>
                <w:rFonts w:ascii="Arial" w:cs="Arial" w:eastAsia="Arial" w:hAnsi="Arial"/>
                <w:sz w:val="18"/>
                <w:szCs w:val="18"/>
                <w:color w:val="auto"/>
              </w:rPr>
              <w:t>Losses (gains) on</w:t>
            </w: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840" w:type="dxa"/>
            <w:vAlign w:val="bottom"/>
          </w:tcPr>
          <w:p>
            <w:pPr>
              <w:ind w:left="20"/>
              <w:spacing w:after="0"/>
              <w:rPr>
                <w:sz w:val="20"/>
                <w:szCs w:val="20"/>
                <w:color w:val="auto"/>
              </w:rPr>
            </w:pPr>
            <w:r>
              <w:rPr>
                <w:rFonts w:ascii="Arial" w:cs="Arial" w:eastAsia="Arial" w:hAnsi="Arial"/>
                <w:sz w:val="18"/>
                <w:szCs w:val="18"/>
                <w:color w:val="auto"/>
              </w:rPr>
              <w:t>cash flow hedges</w:t>
            </w:r>
          </w:p>
        </w:tc>
        <w:tc>
          <w:tcPr>
            <w:tcW w:w="9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ind w:left="760"/>
              <w:spacing w:after="0"/>
              <w:rPr>
                <w:sz w:val="20"/>
                <w:szCs w:val="20"/>
                <w:color w:val="auto"/>
              </w:rPr>
            </w:pPr>
            <w:r>
              <w:rPr>
                <w:rFonts w:ascii="Arial" w:cs="Arial" w:eastAsia="Arial" w:hAnsi="Arial"/>
                <w:sz w:val="18"/>
                <w:szCs w:val="18"/>
                <w:color w:val="auto"/>
                <w:w w:val="99"/>
              </w:rPr>
              <w:t>(11)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ind w:left="760"/>
              <w:spacing w:after="0"/>
              <w:rPr>
                <w:sz w:val="20"/>
                <w:szCs w:val="20"/>
                <w:color w:val="auto"/>
              </w:rPr>
            </w:pPr>
            <w:r>
              <w:rPr>
                <w:rFonts w:ascii="Arial" w:cs="Arial" w:eastAsia="Arial" w:hAnsi="Arial"/>
                <w:sz w:val="18"/>
                <w:szCs w:val="18"/>
                <w:color w:val="auto"/>
                <w:w w:val="99"/>
              </w:rPr>
              <w:t>(28)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left="696"/>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88"/>
        </w:trPr>
        <w:tc>
          <w:tcPr>
            <w:tcW w:w="1840" w:type="dxa"/>
            <w:vAlign w:val="bottom"/>
            <w:shd w:val="clear" w:color="auto" w:fill="DDDDDD"/>
          </w:tcPr>
          <w:p>
            <w:pPr>
              <w:ind w:left="20"/>
              <w:spacing w:after="0" w:line="189" w:lineRule="exact"/>
              <w:rPr>
                <w:sz w:val="20"/>
                <w:szCs w:val="20"/>
                <w:color w:val="auto"/>
              </w:rPr>
            </w:pPr>
            <w:r>
              <w:rPr>
                <w:rFonts w:ascii="Arial" w:cs="Arial" w:eastAsia="Arial" w:hAnsi="Arial"/>
                <w:sz w:val="18"/>
                <w:szCs w:val="18"/>
                <w:color w:val="auto"/>
              </w:rPr>
              <w:t>Losses (gains) on</w:t>
            </w:r>
          </w:p>
        </w:tc>
        <w:tc>
          <w:tcPr>
            <w:tcW w:w="960" w:type="dxa"/>
            <w:vAlign w:val="bottom"/>
            <w:shd w:val="clear" w:color="auto" w:fill="DDDDDD"/>
          </w:tcPr>
          <w:p>
            <w:pPr>
              <w:spacing w:after="0"/>
              <w:rPr>
                <w:sz w:val="16"/>
                <w:szCs w:val="16"/>
                <w:color w:val="auto"/>
              </w:rPr>
            </w:pPr>
          </w:p>
        </w:tc>
        <w:tc>
          <w:tcPr>
            <w:tcW w:w="2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96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10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40" w:type="dxa"/>
            <w:vAlign w:val="bottom"/>
            <w:shd w:val="clear" w:color="auto" w:fill="DDDDDD"/>
          </w:tcPr>
          <w:p>
            <w:pPr>
              <w:spacing w:after="0"/>
              <w:rPr>
                <w:sz w:val="16"/>
                <w:szCs w:val="16"/>
                <w:color w:val="auto"/>
              </w:rPr>
            </w:pPr>
          </w:p>
        </w:tc>
        <w:tc>
          <w:tcPr>
            <w:tcW w:w="10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140" w:type="dxa"/>
            <w:vAlign w:val="bottom"/>
            <w:shd w:val="clear" w:color="auto" w:fill="DDDDDD"/>
          </w:tcPr>
          <w:p>
            <w:pPr>
              <w:spacing w:after="0"/>
              <w:rPr>
                <w:sz w:val="16"/>
                <w:szCs w:val="16"/>
                <w:color w:val="auto"/>
              </w:rPr>
            </w:pPr>
          </w:p>
        </w:tc>
        <w:tc>
          <w:tcPr>
            <w:tcW w:w="1020" w:type="dxa"/>
            <w:vAlign w:val="bottom"/>
            <w:shd w:val="clear" w:color="auto" w:fill="DDDDDD"/>
          </w:tcPr>
          <w:p>
            <w:pPr>
              <w:spacing w:after="0"/>
              <w:rPr>
                <w:sz w:val="16"/>
                <w:szCs w:val="16"/>
                <w:color w:val="auto"/>
              </w:rPr>
            </w:pPr>
          </w:p>
        </w:tc>
        <w:tc>
          <w:tcPr>
            <w:tcW w:w="80" w:type="dxa"/>
            <w:vAlign w:val="bottom"/>
            <w:shd w:val="clear" w:color="auto" w:fill="DDDDDD"/>
          </w:tcPr>
          <w:p>
            <w:pPr>
              <w:spacing w:after="0"/>
              <w:rPr>
                <w:sz w:val="16"/>
                <w:szCs w:val="16"/>
                <w:color w:val="auto"/>
              </w:rPr>
            </w:pPr>
          </w:p>
        </w:tc>
        <w:tc>
          <w:tcPr>
            <w:tcW w:w="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1000" w:type="dxa"/>
            <w:vAlign w:val="bottom"/>
            <w:shd w:val="clear" w:color="auto" w:fill="DDDDDD"/>
          </w:tcPr>
          <w:p>
            <w:pPr>
              <w:spacing w:after="0"/>
              <w:rPr>
                <w:sz w:val="16"/>
                <w:szCs w:val="16"/>
                <w:color w:val="auto"/>
              </w:rPr>
            </w:pPr>
          </w:p>
        </w:tc>
        <w:tc>
          <w:tcPr>
            <w:tcW w:w="80" w:type="dxa"/>
            <w:vAlign w:val="bottom"/>
            <w:shd w:val="clear" w:color="auto" w:fill="DDDDDD"/>
          </w:tcPr>
          <w:p>
            <w:pPr>
              <w:spacing w:after="0"/>
              <w:rPr>
                <w:sz w:val="16"/>
                <w:szCs w:val="16"/>
                <w:color w:val="auto"/>
              </w:rPr>
            </w:pPr>
          </w:p>
        </w:tc>
        <w:tc>
          <w:tcPr>
            <w:tcW w:w="40" w:type="dxa"/>
            <w:vAlign w:val="bottom"/>
            <w:shd w:val="clear" w:color="auto" w:fill="DDDDDD"/>
          </w:tcPr>
          <w:p>
            <w:pPr>
              <w:spacing w:after="0"/>
              <w:rPr>
                <w:sz w:val="16"/>
                <w:szCs w:val="16"/>
                <w:color w:val="auto"/>
              </w:rPr>
            </w:pPr>
          </w:p>
        </w:tc>
        <w:tc>
          <w:tcPr>
            <w:tcW w:w="8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940" w:type="dxa"/>
            <w:vAlign w:val="bottom"/>
            <w:shd w:val="clear" w:color="auto" w:fill="DDDDDD"/>
          </w:tcPr>
          <w:p>
            <w:pPr>
              <w:spacing w:after="0"/>
              <w:rPr>
                <w:sz w:val="16"/>
                <w:szCs w:val="16"/>
                <w:color w:val="auto"/>
              </w:rPr>
            </w:pPr>
          </w:p>
        </w:tc>
        <w:tc>
          <w:tcPr>
            <w:tcW w:w="6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840" w:type="dxa"/>
            <w:vAlign w:val="bottom"/>
            <w:shd w:val="clear" w:color="auto" w:fill="DDDDDD"/>
          </w:tcPr>
          <w:p>
            <w:pPr>
              <w:ind w:left="20"/>
              <w:spacing w:after="0" w:line="176" w:lineRule="exact"/>
              <w:rPr>
                <w:sz w:val="20"/>
                <w:szCs w:val="20"/>
                <w:color w:val="auto"/>
              </w:rPr>
            </w:pPr>
            <w:r>
              <w:rPr>
                <w:rFonts w:ascii="Arial" w:cs="Arial" w:eastAsia="Arial" w:hAnsi="Arial"/>
                <w:sz w:val="18"/>
                <w:szCs w:val="18"/>
                <w:color w:val="auto"/>
              </w:rPr>
              <w:t>excluded component</w:t>
            </w:r>
          </w:p>
        </w:tc>
        <w:tc>
          <w:tcPr>
            <w:tcW w:w="960" w:type="dxa"/>
            <w:vAlign w:val="bottom"/>
            <w:shd w:val="clear" w:color="auto" w:fill="DDDDDD"/>
          </w:tcPr>
          <w:p>
            <w:pPr>
              <w:spacing w:after="0"/>
              <w:rPr>
                <w:sz w:val="15"/>
                <w:szCs w:val="15"/>
                <w:color w:val="auto"/>
              </w:rPr>
            </w:pPr>
          </w:p>
        </w:tc>
        <w:tc>
          <w:tcPr>
            <w:tcW w:w="280" w:type="dxa"/>
            <w:vAlign w:val="bottom"/>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180" w:type="dxa"/>
            <w:vAlign w:val="bottom"/>
            <w:shd w:val="clear" w:color="auto" w:fill="DDDDDD"/>
          </w:tcPr>
          <w:p>
            <w:pPr>
              <w:spacing w:after="0"/>
              <w:rPr>
                <w:sz w:val="15"/>
                <w:szCs w:val="15"/>
                <w:color w:val="auto"/>
              </w:rPr>
            </w:pPr>
          </w:p>
        </w:tc>
        <w:tc>
          <w:tcPr>
            <w:tcW w:w="960" w:type="dxa"/>
            <w:vAlign w:val="bottom"/>
            <w:shd w:val="clear" w:color="auto" w:fill="DDDDDD"/>
          </w:tcPr>
          <w:p>
            <w:pPr>
              <w:spacing w:after="0"/>
              <w:rPr>
                <w:sz w:val="15"/>
                <w:szCs w:val="15"/>
                <w:color w:val="auto"/>
              </w:rPr>
            </w:pPr>
          </w:p>
        </w:tc>
        <w:tc>
          <w:tcPr>
            <w:tcW w:w="120" w:type="dxa"/>
            <w:vAlign w:val="bottom"/>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160" w:type="dxa"/>
            <w:vAlign w:val="bottom"/>
            <w:shd w:val="clear" w:color="auto" w:fill="DDDDDD"/>
          </w:tcPr>
          <w:p>
            <w:pPr>
              <w:spacing w:after="0"/>
              <w:rPr>
                <w:sz w:val="15"/>
                <w:szCs w:val="15"/>
                <w:color w:val="auto"/>
              </w:rPr>
            </w:pPr>
          </w:p>
        </w:tc>
        <w:tc>
          <w:tcPr>
            <w:tcW w:w="1000" w:type="dxa"/>
            <w:vAlign w:val="bottom"/>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140" w:type="dxa"/>
            <w:vAlign w:val="bottom"/>
            <w:shd w:val="clear" w:color="auto" w:fill="DDDDDD"/>
          </w:tcPr>
          <w:p>
            <w:pPr>
              <w:spacing w:after="0"/>
              <w:rPr>
                <w:sz w:val="15"/>
                <w:szCs w:val="15"/>
                <w:color w:val="auto"/>
              </w:rPr>
            </w:pPr>
          </w:p>
        </w:tc>
        <w:tc>
          <w:tcPr>
            <w:tcW w:w="1020" w:type="dxa"/>
            <w:vAlign w:val="bottom"/>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120" w:type="dxa"/>
            <w:vAlign w:val="bottom"/>
            <w:shd w:val="clear" w:color="auto" w:fill="DDDDDD"/>
          </w:tcPr>
          <w:p>
            <w:pPr>
              <w:spacing w:after="0"/>
              <w:rPr>
                <w:sz w:val="15"/>
                <w:szCs w:val="15"/>
                <w:color w:val="auto"/>
              </w:rPr>
            </w:pPr>
          </w:p>
        </w:tc>
        <w:tc>
          <w:tcPr>
            <w:tcW w:w="140" w:type="dxa"/>
            <w:vAlign w:val="bottom"/>
            <w:shd w:val="clear" w:color="auto" w:fill="DDDDDD"/>
          </w:tcPr>
          <w:p>
            <w:pPr>
              <w:spacing w:after="0"/>
              <w:rPr>
                <w:sz w:val="15"/>
                <w:szCs w:val="15"/>
                <w:color w:val="auto"/>
              </w:rPr>
            </w:pPr>
          </w:p>
        </w:tc>
        <w:tc>
          <w:tcPr>
            <w:tcW w:w="1020" w:type="dxa"/>
            <w:vAlign w:val="bottom"/>
            <w:shd w:val="clear" w:color="auto" w:fill="DDDDDD"/>
          </w:tcPr>
          <w:p>
            <w:pPr>
              <w:spacing w:after="0"/>
              <w:rPr>
                <w:sz w:val="15"/>
                <w:szCs w:val="15"/>
                <w:color w:val="auto"/>
              </w:rPr>
            </w:pPr>
          </w:p>
        </w:tc>
        <w:tc>
          <w:tcPr>
            <w:tcW w:w="80" w:type="dxa"/>
            <w:vAlign w:val="bottom"/>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160" w:type="dxa"/>
            <w:vAlign w:val="bottom"/>
            <w:shd w:val="clear" w:color="auto" w:fill="DDDDDD"/>
          </w:tcPr>
          <w:p>
            <w:pPr>
              <w:spacing w:after="0"/>
              <w:rPr>
                <w:sz w:val="15"/>
                <w:szCs w:val="15"/>
                <w:color w:val="auto"/>
              </w:rPr>
            </w:pPr>
          </w:p>
        </w:tc>
        <w:tc>
          <w:tcPr>
            <w:tcW w:w="1000" w:type="dxa"/>
            <w:vAlign w:val="bottom"/>
            <w:shd w:val="clear" w:color="auto" w:fill="DDDDDD"/>
          </w:tcPr>
          <w:p>
            <w:pPr>
              <w:spacing w:after="0"/>
              <w:rPr>
                <w:sz w:val="15"/>
                <w:szCs w:val="15"/>
                <w:color w:val="auto"/>
              </w:rPr>
            </w:pPr>
          </w:p>
        </w:tc>
        <w:tc>
          <w:tcPr>
            <w:tcW w:w="80" w:type="dxa"/>
            <w:vAlign w:val="bottom"/>
            <w:shd w:val="clear" w:color="auto" w:fill="DDDDDD"/>
          </w:tcPr>
          <w:p>
            <w:pPr>
              <w:spacing w:after="0"/>
              <w:rPr>
                <w:sz w:val="15"/>
                <w:szCs w:val="15"/>
                <w:color w:val="auto"/>
              </w:rPr>
            </w:pPr>
          </w:p>
        </w:tc>
        <w:tc>
          <w:tcPr>
            <w:tcW w:w="40" w:type="dxa"/>
            <w:vAlign w:val="bottom"/>
            <w:shd w:val="clear" w:color="auto" w:fill="DDDDDD"/>
          </w:tcPr>
          <w:p>
            <w:pPr>
              <w:spacing w:after="0"/>
              <w:rPr>
                <w:sz w:val="15"/>
                <w:szCs w:val="15"/>
                <w:color w:val="auto"/>
              </w:rPr>
            </w:pPr>
          </w:p>
        </w:tc>
        <w:tc>
          <w:tcPr>
            <w:tcW w:w="80" w:type="dxa"/>
            <w:vAlign w:val="bottom"/>
            <w:shd w:val="clear" w:color="auto" w:fill="DDDDDD"/>
          </w:tcPr>
          <w:p>
            <w:pPr>
              <w:spacing w:after="0"/>
              <w:rPr>
                <w:sz w:val="15"/>
                <w:szCs w:val="15"/>
                <w:color w:val="auto"/>
              </w:rPr>
            </w:pPr>
          </w:p>
        </w:tc>
        <w:tc>
          <w:tcPr>
            <w:tcW w:w="240" w:type="dxa"/>
            <w:vAlign w:val="bottom"/>
            <w:shd w:val="clear" w:color="auto" w:fill="DDDDDD"/>
          </w:tcPr>
          <w:p>
            <w:pPr>
              <w:spacing w:after="0"/>
              <w:rPr>
                <w:sz w:val="15"/>
                <w:szCs w:val="15"/>
                <w:color w:val="auto"/>
              </w:rPr>
            </w:pPr>
          </w:p>
        </w:tc>
        <w:tc>
          <w:tcPr>
            <w:tcW w:w="940" w:type="dxa"/>
            <w:vAlign w:val="bottom"/>
            <w:shd w:val="clear" w:color="auto" w:fill="DDDDDD"/>
          </w:tcPr>
          <w:p>
            <w:pPr>
              <w:spacing w:after="0"/>
              <w:rPr>
                <w:sz w:val="15"/>
                <w:szCs w:val="15"/>
                <w:color w:val="auto"/>
              </w:rPr>
            </w:pPr>
          </w:p>
        </w:tc>
        <w:tc>
          <w:tcPr>
            <w:tcW w:w="60" w:type="dxa"/>
            <w:vAlign w:val="bottom"/>
            <w:shd w:val="clear" w:color="auto" w:fill="DDDDDD"/>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840" w:type="dxa"/>
            <w:vAlign w:val="bottom"/>
            <w:shd w:val="clear" w:color="auto" w:fill="DDDDDD"/>
          </w:tcPr>
          <w:p>
            <w:pPr>
              <w:ind w:left="20"/>
              <w:spacing w:after="0" w:line="176" w:lineRule="exact"/>
              <w:rPr>
                <w:sz w:val="20"/>
                <w:szCs w:val="20"/>
                <w:color w:val="auto"/>
              </w:rPr>
            </w:pPr>
            <w:r>
              <w:rPr>
                <w:rFonts w:ascii="Arial" w:cs="Arial" w:eastAsia="Arial" w:hAnsi="Arial"/>
                <w:sz w:val="18"/>
                <w:szCs w:val="18"/>
                <w:color w:val="auto"/>
              </w:rPr>
              <w:t>of net investment</w:t>
            </w:r>
          </w:p>
        </w:tc>
        <w:tc>
          <w:tcPr>
            <w:tcW w:w="960" w:type="dxa"/>
            <w:vAlign w:val="bottom"/>
            <w:shd w:val="clear" w:color="auto" w:fill="DDDDDD"/>
          </w:tcPr>
          <w:p>
            <w:pPr>
              <w:spacing w:after="0"/>
              <w:rPr>
                <w:sz w:val="15"/>
                <w:szCs w:val="15"/>
                <w:color w:val="auto"/>
              </w:rPr>
            </w:pPr>
          </w:p>
        </w:tc>
        <w:tc>
          <w:tcPr>
            <w:tcW w:w="280" w:type="dxa"/>
            <w:vAlign w:val="bottom"/>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180" w:type="dxa"/>
            <w:vAlign w:val="bottom"/>
            <w:shd w:val="clear" w:color="auto" w:fill="DDDDDD"/>
          </w:tcPr>
          <w:p>
            <w:pPr>
              <w:spacing w:after="0"/>
              <w:rPr>
                <w:sz w:val="15"/>
                <w:szCs w:val="15"/>
                <w:color w:val="auto"/>
              </w:rPr>
            </w:pPr>
          </w:p>
        </w:tc>
        <w:tc>
          <w:tcPr>
            <w:tcW w:w="960" w:type="dxa"/>
            <w:vAlign w:val="bottom"/>
            <w:shd w:val="clear" w:color="auto" w:fill="DDDDDD"/>
          </w:tcPr>
          <w:p>
            <w:pPr>
              <w:spacing w:after="0"/>
              <w:rPr>
                <w:sz w:val="15"/>
                <w:szCs w:val="15"/>
                <w:color w:val="auto"/>
              </w:rPr>
            </w:pPr>
          </w:p>
        </w:tc>
        <w:tc>
          <w:tcPr>
            <w:tcW w:w="120" w:type="dxa"/>
            <w:vAlign w:val="bottom"/>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160" w:type="dxa"/>
            <w:vAlign w:val="bottom"/>
            <w:shd w:val="clear" w:color="auto" w:fill="DDDDDD"/>
          </w:tcPr>
          <w:p>
            <w:pPr>
              <w:spacing w:after="0"/>
              <w:rPr>
                <w:sz w:val="15"/>
                <w:szCs w:val="15"/>
                <w:color w:val="auto"/>
              </w:rPr>
            </w:pPr>
          </w:p>
        </w:tc>
        <w:tc>
          <w:tcPr>
            <w:tcW w:w="1000" w:type="dxa"/>
            <w:vAlign w:val="bottom"/>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140" w:type="dxa"/>
            <w:vAlign w:val="bottom"/>
            <w:shd w:val="clear" w:color="auto" w:fill="DDDDDD"/>
          </w:tcPr>
          <w:p>
            <w:pPr>
              <w:spacing w:after="0"/>
              <w:rPr>
                <w:sz w:val="15"/>
                <w:szCs w:val="15"/>
                <w:color w:val="auto"/>
              </w:rPr>
            </w:pPr>
          </w:p>
        </w:tc>
        <w:tc>
          <w:tcPr>
            <w:tcW w:w="1020" w:type="dxa"/>
            <w:vAlign w:val="bottom"/>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120" w:type="dxa"/>
            <w:vAlign w:val="bottom"/>
            <w:shd w:val="clear" w:color="auto" w:fill="DDDDDD"/>
          </w:tcPr>
          <w:p>
            <w:pPr>
              <w:spacing w:after="0"/>
              <w:rPr>
                <w:sz w:val="15"/>
                <w:szCs w:val="15"/>
                <w:color w:val="auto"/>
              </w:rPr>
            </w:pPr>
          </w:p>
        </w:tc>
        <w:tc>
          <w:tcPr>
            <w:tcW w:w="140" w:type="dxa"/>
            <w:vAlign w:val="bottom"/>
            <w:shd w:val="clear" w:color="auto" w:fill="DDDDDD"/>
          </w:tcPr>
          <w:p>
            <w:pPr>
              <w:spacing w:after="0"/>
              <w:rPr>
                <w:sz w:val="15"/>
                <w:szCs w:val="15"/>
                <w:color w:val="auto"/>
              </w:rPr>
            </w:pPr>
          </w:p>
        </w:tc>
        <w:tc>
          <w:tcPr>
            <w:tcW w:w="1020" w:type="dxa"/>
            <w:vAlign w:val="bottom"/>
            <w:shd w:val="clear" w:color="auto" w:fill="DDDDDD"/>
          </w:tcPr>
          <w:p>
            <w:pPr>
              <w:spacing w:after="0"/>
              <w:rPr>
                <w:sz w:val="15"/>
                <w:szCs w:val="15"/>
                <w:color w:val="auto"/>
              </w:rPr>
            </w:pPr>
          </w:p>
        </w:tc>
        <w:tc>
          <w:tcPr>
            <w:tcW w:w="80" w:type="dxa"/>
            <w:vAlign w:val="bottom"/>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160" w:type="dxa"/>
            <w:vAlign w:val="bottom"/>
            <w:shd w:val="clear" w:color="auto" w:fill="DDDDDD"/>
          </w:tcPr>
          <w:p>
            <w:pPr>
              <w:spacing w:after="0"/>
              <w:rPr>
                <w:sz w:val="15"/>
                <w:szCs w:val="15"/>
                <w:color w:val="auto"/>
              </w:rPr>
            </w:pPr>
          </w:p>
        </w:tc>
        <w:tc>
          <w:tcPr>
            <w:tcW w:w="1000" w:type="dxa"/>
            <w:vAlign w:val="bottom"/>
            <w:shd w:val="clear" w:color="auto" w:fill="DDDDDD"/>
          </w:tcPr>
          <w:p>
            <w:pPr>
              <w:spacing w:after="0"/>
              <w:rPr>
                <w:sz w:val="15"/>
                <w:szCs w:val="15"/>
                <w:color w:val="auto"/>
              </w:rPr>
            </w:pPr>
          </w:p>
        </w:tc>
        <w:tc>
          <w:tcPr>
            <w:tcW w:w="80" w:type="dxa"/>
            <w:vAlign w:val="bottom"/>
            <w:shd w:val="clear" w:color="auto" w:fill="DDDDDD"/>
          </w:tcPr>
          <w:p>
            <w:pPr>
              <w:spacing w:after="0"/>
              <w:rPr>
                <w:sz w:val="15"/>
                <w:szCs w:val="15"/>
                <w:color w:val="auto"/>
              </w:rPr>
            </w:pPr>
          </w:p>
        </w:tc>
        <w:tc>
          <w:tcPr>
            <w:tcW w:w="40" w:type="dxa"/>
            <w:vAlign w:val="bottom"/>
            <w:shd w:val="clear" w:color="auto" w:fill="DDDDDD"/>
          </w:tcPr>
          <w:p>
            <w:pPr>
              <w:spacing w:after="0"/>
              <w:rPr>
                <w:sz w:val="15"/>
                <w:szCs w:val="15"/>
                <w:color w:val="auto"/>
              </w:rPr>
            </w:pPr>
          </w:p>
        </w:tc>
        <w:tc>
          <w:tcPr>
            <w:tcW w:w="80" w:type="dxa"/>
            <w:vAlign w:val="bottom"/>
            <w:shd w:val="clear" w:color="auto" w:fill="DDDDDD"/>
          </w:tcPr>
          <w:p>
            <w:pPr>
              <w:spacing w:after="0"/>
              <w:rPr>
                <w:sz w:val="15"/>
                <w:szCs w:val="15"/>
                <w:color w:val="auto"/>
              </w:rPr>
            </w:pPr>
          </w:p>
        </w:tc>
        <w:tc>
          <w:tcPr>
            <w:tcW w:w="240" w:type="dxa"/>
            <w:vAlign w:val="bottom"/>
            <w:shd w:val="clear" w:color="auto" w:fill="DDDDDD"/>
          </w:tcPr>
          <w:p>
            <w:pPr>
              <w:spacing w:after="0"/>
              <w:rPr>
                <w:sz w:val="15"/>
                <w:szCs w:val="15"/>
                <w:color w:val="auto"/>
              </w:rPr>
            </w:pPr>
          </w:p>
        </w:tc>
        <w:tc>
          <w:tcPr>
            <w:tcW w:w="940" w:type="dxa"/>
            <w:vAlign w:val="bottom"/>
            <w:shd w:val="clear" w:color="auto" w:fill="DDDDDD"/>
          </w:tcPr>
          <w:p>
            <w:pPr>
              <w:spacing w:after="0"/>
              <w:rPr>
                <w:sz w:val="15"/>
                <w:szCs w:val="15"/>
                <w:color w:val="auto"/>
              </w:rPr>
            </w:pPr>
          </w:p>
        </w:tc>
        <w:tc>
          <w:tcPr>
            <w:tcW w:w="60" w:type="dxa"/>
            <w:vAlign w:val="bottom"/>
            <w:shd w:val="clear" w:color="auto" w:fill="DDDDDD"/>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840" w:type="dxa"/>
            <w:vAlign w:val="bottom"/>
            <w:shd w:val="clear" w:color="auto" w:fill="DDDDDD"/>
          </w:tcPr>
          <w:p>
            <w:pPr>
              <w:ind w:left="20"/>
              <w:spacing w:after="0"/>
              <w:rPr>
                <w:sz w:val="20"/>
                <w:szCs w:val="20"/>
                <w:color w:val="auto"/>
              </w:rPr>
            </w:pPr>
            <w:r>
              <w:rPr>
                <w:rFonts w:ascii="Arial" w:cs="Arial" w:eastAsia="Arial" w:hAnsi="Arial"/>
                <w:sz w:val="18"/>
                <w:szCs w:val="18"/>
                <w:color w:val="auto"/>
              </w:rPr>
              <w:t>hedges</w:t>
            </w:r>
          </w:p>
        </w:tc>
        <w:tc>
          <w:tcPr>
            <w:tcW w:w="960" w:type="dxa"/>
            <w:vAlign w:val="bottom"/>
            <w:tcBorders>
              <w:bottom w:val="single" w:sz="8" w:color="auto"/>
            </w:tcBorders>
            <w:shd w:val="clear" w:color="auto" w:fill="DDDDDD"/>
          </w:tcPr>
          <w:p>
            <w:pPr>
              <w:spacing w:after="0"/>
              <w:rPr>
                <w:sz w:val="18"/>
                <w:szCs w:val="18"/>
                <w:color w:val="auto"/>
              </w:rPr>
            </w:pPr>
          </w:p>
        </w:tc>
        <w:tc>
          <w:tcPr>
            <w:tcW w:w="2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DDDDDD"/>
          </w:tcPr>
          <w:p>
            <w:pPr>
              <w:spacing w:after="0"/>
              <w:rPr>
                <w:sz w:val="18"/>
                <w:szCs w:val="18"/>
                <w:color w:val="auto"/>
              </w:rPr>
            </w:pPr>
          </w:p>
        </w:tc>
        <w:tc>
          <w:tcPr>
            <w:tcW w:w="180" w:type="dxa"/>
            <w:vAlign w:val="bottom"/>
            <w:tcBorders>
              <w:bottom w:val="single" w:sz="8" w:color="auto"/>
            </w:tcBorders>
            <w:shd w:val="clear" w:color="auto" w:fill="DDDDDD"/>
          </w:tcPr>
          <w:p>
            <w:pPr>
              <w:spacing w:after="0"/>
              <w:rPr>
                <w:sz w:val="18"/>
                <w:szCs w:val="18"/>
                <w:color w:val="auto"/>
              </w:rPr>
            </w:pPr>
          </w:p>
        </w:tc>
        <w:tc>
          <w:tcPr>
            <w:tcW w:w="1080" w:type="dxa"/>
            <w:vAlign w:val="bottom"/>
            <w:tcBorders>
              <w:bottom w:val="single" w:sz="8" w:color="auto"/>
            </w:tcBorders>
            <w:gridSpan w:val="2"/>
            <w:shd w:val="clear" w:color="auto" w:fill="DDDDDD"/>
          </w:tcPr>
          <w:p>
            <w:pPr>
              <w:ind w:left="820"/>
              <w:spacing w:after="0"/>
              <w:rPr>
                <w:sz w:val="20"/>
                <w:szCs w:val="20"/>
                <w:color w:val="auto"/>
              </w:rPr>
            </w:pPr>
            <w:r>
              <w:rPr>
                <w:rFonts w:ascii="Arial" w:cs="Arial" w:eastAsia="Arial" w:hAnsi="Arial"/>
                <w:sz w:val="18"/>
                <w:szCs w:val="18"/>
                <w:color w:val="auto"/>
              </w:rPr>
              <w:t>—</w:t>
            </w:r>
          </w:p>
        </w:tc>
        <w:tc>
          <w:tcPr>
            <w:tcW w:w="100" w:type="dxa"/>
            <w:vAlign w:val="bottom"/>
            <w:shd w:val="clear" w:color="auto" w:fill="DDDDDD"/>
          </w:tcPr>
          <w:p>
            <w:pPr>
              <w:spacing w:after="0"/>
              <w:rPr>
                <w:sz w:val="18"/>
                <w:szCs w:val="18"/>
                <w:color w:val="auto"/>
              </w:rPr>
            </w:pPr>
          </w:p>
        </w:tc>
        <w:tc>
          <w:tcPr>
            <w:tcW w:w="160" w:type="dxa"/>
            <w:vAlign w:val="bottom"/>
            <w:tcBorders>
              <w:bottom w:val="single" w:sz="8" w:color="auto"/>
            </w:tcBorders>
            <w:shd w:val="clear" w:color="auto" w:fill="DDDDDD"/>
          </w:tcPr>
          <w:p>
            <w:pPr>
              <w:spacing w:after="0"/>
              <w:rPr>
                <w:sz w:val="18"/>
                <w:szCs w:val="18"/>
                <w:color w:val="auto"/>
              </w:rPr>
            </w:pPr>
          </w:p>
        </w:tc>
        <w:tc>
          <w:tcPr>
            <w:tcW w:w="1100" w:type="dxa"/>
            <w:vAlign w:val="bottom"/>
            <w:tcBorders>
              <w:bottom w:val="single" w:sz="8" w:color="auto"/>
            </w:tcBorders>
            <w:gridSpan w:val="2"/>
            <w:shd w:val="clear" w:color="auto" w:fill="DDDDDD"/>
          </w:tcPr>
          <w:p>
            <w:pPr>
              <w:ind w:left="840"/>
              <w:spacing w:after="0"/>
              <w:rPr>
                <w:sz w:val="20"/>
                <w:szCs w:val="20"/>
                <w:color w:val="auto"/>
              </w:rPr>
            </w:pPr>
            <w:r>
              <w:rPr>
                <w:rFonts w:ascii="Arial" w:cs="Arial" w:eastAsia="Arial" w:hAnsi="Arial"/>
                <w:sz w:val="18"/>
                <w:szCs w:val="18"/>
                <w:color w:val="auto"/>
              </w:rPr>
              <w:t>—</w:t>
            </w:r>
          </w:p>
        </w:tc>
        <w:tc>
          <w:tcPr>
            <w:tcW w:w="100" w:type="dxa"/>
            <w:vAlign w:val="bottom"/>
            <w:shd w:val="clear" w:color="auto" w:fill="DDDDDD"/>
          </w:tcPr>
          <w:p>
            <w:pPr>
              <w:spacing w:after="0"/>
              <w:rPr>
                <w:sz w:val="18"/>
                <w:szCs w:val="18"/>
                <w:color w:val="auto"/>
              </w:rPr>
            </w:pPr>
          </w:p>
        </w:tc>
        <w:tc>
          <w:tcPr>
            <w:tcW w:w="140" w:type="dxa"/>
            <w:vAlign w:val="bottom"/>
            <w:tcBorders>
              <w:bottom w:val="single" w:sz="8" w:color="auto"/>
            </w:tcBorders>
            <w:shd w:val="clear" w:color="auto" w:fill="DDDDDD"/>
          </w:tcPr>
          <w:p>
            <w:pPr>
              <w:spacing w:after="0"/>
              <w:rPr>
                <w:sz w:val="18"/>
                <w:szCs w:val="18"/>
                <w:color w:val="auto"/>
              </w:rPr>
            </w:pPr>
          </w:p>
        </w:tc>
        <w:tc>
          <w:tcPr>
            <w:tcW w:w="1120" w:type="dxa"/>
            <w:vAlign w:val="bottom"/>
            <w:tcBorders>
              <w:bottom w:val="single" w:sz="8" w:color="auto"/>
            </w:tcBorders>
            <w:gridSpan w:val="2"/>
            <w:shd w:val="clear" w:color="auto" w:fill="DDDDDD"/>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DDDDDD"/>
          </w:tcPr>
          <w:p>
            <w:pPr>
              <w:spacing w:after="0"/>
              <w:rPr>
                <w:sz w:val="18"/>
                <w:szCs w:val="18"/>
                <w:color w:val="auto"/>
              </w:rPr>
            </w:pPr>
          </w:p>
        </w:tc>
        <w:tc>
          <w:tcPr>
            <w:tcW w:w="140" w:type="dxa"/>
            <w:vAlign w:val="bottom"/>
            <w:tcBorders>
              <w:bottom w:val="single" w:sz="8" w:color="auto"/>
            </w:tcBorders>
            <w:shd w:val="clear" w:color="auto" w:fill="DDDDDD"/>
          </w:tcPr>
          <w:p>
            <w:pPr>
              <w:spacing w:after="0"/>
              <w:rPr>
                <w:sz w:val="18"/>
                <w:szCs w:val="18"/>
                <w:color w:val="auto"/>
              </w:rPr>
            </w:pPr>
          </w:p>
        </w:tc>
        <w:tc>
          <w:tcPr>
            <w:tcW w:w="1100" w:type="dxa"/>
            <w:vAlign w:val="bottom"/>
            <w:tcBorders>
              <w:bottom w:val="single" w:sz="8" w:color="auto"/>
            </w:tcBorders>
            <w:gridSpan w:val="2"/>
            <w:shd w:val="clear" w:color="auto" w:fill="DDDDDD"/>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60" w:type="dxa"/>
            <w:vAlign w:val="bottom"/>
            <w:tcBorders>
              <w:bottom w:val="single" w:sz="8" w:color="auto"/>
            </w:tcBorders>
            <w:shd w:val="clear" w:color="auto" w:fill="DDDDDD"/>
          </w:tcPr>
          <w:p>
            <w:pPr>
              <w:spacing w:after="0"/>
              <w:rPr>
                <w:sz w:val="18"/>
                <w:szCs w:val="18"/>
                <w:color w:val="auto"/>
              </w:rPr>
            </w:pPr>
          </w:p>
        </w:tc>
        <w:tc>
          <w:tcPr>
            <w:tcW w:w="1080" w:type="dxa"/>
            <w:vAlign w:val="bottom"/>
            <w:tcBorders>
              <w:bottom w:val="single" w:sz="8" w:color="auto"/>
            </w:tcBorders>
            <w:gridSpan w:val="2"/>
            <w:shd w:val="clear" w:color="auto" w:fill="DDDDDD"/>
          </w:tcPr>
          <w:p>
            <w:pPr>
              <w:jc w:val="center"/>
              <w:ind w:left="636"/>
              <w:spacing w:after="0"/>
              <w:rPr>
                <w:sz w:val="20"/>
                <w:szCs w:val="20"/>
                <w:color w:val="auto"/>
              </w:rPr>
            </w:pPr>
            <w:r>
              <w:rPr>
                <w:rFonts w:ascii="Arial" w:cs="Arial" w:eastAsia="Arial" w:hAnsi="Arial"/>
                <w:sz w:val="18"/>
                <w:szCs w:val="18"/>
                <w:color w:val="auto"/>
                <w:w w:val="99"/>
              </w:rPr>
              <w:t>(18)</w:t>
            </w:r>
          </w:p>
        </w:tc>
        <w:tc>
          <w:tcPr>
            <w:tcW w:w="40" w:type="dxa"/>
            <w:vAlign w:val="bottom"/>
            <w:shd w:val="clear" w:color="auto" w:fill="DDDDDD"/>
          </w:tcPr>
          <w:p>
            <w:pPr>
              <w:spacing w:after="0"/>
              <w:rPr>
                <w:sz w:val="18"/>
                <w:szCs w:val="18"/>
                <w:color w:val="auto"/>
              </w:rPr>
            </w:pPr>
          </w:p>
        </w:tc>
        <w:tc>
          <w:tcPr>
            <w:tcW w:w="80" w:type="dxa"/>
            <w:vAlign w:val="bottom"/>
            <w:shd w:val="clear" w:color="auto" w:fill="DDDDDD"/>
          </w:tcPr>
          <w:p>
            <w:pPr>
              <w:spacing w:after="0"/>
              <w:rPr>
                <w:sz w:val="18"/>
                <w:szCs w:val="18"/>
                <w:color w:val="auto"/>
              </w:rPr>
            </w:pPr>
          </w:p>
        </w:tc>
        <w:tc>
          <w:tcPr>
            <w:tcW w:w="240" w:type="dxa"/>
            <w:vAlign w:val="bottom"/>
            <w:tcBorders>
              <w:bottom w:val="single" w:sz="8" w:color="auto"/>
            </w:tcBorders>
            <w:shd w:val="clear" w:color="auto" w:fill="DDDDDD"/>
          </w:tcPr>
          <w:p>
            <w:pPr>
              <w:spacing w:after="0"/>
              <w:rPr>
                <w:sz w:val="18"/>
                <w:szCs w:val="18"/>
                <w:color w:val="auto"/>
              </w:rPr>
            </w:pPr>
          </w:p>
        </w:tc>
        <w:tc>
          <w:tcPr>
            <w:tcW w:w="1000" w:type="dxa"/>
            <w:vAlign w:val="bottom"/>
            <w:tcBorders>
              <w:bottom w:val="single" w:sz="8" w:color="auto"/>
            </w:tcBorders>
            <w:gridSpan w:val="2"/>
            <w:shd w:val="clear" w:color="auto" w:fill="DDDDDD"/>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1840" w:type="dxa"/>
            <w:vAlign w:val="bottom"/>
          </w:tcPr>
          <w:p>
            <w:pPr>
              <w:ind w:left="20"/>
              <w:spacing w:after="0"/>
              <w:rPr>
                <w:sz w:val="20"/>
                <w:szCs w:val="20"/>
                <w:color w:val="auto"/>
              </w:rPr>
            </w:pPr>
            <w:r>
              <w:rPr>
                <w:rFonts w:ascii="Arial" w:cs="Arial" w:eastAsia="Arial" w:hAnsi="Arial"/>
                <w:sz w:val="18"/>
                <w:szCs w:val="18"/>
                <w:color w:val="auto"/>
              </w:rPr>
              <w:t>Total before tax</w:t>
            </w:r>
          </w:p>
        </w:tc>
        <w:tc>
          <w:tcPr>
            <w:tcW w:w="960" w:type="dxa"/>
            <w:vAlign w:val="bottom"/>
          </w:tcPr>
          <w:p>
            <w:pPr>
              <w:jc w:val="right"/>
              <w:ind w:right="779"/>
              <w:spacing w:after="0"/>
              <w:rPr>
                <w:sz w:val="20"/>
                <w:szCs w:val="20"/>
                <w:color w:val="auto"/>
              </w:rPr>
            </w:pPr>
            <w:r>
              <w:rPr>
                <w:rFonts w:ascii="Arial" w:cs="Arial" w:eastAsia="Arial" w:hAnsi="Arial"/>
                <w:sz w:val="18"/>
                <w:szCs w:val="18"/>
                <w:color w:val="auto"/>
                <w:w w:val="79"/>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(43)</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760"/>
              <w:spacing w:after="0"/>
              <w:rPr>
                <w:sz w:val="20"/>
                <w:szCs w:val="20"/>
                <w:color w:val="auto"/>
              </w:rPr>
            </w:pPr>
            <w:r>
              <w:rPr>
                <w:rFonts w:ascii="Arial" w:cs="Arial" w:eastAsia="Arial" w:hAnsi="Arial"/>
                <w:sz w:val="18"/>
                <w:szCs w:val="18"/>
                <w:color w:val="auto"/>
                <w:w w:val="99"/>
              </w:rPr>
              <w:t>(11)</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ind w:left="760"/>
              <w:spacing w:after="0"/>
              <w:rPr>
                <w:sz w:val="20"/>
                <w:szCs w:val="20"/>
                <w:color w:val="auto"/>
              </w:rPr>
            </w:pPr>
            <w:r>
              <w:rPr>
                <w:rFonts w:ascii="Arial" w:cs="Arial" w:eastAsia="Arial" w:hAnsi="Arial"/>
                <w:sz w:val="18"/>
                <w:szCs w:val="18"/>
                <w:color w:val="auto"/>
                <w:w w:val="99"/>
              </w:rPr>
              <w:t>(79)</w:t>
            </w:r>
          </w:p>
        </w:tc>
        <w:tc>
          <w:tcPr>
            <w:tcW w:w="2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center"/>
              <w:ind w:left="636"/>
              <w:spacing w:after="0"/>
              <w:rPr>
                <w:sz w:val="20"/>
                <w:szCs w:val="20"/>
                <w:color w:val="auto"/>
              </w:rPr>
            </w:pPr>
            <w:r>
              <w:rPr>
                <w:rFonts w:ascii="Arial" w:cs="Arial" w:eastAsia="Arial" w:hAnsi="Arial"/>
                <w:sz w:val="18"/>
                <w:szCs w:val="18"/>
                <w:color w:val="auto"/>
                <w:w w:val="99"/>
              </w:rPr>
              <w:t>(18)</w:t>
            </w:r>
          </w:p>
        </w:tc>
        <w:tc>
          <w:tcPr>
            <w:tcW w:w="3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0"/>
        </w:trPr>
        <w:tc>
          <w:tcPr>
            <w:tcW w:w="1840" w:type="dxa"/>
            <w:vAlign w:val="bottom"/>
            <w:tcBorders>
              <w:bottom w:val="single" w:sz="8" w:color="DDDDDD"/>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DDDDD"/>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DDDDD"/>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DDDDD"/>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DDDDDD"/>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DDDDDD"/>
            </w:tcBorders>
          </w:tcPr>
          <w:p>
            <w:pPr>
              <w:spacing w:after="0" w:line="20" w:lineRule="exact"/>
              <w:rPr>
                <w:sz w:val="1"/>
                <w:szCs w:val="1"/>
                <w:color w:val="auto"/>
              </w:rPr>
            </w:pPr>
          </w:p>
        </w:tc>
        <w:tc>
          <w:tcPr>
            <w:tcW w:w="100" w:type="dxa"/>
            <w:vAlign w:val="bottom"/>
            <w:tcBorders>
              <w:bottom w:val="single" w:sz="8" w:color="DDDDDD"/>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DDDDDD"/>
            </w:tcBorders>
          </w:tcPr>
          <w:p>
            <w:pPr>
              <w:spacing w:after="0" w:line="20" w:lineRule="exact"/>
              <w:rPr>
                <w:sz w:val="1"/>
                <w:szCs w:val="1"/>
                <w:color w:val="auto"/>
              </w:rPr>
            </w:pPr>
          </w:p>
        </w:tc>
        <w:tc>
          <w:tcPr>
            <w:tcW w:w="80" w:type="dxa"/>
            <w:vAlign w:val="bottom"/>
            <w:tcBorders>
              <w:bottom w:val="single" w:sz="8" w:color="DDDDDD"/>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40" w:type="dxa"/>
            <w:vAlign w:val="bottom"/>
            <w:shd w:val="clear" w:color="auto" w:fill="DDDDDD"/>
          </w:tcPr>
          <w:p>
            <w:pPr>
              <w:ind w:left="20"/>
              <w:spacing w:after="0"/>
              <w:rPr>
                <w:sz w:val="20"/>
                <w:szCs w:val="20"/>
                <w:color w:val="auto"/>
              </w:rPr>
            </w:pPr>
            <w:r>
              <w:rPr>
                <w:rFonts w:ascii="Arial" w:cs="Arial" w:eastAsia="Arial" w:hAnsi="Arial"/>
                <w:sz w:val="18"/>
                <w:szCs w:val="18"/>
                <w:color w:val="auto"/>
              </w:rPr>
              <w:t>Tax expense (benefit)</w:t>
            </w:r>
          </w:p>
        </w:tc>
        <w:tc>
          <w:tcPr>
            <w:tcW w:w="960" w:type="dxa"/>
            <w:vAlign w:val="bottom"/>
            <w:shd w:val="clear" w:color="auto" w:fill="DDDDDD"/>
          </w:tcPr>
          <w:p>
            <w:pPr>
              <w:spacing w:after="0"/>
              <w:rPr>
                <w:sz w:val="19"/>
                <w:szCs w:val="19"/>
                <w:color w:val="auto"/>
              </w:rPr>
            </w:pPr>
          </w:p>
        </w:tc>
        <w:tc>
          <w:tcPr>
            <w:tcW w:w="28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180" w:type="dxa"/>
            <w:vAlign w:val="bottom"/>
            <w:shd w:val="clear" w:color="auto" w:fill="DDDDDD"/>
          </w:tcPr>
          <w:p>
            <w:pPr>
              <w:spacing w:after="0"/>
              <w:rPr>
                <w:sz w:val="19"/>
                <w:szCs w:val="19"/>
                <w:color w:val="auto"/>
              </w:rPr>
            </w:pPr>
          </w:p>
        </w:tc>
        <w:tc>
          <w:tcPr>
            <w:tcW w:w="96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160" w:type="dxa"/>
            <w:vAlign w:val="bottom"/>
            <w:shd w:val="clear" w:color="auto" w:fill="DDDDDD"/>
          </w:tcPr>
          <w:p>
            <w:pPr>
              <w:spacing w:after="0"/>
              <w:rPr>
                <w:sz w:val="19"/>
                <w:szCs w:val="19"/>
                <w:color w:val="auto"/>
              </w:rPr>
            </w:pPr>
          </w:p>
        </w:tc>
        <w:tc>
          <w:tcPr>
            <w:tcW w:w="100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140" w:type="dxa"/>
            <w:vAlign w:val="bottom"/>
            <w:shd w:val="clear" w:color="auto" w:fill="DDDDDD"/>
          </w:tcPr>
          <w:p>
            <w:pPr>
              <w:spacing w:after="0"/>
              <w:rPr>
                <w:sz w:val="19"/>
                <w:szCs w:val="19"/>
                <w:color w:val="auto"/>
              </w:rPr>
            </w:pPr>
          </w:p>
        </w:tc>
        <w:tc>
          <w:tcPr>
            <w:tcW w:w="102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140" w:type="dxa"/>
            <w:vAlign w:val="bottom"/>
            <w:shd w:val="clear" w:color="auto" w:fill="DDDDDD"/>
          </w:tcPr>
          <w:p>
            <w:pPr>
              <w:spacing w:after="0"/>
              <w:rPr>
                <w:sz w:val="19"/>
                <w:szCs w:val="19"/>
                <w:color w:val="auto"/>
              </w:rPr>
            </w:pPr>
          </w:p>
        </w:tc>
        <w:tc>
          <w:tcPr>
            <w:tcW w:w="1020" w:type="dxa"/>
            <w:vAlign w:val="bottom"/>
            <w:shd w:val="clear" w:color="auto" w:fill="DDDDDD"/>
          </w:tcPr>
          <w:p>
            <w:pPr>
              <w:spacing w:after="0"/>
              <w:rPr>
                <w:sz w:val="19"/>
                <w:szCs w:val="19"/>
                <w:color w:val="auto"/>
              </w:rPr>
            </w:pPr>
          </w:p>
        </w:tc>
        <w:tc>
          <w:tcPr>
            <w:tcW w:w="8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160" w:type="dxa"/>
            <w:vAlign w:val="bottom"/>
            <w:shd w:val="clear" w:color="auto" w:fill="DDDDDD"/>
          </w:tcPr>
          <w:p>
            <w:pPr>
              <w:spacing w:after="0"/>
              <w:rPr>
                <w:sz w:val="19"/>
                <w:szCs w:val="19"/>
                <w:color w:val="auto"/>
              </w:rPr>
            </w:pPr>
          </w:p>
        </w:tc>
        <w:tc>
          <w:tcPr>
            <w:tcW w:w="1000" w:type="dxa"/>
            <w:vAlign w:val="bottom"/>
            <w:shd w:val="clear" w:color="auto" w:fill="DDDDDD"/>
          </w:tcPr>
          <w:p>
            <w:pPr>
              <w:spacing w:after="0"/>
              <w:rPr>
                <w:sz w:val="19"/>
                <w:szCs w:val="19"/>
                <w:color w:val="auto"/>
              </w:rPr>
            </w:pPr>
          </w:p>
        </w:tc>
        <w:tc>
          <w:tcPr>
            <w:tcW w:w="80" w:type="dxa"/>
            <w:vAlign w:val="bottom"/>
            <w:shd w:val="clear" w:color="auto" w:fill="DDDDDD"/>
          </w:tcPr>
          <w:p>
            <w:pPr>
              <w:spacing w:after="0"/>
              <w:rPr>
                <w:sz w:val="19"/>
                <w:szCs w:val="19"/>
                <w:color w:val="auto"/>
              </w:rPr>
            </w:pPr>
          </w:p>
        </w:tc>
        <w:tc>
          <w:tcPr>
            <w:tcW w:w="40" w:type="dxa"/>
            <w:vAlign w:val="bottom"/>
            <w:shd w:val="clear" w:color="auto" w:fill="DDDDDD"/>
          </w:tcPr>
          <w:p>
            <w:pPr>
              <w:spacing w:after="0"/>
              <w:rPr>
                <w:sz w:val="19"/>
                <w:szCs w:val="19"/>
                <w:color w:val="auto"/>
              </w:rPr>
            </w:pPr>
          </w:p>
        </w:tc>
        <w:tc>
          <w:tcPr>
            <w:tcW w:w="80" w:type="dxa"/>
            <w:vAlign w:val="bottom"/>
            <w:shd w:val="clear" w:color="auto" w:fill="DDDDDD"/>
          </w:tcPr>
          <w:p>
            <w:pPr>
              <w:spacing w:after="0"/>
              <w:rPr>
                <w:sz w:val="19"/>
                <w:szCs w:val="19"/>
                <w:color w:val="auto"/>
              </w:rPr>
            </w:pPr>
          </w:p>
        </w:tc>
        <w:tc>
          <w:tcPr>
            <w:tcW w:w="240" w:type="dxa"/>
            <w:vAlign w:val="bottom"/>
            <w:tcBorders>
              <w:bottom w:val="single" w:sz="8" w:color="auto"/>
            </w:tcBorders>
            <w:shd w:val="clear" w:color="auto" w:fill="DDDDDD"/>
          </w:tcPr>
          <w:p>
            <w:pPr>
              <w:spacing w:after="0"/>
              <w:rPr>
                <w:sz w:val="19"/>
                <w:szCs w:val="19"/>
                <w:color w:val="auto"/>
              </w:rPr>
            </w:pPr>
          </w:p>
        </w:tc>
        <w:tc>
          <w:tcPr>
            <w:tcW w:w="9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36</w:t>
            </w:r>
          </w:p>
        </w:tc>
        <w:tc>
          <w:tcPr>
            <w:tcW w:w="60" w:type="dxa"/>
            <w:vAlign w:val="bottom"/>
            <w:tcBorders>
              <w:bottom w:val="single" w:sz="8" w:color="auto"/>
            </w:tcBorders>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40" w:type="dxa"/>
            <w:vAlign w:val="bottom"/>
            <w:gridSpan w:val="7"/>
          </w:tcPr>
          <w:p>
            <w:pPr>
              <w:ind w:left="20"/>
              <w:spacing w:after="0"/>
              <w:rPr>
                <w:sz w:val="20"/>
                <w:szCs w:val="20"/>
                <w:color w:val="auto"/>
              </w:rPr>
            </w:pPr>
            <w:r>
              <w:rPr>
                <w:rFonts w:ascii="Arial" w:cs="Arial" w:eastAsia="Arial" w:hAnsi="Arial"/>
                <w:sz w:val="18"/>
                <w:szCs w:val="18"/>
                <w:color w:val="auto"/>
              </w:rPr>
              <w:t>Total reclassifications for the period, net of tax</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
        </w:trPr>
        <w:tc>
          <w:tcPr>
            <w:tcW w:w="18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00" w:type="dxa"/>
            <w:vAlign w:val="bottom"/>
            <w:gridSpan w:val="7"/>
            <w:vMerge w:val="restart"/>
          </w:tcPr>
          <w:p>
            <w:pPr>
              <w:ind w:left="20"/>
              <w:spacing w:after="0"/>
              <w:rPr>
                <w:sz w:val="20"/>
                <w:szCs w:val="20"/>
                <w:color w:val="auto"/>
              </w:rPr>
            </w:pPr>
            <w:r>
              <w:rPr>
                <w:rFonts w:ascii="Arial" w:cs="Arial" w:eastAsia="Arial" w:hAnsi="Arial"/>
                <w:sz w:val="14"/>
                <w:szCs w:val="14"/>
                <w:b w:val="1"/>
                <w:bCs w:val="1"/>
                <w:color w:val="auto"/>
              </w:rPr>
              <w:t>Year Ended December 31, 2019</w:t>
            </w: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30"/>
        </w:trPr>
        <w:tc>
          <w:tcPr>
            <w:tcW w:w="1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00" w:type="dxa"/>
            <w:vAlign w:val="bottom"/>
            <w:gridSpan w:val="7"/>
            <w:vMerge w:val="continue"/>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18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Borders>
              <w:bottom w:val="single" w:sz="8" w:color="EE2724"/>
            </w:tcBorders>
          </w:tcPr>
          <w:p>
            <w:pPr>
              <w:spacing w:after="0"/>
              <w:rPr>
                <w:sz w:val="22"/>
                <w:szCs w:val="22"/>
                <w:color w:val="auto"/>
              </w:rPr>
            </w:pPr>
          </w:p>
        </w:tc>
        <w:tc>
          <w:tcPr>
            <w:tcW w:w="180" w:type="dxa"/>
            <w:vAlign w:val="bottom"/>
            <w:tcBorders>
              <w:bottom w:val="single" w:sz="8" w:color="EE2724"/>
            </w:tcBorders>
          </w:tcPr>
          <w:p>
            <w:pPr>
              <w:spacing w:after="0"/>
              <w:rPr>
                <w:sz w:val="22"/>
                <w:szCs w:val="22"/>
                <w:color w:val="auto"/>
              </w:rPr>
            </w:pPr>
          </w:p>
        </w:tc>
        <w:tc>
          <w:tcPr>
            <w:tcW w:w="960" w:type="dxa"/>
            <w:vAlign w:val="bottom"/>
            <w:tcBorders>
              <w:bottom w:val="single" w:sz="8" w:color="EE2724"/>
            </w:tcBorders>
          </w:tcPr>
          <w:p>
            <w:pPr>
              <w:spacing w:after="0"/>
              <w:rPr>
                <w:sz w:val="22"/>
                <w:szCs w:val="22"/>
                <w:color w:val="auto"/>
              </w:rPr>
            </w:pPr>
          </w:p>
        </w:tc>
        <w:tc>
          <w:tcPr>
            <w:tcW w:w="120" w:type="dxa"/>
            <w:vAlign w:val="bottom"/>
            <w:tcBorders>
              <w:bottom w:val="single" w:sz="8" w:color="EE2724"/>
            </w:tcBorders>
          </w:tcPr>
          <w:p>
            <w:pPr>
              <w:spacing w:after="0"/>
              <w:rPr>
                <w:sz w:val="22"/>
                <w:szCs w:val="22"/>
                <w:color w:val="auto"/>
              </w:rPr>
            </w:pPr>
          </w:p>
        </w:tc>
        <w:tc>
          <w:tcPr>
            <w:tcW w:w="100" w:type="dxa"/>
            <w:vAlign w:val="bottom"/>
            <w:tcBorders>
              <w:bottom w:val="single" w:sz="8" w:color="EE2724"/>
            </w:tcBorders>
          </w:tcPr>
          <w:p>
            <w:pPr>
              <w:spacing w:after="0"/>
              <w:rPr>
                <w:sz w:val="22"/>
                <w:szCs w:val="22"/>
                <w:color w:val="auto"/>
              </w:rPr>
            </w:pPr>
          </w:p>
        </w:tc>
        <w:tc>
          <w:tcPr>
            <w:tcW w:w="160" w:type="dxa"/>
            <w:vAlign w:val="bottom"/>
            <w:tcBorders>
              <w:bottom w:val="single" w:sz="8" w:color="EE2724"/>
            </w:tcBorders>
          </w:tcPr>
          <w:p>
            <w:pPr>
              <w:spacing w:after="0"/>
              <w:rPr>
                <w:sz w:val="22"/>
                <w:szCs w:val="22"/>
                <w:color w:val="auto"/>
              </w:rPr>
            </w:pPr>
          </w:p>
        </w:tc>
        <w:tc>
          <w:tcPr>
            <w:tcW w:w="5180" w:type="dxa"/>
            <w:vAlign w:val="bottom"/>
            <w:tcBorders>
              <w:bottom w:val="single" w:sz="8" w:color="EE2724"/>
            </w:tcBorders>
            <w:gridSpan w:val="15"/>
          </w:tcPr>
          <w:p>
            <w:pPr>
              <w:ind w:left="420"/>
              <w:spacing w:after="0"/>
              <w:rPr>
                <w:sz w:val="20"/>
                <w:szCs w:val="20"/>
                <w:color w:val="auto"/>
              </w:rPr>
            </w:pPr>
            <w:r>
              <w:rPr>
                <w:rFonts w:ascii="Arial" w:cs="Arial" w:eastAsia="Arial" w:hAnsi="Arial"/>
                <w:sz w:val="14"/>
                <w:szCs w:val="14"/>
                <w:b w:val="1"/>
                <w:bCs w:val="1"/>
                <w:color w:val="auto"/>
              </w:rPr>
              <w:t>Affected Line in the Consolidated Statement of Operations</w:t>
            </w:r>
          </w:p>
        </w:tc>
        <w:tc>
          <w:tcPr>
            <w:tcW w:w="40" w:type="dxa"/>
            <w:vAlign w:val="bottom"/>
            <w:tcBorders>
              <w:bottom w:val="single" w:sz="8" w:color="EE2724"/>
            </w:tcBorders>
          </w:tcPr>
          <w:p>
            <w:pPr>
              <w:spacing w:after="0"/>
              <w:rPr>
                <w:sz w:val="22"/>
                <w:szCs w:val="22"/>
                <w:color w:val="auto"/>
              </w:rPr>
            </w:pPr>
          </w:p>
        </w:tc>
        <w:tc>
          <w:tcPr>
            <w:tcW w:w="80" w:type="dxa"/>
            <w:vAlign w:val="bottom"/>
            <w:tcBorders>
              <w:bottom w:val="single" w:sz="8" w:color="EE2724"/>
            </w:tcBorders>
          </w:tcPr>
          <w:p>
            <w:pPr>
              <w:spacing w:after="0"/>
              <w:rPr>
                <w:sz w:val="22"/>
                <w:szCs w:val="22"/>
                <w:color w:val="auto"/>
              </w:rPr>
            </w:pPr>
          </w:p>
        </w:tc>
        <w:tc>
          <w:tcPr>
            <w:tcW w:w="240" w:type="dxa"/>
            <w:vAlign w:val="bottom"/>
            <w:tcBorders>
              <w:bottom w:val="single" w:sz="8" w:color="EE2724"/>
            </w:tcBorders>
          </w:tcPr>
          <w:p>
            <w:pPr>
              <w:spacing w:after="0"/>
              <w:rPr>
                <w:sz w:val="22"/>
                <w:szCs w:val="22"/>
                <w:color w:val="auto"/>
              </w:rPr>
            </w:pPr>
          </w:p>
        </w:tc>
        <w:tc>
          <w:tcPr>
            <w:tcW w:w="940" w:type="dxa"/>
            <w:vAlign w:val="bottom"/>
            <w:tcBorders>
              <w:bottom w:val="single" w:sz="8" w:color="EE2724"/>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1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Cost of</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Cost of</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Selling,</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Other</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8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Product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4"/>
          </w:tcPr>
          <w:p>
            <w:pPr>
              <w:jc w:val="center"/>
              <w:ind w:right="220"/>
              <w:spacing w:after="0" w:line="135" w:lineRule="exact"/>
              <w:rPr>
                <w:sz w:val="20"/>
                <w:szCs w:val="20"/>
                <w:color w:val="auto"/>
              </w:rPr>
            </w:pPr>
            <w:r>
              <w:rPr>
                <w:rFonts w:ascii="Arial" w:cs="Arial" w:eastAsia="Arial" w:hAnsi="Arial"/>
                <w:sz w:val="14"/>
                <w:szCs w:val="14"/>
                <w:b w:val="1"/>
                <w:bCs w:val="1"/>
                <w:color w:val="auto"/>
              </w:rPr>
              <w:t>General and</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rPr>
              <w:t>Products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rPr>
              <w:t>Services</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3"/>
          </w:tcPr>
          <w:p>
            <w:pPr>
              <w:jc w:val="center"/>
              <w:ind w:right="360"/>
              <w:spacing w:after="0" w:line="135" w:lineRule="exact"/>
              <w:rPr>
                <w:sz w:val="20"/>
                <w:szCs w:val="20"/>
                <w:color w:val="auto"/>
              </w:rPr>
            </w:pPr>
            <w:r>
              <w:rPr>
                <w:rFonts w:ascii="Arial" w:cs="Arial" w:eastAsia="Arial" w:hAnsi="Arial"/>
                <w:sz w:val="14"/>
                <w:szCs w:val="14"/>
                <w:b w:val="1"/>
                <w:bCs w:val="1"/>
                <w:color w:val="auto"/>
              </w:rPr>
              <w:t>Admin.</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ind w:left="80"/>
              <w:spacing w:after="0" w:line="135" w:lineRule="exact"/>
              <w:rPr>
                <w:sz w:val="20"/>
                <w:szCs w:val="20"/>
                <w:color w:val="auto"/>
              </w:rPr>
            </w:pPr>
            <w:r>
              <w:rPr>
                <w:rFonts w:ascii="Arial" w:cs="Arial" w:eastAsia="Arial" w:hAnsi="Arial"/>
                <w:sz w:val="14"/>
                <w:szCs w:val="14"/>
                <w:b w:val="1"/>
                <w:bCs w:val="1"/>
                <w:color w:val="auto"/>
              </w:rPr>
              <w:t>(Income)</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1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ind w:left="160"/>
              <w:spacing w:after="0"/>
              <w:rPr>
                <w:sz w:val="20"/>
                <w:szCs w:val="20"/>
                <w:color w:val="auto"/>
              </w:rPr>
            </w:pPr>
            <w:r>
              <w:rPr>
                <w:rFonts w:ascii="Arial" w:cs="Arial" w:eastAsia="Arial" w:hAnsi="Arial"/>
                <w:sz w:val="14"/>
                <w:szCs w:val="14"/>
                <w:b w:val="1"/>
                <w:bCs w:val="1"/>
                <w:color w:val="auto"/>
              </w:rPr>
              <w:t>Sales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Sold</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Sold</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Expenses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Expense</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00" w:type="dxa"/>
            <w:vAlign w:val="bottom"/>
            <w:tcBorders>
              <w:top w:val="single" w:sz="8" w:color="DDDDDD"/>
            </w:tcBorders>
            <w:gridSpan w:val="2"/>
            <w:shd w:val="clear" w:color="auto" w:fill="DDDDDD"/>
          </w:tcPr>
          <w:p>
            <w:pPr>
              <w:ind w:left="20"/>
              <w:spacing w:after="0" w:line="175" w:lineRule="exact"/>
              <w:rPr>
                <w:sz w:val="20"/>
                <w:szCs w:val="20"/>
                <w:color w:val="auto"/>
              </w:rPr>
            </w:pPr>
            <w:r>
              <w:rPr>
                <w:rFonts w:ascii="Arial" w:cs="Arial" w:eastAsia="Arial" w:hAnsi="Arial"/>
                <w:sz w:val="18"/>
                <w:szCs w:val="18"/>
                <w:color w:val="auto"/>
              </w:rPr>
              <w:t>Amortization of Pension and Other</w:t>
            </w:r>
          </w:p>
        </w:tc>
        <w:tc>
          <w:tcPr>
            <w:tcW w:w="280" w:type="dxa"/>
            <w:vAlign w:val="bottom"/>
            <w:tcBorders>
              <w:top w:val="single" w:sz="8" w:color="DDDDDD"/>
            </w:tcBorders>
            <w:shd w:val="clear" w:color="auto" w:fill="DDDDDD"/>
          </w:tcPr>
          <w:p>
            <w:pPr>
              <w:spacing w:after="0"/>
              <w:rPr>
                <w:sz w:val="15"/>
                <w:szCs w:val="15"/>
                <w:color w:val="auto"/>
              </w:rPr>
            </w:pPr>
          </w:p>
        </w:tc>
        <w:tc>
          <w:tcPr>
            <w:tcW w:w="100" w:type="dxa"/>
            <w:vAlign w:val="bottom"/>
            <w:tcBorders>
              <w:top w:val="single" w:sz="8" w:color="DC202E"/>
            </w:tcBorders>
            <w:shd w:val="clear" w:color="auto" w:fill="DDDDDD"/>
          </w:tcPr>
          <w:p>
            <w:pPr>
              <w:spacing w:after="0"/>
              <w:rPr>
                <w:sz w:val="15"/>
                <w:szCs w:val="15"/>
                <w:color w:val="auto"/>
              </w:rPr>
            </w:pPr>
          </w:p>
        </w:tc>
        <w:tc>
          <w:tcPr>
            <w:tcW w:w="180" w:type="dxa"/>
            <w:vAlign w:val="bottom"/>
            <w:tcBorders>
              <w:top w:val="single" w:sz="8" w:color="DC202E"/>
            </w:tcBorders>
            <w:shd w:val="clear" w:color="auto" w:fill="DDDDDD"/>
          </w:tcPr>
          <w:p>
            <w:pPr>
              <w:spacing w:after="0"/>
              <w:rPr>
                <w:sz w:val="15"/>
                <w:szCs w:val="15"/>
                <w:color w:val="auto"/>
              </w:rPr>
            </w:pPr>
          </w:p>
        </w:tc>
        <w:tc>
          <w:tcPr>
            <w:tcW w:w="960" w:type="dxa"/>
            <w:vAlign w:val="bottom"/>
            <w:tcBorders>
              <w:top w:val="single" w:sz="8" w:color="DC202E"/>
            </w:tcBorders>
            <w:shd w:val="clear" w:color="auto" w:fill="DDDDDD"/>
          </w:tcPr>
          <w:p>
            <w:pPr>
              <w:spacing w:after="0"/>
              <w:rPr>
                <w:sz w:val="15"/>
                <w:szCs w:val="15"/>
                <w:color w:val="auto"/>
              </w:rPr>
            </w:pPr>
          </w:p>
        </w:tc>
        <w:tc>
          <w:tcPr>
            <w:tcW w:w="120" w:type="dxa"/>
            <w:vAlign w:val="bottom"/>
            <w:tcBorders>
              <w:top w:val="single" w:sz="8" w:color="DDDDDD"/>
            </w:tcBorders>
            <w:shd w:val="clear" w:color="auto" w:fill="DDDDDD"/>
          </w:tcPr>
          <w:p>
            <w:pPr>
              <w:spacing w:after="0"/>
              <w:rPr>
                <w:sz w:val="15"/>
                <w:szCs w:val="15"/>
                <w:color w:val="auto"/>
              </w:rPr>
            </w:pPr>
          </w:p>
        </w:tc>
        <w:tc>
          <w:tcPr>
            <w:tcW w:w="100" w:type="dxa"/>
            <w:vAlign w:val="bottom"/>
            <w:tcBorders>
              <w:top w:val="single" w:sz="8" w:color="DC202E"/>
            </w:tcBorders>
            <w:shd w:val="clear" w:color="auto" w:fill="DDDDDD"/>
          </w:tcPr>
          <w:p>
            <w:pPr>
              <w:spacing w:after="0"/>
              <w:rPr>
                <w:sz w:val="15"/>
                <w:szCs w:val="15"/>
                <w:color w:val="auto"/>
              </w:rPr>
            </w:pPr>
          </w:p>
        </w:tc>
        <w:tc>
          <w:tcPr>
            <w:tcW w:w="160" w:type="dxa"/>
            <w:vAlign w:val="bottom"/>
            <w:tcBorders>
              <w:top w:val="single" w:sz="8" w:color="DC202E"/>
            </w:tcBorders>
            <w:shd w:val="clear" w:color="auto" w:fill="DDDDDD"/>
          </w:tcPr>
          <w:p>
            <w:pPr>
              <w:spacing w:after="0"/>
              <w:rPr>
                <w:sz w:val="15"/>
                <w:szCs w:val="15"/>
                <w:color w:val="auto"/>
              </w:rPr>
            </w:pPr>
          </w:p>
        </w:tc>
        <w:tc>
          <w:tcPr>
            <w:tcW w:w="1000" w:type="dxa"/>
            <w:vAlign w:val="bottom"/>
            <w:tcBorders>
              <w:top w:val="single" w:sz="8" w:color="DC202E"/>
            </w:tcBorders>
            <w:shd w:val="clear" w:color="auto" w:fill="DDDDDD"/>
          </w:tcPr>
          <w:p>
            <w:pPr>
              <w:spacing w:after="0"/>
              <w:rPr>
                <w:sz w:val="15"/>
                <w:szCs w:val="15"/>
                <w:color w:val="auto"/>
              </w:rPr>
            </w:pPr>
          </w:p>
        </w:tc>
        <w:tc>
          <w:tcPr>
            <w:tcW w:w="100" w:type="dxa"/>
            <w:vAlign w:val="bottom"/>
            <w:tcBorders>
              <w:top w:val="single" w:sz="8" w:color="DDDDDD"/>
            </w:tcBorders>
            <w:shd w:val="clear" w:color="auto" w:fill="DDDDDD"/>
          </w:tcPr>
          <w:p>
            <w:pPr>
              <w:spacing w:after="0"/>
              <w:rPr>
                <w:sz w:val="15"/>
                <w:szCs w:val="15"/>
                <w:color w:val="auto"/>
              </w:rPr>
            </w:pPr>
          </w:p>
        </w:tc>
        <w:tc>
          <w:tcPr>
            <w:tcW w:w="100" w:type="dxa"/>
            <w:vAlign w:val="bottom"/>
            <w:tcBorders>
              <w:top w:val="single" w:sz="8" w:color="DC202E"/>
            </w:tcBorders>
            <w:shd w:val="clear" w:color="auto" w:fill="DDDDDD"/>
          </w:tcPr>
          <w:p>
            <w:pPr>
              <w:spacing w:after="0"/>
              <w:rPr>
                <w:sz w:val="15"/>
                <w:szCs w:val="15"/>
                <w:color w:val="auto"/>
              </w:rPr>
            </w:pPr>
          </w:p>
        </w:tc>
        <w:tc>
          <w:tcPr>
            <w:tcW w:w="140" w:type="dxa"/>
            <w:vAlign w:val="bottom"/>
            <w:tcBorders>
              <w:top w:val="single" w:sz="8" w:color="DC202E"/>
            </w:tcBorders>
            <w:shd w:val="clear" w:color="auto" w:fill="DDDDDD"/>
          </w:tcPr>
          <w:p>
            <w:pPr>
              <w:spacing w:after="0"/>
              <w:rPr>
                <w:sz w:val="15"/>
                <w:szCs w:val="15"/>
                <w:color w:val="auto"/>
              </w:rPr>
            </w:pPr>
          </w:p>
        </w:tc>
        <w:tc>
          <w:tcPr>
            <w:tcW w:w="1020" w:type="dxa"/>
            <w:vAlign w:val="bottom"/>
            <w:tcBorders>
              <w:top w:val="single" w:sz="8" w:color="DC202E"/>
            </w:tcBorders>
            <w:shd w:val="clear" w:color="auto" w:fill="DDDDDD"/>
          </w:tcPr>
          <w:p>
            <w:pPr>
              <w:spacing w:after="0"/>
              <w:rPr>
                <w:sz w:val="15"/>
                <w:szCs w:val="15"/>
                <w:color w:val="auto"/>
              </w:rPr>
            </w:pPr>
          </w:p>
        </w:tc>
        <w:tc>
          <w:tcPr>
            <w:tcW w:w="100" w:type="dxa"/>
            <w:vAlign w:val="bottom"/>
            <w:tcBorders>
              <w:top w:val="single" w:sz="8" w:color="DDDDDD"/>
            </w:tcBorders>
            <w:shd w:val="clear" w:color="auto" w:fill="DDDDDD"/>
          </w:tcPr>
          <w:p>
            <w:pPr>
              <w:spacing w:after="0"/>
              <w:rPr>
                <w:sz w:val="15"/>
                <w:szCs w:val="15"/>
                <w:color w:val="auto"/>
              </w:rPr>
            </w:pPr>
          </w:p>
        </w:tc>
        <w:tc>
          <w:tcPr>
            <w:tcW w:w="120" w:type="dxa"/>
            <w:vAlign w:val="bottom"/>
            <w:tcBorders>
              <w:top w:val="single" w:sz="8" w:color="DC202E"/>
            </w:tcBorders>
            <w:shd w:val="clear" w:color="auto" w:fill="DDDDDD"/>
          </w:tcPr>
          <w:p>
            <w:pPr>
              <w:spacing w:after="0"/>
              <w:rPr>
                <w:sz w:val="15"/>
                <w:szCs w:val="15"/>
                <w:color w:val="auto"/>
              </w:rPr>
            </w:pPr>
          </w:p>
        </w:tc>
        <w:tc>
          <w:tcPr>
            <w:tcW w:w="140" w:type="dxa"/>
            <w:vAlign w:val="bottom"/>
            <w:tcBorders>
              <w:top w:val="single" w:sz="8" w:color="DC202E"/>
            </w:tcBorders>
            <w:shd w:val="clear" w:color="auto" w:fill="DDDDDD"/>
          </w:tcPr>
          <w:p>
            <w:pPr>
              <w:spacing w:after="0"/>
              <w:rPr>
                <w:sz w:val="15"/>
                <w:szCs w:val="15"/>
                <w:color w:val="auto"/>
              </w:rPr>
            </w:pPr>
          </w:p>
        </w:tc>
        <w:tc>
          <w:tcPr>
            <w:tcW w:w="1020" w:type="dxa"/>
            <w:vAlign w:val="bottom"/>
            <w:tcBorders>
              <w:top w:val="single" w:sz="8" w:color="DC202E"/>
            </w:tcBorders>
            <w:shd w:val="clear" w:color="auto" w:fill="DDDDDD"/>
          </w:tcPr>
          <w:p>
            <w:pPr>
              <w:spacing w:after="0"/>
              <w:rPr>
                <w:sz w:val="15"/>
                <w:szCs w:val="15"/>
                <w:color w:val="auto"/>
              </w:rPr>
            </w:pPr>
          </w:p>
        </w:tc>
        <w:tc>
          <w:tcPr>
            <w:tcW w:w="80" w:type="dxa"/>
            <w:vAlign w:val="bottom"/>
            <w:tcBorders>
              <w:top w:val="single" w:sz="8" w:color="DDDDDD"/>
            </w:tcBorders>
            <w:shd w:val="clear" w:color="auto" w:fill="DDDDDD"/>
          </w:tcPr>
          <w:p>
            <w:pPr>
              <w:spacing w:after="0"/>
              <w:rPr>
                <w:sz w:val="15"/>
                <w:szCs w:val="15"/>
                <w:color w:val="auto"/>
              </w:rPr>
            </w:pPr>
          </w:p>
        </w:tc>
        <w:tc>
          <w:tcPr>
            <w:tcW w:w="20" w:type="dxa"/>
            <w:vAlign w:val="bottom"/>
            <w:tcBorders>
              <w:top w:val="single" w:sz="8" w:color="DDDDDD"/>
            </w:tcBorders>
            <w:shd w:val="clear" w:color="auto" w:fill="DDDDDD"/>
          </w:tcPr>
          <w:p>
            <w:pPr>
              <w:spacing w:after="0"/>
              <w:rPr>
                <w:sz w:val="15"/>
                <w:szCs w:val="15"/>
                <w:color w:val="auto"/>
              </w:rPr>
            </w:pPr>
          </w:p>
        </w:tc>
        <w:tc>
          <w:tcPr>
            <w:tcW w:w="100" w:type="dxa"/>
            <w:vAlign w:val="bottom"/>
            <w:tcBorders>
              <w:top w:val="single" w:sz="8" w:color="DC202E"/>
            </w:tcBorders>
            <w:shd w:val="clear" w:color="auto" w:fill="DDDDDD"/>
          </w:tcPr>
          <w:p>
            <w:pPr>
              <w:spacing w:after="0"/>
              <w:rPr>
                <w:sz w:val="15"/>
                <w:szCs w:val="15"/>
                <w:color w:val="auto"/>
              </w:rPr>
            </w:pPr>
          </w:p>
        </w:tc>
        <w:tc>
          <w:tcPr>
            <w:tcW w:w="160" w:type="dxa"/>
            <w:vAlign w:val="bottom"/>
            <w:tcBorders>
              <w:top w:val="single" w:sz="8" w:color="DC202E"/>
            </w:tcBorders>
            <w:shd w:val="clear" w:color="auto" w:fill="DDDDDD"/>
          </w:tcPr>
          <w:p>
            <w:pPr>
              <w:spacing w:after="0"/>
              <w:rPr>
                <w:sz w:val="15"/>
                <w:szCs w:val="15"/>
                <w:color w:val="auto"/>
              </w:rPr>
            </w:pPr>
          </w:p>
        </w:tc>
        <w:tc>
          <w:tcPr>
            <w:tcW w:w="1000" w:type="dxa"/>
            <w:vAlign w:val="bottom"/>
            <w:tcBorders>
              <w:top w:val="single" w:sz="8" w:color="DC202E"/>
            </w:tcBorders>
            <w:shd w:val="clear" w:color="auto" w:fill="DDDDDD"/>
          </w:tcPr>
          <w:p>
            <w:pPr>
              <w:spacing w:after="0"/>
              <w:rPr>
                <w:sz w:val="15"/>
                <w:szCs w:val="15"/>
                <w:color w:val="auto"/>
              </w:rPr>
            </w:pPr>
          </w:p>
        </w:tc>
        <w:tc>
          <w:tcPr>
            <w:tcW w:w="80" w:type="dxa"/>
            <w:vAlign w:val="bottom"/>
            <w:tcBorders>
              <w:top w:val="single" w:sz="8" w:color="DDDDDD"/>
            </w:tcBorders>
            <w:shd w:val="clear" w:color="auto" w:fill="DDDDDD"/>
          </w:tcPr>
          <w:p>
            <w:pPr>
              <w:spacing w:after="0"/>
              <w:rPr>
                <w:sz w:val="15"/>
                <w:szCs w:val="15"/>
                <w:color w:val="auto"/>
              </w:rPr>
            </w:pPr>
          </w:p>
        </w:tc>
        <w:tc>
          <w:tcPr>
            <w:tcW w:w="40" w:type="dxa"/>
            <w:vAlign w:val="bottom"/>
            <w:tcBorders>
              <w:top w:val="single" w:sz="8" w:color="DDDDDD"/>
            </w:tcBorders>
            <w:shd w:val="clear" w:color="auto" w:fill="DDDDDD"/>
          </w:tcPr>
          <w:p>
            <w:pPr>
              <w:spacing w:after="0"/>
              <w:rPr>
                <w:sz w:val="15"/>
                <w:szCs w:val="15"/>
                <w:color w:val="auto"/>
              </w:rPr>
            </w:pPr>
          </w:p>
        </w:tc>
        <w:tc>
          <w:tcPr>
            <w:tcW w:w="80" w:type="dxa"/>
            <w:vAlign w:val="bottom"/>
            <w:tcBorders>
              <w:top w:val="single" w:sz="8" w:color="DC202E"/>
            </w:tcBorders>
            <w:shd w:val="clear" w:color="auto" w:fill="DDDDDD"/>
          </w:tcPr>
          <w:p>
            <w:pPr>
              <w:spacing w:after="0"/>
              <w:rPr>
                <w:sz w:val="15"/>
                <w:szCs w:val="15"/>
                <w:color w:val="auto"/>
              </w:rPr>
            </w:pPr>
          </w:p>
        </w:tc>
        <w:tc>
          <w:tcPr>
            <w:tcW w:w="240" w:type="dxa"/>
            <w:vAlign w:val="bottom"/>
            <w:tcBorders>
              <w:top w:val="single" w:sz="8" w:color="DC202E"/>
            </w:tcBorders>
            <w:shd w:val="clear" w:color="auto" w:fill="DDDDDD"/>
          </w:tcPr>
          <w:p>
            <w:pPr>
              <w:spacing w:after="0"/>
              <w:rPr>
                <w:sz w:val="15"/>
                <w:szCs w:val="15"/>
                <w:color w:val="auto"/>
              </w:rPr>
            </w:pPr>
          </w:p>
        </w:tc>
        <w:tc>
          <w:tcPr>
            <w:tcW w:w="940" w:type="dxa"/>
            <w:vAlign w:val="bottom"/>
            <w:tcBorders>
              <w:top w:val="single" w:sz="8" w:color="DC202E"/>
            </w:tcBorders>
            <w:shd w:val="clear" w:color="auto" w:fill="DDDDDD"/>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840" w:type="dxa"/>
            <w:vAlign w:val="bottom"/>
            <w:shd w:val="clear" w:color="auto" w:fill="DDDDDD"/>
          </w:tcPr>
          <w:p>
            <w:pPr>
              <w:ind w:left="20"/>
              <w:spacing w:after="0"/>
              <w:rPr>
                <w:sz w:val="20"/>
                <w:szCs w:val="20"/>
                <w:color w:val="auto"/>
              </w:rPr>
            </w:pPr>
            <w:r>
              <w:rPr>
                <w:rFonts w:ascii="Arial" w:cs="Arial" w:eastAsia="Arial" w:hAnsi="Arial"/>
                <w:sz w:val="18"/>
                <w:szCs w:val="18"/>
                <w:color w:val="auto"/>
              </w:rPr>
              <w:t>Postretirement Items:</w:t>
            </w:r>
          </w:p>
        </w:tc>
        <w:tc>
          <w:tcPr>
            <w:tcW w:w="960" w:type="dxa"/>
            <w:vAlign w:val="bottom"/>
            <w:shd w:val="clear" w:color="auto" w:fill="DDDDDD"/>
          </w:tcPr>
          <w:p>
            <w:pPr>
              <w:spacing w:after="0"/>
              <w:rPr>
                <w:sz w:val="18"/>
                <w:szCs w:val="18"/>
                <w:color w:val="auto"/>
              </w:rPr>
            </w:pPr>
          </w:p>
        </w:tc>
        <w:tc>
          <w:tcPr>
            <w:tcW w:w="28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80" w:type="dxa"/>
            <w:vAlign w:val="bottom"/>
            <w:shd w:val="clear" w:color="auto" w:fill="DDDDDD"/>
          </w:tcPr>
          <w:p>
            <w:pPr>
              <w:spacing w:after="0"/>
              <w:rPr>
                <w:sz w:val="18"/>
                <w:szCs w:val="18"/>
                <w:color w:val="auto"/>
              </w:rPr>
            </w:pPr>
          </w:p>
        </w:tc>
        <w:tc>
          <w:tcPr>
            <w:tcW w:w="96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60" w:type="dxa"/>
            <w:vAlign w:val="bottom"/>
            <w:shd w:val="clear" w:color="auto" w:fill="DDDDDD"/>
          </w:tcPr>
          <w:p>
            <w:pPr>
              <w:spacing w:after="0"/>
              <w:rPr>
                <w:sz w:val="18"/>
                <w:szCs w:val="18"/>
                <w:color w:val="auto"/>
              </w:rPr>
            </w:pPr>
          </w:p>
        </w:tc>
        <w:tc>
          <w:tcPr>
            <w:tcW w:w="100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40" w:type="dxa"/>
            <w:vAlign w:val="bottom"/>
            <w:shd w:val="clear" w:color="auto" w:fill="DDDDDD"/>
          </w:tcPr>
          <w:p>
            <w:pPr>
              <w:spacing w:after="0"/>
              <w:rPr>
                <w:sz w:val="18"/>
                <w:szCs w:val="18"/>
                <w:color w:val="auto"/>
              </w:rPr>
            </w:pPr>
          </w:p>
        </w:tc>
        <w:tc>
          <w:tcPr>
            <w:tcW w:w="10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140" w:type="dxa"/>
            <w:vAlign w:val="bottom"/>
            <w:shd w:val="clear" w:color="auto" w:fill="DDDDDD"/>
          </w:tcPr>
          <w:p>
            <w:pPr>
              <w:spacing w:after="0"/>
              <w:rPr>
                <w:sz w:val="18"/>
                <w:szCs w:val="18"/>
                <w:color w:val="auto"/>
              </w:rPr>
            </w:pPr>
          </w:p>
        </w:tc>
        <w:tc>
          <w:tcPr>
            <w:tcW w:w="1020" w:type="dxa"/>
            <w:vAlign w:val="bottom"/>
            <w:shd w:val="clear" w:color="auto" w:fill="DDDDDD"/>
          </w:tcPr>
          <w:p>
            <w:pPr>
              <w:spacing w:after="0"/>
              <w:rPr>
                <w:sz w:val="18"/>
                <w:szCs w:val="18"/>
                <w:color w:val="auto"/>
              </w:rPr>
            </w:pPr>
          </w:p>
        </w:tc>
        <w:tc>
          <w:tcPr>
            <w:tcW w:w="8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60" w:type="dxa"/>
            <w:vAlign w:val="bottom"/>
            <w:shd w:val="clear" w:color="auto" w:fill="DDDDDD"/>
          </w:tcPr>
          <w:p>
            <w:pPr>
              <w:spacing w:after="0"/>
              <w:rPr>
                <w:sz w:val="18"/>
                <w:szCs w:val="18"/>
                <w:color w:val="auto"/>
              </w:rPr>
            </w:pPr>
          </w:p>
        </w:tc>
        <w:tc>
          <w:tcPr>
            <w:tcW w:w="1000" w:type="dxa"/>
            <w:vAlign w:val="bottom"/>
            <w:shd w:val="clear" w:color="auto" w:fill="DDDDDD"/>
          </w:tcPr>
          <w:p>
            <w:pPr>
              <w:spacing w:after="0"/>
              <w:rPr>
                <w:sz w:val="18"/>
                <w:szCs w:val="18"/>
                <w:color w:val="auto"/>
              </w:rPr>
            </w:pPr>
          </w:p>
        </w:tc>
        <w:tc>
          <w:tcPr>
            <w:tcW w:w="80" w:type="dxa"/>
            <w:vAlign w:val="bottom"/>
            <w:shd w:val="clear" w:color="auto" w:fill="DDDDDD"/>
          </w:tcPr>
          <w:p>
            <w:pPr>
              <w:spacing w:after="0"/>
              <w:rPr>
                <w:sz w:val="18"/>
                <w:szCs w:val="18"/>
                <w:color w:val="auto"/>
              </w:rPr>
            </w:pPr>
          </w:p>
        </w:tc>
        <w:tc>
          <w:tcPr>
            <w:tcW w:w="40" w:type="dxa"/>
            <w:vAlign w:val="bottom"/>
            <w:shd w:val="clear" w:color="auto" w:fill="DDDDDD"/>
          </w:tcPr>
          <w:p>
            <w:pPr>
              <w:spacing w:after="0"/>
              <w:rPr>
                <w:sz w:val="18"/>
                <w:szCs w:val="18"/>
                <w:color w:val="auto"/>
              </w:rPr>
            </w:pPr>
          </w:p>
        </w:tc>
        <w:tc>
          <w:tcPr>
            <w:tcW w:w="80" w:type="dxa"/>
            <w:vAlign w:val="bottom"/>
            <w:shd w:val="clear" w:color="auto" w:fill="DDDDDD"/>
          </w:tcPr>
          <w:p>
            <w:pPr>
              <w:spacing w:after="0"/>
              <w:rPr>
                <w:sz w:val="18"/>
                <w:szCs w:val="18"/>
                <w:color w:val="auto"/>
              </w:rPr>
            </w:pPr>
          </w:p>
        </w:tc>
        <w:tc>
          <w:tcPr>
            <w:tcW w:w="240" w:type="dxa"/>
            <w:vAlign w:val="bottom"/>
            <w:shd w:val="clear" w:color="auto" w:fill="DDDDDD"/>
          </w:tcPr>
          <w:p>
            <w:pPr>
              <w:spacing w:after="0"/>
              <w:rPr>
                <w:sz w:val="18"/>
                <w:szCs w:val="18"/>
                <w:color w:val="auto"/>
              </w:rPr>
            </w:pPr>
          </w:p>
        </w:tc>
        <w:tc>
          <w:tcPr>
            <w:tcW w:w="940" w:type="dxa"/>
            <w:vAlign w:val="bottom"/>
            <w:shd w:val="clear" w:color="auto" w:fill="DDDDDD"/>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0" w:type="dxa"/>
            <w:vAlign w:val="bottom"/>
            <w:gridSpan w:val="2"/>
          </w:tcPr>
          <w:p>
            <w:pPr>
              <w:ind w:left="140"/>
              <w:spacing w:after="0"/>
              <w:rPr>
                <w:sz w:val="20"/>
                <w:szCs w:val="20"/>
                <w:color w:val="auto"/>
              </w:rPr>
            </w:pPr>
            <w:r>
              <w:rPr>
                <w:rFonts w:ascii="Arial" w:cs="Arial" w:eastAsia="Arial" w:hAnsi="Arial"/>
                <w:sz w:val="18"/>
                <w:szCs w:val="18"/>
                <w:color w:val="auto"/>
              </w:rPr>
              <w:t>Actuarial losses recognized</w:t>
            </w:r>
          </w:p>
        </w:tc>
        <w:tc>
          <w:tcPr>
            <w:tcW w:w="280" w:type="dxa"/>
            <w:vAlign w:val="bottom"/>
          </w:tcPr>
          <w:p>
            <w:pPr>
              <w:spacing w:after="0"/>
              <w:rPr>
                <w:sz w:val="19"/>
                <w:szCs w:val="19"/>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1120" w:type="dxa"/>
            <w:vAlign w:val="bottom"/>
            <w:gridSpan w:val="3"/>
          </w:tcPr>
          <w:p>
            <w:pPr>
              <w:ind w:left="7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68"/>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135</w:t>
            </w:r>
          </w:p>
        </w:tc>
        <w:tc>
          <w:tcPr>
            <w:tcW w:w="80" w:type="dxa"/>
            <w:vAlign w:val="bottom"/>
          </w:tcPr>
          <w:p>
            <w:pPr>
              <w:spacing w:after="0"/>
              <w:rPr>
                <w:sz w:val="19"/>
                <w:szCs w:val="19"/>
                <w:color w:val="auto"/>
              </w:rPr>
            </w:pPr>
          </w:p>
        </w:tc>
        <w:tc>
          <w:tcPr>
            <w:tcW w:w="3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00" w:type="dxa"/>
            <w:vAlign w:val="bottom"/>
            <w:gridSpan w:val="2"/>
            <w:shd w:val="clear" w:color="auto" w:fill="DDDDDD"/>
          </w:tcPr>
          <w:p>
            <w:pPr>
              <w:ind w:left="140"/>
              <w:spacing w:after="0"/>
              <w:rPr>
                <w:sz w:val="20"/>
                <w:szCs w:val="20"/>
                <w:color w:val="auto"/>
              </w:rPr>
            </w:pPr>
            <w:r>
              <w:rPr>
                <w:rFonts w:ascii="Arial" w:cs="Arial" w:eastAsia="Arial" w:hAnsi="Arial"/>
                <w:sz w:val="18"/>
                <w:szCs w:val="18"/>
                <w:color w:val="auto"/>
              </w:rPr>
              <w:t>Prior service (credit) recognized</w:t>
            </w:r>
          </w:p>
        </w:tc>
        <w:tc>
          <w:tcPr>
            <w:tcW w:w="28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180" w:type="dxa"/>
            <w:vAlign w:val="bottom"/>
            <w:shd w:val="clear" w:color="auto" w:fill="DDDDDD"/>
          </w:tcPr>
          <w:p>
            <w:pPr>
              <w:spacing w:after="0"/>
              <w:rPr>
                <w:sz w:val="19"/>
                <w:szCs w:val="19"/>
                <w:color w:val="auto"/>
              </w:rPr>
            </w:pPr>
          </w:p>
        </w:tc>
        <w:tc>
          <w:tcPr>
            <w:tcW w:w="1080" w:type="dxa"/>
            <w:vAlign w:val="bottom"/>
            <w:gridSpan w:val="2"/>
            <w:shd w:val="clear" w:color="auto" w:fill="DDDDDD"/>
          </w:tcPr>
          <w:p>
            <w:pPr>
              <w:ind w:lef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DDDDDD"/>
          </w:tcPr>
          <w:p>
            <w:pPr>
              <w:spacing w:after="0"/>
              <w:rPr>
                <w:sz w:val="19"/>
                <w:szCs w:val="19"/>
                <w:color w:val="auto"/>
              </w:rPr>
            </w:pPr>
          </w:p>
        </w:tc>
        <w:tc>
          <w:tcPr>
            <w:tcW w:w="160" w:type="dxa"/>
            <w:vAlign w:val="bottom"/>
            <w:shd w:val="clear" w:color="auto" w:fill="DDDDDD"/>
          </w:tcPr>
          <w:p>
            <w:pPr>
              <w:spacing w:after="0"/>
              <w:rPr>
                <w:sz w:val="19"/>
                <w:szCs w:val="19"/>
                <w:color w:val="auto"/>
              </w:rPr>
            </w:pPr>
          </w:p>
        </w:tc>
        <w:tc>
          <w:tcPr>
            <w:tcW w:w="1100" w:type="dxa"/>
            <w:vAlign w:val="bottom"/>
            <w:gridSpan w:val="2"/>
            <w:shd w:val="clear" w:color="auto" w:fill="DDDDDD"/>
          </w:tcPr>
          <w:p>
            <w:pPr>
              <w:ind w:lef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DDDDDD"/>
          </w:tcPr>
          <w:p>
            <w:pPr>
              <w:spacing w:after="0"/>
              <w:rPr>
                <w:sz w:val="19"/>
                <w:szCs w:val="19"/>
                <w:color w:val="auto"/>
              </w:rPr>
            </w:pPr>
          </w:p>
        </w:tc>
        <w:tc>
          <w:tcPr>
            <w:tcW w:w="140" w:type="dxa"/>
            <w:vAlign w:val="bottom"/>
            <w:shd w:val="clear" w:color="auto" w:fill="DDDDDD"/>
          </w:tcPr>
          <w:p>
            <w:pPr>
              <w:spacing w:after="0"/>
              <w:rPr>
                <w:sz w:val="19"/>
                <w:szCs w:val="19"/>
                <w:color w:val="auto"/>
              </w:rPr>
            </w:pPr>
          </w:p>
        </w:tc>
        <w:tc>
          <w:tcPr>
            <w:tcW w:w="1120" w:type="dxa"/>
            <w:vAlign w:val="bottom"/>
            <w:gridSpan w:val="2"/>
            <w:shd w:val="clear" w:color="auto" w:fill="DDDDDD"/>
          </w:tcPr>
          <w:p>
            <w:pPr>
              <w:ind w:left="760"/>
              <w:spacing w:after="0"/>
              <w:rPr>
                <w:sz w:val="20"/>
                <w:szCs w:val="20"/>
                <w:color w:val="auto"/>
              </w:rPr>
            </w:pPr>
            <w:r>
              <w:rPr>
                <w:rFonts w:ascii="Arial" w:cs="Arial" w:eastAsia="Arial" w:hAnsi="Arial"/>
                <w:sz w:val="18"/>
                <w:szCs w:val="18"/>
                <w:color w:val="auto"/>
              </w:rPr>
              <w:t>—</w:t>
            </w:r>
          </w:p>
        </w:tc>
        <w:tc>
          <w:tcPr>
            <w:tcW w:w="120" w:type="dxa"/>
            <w:vAlign w:val="bottom"/>
            <w:shd w:val="clear" w:color="auto" w:fill="DDDDDD"/>
          </w:tcPr>
          <w:p>
            <w:pPr>
              <w:spacing w:after="0"/>
              <w:rPr>
                <w:sz w:val="19"/>
                <w:szCs w:val="19"/>
                <w:color w:val="auto"/>
              </w:rPr>
            </w:pPr>
          </w:p>
        </w:tc>
        <w:tc>
          <w:tcPr>
            <w:tcW w:w="140" w:type="dxa"/>
            <w:vAlign w:val="bottom"/>
            <w:shd w:val="clear" w:color="auto" w:fill="DDDDDD"/>
          </w:tcPr>
          <w:p>
            <w:pPr>
              <w:spacing w:after="0"/>
              <w:rPr>
                <w:sz w:val="19"/>
                <w:szCs w:val="19"/>
                <w:color w:val="auto"/>
              </w:rPr>
            </w:pPr>
          </w:p>
        </w:tc>
        <w:tc>
          <w:tcPr>
            <w:tcW w:w="1120" w:type="dxa"/>
            <w:vAlign w:val="bottom"/>
            <w:gridSpan w:val="3"/>
            <w:shd w:val="clear" w:color="auto" w:fill="DDDDDD"/>
          </w:tcPr>
          <w:p>
            <w:pPr>
              <w:ind w:left="760"/>
              <w:spacing w:after="0"/>
              <w:rPr>
                <w:sz w:val="20"/>
                <w:szCs w:val="20"/>
                <w:color w:val="auto"/>
              </w:rPr>
            </w:pPr>
            <w:r>
              <w:rPr>
                <w:rFonts w:ascii="Arial" w:cs="Arial" w:eastAsia="Arial" w:hAnsi="Arial"/>
                <w:sz w:val="18"/>
                <w:szCs w:val="18"/>
                <w:color w:val="auto"/>
              </w:rPr>
              <w:t>—</w:t>
            </w:r>
          </w:p>
        </w:tc>
        <w:tc>
          <w:tcPr>
            <w:tcW w:w="100" w:type="dxa"/>
            <w:vAlign w:val="bottom"/>
            <w:shd w:val="clear" w:color="auto" w:fill="DDDDDD"/>
          </w:tcPr>
          <w:p>
            <w:pPr>
              <w:spacing w:after="0"/>
              <w:rPr>
                <w:sz w:val="19"/>
                <w:szCs w:val="19"/>
                <w:color w:val="auto"/>
              </w:rPr>
            </w:pPr>
          </w:p>
        </w:tc>
        <w:tc>
          <w:tcPr>
            <w:tcW w:w="160" w:type="dxa"/>
            <w:vAlign w:val="bottom"/>
            <w:shd w:val="clear" w:color="auto" w:fill="DDDDDD"/>
          </w:tcPr>
          <w:p>
            <w:pPr>
              <w:spacing w:after="0"/>
              <w:rPr>
                <w:sz w:val="19"/>
                <w:szCs w:val="19"/>
                <w:color w:val="auto"/>
              </w:rPr>
            </w:pPr>
          </w:p>
        </w:tc>
        <w:tc>
          <w:tcPr>
            <w:tcW w:w="10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(104)</w:t>
            </w:r>
          </w:p>
        </w:tc>
        <w:tc>
          <w:tcPr>
            <w:tcW w:w="80" w:type="dxa"/>
            <w:vAlign w:val="bottom"/>
            <w:shd w:val="clear" w:color="auto" w:fill="DDDDDD"/>
          </w:tcPr>
          <w:p>
            <w:pPr>
              <w:spacing w:after="0"/>
              <w:rPr>
                <w:sz w:val="19"/>
                <w:szCs w:val="19"/>
                <w:color w:val="auto"/>
              </w:rPr>
            </w:pPr>
          </w:p>
        </w:tc>
        <w:tc>
          <w:tcPr>
            <w:tcW w:w="40" w:type="dxa"/>
            <w:vAlign w:val="bottom"/>
            <w:shd w:val="clear" w:color="auto" w:fill="DDDDDD"/>
          </w:tcPr>
          <w:p>
            <w:pPr>
              <w:spacing w:after="0"/>
              <w:rPr>
                <w:sz w:val="19"/>
                <w:szCs w:val="19"/>
                <w:color w:val="auto"/>
              </w:rPr>
            </w:pPr>
          </w:p>
        </w:tc>
        <w:tc>
          <w:tcPr>
            <w:tcW w:w="80" w:type="dxa"/>
            <w:vAlign w:val="bottom"/>
            <w:shd w:val="clear" w:color="auto" w:fill="DDDDDD"/>
          </w:tcPr>
          <w:p>
            <w:pPr>
              <w:spacing w:after="0"/>
              <w:rPr>
                <w:sz w:val="19"/>
                <w:szCs w:val="19"/>
                <w:color w:val="auto"/>
              </w:rPr>
            </w:pPr>
          </w:p>
        </w:tc>
        <w:tc>
          <w:tcPr>
            <w:tcW w:w="240" w:type="dxa"/>
            <w:vAlign w:val="bottom"/>
            <w:shd w:val="clear" w:color="auto" w:fill="DDDDDD"/>
          </w:tcPr>
          <w:p>
            <w:pPr>
              <w:spacing w:after="0"/>
              <w:rPr>
                <w:sz w:val="19"/>
                <w:szCs w:val="19"/>
                <w:color w:val="auto"/>
              </w:rPr>
            </w:pPr>
          </w:p>
        </w:tc>
        <w:tc>
          <w:tcPr>
            <w:tcW w:w="9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gridSpan w:val="3"/>
          </w:tcPr>
          <w:p>
            <w:pPr>
              <w:ind w:left="20"/>
              <w:spacing w:after="0"/>
              <w:rPr>
                <w:sz w:val="20"/>
                <w:szCs w:val="20"/>
                <w:color w:val="auto"/>
              </w:rPr>
            </w:pPr>
            <w:r>
              <w:rPr>
                <w:rFonts w:ascii="Arial" w:cs="Arial" w:eastAsia="Arial" w:hAnsi="Arial"/>
                <w:sz w:val="18"/>
                <w:szCs w:val="18"/>
                <w:color w:val="auto"/>
              </w:rPr>
              <w:t>Losses (gains) on cash flow hedges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ind w:left="720"/>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ind w:left="64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ind w:left="76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ind w:left="76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800" w:type="dxa"/>
            <w:vAlign w:val="bottom"/>
            <w:gridSpan w:val="2"/>
            <w:shd w:val="clear" w:color="auto" w:fill="DDDDDD"/>
          </w:tcPr>
          <w:p>
            <w:pPr>
              <w:ind w:left="20"/>
              <w:spacing w:after="0" w:line="189" w:lineRule="exact"/>
              <w:rPr>
                <w:sz w:val="20"/>
                <w:szCs w:val="20"/>
                <w:color w:val="auto"/>
              </w:rPr>
            </w:pPr>
            <w:r>
              <w:rPr>
                <w:rFonts w:ascii="Arial" w:cs="Arial" w:eastAsia="Arial" w:hAnsi="Arial"/>
                <w:sz w:val="18"/>
                <w:szCs w:val="18"/>
                <w:color w:val="auto"/>
              </w:rPr>
              <w:t>Losses (gains) on excluded</w:t>
            </w:r>
          </w:p>
        </w:tc>
        <w:tc>
          <w:tcPr>
            <w:tcW w:w="2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96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10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40" w:type="dxa"/>
            <w:vAlign w:val="bottom"/>
            <w:shd w:val="clear" w:color="auto" w:fill="DDDDDD"/>
          </w:tcPr>
          <w:p>
            <w:pPr>
              <w:spacing w:after="0"/>
              <w:rPr>
                <w:sz w:val="16"/>
                <w:szCs w:val="16"/>
                <w:color w:val="auto"/>
              </w:rPr>
            </w:pPr>
          </w:p>
        </w:tc>
        <w:tc>
          <w:tcPr>
            <w:tcW w:w="10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140" w:type="dxa"/>
            <w:vAlign w:val="bottom"/>
            <w:shd w:val="clear" w:color="auto" w:fill="DDDDDD"/>
          </w:tcPr>
          <w:p>
            <w:pPr>
              <w:spacing w:after="0"/>
              <w:rPr>
                <w:sz w:val="16"/>
                <w:szCs w:val="16"/>
                <w:color w:val="auto"/>
              </w:rPr>
            </w:pPr>
          </w:p>
        </w:tc>
        <w:tc>
          <w:tcPr>
            <w:tcW w:w="1020" w:type="dxa"/>
            <w:vAlign w:val="bottom"/>
            <w:shd w:val="clear" w:color="auto" w:fill="DDDDDD"/>
          </w:tcPr>
          <w:p>
            <w:pPr>
              <w:spacing w:after="0"/>
              <w:rPr>
                <w:sz w:val="16"/>
                <w:szCs w:val="16"/>
                <w:color w:val="auto"/>
              </w:rPr>
            </w:pPr>
          </w:p>
        </w:tc>
        <w:tc>
          <w:tcPr>
            <w:tcW w:w="80" w:type="dxa"/>
            <w:vAlign w:val="bottom"/>
            <w:shd w:val="clear" w:color="auto" w:fill="DDDDDD"/>
          </w:tcPr>
          <w:p>
            <w:pPr>
              <w:spacing w:after="0"/>
              <w:rPr>
                <w:sz w:val="16"/>
                <w:szCs w:val="16"/>
                <w:color w:val="auto"/>
              </w:rPr>
            </w:pPr>
          </w:p>
        </w:tc>
        <w:tc>
          <w:tcPr>
            <w:tcW w:w="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1000" w:type="dxa"/>
            <w:vAlign w:val="bottom"/>
            <w:shd w:val="clear" w:color="auto" w:fill="DDDDDD"/>
          </w:tcPr>
          <w:p>
            <w:pPr>
              <w:spacing w:after="0"/>
              <w:rPr>
                <w:sz w:val="16"/>
                <w:szCs w:val="16"/>
                <w:color w:val="auto"/>
              </w:rPr>
            </w:pPr>
          </w:p>
        </w:tc>
        <w:tc>
          <w:tcPr>
            <w:tcW w:w="80" w:type="dxa"/>
            <w:vAlign w:val="bottom"/>
            <w:shd w:val="clear" w:color="auto" w:fill="DDDDDD"/>
          </w:tcPr>
          <w:p>
            <w:pPr>
              <w:spacing w:after="0"/>
              <w:rPr>
                <w:sz w:val="16"/>
                <w:szCs w:val="16"/>
                <w:color w:val="auto"/>
              </w:rPr>
            </w:pPr>
          </w:p>
        </w:tc>
        <w:tc>
          <w:tcPr>
            <w:tcW w:w="40" w:type="dxa"/>
            <w:vAlign w:val="bottom"/>
            <w:shd w:val="clear" w:color="auto" w:fill="DDDDDD"/>
          </w:tcPr>
          <w:p>
            <w:pPr>
              <w:spacing w:after="0"/>
              <w:rPr>
                <w:sz w:val="16"/>
                <w:szCs w:val="16"/>
                <w:color w:val="auto"/>
              </w:rPr>
            </w:pPr>
          </w:p>
        </w:tc>
        <w:tc>
          <w:tcPr>
            <w:tcW w:w="8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940" w:type="dxa"/>
            <w:vAlign w:val="bottom"/>
            <w:shd w:val="clear" w:color="auto" w:fill="DDDDDD"/>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080" w:type="dxa"/>
            <w:vAlign w:val="bottom"/>
            <w:gridSpan w:val="3"/>
            <w:shd w:val="clear" w:color="auto" w:fill="DDDDDD"/>
          </w:tcPr>
          <w:p>
            <w:pPr>
              <w:ind w:left="20"/>
              <w:spacing w:after="0"/>
              <w:rPr>
                <w:sz w:val="20"/>
                <w:szCs w:val="20"/>
                <w:color w:val="auto"/>
              </w:rPr>
            </w:pPr>
            <w:r>
              <w:rPr>
                <w:rFonts w:ascii="Arial" w:cs="Arial" w:eastAsia="Arial" w:hAnsi="Arial"/>
                <w:sz w:val="18"/>
                <w:szCs w:val="18"/>
                <w:color w:val="auto"/>
              </w:rPr>
              <w:t>component of net investment hedges</w:t>
            </w:r>
          </w:p>
        </w:tc>
        <w:tc>
          <w:tcPr>
            <w:tcW w:w="100" w:type="dxa"/>
            <w:vAlign w:val="bottom"/>
            <w:tcBorders>
              <w:bottom w:val="single" w:sz="8" w:color="auto"/>
            </w:tcBorders>
            <w:shd w:val="clear" w:color="auto" w:fill="DDDDDD"/>
          </w:tcPr>
          <w:p>
            <w:pPr>
              <w:spacing w:after="0"/>
              <w:rPr>
                <w:sz w:val="18"/>
                <w:szCs w:val="18"/>
                <w:color w:val="auto"/>
              </w:rPr>
            </w:pPr>
          </w:p>
        </w:tc>
        <w:tc>
          <w:tcPr>
            <w:tcW w:w="180" w:type="dxa"/>
            <w:vAlign w:val="bottom"/>
            <w:tcBorders>
              <w:bottom w:val="single" w:sz="8" w:color="auto"/>
            </w:tcBorders>
            <w:shd w:val="clear" w:color="auto" w:fill="DDDDDD"/>
          </w:tcPr>
          <w:p>
            <w:pPr>
              <w:spacing w:after="0"/>
              <w:rPr>
                <w:sz w:val="18"/>
                <w:szCs w:val="18"/>
                <w:color w:val="auto"/>
              </w:rPr>
            </w:pPr>
          </w:p>
        </w:tc>
        <w:tc>
          <w:tcPr>
            <w:tcW w:w="960" w:type="dxa"/>
            <w:vAlign w:val="bottom"/>
            <w:tcBorders>
              <w:bottom w:val="single" w:sz="8" w:color="auto"/>
            </w:tcBorders>
            <w:shd w:val="clear" w:color="auto" w:fill="DDDDDD"/>
          </w:tcPr>
          <w:p>
            <w:pPr>
              <w:ind w:left="720"/>
              <w:spacing w:after="0"/>
              <w:rPr>
                <w:sz w:val="20"/>
                <w:szCs w:val="20"/>
                <w:color w:val="auto"/>
              </w:rPr>
            </w:pPr>
            <w:r>
              <w:rPr>
                <w:rFonts w:ascii="Arial" w:cs="Arial" w:eastAsia="Arial" w:hAnsi="Arial"/>
                <w:sz w:val="18"/>
                <w:szCs w:val="18"/>
                <w:color w:val="auto"/>
              </w:rPr>
              <w:t>—</w:t>
            </w:r>
          </w:p>
        </w:tc>
        <w:tc>
          <w:tcPr>
            <w:tcW w:w="120" w:type="dxa"/>
            <w:vAlign w:val="bottom"/>
            <w:shd w:val="clear" w:color="auto" w:fill="DDDDDD"/>
          </w:tcPr>
          <w:p>
            <w:pPr>
              <w:spacing w:after="0"/>
              <w:rPr>
                <w:sz w:val="18"/>
                <w:szCs w:val="18"/>
                <w:color w:val="auto"/>
              </w:rPr>
            </w:pPr>
          </w:p>
        </w:tc>
        <w:tc>
          <w:tcPr>
            <w:tcW w:w="100" w:type="dxa"/>
            <w:vAlign w:val="bottom"/>
            <w:tcBorders>
              <w:bottom w:val="single" w:sz="8" w:color="auto"/>
            </w:tcBorders>
            <w:shd w:val="clear" w:color="auto" w:fill="DDDDDD"/>
          </w:tcPr>
          <w:p>
            <w:pPr>
              <w:spacing w:after="0"/>
              <w:rPr>
                <w:sz w:val="18"/>
                <w:szCs w:val="18"/>
                <w:color w:val="auto"/>
              </w:rPr>
            </w:pPr>
          </w:p>
        </w:tc>
        <w:tc>
          <w:tcPr>
            <w:tcW w:w="160" w:type="dxa"/>
            <w:vAlign w:val="bottom"/>
            <w:tcBorders>
              <w:bottom w:val="single" w:sz="8" w:color="auto"/>
            </w:tcBorders>
            <w:shd w:val="clear" w:color="auto" w:fill="DDDDDD"/>
          </w:tcPr>
          <w:p>
            <w:pPr>
              <w:spacing w:after="0"/>
              <w:rPr>
                <w:sz w:val="18"/>
                <w:szCs w:val="18"/>
                <w:color w:val="auto"/>
              </w:rPr>
            </w:pPr>
          </w:p>
        </w:tc>
        <w:tc>
          <w:tcPr>
            <w:tcW w:w="1000" w:type="dxa"/>
            <w:vAlign w:val="bottom"/>
            <w:tcBorders>
              <w:bottom w:val="single" w:sz="8" w:color="auto"/>
            </w:tcBorders>
            <w:shd w:val="clear" w:color="auto" w:fill="DDDDDD"/>
          </w:tcPr>
          <w:p>
            <w:pPr>
              <w:ind w:lef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DDDDDD"/>
          </w:tcPr>
          <w:p>
            <w:pPr>
              <w:spacing w:after="0"/>
              <w:rPr>
                <w:sz w:val="18"/>
                <w:szCs w:val="18"/>
                <w:color w:val="auto"/>
              </w:rPr>
            </w:pPr>
          </w:p>
        </w:tc>
        <w:tc>
          <w:tcPr>
            <w:tcW w:w="100" w:type="dxa"/>
            <w:vAlign w:val="bottom"/>
            <w:tcBorders>
              <w:bottom w:val="single" w:sz="8" w:color="auto"/>
            </w:tcBorders>
            <w:shd w:val="clear" w:color="auto" w:fill="DDDDDD"/>
          </w:tcPr>
          <w:p>
            <w:pPr>
              <w:spacing w:after="0"/>
              <w:rPr>
                <w:sz w:val="18"/>
                <w:szCs w:val="18"/>
                <w:color w:val="auto"/>
              </w:rPr>
            </w:pPr>
          </w:p>
        </w:tc>
        <w:tc>
          <w:tcPr>
            <w:tcW w:w="140" w:type="dxa"/>
            <w:vAlign w:val="bottom"/>
            <w:tcBorders>
              <w:bottom w:val="single" w:sz="8" w:color="auto"/>
            </w:tcBorders>
            <w:shd w:val="clear" w:color="auto" w:fill="DDDDDD"/>
          </w:tcPr>
          <w:p>
            <w:pPr>
              <w:spacing w:after="0"/>
              <w:rPr>
                <w:sz w:val="18"/>
                <w:szCs w:val="18"/>
                <w:color w:val="auto"/>
              </w:rPr>
            </w:pPr>
          </w:p>
        </w:tc>
        <w:tc>
          <w:tcPr>
            <w:tcW w:w="1020" w:type="dxa"/>
            <w:vAlign w:val="bottom"/>
            <w:tcBorders>
              <w:bottom w:val="single" w:sz="8" w:color="auto"/>
            </w:tcBorders>
            <w:shd w:val="clear" w:color="auto" w:fill="DDDDDD"/>
          </w:tcPr>
          <w:p>
            <w:pPr>
              <w:ind w:left="760"/>
              <w:spacing w:after="0"/>
              <w:rPr>
                <w:sz w:val="20"/>
                <w:szCs w:val="20"/>
                <w:color w:val="auto"/>
              </w:rPr>
            </w:pPr>
            <w:r>
              <w:rPr>
                <w:rFonts w:ascii="Arial" w:cs="Arial" w:eastAsia="Arial" w:hAnsi="Arial"/>
                <w:sz w:val="18"/>
                <w:szCs w:val="18"/>
                <w:color w:val="auto"/>
              </w:rPr>
              <w:t>—</w:t>
            </w:r>
          </w:p>
        </w:tc>
        <w:tc>
          <w:tcPr>
            <w:tcW w:w="100" w:type="dxa"/>
            <w:vAlign w:val="bottom"/>
            <w:shd w:val="clear" w:color="auto" w:fill="DDDDDD"/>
          </w:tcPr>
          <w:p>
            <w:pPr>
              <w:spacing w:after="0"/>
              <w:rPr>
                <w:sz w:val="18"/>
                <w:szCs w:val="18"/>
                <w:color w:val="auto"/>
              </w:rPr>
            </w:pPr>
          </w:p>
        </w:tc>
        <w:tc>
          <w:tcPr>
            <w:tcW w:w="120" w:type="dxa"/>
            <w:vAlign w:val="bottom"/>
            <w:tcBorders>
              <w:bottom w:val="single" w:sz="8" w:color="auto"/>
            </w:tcBorders>
            <w:shd w:val="clear" w:color="auto" w:fill="DDDDDD"/>
          </w:tcPr>
          <w:p>
            <w:pPr>
              <w:spacing w:after="0"/>
              <w:rPr>
                <w:sz w:val="18"/>
                <w:szCs w:val="18"/>
                <w:color w:val="auto"/>
              </w:rPr>
            </w:pPr>
          </w:p>
        </w:tc>
        <w:tc>
          <w:tcPr>
            <w:tcW w:w="140" w:type="dxa"/>
            <w:vAlign w:val="bottom"/>
            <w:tcBorders>
              <w:bottom w:val="single" w:sz="8" w:color="auto"/>
            </w:tcBorders>
            <w:shd w:val="clear" w:color="auto" w:fill="DDDDDD"/>
          </w:tcPr>
          <w:p>
            <w:pPr>
              <w:spacing w:after="0"/>
              <w:rPr>
                <w:sz w:val="18"/>
                <w:szCs w:val="18"/>
                <w:color w:val="auto"/>
              </w:rPr>
            </w:pPr>
          </w:p>
        </w:tc>
        <w:tc>
          <w:tcPr>
            <w:tcW w:w="1020" w:type="dxa"/>
            <w:vAlign w:val="bottom"/>
            <w:tcBorders>
              <w:bottom w:val="single" w:sz="8" w:color="auto"/>
            </w:tcBorders>
            <w:shd w:val="clear" w:color="auto" w:fill="DDDDDD"/>
          </w:tcPr>
          <w:p>
            <w:pPr>
              <w:ind w:left="760"/>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DDDDDD"/>
          </w:tcPr>
          <w:p>
            <w:pPr>
              <w:spacing w:after="0"/>
              <w:rPr>
                <w:sz w:val="18"/>
                <w:szCs w:val="18"/>
                <w:color w:val="auto"/>
              </w:rPr>
            </w:pPr>
          </w:p>
        </w:tc>
        <w:tc>
          <w:tcPr>
            <w:tcW w:w="100" w:type="dxa"/>
            <w:vAlign w:val="bottom"/>
            <w:tcBorders>
              <w:bottom w:val="single" w:sz="8" w:color="auto"/>
            </w:tcBorders>
            <w:shd w:val="clear" w:color="auto" w:fill="DDDDDD"/>
          </w:tcPr>
          <w:p>
            <w:pPr>
              <w:spacing w:after="0"/>
              <w:rPr>
                <w:sz w:val="18"/>
                <w:szCs w:val="18"/>
                <w:color w:val="auto"/>
              </w:rPr>
            </w:pPr>
          </w:p>
        </w:tc>
        <w:tc>
          <w:tcPr>
            <w:tcW w:w="160" w:type="dxa"/>
            <w:vAlign w:val="bottom"/>
            <w:tcBorders>
              <w:bottom w:val="single" w:sz="8" w:color="auto"/>
            </w:tcBorders>
            <w:shd w:val="clear" w:color="auto" w:fill="DDDDDD"/>
          </w:tcPr>
          <w:p>
            <w:pPr>
              <w:spacing w:after="0"/>
              <w:rPr>
                <w:sz w:val="18"/>
                <w:szCs w:val="18"/>
                <w:color w:val="auto"/>
              </w:rPr>
            </w:pPr>
          </w:p>
        </w:tc>
        <w:tc>
          <w:tcPr>
            <w:tcW w:w="10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DDDDDD"/>
          </w:tcPr>
          <w:p>
            <w:pPr>
              <w:spacing w:after="0"/>
              <w:rPr>
                <w:sz w:val="18"/>
                <w:szCs w:val="18"/>
                <w:color w:val="auto"/>
              </w:rPr>
            </w:pPr>
          </w:p>
        </w:tc>
        <w:tc>
          <w:tcPr>
            <w:tcW w:w="40" w:type="dxa"/>
            <w:vAlign w:val="bottom"/>
            <w:shd w:val="clear" w:color="auto" w:fill="DDDDDD"/>
          </w:tcPr>
          <w:p>
            <w:pPr>
              <w:spacing w:after="0"/>
              <w:rPr>
                <w:sz w:val="18"/>
                <w:szCs w:val="18"/>
                <w:color w:val="auto"/>
              </w:rPr>
            </w:pPr>
          </w:p>
        </w:tc>
        <w:tc>
          <w:tcPr>
            <w:tcW w:w="80" w:type="dxa"/>
            <w:vAlign w:val="bottom"/>
            <w:tcBorders>
              <w:bottom w:val="single" w:sz="8" w:color="auto"/>
            </w:tcBorders>
            <w:shd w:val="clear" w:color="auto" w:fill="DDDDDD"/>
          </w:tcPr>
          <w:p>
            <w:pPr>
              <w:spacing w:after="0"/>
              <w:rPr>
                <w:sz w:val="18"/>
                <w:szCs w:val="18"/>
                <w:color w:val="auto"/>
              </w:rPr>
            </w:pPr>
          </w:p>
        </w:tc>
        <w:tc>
          <w:tcPr>
            <w:tcW w:w="240" w:type="dxa"/>
            <w:vAlign w:val="bottom"/>
            <w:tcBorders>
              <w:bottom w:val="single" w:sz="8" w:color="auto"/>
            </w:tcBorders>
            <w:shd w:val="clear" w:color="auto" w:fill="DDDDDD"/>
          </w:tcPr>
          <w:p>
            <w:pPr>
              <w:spacing w:after="0"/>
              <w:rPr>
                <w:sz w:val="18"/>
                <w:szCs w:val="18"/>
                <w:color w:val="auto"/>
              </w:rPr>
            </w:pPr>
          </w:p>
        </w:tc>
        <w:tc>
          <w:tcPr>
            <w:tcW w:w="9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40" w:type="dxa"/>
            <w:vAlign w:val="bottom"/>
          </w:tcPr>
          <w:p>
            <w:pPr>
              <w:ind w:left="20"/>
              <w:spacing w:after="0"/>
              <w:rPr>
                <w:sz w:val="20"/>
                <w:szCs w:val="20"/>
                <w:color w:val="auto"/>
              </w:rPr>
            </w:pPr>
            <w:r>
              <w:rPr>
                <w:rFonts w:ascii="Arial" w:cs="Arial" w:eastAsia="Arial" w:hAnsi="Arial"/>
                <w:sz w:val="18"/>
                <w:szCs w:val="18"/>
                <w:color w:val="auto"/>
              </w:rPr>
              <w:t>Total before tax</w:t>
            </w: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960" w:type="dxa"/>
            <w:vAlign w:val="bottom"/>
          </w:tcPr>
          <w:p>
            <w:pPr>
              <w:ind w:left="720"/>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19"/>
                <w:szCs w:val="19"/>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000" w:type="dxa"/>
            <w:vAlign w:val="bottom"/>
          </w:tcPr>
          <w:p>
            <w:pPr>
              <w:ind w:left="64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020" w:type="dxa"/>
            <w:vAlign w:val="bottom"/>
          </w:tcPr>
          <w:p>
            <w:pPr>
              <w:ind w:left="76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1020" w:type="dxa"/>
            <w:vAlign w:val="bottom"/>
          </w:tcPr>
          <w:p>
            <w:pPr>
              <w:ind w:left="76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gridSpan w:val="2"/>
          </w:tcPr>
          <w:p>
            <w:pPr>
              <w:jc w:val="right"/>
              <w:ind w:right="68"/>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19"/>
                <w:szCs w:val="19"/>
                <w:color w:val="auto"/>
              </w:rPr>
            </w:pPr>
          </w:p>
        </w:tc>
        <w:tc>
          <w:tcPr>
            <w:tcW w:w="3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40" w:type="dxa"/>
            <w:vAlign w:val="bottom"/>
            <w:tcBorders>
              <w:bottom w:val="single" w:sz="8" w:color="DDDDDD"/>
            </w:tcBorders>
          </w:tcPr>
          <w:p>
            <w:pPr>
              <w:spacing w:after="0" w:line="20" w:lineRule="exact"/>
              <w:rPr>
                <w:sz w:val="1"/>
                <w:szCs w:val="1"/>
                <w:color w:val="auto"/>
              </w:rPr>
            </w:pPr>
          </w:p>
        </w:tc>
        <w:tc>
          <w:tcPr>
            <w:tcW w:w="960" w:type="dxa"/>
            <w:vAlign w:val="bottom"/>
            <w:tcBorders>
              <w:bottom w:val="single" w:sz="8" w:color="DDDDDD"/>
            </w:tcBorders>
          </w:tcPr>
          <w:p>
            <w:pPr>
              <w:spacing w:after="0" w:line="20" w:lineRule="exact"/>
              <w:rPr>
                <w:sz w:val="1"/>
                <w:szCs w:val="1"/>
                <w:color w:val="auto"/>
              </w:rPr>
            </w:pPr>
          </w:p>
        </w:tc>
        <w:tc>
          <w:tcPr>
            <w:tcW w:w="280" w:type="dxa"/>
            <w:vAlign w:val="bottom"/>
            <w:tcBorders>
              <w:bottom w:val="single" w:sz="8" w:color="DDDDDD"/>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DDDDDD"/>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DDDDD"/>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DDDDD"/>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DDDDD"/>
            </w:tcBorders>
          </w:tcPr>
          <w:p>
            <w:pPr>
              <w:spacing w:after="0" w:line="20" w:lineRule="exact"/>
              <w:rPr>
                <w:sz w:val="1"/>
                <w:szCs w:val="1"/>
                <w:color w:val="auto"/>
              </w:rPr>
            </w:pPr>
          </w:p>
        </w:tc>
        <w:tc>
          <w:tcPr>
            <w:tcW w:w="20" w:type="dxa"/>
            <w:vAlign w:val="bottom"/>
            <w:tcBorders>
              <w:bottom w:val="single" w:sz="8" w:color="DDDDDD"/>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DDDDD"/>
            </w:tcBorders>
          </w:tcPr>
          <w:p>
            <w:pPr>
              <w:spacing w:after="0" w:line="20" w:lineRule="exact"/>
              <w:rPr>
                <w:sz w:val="1"/>
                <w:szCs w:val="1"/>
                <w:color w:val="auto"/>
              </w:rPr>
            </w:pPr>
          </w:p>
        </w:tc>
        <w:tc>
          <w:tcPr>
            <w:tcW w:w="40" w:type="dxa"/>
            <w:vAlign w:val="bottom"/>
            <w:tcBorders>
              <w:bottom w:val="single" w:sz="8" w:color="DDDDDD"/>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840" w:type="dxa"/>
            <w:vAlign w:val="bottom"/>
            <w:shd w:val="clear" w:color="auto" w:fill="DDDDDD"/>
          </w:tcPr>
          <w:p>
            <w:pPr>
              <w:ind w:left="20"/>
              <w:spacing w:after="0"/>
              <w:rPr>
                <w:sz w:val="20"/>
                <w:szCs w:val="20"/>
                <w:color w:val="auto"/>
              </w:rPr>
            </w:pPr>
            <w:r>
              <w:rPr>
                <w:rFonts w:ascii="Arial" w:cs="Arial" w:eastAsia="Arial" w:hAnsi="Arial"/>
                <w:sz w:val="18"/>
                <w:szCs w:val="18"/>
                <w:color w:val="auto"/>
              </w:rPr>
              <w:t>Tax expense (benefit)</w:t>
            </w:r>
          </w:p>
        </w:tc>
        <w:tc>
          <w:tcPr>
            <w:tcW w:w="960" w:type="dxa"/>
            <w:vAlign w:val="bottom"/>
            <w:shd w:val="clear" w:color="auto" w:fill="DDDDDD"/>
          </w:tcPr>
          <w:p>
            <w:pPr>
              <w:spacing w:after="0"/>
              <w:rPr>
                <w:sz w:val="19"/>
                <w:szCs w:val="19"/>
                <w:color w:val="auto"/>
              </w:rPr>
            </w:pPr>
          </w:p>
        </w:tc>
        <w:tc>
          <w:tcPr>
            <w:tcW w:w="28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180" w:type="dxa"/>
            <w:vAlign w:val="bottom"/>
            <w:shd w:val="clear" w:color="auto" w:fill="DDDDDD"/>
          </w:tcPr>
          <w:p>
            <w:pPr>
              <w:spacing w:after="0"/>
              <w:rPr>
                <w:sz w:val="19"/>
                <w:szCs w:val="19"/>
                <w:color w:val="auto"/>
              </w:rPr>
            </w:pPr>
          </w:p>
        </w:tc>
        <w:tc>
          <w:tcPr>
            <w:tcW w:w="96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160" w:type="dxa"/>
            <w:vAlign w:val="bottom"/>
            <w:shd w:val="clear" w:color="auto" w:fill="DDDDDD"/>
          </w:tcPr>
          <w:p>
            <w:pPr>
              <w:spacing w:after="0"/>
              <w:rPr>
                <w:sz w:val="19"/>
                <w:szCs w:val="19"/>
                <w:color w:val="auto"/>
              </w:rPr>
            </w:pPr>
          </w:p>
        </w:tc>
        <w:tc>
          <w:tcPr>
            <w:tcW w:w="100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140" w:type="dxa"/>
            <w:vAlign w:val="bottom"/>
            <w:shd w:val="clear" w:color="auto" w:fill="DDDDDD"/>
          </w:tcPr>
          <w:p>
            <w:pPr>
              <w:spacing w:after="0"/>
              <w:rPr>
                <w:sz w:val="19"/>
                <w:szCs w:val="19"/>
                <w:color w:val="auto"/>
              </w:rPr>
            </w:pPr>
          </w:p>
        </w:tc>
        <w:tc>
          <w:tcPr>
            <w:tcW w:w="102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140" w:type="dxa"/>
            <w:vAlign w:val="bottom"/>
            <w:shd w:val="clear" w:color="auto" w:fill="DDDDDD"/>
          </w:tcPr>
          <w:p>
            <w:pPr>
              <w:spacing w:after="0"/>
              <w:rPr>
                <w:sz w:val="19"/>
                <w:szCs w:val="19"/>
                <w:color w:val="auto"/>
              </w:rPr>
            </w:pPr>
          </w:p>
        </w:tc>
        <w:tc>
          <w:tcPr>
            <w:tcW w:w="1020" w:type="dxa"/>
            <w:vAlign w:val="bottom"/>
            <w:shd w:val="clear" w:color="auto" w:fill="DDDDDD"/>
          </w:tcPr>
          <w:p>
            <w:pPr>
              <w:spacing w:after="0"/>
              <w:rPr>
                <w:sz w:val="19"/>
                <w:szCs w:val="19"/>
                <w:color w:val="auto"/>
              </w:rPr>
            </w:pPr>
          </w:p>
        </w:tc>
        <w:tc>
          <w:tcPr>
            <w:tcW w:w="8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160" w:type="dxa"/>
            <w:vAlign w:val="bottom"/>
            <w:shd w:val="clear" w:color="auto" w:fill="DDDDDD"/>
          </w:tcPr>
          <w:p>
            <w:pPr>
              <w:spacing w:after="0"/>
              <w:rPr>
                <w:sz w:val="19"/>
                <w:szCs w:val="19"/>
                <w:color w:val="auto"/>
              </w:rPr>
            </w:pPr>
          </w:p>
        </w:tc>
        <w:tc>
          <w:tcPr>
            <w:tcW w:w="1000" w:type="dxa"/>
            <w:vAlign w:val="bottom"/>
            <w:shd w:val="clear" w:color="auto" w:fill="DDDDDD"/>
          </w:tcPr>
          <w:p>
            <w:pPr>
              <w:spacing w:after="0"/>
              <w:rPr>
                <w:sz w:val="19"/>
                <w:szCs w:val="19"/>
                <w:color w:val="auto"/>
              </w:rPr>
            </w:pPr>
          </w:p>
        </w:tc>
        <w:tc>
          <w:tcPr>
            <w:tcW w:w="80" w:type="dxa"/>
            <w:vAlign w:val="bottom"/>
            <w:shd w:val="clear" w:color="auto" w:fill="DDDDDD"/>
          </w:tcPr>
          <w:p>
            <w:pPr>
              <w:spacing w:after="0"/>
              <w:rPr>
                <w:sz w:val="19"/>
                <w:szCs w:val="19"/>
                <w:color w:val="auto"/>
              </w:rPr>
            </w:pPr>
          </w:p>
        </w:tc>
        <w:tc>
          <w:tcPr>
            <w:tcW w:w="40" w:type="dxa"/>
            <w:vAlign w:val="bottom"/>
            <w:shd w:val="clear" w:color="auto" w:fill="DDDDDD"/>
          </w:tcPr>
          <w:p>
            <w:pPr>
              <w:spacing w:after="0"/>
              <w:rPr>
                <w:sz w:val="19"/>
                <w:szCs w:val="19"/>
                <w:color w:val="auto"/>
              </w:rPr>
            </w:pPr>
          </w:p>
        </w:tc>
        <w:tc>
          <w:tcPr>
            <w:tcW w:w="80" w:type="dxa"/>
            <w:vAlign w:val="bottom"/>
            <w:tcBorders>
              <w:bottom w:val="single" w:sz="8" w:color="auto"/>
            </w:tcBorders>
            <w:shd w:val="clear" w:color="auto" w:fill="DDDDDD"/>
          </w:tcPr>
          <w:p>
            <w:pPr>
              <w:spacing w:after="0"/>
              <w:rPr>
                <w:sz w:val="19"/>
                <w:szCs w:val="19"/>
                <w:color w:val="auto"/>
              </w:rPr>
            </w:pPr>
          </w:p>
        </w:tc>
        <w:tc>
          <w:tcPr>
            <w:tcW w:w="240" w:type="dxa"/>
            <w:vAlign w:val="bottom"/>
            <w:tcBorders>
              <w:bottom w:val="single" w:sz="8" w:color="auto"/>
            </w:tcBorders>
            <w:shd w:val="clear" w:color="auto" w:fill="DDDDDD"/>
          </w:tcPr>
          <w:p>
            <w:pPr>
              <w:spacing w:after="0"/>
              <w:rPr>
                <w:sz w:val="19"/>
                <w:szCs w:val="19"/>
                <w:color w:val="auto"/>
              </w:rPr>
            </w:pPr>
          </w:p>
        </w:tc>
        <w:tc>
          <w:tcPr>
            <w:tcW w:w="9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40" w:type="dxa"/>
            <w:vAlign w:val="bottom"/>
            <w:gridSpan w:val="7"/>
          </w:tcPr>
          <w:p>
            <w:pPr>
              <w:ind w:left="20"/>
              <w:spacing w:after="0"/>
              <w:rPr>
                <w:sz w:val="20"/>
                <w:szCs w:val="20"/>
                <w:color w:val="auto"/>
              </w:rPr>
            </w:pPr>
            <w:r>
              <w:rPr>
                <w:rFonts w:ascii="Arial" w:cs="Arial" w:eastAsia="Arial" w:hAnsi="Arial"/>
                <w:sz w:val="18"/>
                <w:szCs w:val="18"/>
                <w:color w:val="auto"/>
              </w:rPr>
              <w:t>Total reclassifications for the period, net of tax</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84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87" w:name="page88"/>
    <w:bookmarkEnd w:id="87"/>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9"/>
          <w:szCs w:val="29"/>
          <w:b w:val="1"/>
          <w:bCs w:val="1"/>
          <w:color w:val="DC202E"/>
        </w:rPr>
        <w:t>NOTE 19. CAPITAL STOCK</w:t>
      </w:r>
    </w:p>
    <w:p>
      <w:pPr>
        <w:spacing w:after="0" w:line="15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is authorized to issue up to 2,000,000,000 shares of common stock, with a par value of $1. Common shareowners are entitled to receive such dividends as may be declared by the Board of Directors, are entitled to one vote per share, and are entitled, in the event of liquidation, to share ratably in all the assets of the Company which are available for distribution to the common shareowners. Common shareowners do not have preemptive or conversion rights. Shares of common stock issued and outstanding or held in the treasury are not liable to further calls or assessments. There are no restrictions on the Company relative to dividends or the repurchase or redemption of common stock.</w:t>
      </w:r>
    </w:p>
    <w:p>
      <w:pPr>
        <w:spacing w:after="0" w:line="10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April 2019, the Board of Directors authorized the repurchase of up to a total of $10.0 billion of Honeywell common stock. Approximately $3.3 billion and $7.0 billion remained available as of December 31, 2020 and 2019 for additional share repurchases.</w:t>
      </w:r>
    </w:p>
    <w:p>
      <w:pPr>
        <w:spacing w:after="0" w:line="9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Honeywell repurchased approximately 20.7 million and 26.5 million shares of its common stock during the years ended December 31, 2020 and 2019, for $3,714 million and $4,400 million.</w:t>
      </w:r>
    </w:p>
    <w:p>
      <w:pPr>
        <w:spacing w:after="0" w:line="9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Company is authorized to issue up to 40,000,000 shares of preferred stock, without par value, and can determine the number of shares of each series, and the rights, preferences and limitations of each series. At December 31, 2020, there was no preferred stock outstanding.</w:t>
      </w:r>
    </w:p>
    <w:p>
      <w:pPr>
        <w:spacing w:after="0" w:line="267" w:lineRule="exact"/>
        <w:rPr>
          <w:sz w:val="20"/>
          <w:szCs w:val="20"/>
          <w:color w:val="auto"/>
        </w:rPr>
      </w:pPr>
    </w:p>
    <w:p>
      <w:pPr>
        <w:spacing w:after="0"/>
        <w:rPr>
          <w:sz w:val="20"/>
          <w:szCs w:val="20"/>
          <w:color w:val="auto"/>
        </w:rPr>
      </w:pPr>
      <w:r>
        <w:rPr>
          <w:rFonts w:ascii="Arial" w:cs="Arial" w:eastAsia="Arial" w:hAnsi="Arial"/>
          <w:sz w:val="29"/>
          <w:szCs w:val="29"/>
          <w:b w:val="1"/>
          <w:bCs w:val="1"/>
          <w:color w:val="DC202E"/>
        </w:rPr>
        <w:t>NOTE 20. COMMITMENTS AND CONTINGENCIES</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ENVIRONMENTAL MATTERS</w:t>
      </w:r>
    </w:p>
    <w:p>
      <w:pPr>
        <w:spacing w:after="0" w:line="13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is subject to various federal, state, local and foreign government requirements relating to the protection of the environment. We believe that, as a general matter, our policies, practices and procedures are properly designed to prevent unreasonable risk of environmental damage and personal injury and that our handling, manufacture, use and disposal of hazardous substances are in accordance with environmental and safety laws and regulations. However, mainly because of past operations and operations of predecessor companies, we, like other companies engaged in similar businesses, have incurred remedial response and voluntary cleanup costs for site contamination and are a party to lawsuits and claims associated with environmental and safety matters, including past production of products containing hazardous substances. Additional lawsuits, claims and costs involving environmental matters are likely to continue to arise in the future.</w:t>
      </w:r>
    </w:p>
    <w:p>
      <w:pPr>
        <w:spacing w:after="0" w:line="9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With respect to environmental matters involving site contamination, the Company continually conducts studies, individually or jointly with other potentially responsible parties, to determine the feasibility of various remedial techniques. It is our policy to record appropriate liabilities for environmental matters when remedial efforts or damage claim payments are probable and the costs can be reasonably estimated. Such liabilities are based on our best estimate of the undiscounted future costs required to complete the remedial work. The recorded liabilities are adjusted periodically as remediation efforts progress or as additional technical, regulatory or legal information becomes available. Given the uncertainties regarding the status of laws, regulations, enforcement policies, the impact of other potentially responsible parties, technology and information related to individual sites, we do not believe it is possible to develop an estimate of the range of reasonably possible environmental loss in excess of our recorded liabilities. We expect to fund expenditures for these matters from operating cash flow. The timing of cash expenditures depends on a number of factors, including the timing of remedial investigations and feasibility studies, the timing of litigation and settlements of remediation liability, personal injury and property damage claims, regulatory approval of cleanup projects, remedial techniques to be utilized and agreements with other parties.</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85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88" w:name="page89"/>
    <w:bookmarkEnd w:id="88"/>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concerning the Company's recorded liabilities for environmental costs: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20" w:type="dxa"/>
            <w:vAlign w:val="bottom"/>
          </w:tcPr>
          <w:p>
            <w:pPr>
              <w:spacing w:after="0"/>
              <w:rPr>
                <w:sz w:val="17"/>
                <w:szCs w:val="17"/>
                <w:color w:val="auto"/>
              </w:rPr>
            </w:pPr>
          </w:p>
        </w:tc>
        <w:tc>
          <w:tcPr>
            <w:tcW w:w="340" w:type="dxa"/>
            <w:vAlign w:val="bottom"/>
            <w:tcBorders>
              <w:bottom w:val="single" w:sz="8" w:color="DC202E"/>
            </w:tcBorders>
          </w:tcPr>
          <w:p>
            <w:pPr>
              <w:spacing w:after="0"/>
              <w:rPr>
                <w:sz w:val="17"/>
                <w:szCs w:val="17"/>
                <w:color w:val="auto"/>
              </w:rPr>
            </w:pPr>
          </w:p>
        </w:tc>
        <w:tc>
          <w:tcPr>
            <w:tcW w:w="3220" w:type="dxa"/>
            <w:vAlign w:val="bottom"/>
            <w:tcBorders>
              <w:bottom w:val="single" w:sz="8" w:color="DC202E"/>
            </w:tcBorders>
            <w:gridSpan w:val="7"/>
          </w:tcPr>
          <w:p>
            <w:pPr>
              <w:jc w:val="right"/>
              <w:ind w:right="290"/>
              <w:spacing w:after="0"/>
              <w:rPr>
                <w:sz w:val="20"/>
                <w:szCs w:val="20"/>
                <w:color w:val="auto"/>
              </w:rPr>
            </w:pPr>
            <w:r>
              <w:rPr>
                <w:rFonts w:ascii="Arial" w:cs="Arial" w:eastAsia="Arial" w:hAnsi="Arial"/>
                <w:sz w:val="14"/>
                <w:szCs w:val="14"/>
                <w:b w:val="1"/>
                <w:bCs w:val="1"/>
                <w:color w:val="auto"/>
              </w:rPr>
              <w:t>Years Ended December 31,</w:t>
            </w:r>
          </w:p>
        </w:tc>
        <w:tc>
          <w:tcPr>
            <w:tcW w:w="960" w:type="dxa"/>
            <w:vAlign w:val="bottom"/>
            <w:tcBorders>
              <w:bottom w:val="single" w:sz="8" w:color="DC202E"/>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720" w:type="dxa"/>
            <w:vAlign w:val="bottom"/>
            <w:tcBorders>
              <w:bottom w:val="single" w:sz="8" w:color="DDDDDD"/>
            </w:tcBorders>
          </w:tcPr>
          <w:p>
            <w:pPr>
              <w:spacing w:after="0"/>
              <w:rPr>
                <w:sz w:val="21"/>
                <w:szCs w:val="21"/>
                <w:color w:val="auto"/>
              </w:rPr>
            </w:pPr>
          </w:p>
        </w:tc>
        <w:tc>
          <w:tcPr>
            <w:tcW w:w="340" w:type="dxa"/>
            <w:vAlign w:val="bottom"/>
            <w:tcBorders>
              <w:bottom w:val="single" w:sz="8" w:color="DC202E"/>
            </w:tcBorders>
          </w:tcPr>
          <w:p>
            <w:pPr>
              <w:spacing w:after="0"/>
              <w:rPr>
                <w:sz w:val="21"/>
                <w:szCs w:val="21"/>
                <w:color w:val="auto"/>
              </w:rPr>
            </w:pPr>
          </w:p>
        </w:tc>
        <w:tc>
          <w:tcPr>
            <w:tcW w:w="1080" w:type="dxa"/>
            <w:vAlign w:val="bottom"/>
            <w:tcBorders>
              <w:bottom w:val="single" w:sz="8" w:color="DC202E"/>
            </w:tcBorders>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DDDDDD"/>
            </w:tcBorders>
          </w:tcPr>
          <w:p>
            <w:pPr>
              <w:spacing w:after="0"/>
              <w:rPr>
                <w:sz w:val="21"/>
                <w:szCs w:val="21"/>
                <w:color w:val="auto"/>
              </w:rPr>
            </w:pPr>
          </w:p>
        </w:tc>
        <w:tc>
          <w:tcPr>
            <w:tcW w:w="20" w:type="dxa"/>
            <w:vAlign w:val="bottom"/>
            <w:tcBorders>
              <w:bottom w:val="single" w:sz="8" w:color="DDDDDD"/>
            </w:tcBorders>
          </w:tcPr>
          <w:p>
            <w:pPr>
              <w:spacing w:after="0"/>
              <w:rPr>
                <w:sz w:val="21"/>
                <w:szCs w:val="21"/>
                <w:color w:val="auto"/>
              </w:rPr>
            </w:pPr>
          </w:p>
        </w:tc>
        <w:tc>
          <w:tcPr>
            <w:tcW w:w="320" w:type="dxa"/>
            <w:vAlign w:val="bottom"/>
            <w:tcBorders>
              <w:bottom w:val="single" w:sz="8" w:color="DC202E"/>
            </w:tcBorders>
          </w:tcPr>
          <w:p>
            <w:pPr>
              <w:spacing w:after="0"/>
              <w:rPr>
                <w:sz w:val="21"/>
                <w:szCs w:val="21"/>
                <w:color w:val="auto"/>
              </w:rPr>
            </w:pPr>
          </w:p>
        </w:tc>
        <w:tc>
          <w:tcPr>
            <w:tcW w:w="1100" w:type="dxa"/>
            <w:vAlign w:val="bottom"/>
            <w:tcBorders>
              <w:bottom w:val="single" w:sz="8" w:color="DC202E"/>
            </w:tcBorders>
          </w:tcPr>
          <w:p>
            <w:pPr>
              <w:jc w:val="right"/>
              <w:ind w:right="45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DDDDDD"/>
            </w:tcBorders>
          </w:tcPr>
          <w:p>
            <w:pPr>
              <w:spacing w:after="0"/>
              <w:rPr>
                <w:sz w:val="21"/>
                <w:szCs w:val="21"/>
                <w:color w:val="auto"/>
              </w:rPr>
            </w:pPr>
          </w:p>
        </w:tc>
        <w:tc>
          <w:tcPr>
            <w:tcW w:w="480" w:type="dxa"/>
            <w:vAlign w:val="bottom"/>
            <w:tcBorders>
              <w:bottom w:val="single" w:sz="8" w:color="DC202E"/>
            </w:tcBorders>
          </w:tcPr>
          <w:p>
            <w:pPr>
              <w:spacing w:after="0"/>
              <w:rPr>
                <w:sz w:val="21"/>
                <w:szCs w:val="21"/>
                <w:color w:val="auto"/>
              </w:rPr>
            </w:pPr>
          </w:p>
        </w:tc>
        <w:tc>
          <w:tcPr>
            <w:tcW w:w="960" w:type="dxa"/>
            <w:vAlign w:val="bottom"/>
            <w:tcBorders>
              <w:bottom w:val="single" w:sz="8" w:color="DC202E"/>
            </w:tcBorders>
          </w:tcPr>
          <w:p>
            <w:pPr>
              <w:jc w:val="right"/>
              <w:ind w:right="47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30"/>
        </w:trPr>
        <w:tc>
          <w:tcPr>
            <w:tcW w:w="6720" w:type="dxa"/>
            <w:vAlign w:val="bottom"/>
            <w:shd w:val="clear" w:color="auto" w:fill="DDDDDD"/>
          </w:tcPr>
          <w:p>
            <w:pPr>
              <w:ind w:left="20"/>
              <w:spacing w:after="0"/>
              <w:rPr>
                <w:sz w:val="20"/>
                <w:szCs w:val="20"/>
                <w:color w:val="auto"/>
              </w:rPr>
            </w:pPr>
            <w:r>
              <w:rPr>
                <w:rFonts w:ascii="Arial" w:cs="Arial" w:eastAsia="Arial" w:hAnsi="Arial"/>
                <w:sz w:val="18"/>
                <w:szCs w:val="18"/>
                <w:color w:val="auto"/>
              </w:rPr>
              <w:t>Beginning of year</w:t>
            </w:r>
          </w:p>
        </w:tc>
        <w:tc>
          <w:tcPr>
            <w:tcW w:w="3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709</w:t>
            </w:r>
          </w:p>
        </w:tc>
        <w:tc>
          <w:tcPr>
            <w:tcW w:w="10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320" w:type="dxa"/>
            <w:vAlign w:val="bottom"/>
            <w:shd w:val="clear" w:color="auto" w:fill="DDDDDD"/>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755</w:t>
            </w:r>
          </w:p>
        </w:tc>
        <w:tc>
          <w:tcPr>
            <w:tcW w:w="120" w:type="dxa"/>
            <w:vAlign w:val="bottom"/>
            <w:shd w:val="clear" w:color="auto" w:fill="DDDDDD"/>
          </w:tcPr>
          <w:p>
            <w:pPr>
              <w:spacing w:after="0"/>
              <w:rPr>
                <w:sz w:val="19"/>
                <w:szCs w:val="19"/>
                <w:color w:val="auto"/>
              </w:rPr>
            </w:pPr>
          </w:p>
        </w:tc>
        <w:tc>
          <w:tcPr>
            <w:tcW w:w="480" w:type="dxa"/>
            <w:vAlign w:val="bottom"/>
            <w:shd w:val="clear" w:color="auto" w:fill="DDDDDD"/>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29"/>
        </w:trPr>
        <w:tc>
          <w:tcPr>
            <w:tcW w:w="6720" w:type="dxa"/>
            <w:vAlign w:val="bottom"/>
          </w:tcPr>
          <w:p>
            <w:pPr>
              <w:ind w:left="20"/>
              <w:spacing w:after="0"/>
              <w:rPr>
                <w:sz w:val="20"/>
                <w:szCs w:val="20"/>
                <w:color w:val="auto"/>
              </w:rPr>
            </w:pPr>
            <w:r>
              <w:rPr>
                <w:rFonts w:ascii="Arial" w:cs="Arial" w:eastAsia="Arial" w:hAnsi="Arial"/>
                <w:sz w:val="18"/>
                <w:szCs w:val="18"/>
                <w:color w:val="auto"/>
              </w:rPr>
              <w:t>Accruals for environmental matters deemed probable and reasonably estimable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30"/>
        </w:trPr>
        <w:tc>
          <w:tcPr>
            <w:tcW w:w="6720" w:type="dxa"/>
            <w:vAlign w:val="bottom"/>
            <w:shd w:val="clear" w:color="auto" w:fill="DDDDDD"/>
          </w:tcPr>
          <w:p>
            <w:pPr>
              <w:ind w:left="20"/>
              <w:spacing w:after="0"/>
              <w:rPr>
                <w:sz w:val="20"/>
                <w:szCs w:val="20"/>
                <w:color w:val="auto"/>
              </w:rPr>
            </w:pPr>
            <w:r>
              <w:rPr>
                <w:rFonts w:ascii="Arial" w:cs="Arial" w:eastAsia="Arial" w:hAnsi="Arial"/>
                <w:sz w:val="18"/>
                <w:szCs w:val="18"/>
                <w:color w:val="auto"/>
              </w:rPr>
              <w:t>Environmental liability payments</w:t>
            </w:r>
          </w:p>
        </w:tc>
        <w:tc>
          <w:tcPr>
            <w:tcW w:w="340" w:type="dxa"/>
            <w:vAlign w:val="bottom"/>
            <w:shd w:val="clear" w:color="auto" w:fill="DDDDDD"/>
          </w:tcPr>
          <w:p>
            <w:pPr>
              <w:spacing w:after="0"/>
              <w:rPr>
                <w:sz w:val="19"/>
                <w:szCs w:val="19"/>
                <w:color w:val="auto"/>
              </w:rPr>
            </w:pPr>
          </w:p>
        </w:tc>
        <w:tc>
          <w:tcPr>
            <w:tcW w:w="10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32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(256)</w:t>
            </w:r>
          </w:p>
        </w:tc>
        <w:tc>
          <w:tcPr>
            <w:tcW w:w="120" w:type="dxa"/>
            <w:vAlign w:val="bottom"/>
            <w:shd w:val="clear" w:color="auto" w:fill="DDDDDD"/>
          </w:tcPr>
          <w:p>
            <w:pPr>
              <w:spacing w:after="0"/>
              <w:rPr>
                <w:sz w:val="19"/>
                <w:szCs w:val="19"/>
                <w:color w:val="auto"/>
              </w:rPr>
            </w:pPr>
          </w:p>
        </w:tc>
        <w:tc>
          <w:tcPr>
            <w:tcW w:w="480" w:type="dxa"/>
            <w:vAlign w:val="bottom"/>
            <w:shd w:val="clear" w:color="auto" w:fill="DDDDDD"/>
          </w:tcPr>
          <w:p>
            <w:pPr>
              <w:spacing w:after="0"/>
              <w:rPr>
                <w:sz w:val="19"/>
                <w:szCs w:val="19"/>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29"/>
        </w:trPr>
        <w:tc>
          <w:tcPr>
            <w:tcW w:w="6720" w:type="dxa"/>
            <w:vAlign w:val="bottom"/>
            <w:tcBorders>
              <w:bottom w:val="single" w:sz="8" w:color="DDDDDD"/>
            </w:tcBorders>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DDDDDD"/>
            </w:tcBorders>
          </w:tcPr>
          <w:p>
            <w:pPr>
              <w:spacing w:after="0"/>
              <w:rPr>
                <w:sz w:val="19"/>
                <w:szCs w:val="19"/>
                <w:color w:val="auto"/>
              </w:rPr>
            </w:pPr>
          </w:p>
        </w:tc>
        <w:tc>
          <w:tcPr>
            <w:tcW w:w="20" w:type="dxa"/>
            <w:vAlign w:val="bottom"/>
            <w:tcBorders>
              <w:bottom w:val="single" w:sz="8" w:color="DDDDDD"/>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DDDDDD"/>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8"/>
        </w:trPr>
        <w:tc>
          <w:tcPr>
            <w:tcW w:w="672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8"/>
                <w:szCs w:val="18"/>
                <w:color w:val="auto"/>
              </w:rPr>
              <w:t>End of year</w:t>
            </w:r>
          </w:p>
        </w:tc>
        <w:tc>
          <w:tcPr>
            <w:tcW w:w="340" w:type="dxa"/>
            <w:vAlign w:val="bottom"/>
            <w:tcBorders>
              <w:bottom w:val="single" w:sz="8" w:color="auto"/>
            </w:tcBorders>
            <w:shd w:val="clear" w:color="auto" w:fill="DDDDDD"/>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660</w:t>
            </w:r>
          </w:p>
        </w:tc>
        <w:tc>
          <w:tcPr>
            <w:tcW w:w="100" w:type="dxa"/>
            <w:vAlign w:val="bottom"/>
            <w:tcBorders>
              <w:bottom w:val="single" w:sz="8" w:color="DDDDDD"/>
            </w:tcBorders>
            <w:shd w:val="clear" w:color="auto" w:fill="DDDDDD"/>
          </w:tcPr>
          <w:p>
            <w:pPr>
              <w:spacing w:after="0"/>
              <w:rPr>
                <w:sz w:val="21"/>
                <w:szCs w:val="21"/>
                <w:color w:val="auto"/>
              </w:rPr>
            </w:pPr>
          </w:p>
        </w:tc>
        <w:tc>
          <w:tcPr>
            <w:tcW w:w="20" w:type="dxa"/>
            <w:vAlign w:val="bottom"/>
            <w:tcBorders>
              <w:bottom w:val="single" w:sz="8" w:color="DDDDDD"/>
            </w:tcBorders>
            <w:shd w:val="clear" w:color="auto" w:fill="DDDDDD"/>
          </w:tcPr>
          <w:p>
            <w:pPr>
              <w:spacing w:after="0"/>
              <w:rPr>
                <w:sz w:val="21"/>
                <w:szCs w:val="21"/>
                <w:color w:val="auto"/>
              </w:rPr>
            </w:pPr>
          </w:p>
        </w:tc>
        <w:tc>
          <w:tcPr>
            <w:tcW w:w="320" w:type="dxa"/>
            <w:vAlign w:val="bottom"/>
            <w:tcBorders>
              <w:bottom w:val="single" w:sz="8" w:color="auto"/>
            </w:tcBorders>
            <w:shd w:val="clear" w:color="auto" w:fill="DDDDDD"/>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709</w:t>
            </w:r>
          </w:p>
        </w:tc>
        <w:tc>
          <w:tcPr>
            <w:tcW w:w="120" w:type="dxa"/>
            <w:vAlign w:val="bottom"/>
            <w:tcBorders>
              <w:bottom w:val="single" w:sz="8" w:color="DDDDDD"/>
            </w:tcBorders>
            <w:shd w:val="clear" w:color="auto" w:fill="DDDDDD"/>
          </w:tcPr>
          <w:p>
            <w:pPr>
              <w:spacing w:after="0"/>
              <w:rPr>
                <w:sz w:val="21"/>
                <w:szCs w:val="21"/>
                <w:color w:val="auto"/>
              </w:rPr>
            </w:pPr>
          </w:p>
        </w:tc>
        <w:tc>
          <w:tcPr>
            <w:tcW w:w="480" w:type="dxa"/>
            <w:vAlign w:val="bottom"/>
            <w:tcBorders>
              <w:bottom w:val="single" w:sz="8" w:color="auto"/>
            </w:tcBorders>
            <w:shd w:val="clear" w:color="auto" w:fill="DDDDDD"/>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20"/>
        </w:trPr>
        <w:tc>
          <w:tcPr>
            <w:tcW w:w="6720" w:type="dxa"/>
            <w:vAlign w:val="bottom"/>
            <w:tcBorders>
              <w:top w:val="single" w:sz="8" w:color="DDDDDD"/>
              <w:bottom w:val="single" w:sz="8" w:color="DDDDDD"/>
            </w:tcBorders>
            <w:vMerge w:val="restart"/>
          </w:tcPr>
          <w:p>
            <w:pPr>
              <w:spacing w:after="0"/>
              <w:rPr>
                <w:sz w:val="20"/>
                <w:szCs w:val="20"/>
                <w:color w:val="auto"/>
              </w:rPr>
            </w:pPr>
            <w:r>
              <w:rPr>
                <w:rFonts w:ascii="Arial" w:cs="Arial" w:eastAsia="Arial" w:hAnsi="Arial"/>
                <w:sz w:val="18"/>
                <w:szCs w:val="18"/>
                <w:color w:val="auto"/>
              </w:rPr>
              <w:t>Environmental liabilities are included in the following balance sheet accounts:</w:t>
            </w:r>
          </w:p>
        </w:tc>
        <w:tc>
          <w:tcPr>
            <w:tcW w:w="340" w:type="dxa"/>
            <w:vAlign w:val="bottom"/>
            <w:tcBorders>
              <w:top w:val="single" w:sz="8" w:color="DDDDDD"/>
              <w:bottom w:val="single" w:sz="8" w:color="auto"/>
            </w:tcBorders>
          </w:tcPr>
          <w:p>
            <w:pPr>
              <w:spacing w:after="0" w:line="20" w:lineRule="exact"/>
              <w:rPr>
                <w:sz w:val="1"/>
                <w:szCs w:val="1"/>
                <w:color w:val="auto"/>
              </w:rPr>
            </w:pPr>
          </w:p>
        </w:tc>
        <w:tc>
          <w:tcPr>
            <w:tcW w:w="1080" w:type="dxa"/>
            <w:vAlign w:val="bottom"/>
            <w:tcBorders>
              <w:top w:val="single" w:sz="8" w:color="DDDDDD"/>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20" w:type="dxa"/>
            <w:vAlign w:val="bottom"/>
            <w:tcBorders>
              <w:top w:val="single" w:sz="8" w:color="DDDDDD"/>
            </w:tcBorders>
          </w:tcPr>
          <w:p>
            <w:pPr>
              <w:spacing w:after="0" w:line="20" w:lineRule="exact"/>
              <w:rPr>
                <w:sz w:val="1"/>
                <w:szCs w:val="1"/>
                <w:color w:val="auto"/>
              </w:rPr>
            </w:pPr>
          </w:p>
        </w:tc>
        <w:tc>
          <w:tcPr>
            <w:tcW w:w="320" w:type="dxa"/>
            <w:vAlign w:val="bottom"/>
            <w:tcBorders>
              <w:top w:val="single" w:sz="8" w:color="DDDDDD"/>
              <w:bottom w:val="single" w:sz="8" w:color="auto"/>
            </w:tcBorders>
          </w:tcPr>
          <w:p>
            <w:pPr>
              <w:spacing w:after="0" w:line="20" w:lineRule="exact"/>
              <w:rPr>
                <w:sz w:val="1"/>
                <w:szCs w:val="1"/>
                <w:color w:val="auto"/>
              </w:rPr>
            </w:pPr>
          </w:p>
        </w:tc>
        <w:tc>
          <w:tcPr>
            <w:tcW w:w="1100" w:type="dxa"/>
            <w:vAlign w:val="bottom"/>
            <w:tcBorders>
              <w:top w:val="single" w:sz="8" w:color="DDDDDD"/>
              <w:bottom w:val="single" w:sz="8" w:color="auto"/>
            </w:tcBorders>
          </w:tcPr>
          <w:p>
            <w:pPr>
              <w:spacing w:after="0" w:line="20" w:lineRule="exact"/>
              <w:rPr>
                <w:sz w:val="1"/>
                <w:szCs w:val="1"/>
                <w:color w:val="auto"/>
              </w:rPr>
            </w:pPr>
          </w:p>
        </w:tc>
        <w:tc>
          <w:tcPr>
            <w:tcW w:w="120" w:type="dxa"/>
            <w:vAlign w:val="bottom"/>
            <w:tcBorders>
              <w:top w:val="single" w:sz="8" w:color="DDDDDD"/>
            </w:tcBorders>
          </w:tcPr>
          <w:p>
            <w:pPr>
              <w:spacing w:after="0" w:line="20" w:lineRule="exact"/>
              <w:rPr>
                <w:sz w:val="1"/>
                <w:szCs w:val="1"/>
                <w:color w:val="auto"/>
              </w:rPr>
            </w:pPr>
          </w:p>
        </w:tc>
        <w:tc>
          <w:tcPr>
            <w:tcW w:w="480" w:type="dxa"/>
            <w:vAlign w:val="bottom"/>
            <w:tcBorders>
              <w:top w:val="single" w:sz="8" w:color="DDDDDD"/>
              <w:bottom w:val="single" w:sz="8" w:color="auto"/>
            </w:tcBorders>
          </w:tcPr>
          <w:p>
            <w:pPr>
              <w:spacing w:after="0" w:line="20" w:lineRule="exact"/>
              <w:rPr>
                <w:sz w:val="1"/>
                <w:szCs w:val="1"/>
                <w:color w:val="auto"/>
              </w:rPr>
            </w:pPr>
          </w:p>
        </w:tc>
        <w:tc>
          <w:tcPr>
            <w:tcW w:w="960" w:type="dxa"/>
            <w:vAlign w:val="bottom"/>
            <w:tcBorders>
              <w:top w:val="single" w:sz="8" w:color="DDDDD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67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6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DC202E"/>
            </w:tcBorders>
          </w:tcPr>
          <w:p>
            <w:pPr>
              <w:spacing w:after="0"/>
              <w:rPr>
                <w:sz w:val="24"/>
                <w:szCs w:val="24"/>
                <w:color w:val="auto"/>
              </w:rPr>
            </w:pPr>
          </w:p>
        </w:tc>
        <w:tc>
          <w:tcPr>
            <w:tcW w:w="320" w:type="dxa"/>
            <w:vAlign w:val="bottom"/>
            <w:tcBorders>
              <w:bottom w:val="single" w:sz="8" w:color="DC202E"/>
            </w:tcBorders>
          </w:tcPr>
          <w:p>
            <w:pPr>
              <w:spacing w:after="0"/>
              <w:rPr>
                <w:sz w:val="24"/>
                <w:szCs w:val="24"/>
                <w:color w:val="auto"/>
              </w:rPr>
            </w:pPr>
          </w:p>
        </w:tc>
        <w:tc>
          <w:tcPr>
            <w:tcW w:w="1700" w:type="dxa"/>
            <w:vAlign w:val="bottom"/>
            <w:tcBorders>
              <w:bottom w:val="single" w:sz="8" w:color="DC202E"/>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DC202E"/>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720" w:type="dxa"/>
            <w:vAlign w:val="bottom"/>
            <w:tcBorders>
              <w:bottom w:val="single" w:sz="8" w:color="DDDDDD"/>
            </w:tcBorders>
          </w:tcPr>
          <w:p>
            <w:pPr>
              <w:spacing w:after="0"/>
              <w:rPr>
                <w:sz w:val="21"/>
                <w:szCs w:val="21"/>
                <w:color w:val="auto"/>
              </w:rPr>
            </w:pPr>
          </w:p>
        </w:tc>
        <w:tc>
          <w:tcPr>
            <w:tcW w:w="340" w:type="dxa"/>
            <w:vAlign w:val="bottom"/>
            <w:tcBorders>
              <w:bottom w:val="single" w:sz="8" w:color="DDDDDD"/>
            </w:tcBorders>
          </w:tcPr>
          <w:p>
            <w:pPr>
              <w:spacing w:after="0"/>
              <w:rPr>
                <w:sz w:val="21"/>
                <w:szCs w:val="21"/>
                <w:color w:val="auto"/>
              </w:rPr>
            </w:pPr>
          </w:p>
        </w:tc>
        <w:tc>
          <w:tcPr>
            <w:tcW w:w="1080" w:type="dxa"/>
            <w:vAlign w:val="bottom"/>
            <w:tcBorders>
              <w:bottom w:val="single" w:sz="8" w:color="DDDDDD"/>
            </w:tcBorders>
          </w:tcPr>
          <w:p>
            <w:pPr>
              <w:spacing w:after="0"/>
              <w:rPr>
                <w:sz w:val="21"/>
                <w:szCs w:val="21"/>
                <w:color w:val="auto"/>
              </w:rPr>
            </w:pPr>
          </w:p>
        </w:tc>
        <w:tc>
          <w:tcPr>
            <w:tcW w:w="100" w:type="dxa"/>
            <w:vAlign w:val="bottom"/>
            <w:tcBorders>
              <w:bottom w:val="single" w:sz="8" w:color="DDDDDD"/>
            </w:tcBorders>
          </w:tcPr>
          <w:p>
            <w:pPr>
              <w:spacing w:after="0"/>
              <w:rPr>
                <w:sz w:val="21"/>
                <w:szCs w:val="21"/>
                <w:color w:val="auto"/>
              </w:rPr>
            </w:pPr>
          </w:p>
        </w:tc>
        <w:tc>
          <w:tcPr>
            <w:tcW w:w="20" w:type="dxa"/>
            <w:vAlign w:val="bottom"/>
            <w:tcBorders>
              <w:bottom w:val="single" w:sz="8" w:color="DC202E"/>
            </w:tcBorders>
          </w:tcPr>
          <w:p>
            <w:pPr>
              <w:spacing w:after="0"/>
              <w:rPr>
                <w:sz w:val="21"/>
                <w:szCs w:val="21"/>
                <w:color w:val="auto"/>
              </w:rPr>
            </w:pPr>
          </w:p>
        </w:tc>
        <w:tc>
          <w:tcPr>
            <w:tcW w:w="320" w:type="dxa"/>
            <w:vAlign w:val="bottom"/>
            <w:tcBorders>
              <w:bottom w:val="single" w:sz="8" w:color="DC202E"/>
            </w:tcBorders>
          </w:tcPr>
          <w:p>
            <w:pPr>
              <w:spacing w:after="0"/>
              <w:rPr>
                <w:sz w:val="21"/>
                <w:szCs w:val="21"/>
                <w:color w:val="auto"/>
              </w:rPr>
            </w:pPr>
          </w:p>
        </w:tc>
        <w:tc>
          <w:tcPr>
            <w:tcW w:w="1100" w:type="dxa"/>
            <w:vAlign w:val="bottom"/>
            <w:tcBorders>
              <w:bottom w:val="single" w:sz="8" w:color="DC202E"/>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DDDDDD"/>
            </w:tcBorders>
          </w:tcPr>
          <w:p>
            <w:pPr>
              <w:spacing w:after="0"/>
              <w:rPr>
                <w:sz w:val="21"/>
                <w:szCs w:val="21"/>
                <w:color w:val="auto"/>
              </w:rPr>
            </w:pPr>
          </w:p>
        </w:tc>
        <w:tc>
          <w:tcPr>
            <w:tcW w:w="480" w:type="dxa"/>
            <w:vAlign w:val="bottom"/>
            <w:tcBorders>
              <w:bottom w:val="single" w:sz="8" w:color="DC202E"/>
            </w:tcBorders>
          </w:tcPr>
          <w:p>
            <w:pPr>
              <w:spacing w:after="0"/>
              <w:rPr>
                <w:sz w:val="21"/>
                <w:szCs w:val="21"/>
                <w:color w:val="auto"/>
              </w:rPr>
            </w:pPr>
          </w:p>
        </w:tc>
        <w:tc>
          <w:tcPr>
            <w:tcW w:w="960" w:type="dxa"/>
            <w:vAlign w:val="bottom"/>
            <w:tcBorders>
              <w:bottom w:val="single" w:sz="8" w:color="DC202E"/>
            </w:tcBorders>
          </w:tcPr>
          <w:p>
            <w:pPr>
              <w:jc w:val="right"/>
              <w:ind w:right="47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9"/>
        </w:trPr>
        <w:tc>
          <w:tcPr>
            <w:tcW w:w="6720" w:type="dxa"/>
            <w:vAlign w:val="bottom"/>
            <w:shd w:val="clear" w:color="auto" w:fill="DDDDDD"/>
          </w:tcPr>
          <w:p>
            <w:pPr>
              <w:ind w:left="20"/>
              <w:spacing w:after="0"/>
              <w:rPr>
                <w:sz w:val="20"/>
                <w:szCs w:val="20"/>
                <w:color w:val="auto"/>
              </w:rPr>
            </w:pPr>
            <w:r>
              <w:rPr>
                <w:rFonts w:ascii="Arial" w:cs="Arial" w:eastAsia="Arial" w:hAnsi="Arial"/>
                <w:sz w:val="18"/>
                <w:szCs w:val="18"/>
                <w:color w:val="auto"/>
              </w:rPr>
              <w:t>Accrued liabilities</w:t>
            </w:r>
          </w:p>
        </w:tc>
        <w:tc>
          <w:tcPr>
            <w:tcW w:w="340" w:type="dxa"/>
            <w:vAlign w:val="bottom"/>
            <w:shd w:val="clear" w:color="auto" w:fill="DDDDDD"/>
          </w:tcPr>
          <w:p>
            <w:pPr>
              <w:spacing w:after="0"/>
              <w:rPr>
                <w:sz w:val="19"/>
                <w:szCs w:val="19"/>
                <w:color w:val="auto"/>
              </w:rPr>
            </w:pPr>
          </w:p>
        </w:tc>
        <w:tc>
          <w:tcPr>
            <w:tcW w:w="108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32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225</w:t>
            </w:r>
          </w:p>
        </w:tc>
        <w:tc>
          <w:tcPr>
            <w:tcW w:w="120" w:type="dxa"/>
            <w:vAlign w:val="bottom"/>
            <w:shd w:val="clear" w:color="auto" w:fill="DDDDDD"/>
          </w:tcPr>
          <w:p>
            <w:pPr>
              <w:spacing w:after="0"/>
              <w:rPr>
                <w:sz w:val="19"/>
                <w:szCs w:val="19"/>
                <w:color w:val="auto"/>
              </w:rPr>
            </w:pPr>
          </w:p>
        </w:tc>
        <w:tc>
          <w:tcPr>
            <w:tcW w:w="480" w:type="dxa"/>
            <w:vAlign w:val="bottom"/>
            <w:shd w:val="clear" w:color="auto" w:fill="DDDDDD"/>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29"/>
        </w:trPr>
        <w:tc>
          <w:tcPr>
            <w:tcW w:w="6720" w:type="dxa"/>
            <w:vAlign w:val="bottom"/>
            <w:tcBorders>
              <w:bottom w:val="single" w:sz="8" w:color="DDDDDD"/>
            </w:tcBorders>
          </w:tcPr>
          <w:p>
            <w:pPr>
              <w:ind w:left="20"/>
              <w:spacing w:after="0"/>
              <w:rPr>
                <w:sz w:val="20"/>
                <w:szCs w:val="20"/>
                <w:color w:val="auto"/>
              </w:rPr>
            </w:pPr>
            <w:r>
              <w:rPr>
                <w:rFonts w:ascii="Arial" w:cs="Arial" w:eastAsia="Arial" w:hAnsi="Arial"/>
                <w:sz w:val="18"/>
                <w:szCs w:val="18"/>
                <w:color w:val="auto"/>
              </w:rPr>
              <w:t>Other liabilities</w:t>
            </w:r>
          </w:p>
        </w:tc>
        <w:tc>
          <w:tcPr>
            <w:tcW w:w="340" w:type="dxa"/>
            <w:vAlign w:val="bottom"/>
            <w:tcBorders>
              <w:bottom w:val="single" w:sz="8" w:color="DDDDDD"/>
            </w:tcBorders>
          </w:tcPr>
          <w:p>
            <w:pPr>
              <w:spacing w:after="0"/>
              <w:rPr>
                <w:sz w:val="19"/>
                <w:szCs w:val="19"/>
                <w:color w:val="auto"/>
              </w:rPr>
            </w:pPr>
          </w:p>
        </w:tc>
        <w:tc>
          <w:tcPr>
            <w:tcW w:w="1080" w:type="dxa"/>
            <w:vAlign w:val="bottom"/>
            <w:tcBorders>
              <w:bottom w:val="single" w:sz="8" w:color="DDDDDD"/>
            </w:tcBorders>
          </w:tcPr>
          <w:p>
            <w:pPr>
              <w:spacing w:after="0"/>
              <w:rPr>
                <w:sz w:val="19"/>
                <w:szCs w:val="19"/>
                <w:color w:val="auto"/>
              </w:rPr>
            </w:pPr>
          </w:p>
        </w:tc>
        <w:tc>
          <w:tcPr>
            <w:tcW w:w="100" w:type="dxa"/>
            <w:vAlign w:val="bottom"/>
            <w:tcBorders>
              <w:bottom w:val="single" w:sz="8" w:color="DDDDDD"/>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w:t>
            </w:r>
          </w:p>
        </w:tc>
        <w:tc>
          <w:tcPr>
            <w:tcW w:w="120" w:type="dxa"/>
            <w:vAlign w:val="bottom"/>
            <w:tcBorders>
              <w:bottom w:val="single" w:sz="8" w:color="DDDDDD"/>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48"/>
        </w:trPr>
        <w:tc>
          <w:tcPr>
            <w:tcW w:w="6720" w:type="dxa"/>
            <w:vAlign w:val="bottom"/>
            <w:tcBorders>
              <w:bottom w:val="single" w:sz="8" w:color="DDDDDD"/>
            </w:tcBorders>
            <w:shd w:val="clear" w:color="auto" w:fill="DDDDDD"/>
          </w:tcPr>
          <w:p>
            <w:pPr>
              <w:spacing w:after="0"/>
              <w:rPr>
                <w:sz w:val="21"/>
                <w:szCs w:val="21"/>
                <w:color w:val="auto"/>
              </w:rPr>
            </w:pPr>
          </w:p>
        </w:tc>
        <w:tc>
          <w:tcPr>
            <w:tcW w:w="340" w:type="dxa"/>
            <w:vAlign w:val="bottom"/>
            <w:tcBorders>
              <w:bottom w:val="single" w:sz="8" w:color="DDDDDD"/>
            </w:tcBorders>
            <w:shd w:val="clear" w:color="auto" w:fill="DDDDDD"/>
          </w:tcPr>
          <w:p>
            <w:pPr>
              <w:spacing w:after="0"/>
              <w:rPr>
                <w:sz w:val="21"/>
                <w:szCs w:val="21"/>
                <w:color w:val="auto"/>
              </w:rPr>
            </w:pPr>
          </w:p>
        </w:tc>
        <w:tc>
          <w:tcPr>
            <w:tcW w:w="1080" w:type="dxa"/>
            <w:vAlign w:val="bottom"/>
            <w:tcBorders>
              <w:bottom w:val="single" w:sz="8" w:color="DDDDDD"/>
            </w:tcBorders>
            <w:shd w:val="clear" w:color="auto" w:fill="DDDDDD"/>
          </w:tcPr>
          <w:p>
            <w:pPr>
              <w:spacing w:after="0"/>
              <w:rPr>
                <w:sz w:val="21"/>
                <w:szCs w:val="21"/>
                <w:color w:val="auto"/>
              </w:rPr>
            </w:pPr>
          </w:p>
        </w:tc>
        <w:tc>
          <w:tcPr>
            <w:tcW w:w="100" w:type="dxa"/>
            <w:vAlign w:val="bottom"/>
            <w:tcBorders>
              <w:bottom w:val="single" w:sz="8" w:color="DDDDDD"/>
            </w:tcBorders>
            <w:shd w:val="clear" w:color="auto" w:fill="DDDDDD"/>
          </w:tcPr>
          <w:p>
            <w:pPr>
              <w:spacing w:after="0"/>
              <w:rPr>
                <w:sz w:val="21"/>
                <w:szCs w:val="21"/>
                <w:color w:val="auto"/>
              </w:rPr>
            </w:pPr>
          </w:p>
        </w:tc>
        <w:tc>
          <w:tcPr>
            <w:tcW w:w="20" w:type="dxa"/>
            <w:vAlign w:val="bottom"/>
            <w:tcBorders>
              <w:bottom w:val="single" w:sz="8" w:color="auto"/>
            </w:tcBorders>
            <w:shd w:val="clear" w:color="auto" w:fill="DDDDDD"/>
          </w:tcPr>
          <w:p>
            <w:pPr>
              <w:spacing w:after="0"/>
              <w:rPr>
                <w:sz w:val="21"/>
                <w:szCs w:val="21"/>
                <w:color w:val="auto"/>
              </w:rPr>
            </w:pPr>
          </w:p>
        </w:tc>
        <w:tc>
          <w:tcPr>
            <w:tcW w:w="320" w:type="dxa"/>
            <w:vAlign w:val="bottom"/>
            <w:tcBorders>
              <w:bottom w:val="single" w:sz="8" w:color="auto"/>
            </w:tcBorders>
            <w:shd w:val="clear" w:color="auto" w:fill="DDDDDD"/>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660</w:t>
            </w:r>
          </w:p>
        </w:tc>
        <w:tc>
          <w:tcPr>
            <w:tcW w:w="120" w:type="dxa"/>
            <w:vAlign w:val="bottom"/>
            <w:tcBorders>
              <w:bottom w:val="single" w:sz="8" w:color="DDDDDD"/>
            </w:tcBorders>
            <w:shd w:val="clear" w:color="auto" w:fill="DDDDDD"/>
          </w:tcPr>
          <w:p>
            <w:pPr>
              <w:spacing w:after="0"/>
              <w:rPr>
                <w:sz w:val="21"/>
                <w:szCs w:val="21"/>
                <w:color w:val="auto"/>
              </w:rPr>
            </w:pPr>
          </w:p>
        </w:tc>
        <w:tc>
          <w:tcPr>
            <w:tcW w:w="480" w:type="dxa"/>
            <w:vAlign w:val="bottom"/>
            <w:tcBorders>
              <w:bottom w:val="single" w:sz="8" w:color="auto"/>
            </w:tcBorders>
            <w:shd w:val="clear" w:color="auto" w:fill="DDDDDD"/>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0"/>
        </w:trPr>
        <w:tc>
          <w:tcPr>
            <w:tcW w:w="6720" w:type="dxa"/>
            <w:vAlign w:val="bottom"/>
            <w:tcBorders>
              <w:top w:val="single" w:sz="8" w:color="DDDDDD"/>
            </w:tcBorders>
          </w:tcPr>
          <w:p>
            <w:pPr>
              <w:spacing w:after="0" w:line="20" w:lineRule="exact"/>
              <w:rPr>
                <w:sz w:val="1"/>
                <w:szCs w:val="1"/>
                <w:color w:val="auto"/>
              </w:rPr>
            </w:pPr>
          </w:p>
        </w:tc>
        <w:tc>
          <w:tcPr>
            <w:tcW w:w="340" w:type="dxa"/>
            <w:vAlign w:val="bottom"/>
            <w:tcBorders>
              <w:top w:val="single" w:sz="8" w:color="DDDDDD"/>
            </w:tcBorders>
          </w:tcPr>
          <w:p>
            <w:pPr>
              <w:spacing w:after="0" w:line="20" w:lineRule="exact"/>
              <w:rPr>
                <w:sz w:val="1"/>
                <w:szCs w:val="1"/>
                <w:color w:val="auto"/>
              </w:rPr>
            </w:pPr>
          </w:p>
        </w:tc>
        <w:tc>
          <w:tcPr>
            <w:tcW w:w="1080" w:type="dxa"/>
            <w:vAlign w:val="bottom"/>
            <w:tcBorders>
              <w:top w:val="single" w:sz="8" w:color="DDDDDD"/>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20" w:type="dxa"/>
            <w:vAlign w:val="bottom"/>
            <w:tcBorders>
              <w:top w:val="single" w:sz="8" w:color="DDDDDD"/>
              <w:bottom w:val="single" w:sz="8" w:color="auto"/>
            </w:tcBorders>
          </w:tcPr>
          <w:p>
            <w:pPr>
              <w:spacing w:after="0" w:line="20" w:lineRule="exact"/>
              <w:rPr>
                <w:sz w:val="1"/>
                <w:szCs w:val="1"/>
                <w:color w:val="auto"/>
              </w:rPr>
            </w:pPr>
          </w:p>
        </w:tc>
        <w:tc>
          <w:tcPr>
            <w:tcW w:w="320" w:type="dxa"/>
            <w:vAlign w:val="bottom"/>
            <w:tcBorders>
              <w:top w:val="single" w:sz="8" w:color="DDDDDD"/>
              <w:bottom w:val="single" w:sz="8" w:color="auto"/>
            </w:tcBorders>
          </w:tcPr>
          <w:p>
            <w:pPr>
              <w:spacing w:after="0" w:line="20" w:lineRule="exact"/>
              <w:rPr>
                <w:sz w:val="1"/>
                <w:szCs w:val="1"/>
                <w:color w:val="auto"/>
              </w:rPr>
            </w:pPr>
          </w:p>
        </w:tc>
        <w:tc>
          <w:tcPr>
            <w:tcW w:w="1100" w:type="dxa"/>
            <w:vAlign w:val="bottom"/>
            <w:tcBorders>
              <w:top w:val="single" w:sz="8" w:color="DDDDDD"/>
              <w:bottom w:val="single" w:sz="8" w:color="auto"/>
            </w:tcBorders>
          </w:tcPr>
          <w:p>
            <w:pPr>
              <w:spacing w:after="0" w:line="20" w:lineRule="exact"/>
              <w:rPr>
                <w:sz w:val="1"/>
                <w:szCs w:val="1"/>
                <w:color w:val="auto"/>
              </w:rPr>
            </w:pPr>
          </w:p>
        </w:tc>
        <w:tc>
          <w:tcPr>
            <w:tcW w:w="120" w:type="dxa"/>
            <w:vAlign w:val="bottom"/>
            <w:tcBorders>
              <w:top w:val="single" w:sz="8" w:color="DDDDDD"/>
            </w:tcBorders>
          </w:tcPr>
          <w:p>
            <w:pPr>
              <w:spacing w:after="0" w:line="20" w:lineRule="exact"/>
              <w:rPr>
                <w:sz w:val="1"/>
                <w:szCs w:val="1"/>
                <w:color w:val="auto"/>
              </w:rPr>
            </w:pPr>
          </w:p>
        </w:tc>
        <w:tc>
          <w:tcPr>
            <w:tcW w:w="480" w:type="dxa"/>
            <w:vAlign w:val="bottom"/>
            <w:tcBorders>
              <w:top w:val="single" w:sz="8" w:color="DDDDDD"/>
              <w:bottom w:val="single" w:sz="8" w:color="auto"/>
            </w:tcBorders>
          </w:tcPr>
          <w:p>
            <w:pPr>
              <w:spacing w:after="0" w:line="20" w:lineRule="exact"/>
              <w:rPr>
                <w:sz w:val="1"/>
                <w:szCs w:val="1"/>
                <w:color w:val="auto"/>
              </w:rPr>
            </w:pPr>
          </w:p>
        </w:tc>
        <w:tc>
          <w:tcPr>
            <w:tcW w:w="960" w:type="dxa"/>
            <w:vAlign w:val="bottom"/>
            <w:tcBorders>
              <w:top w:val="single" w:sz="8" w:color="DDDDD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does not currently possess sufficient information to reasonably estimate the amounts of environmental liabilities to be recorded upon future completion of studies, litigation or settlements, and neither the timing nor the amount of the ultimate costs associated with environmental matters can be determined, although they could be material to our Consolidated Statement of Operations and operating cash flows in the periods recognized or paid. However, considering our past experience and existing reserves, the Company does not expect that environmental matters will have a material adverse effect on its Consolidated Balance Sheet.</w:t>
      </w:r>
    </w:p>
    <w:p>
      <w:pPr>
        <w:spacing w:after="0" w:line="9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conjunction with the Resideo spin-off, the Company entered into an indemnification and reimbursement agreement with a Resideo subsidiary, pursuant to which Resideo’s subsidiary has an ongoing obligation to make cash payments to Honeywell in amounts equal to 90% of Honeywell’s annual net spending for environmental matters at certain sites as defined in the agreement. The amount payable to Honeywell in any given year is subject to a cap of $140 million, and the obligation will continue until the earlier of December 31, 2043, or December 31 of the third consecutive year during which the annual payment obligation is less than $25 million.</w:t>
      </w:r>
    </w:p>
    <w:p>
      <w:pPr>
        <w:spacing w:after="0" w:line="9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Reimbursements associated with this agreement are collected from Resideo quarterly and were $140 million in both 2020 and 2019 and offset operating cash outflows incurred by the Company. On July 28, 2020, the Company and Resideo agreed to a second amendment of the indemnification and reimbursement agreement to extend the payment due date to October 30, 2020 for the reimbursement amount of $35 million (originally due on April 30, 2020). The Company had previously agreed to extend the payment date for such amount to July 30, 2020. On October 30, 2020, Resideo paid Honeywell the regularly scheduled reimbursement amount of $35 million due on that date as well as the deferred reimbursement amount of $35 million. As the Company incurs costs for environmental matters deemed probable and reasonably estimable related to the sites covered by the indemnification and reimbursement agreement, a corresponding receivable from Resideo for 90% of such costs is also recorded. This receivable amount recorded in 2020 and 2019 was $146 million and $109 million, respectively. As of December 31, 2020, Other Current Assets and Other Assets included $140 million and $451 million, respectively, for the short-term and long-term portion of the receivable amount due from Resideo under the indemnification and reimbursement agreement. As of December 31, 2019, Other Current Assets and Other Assets included $140 million and $445 million, respectively, for the short-term and long-term portion of the receivable amount due from Resideo under the indemnification and reimbursement agreement.</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86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89" w:name="page90"/>
    <w:bookmarkEnd w:id="89"/>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ASBESTOS MATTERS</w:t>
      </w:r>
    </w:p>
    <w:p>
      <w:pPr>
        <w:spacing w:after="0" w:line="13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Honeywell is named in asbestos related personal injury claims related to North American Refractories Company (NARCO), which was sold in 1986, and the Bendix Friction Materials (Bendix) business, which was sold in 2014.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information concerning NARCO and Bendix asbestos related balances:</w:t>
      </w:r>
    </w:p>
    <w:p>
      <w:pPr>
        <w:spacing w:after="0" w:line="3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ASBESTOS RELATED LIABILITIES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420" w:type="dxa"/>
            <w:vAlign w:val="bottom"/>
          </w:tcPr>
          <w:p>
            <w:pPr>
              <w:spacing w:after="0"/>
              <w:rPr>
                <w:sz w:val="17"/>
                <w:szCs w:val="17"/>
                <w:color w:val="auto"/>
              </w:rPr>
            </w:pPr>
          </w:p>
        </w:tc>
        <w:tc>
          <w:tcPr>
            <w:tcW w:w="160" w:type="dxa"/>
            <w:vAlign w:val="bottom"/>
            <w:tcBorders>
              <w:bottom w:val="single" w:sz="8" w:color="DC202E"/>
            </w:tcBorders>
          </w:tcPr>
          <w:p>
            <w:pPr>
              <w:spacing w:after="0"/>
              <w:rPr>
                <w:sz w:val="17"/>
                <w:szCs w:val="17"/>
                <w:color w:val="auto"/>
              </w:rPr>
            </w:pPr>
          </w:p>
        </w:tc>
        <w:tc>
          <w:tcPr>
            <w:tcW w:w="2660" w:type="dxa"/>
            <w:vAlign w:val="bottom"/>
            <w:tcBorders>
              <w:bottom w:val="single" w:sz="8" w:color="DC202E"/>
            </w:tcBorders>
            <w:gridSpan w:val="7"/>
          </w:tcPr>
          <w:p>
            <w:pPr>
              <w:jc w:val="center"/>
              <w:ind w:right="93"/>
              <w:spacing w:after="0"/>
              <w:rPr>
                <w:sz w:val="20"/>
                <w:szCs w:val="20"/>
                <w:color w:val="auto"/>
              </w:rPr>
            </w:pPr>
            <w:r>
              <w:rPr>
                <w:rFonts w:ascii="Arial" w:cs="Arial" w:eastAsia="Arial" w:hAnsi="Arial"/>
                <w:sz w:val="14"/>
                <w:szCs w:val="14"/>
                <w:b w:val="1"/>
                <w:bCs w:val="1"/>
                <w:color w:val="auto"/>
              </w:rPr>
              <w:t>Year Ended December 31, 2020</w:t>
            </w:r>
          </w:p>
        </w:tc>
        <w:tc>
          <w:tcPr>
            <w:tcW w:w="100" w:type="dxa"/>
            <w:vAlign w:val="bottom"/>
          </w:tcPr>
          <w:p>
            <w:pPr>
              <w:spacing w:after="0"/>
              <w:rPr>
                <w:sz w:val="17"/>
                <w:szCs w:val="17"/>
                <w:color w:val="auto"/>
              </w:rPr>
            </w:pPr>
          </w:p>
        </w:tc>
        <w:tc>
          <w:tcPr>
            <w:tcW w:w="160" w:type="dxa"/>
            <w:vAlign w:val="bottom"/>
            <w:tcBorders>
              <w:bottom w:val="single" w:sz="8" w:color="DC202E"/>
            </w:tcBorders>
          </w:tcPr>
          <w:p>
            <w:pPr>
              <w:spacing w:after="0"/>
              <w:rPr>
                <w:sz w:val="17"/>
                <w:szCs w:val="17"/>
                <w:color w:val="auto"/>
              </w:rPr>
            </w:pPr>
          </w:p>
        </w:tc>
        <w:tc>
          <w:tcPr>
            <w:tcW w:w="2680" w:type="dxa"/>
            <w:vAlign w:val="bottom"/>
            <w:tcBorders>
              <w:bottom w:val="single" w:sz="8" w:color="DC202E"/>
            </w:tcBorders>
            <w:gridSpan w:val="7"/>
          </w:tcPr>
          <w:p>
            <w:pPr>
              <w:jc w:val="center"/>
              <w:ind w:right="73"/>
              <w:spacing w:after="0"/>
              <w:rPr>
                <w:sz w:val="20"/>
                <w:szCs w:val="20"/>
                <w:color w:val="auto"/>
              </w:rPr>
            </w:pPr>
            <w:r>
              <w:rPr>
                <w:rFonts w:ascii="Arial" w:cs="Arial" w:eastAsia="Arial" w:hAnsi="Arial"/>
                <w:sz w:val="14"/>
                <w:szCs w:val="14"/>
                <w:b w:val="1"/>
                <w:bCs w:val="1"/>
                <w:color w:val="auto"/>
              </w:rPr>
              <w:t>Year Ended December 31, 2019</w:t>
            </w:r>
          </w:p>
        </w:tc>
        <w:tc>
          <w:tcPr>
            <w:tcW w:w="100" w:type="dxa"/>
            <w:vAlign w:val="bottom"/>
          </w:tcPr>
          <w:p>
            <w:pPr>
              <w:spacing w:after="0"/>
              <w:rPr>
                <w:sz w:val="17"/>
                <w:szCs w:val="17"/>
                <w:color w:val="auto"/>
              </w:rPr>
            </w:pPr>
          </w:p>
        </w:tc>
        <w:tc>
          <w:tcPr>
            <w:tcW w:w="160" w:type="dxa"/>
            <w:vAlign w:val="bottom"/>
            <w:tcBorders>
              <w:bottom w:val="single" w:sz="8" w:color="DC202E"/>
            </w:tcBorders>
          </w:tcPr>
          <w:p>
            <w:pPr>
              <w:spacing w:after="0"/>
              <w:rPr>
                <w:sz w:val="17"/>
                <w:szCs w:val="17"/>
                <w:color w:val="auto"/>
              </w:rPr>
            </w:pPr>
          </w:p>
        </w:tc>
        <w:tc>
          <w:tcPr>
            <w:tcW w:w="2700" w:type="dxa"/>
            <w:vAlign w:val="bottom"/>
            <w:tcBorders>
              <w:bottom w:val="single" w:sz="8" w:color="DC202E"/>
            </w:tcBorders>
            <w:gridSpan w:val="7"/>
          </w:tcPr>
          <w:p>
            <w:pPr>
              <w:jc w:val="center"/>
              <w:ind w:right="93"/>
              <w:spacing w:after="0"/>
              <w:rPr>
                <w:sz w:val="20"/>
                <w:szCs w:val="20"/>
                <w:color w:val="auto"/>
              </w:rPr>
            </w:pPr>
            <w:r>
              <w:rPr>
                <w:rFonts w:ascii="Arial" w:cs="Arial" w:eastAsia="Arial" w:hAnsi="Arial"/>
                <w:sz w:val="14"/>
                <w:szCs w:val="14"/>
                <w:b w:val="1"/>
                <w:bCs w:val="1"/>
                <w:color w:val="auto"/>
              </w:rPr>
              <w:t>Year Ended December 31, 2018</w:t>
            </w:r>
          </w:p>
        </w:tc>
      </w:tr>
      <w:tr>
        <w:trPr>
          <w:trHeight w:val="196"/>
        </w:trPr>
        <w:tc>
          <w:tcPr>
            <w:tcW w:w="2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Bendix</w:t>
            </w:r>
          </w:p>
        </w:tc>
        <w:tc>
          <w:tcPr>
            <w:tcW w:w="140" w:type="dxa"/>
            <w:vAlign w:val="bottom"/>
          </w:tcPr>
          <w:p>
            <w:pPr>
              <w:spacing w:after="0"/>
              <w:rPr>
                <w:sz w:val="17"/>
                <w:szCs w:val="17"/>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NARCO</w:t>
            </w:r>
          </w:p>
        </w:tc>
        <w:tc>
          <w:tcPr>
            <w:tcW w:w="200" w:type="dxa"/>
            <w:vAlign w:val="bottom"/>
          </w:tcPr>
          <w:p>
            <w:pPr>
              <w:spacing w:after="0"/>
              <w:rPr>
                <w:sz w:val="17"/>
                <w:szCs w:val="17"/>
                <w:color w:val="auto"/>
              </w:rPr>
            </w:pPr>
          </w:p>
        </w:tc>
        <w:tc>
          <w:tcPr>
            <w:tcW w:w="78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7"/>
                <w:szCs w:val="17"/>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Bendix</w:t>
            </w:r>
          </w:p>
        </w:tc>
        <w:tc>
          <w:tcPr>
            <w:tcW w:w="140" w:type="dxa"/>
            <w:vAlign w:val="bottom"/>
          </w:tcPr>
          <w:p>
            <w:pPr>
              <w:spacing w:after="0"/>
              <w:rPr>
                <w:sz w:val="17"/>
                <w:szCs w:val="17"/>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NARCO</w:t>
            </w:r>
          </w:p>
        </w:tc>
        <w:tc>
          <w:tcPr>
            <w:tcW w:w="200" w:type="dxa"/>
            <w:vAlign w:val="bottom"/>
          </w:tcPr>
          <w:p>
            <w:pPr>
              <w:spacing w:after="0"/>
              <w:rPr>
                <w:sz w:val="17"/>
                <w:szCs w:val="17"/>
                <w:color w:val="auto"/>
              </w:rPr>
            </w:pPr>
          </w:p>
        </w:tc>
        <w:tc>
          <w:tcPr>
            <w:tcW w:w="78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7"/>
                <w:szCs w:val="17"/>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Bendix</w:t>
            </w:r>
          </w:p>
        </w:tc>
        <w:tc>
          <w:tcPr>
            <w:tcW w:w="160" w:type="dxa"/>
            <w:vAlign w:val="bottom"/>
          </w:tcPr>
          <w:p>
            <w:pPr>
              <w:spacing w:after="0"/>
              <w:rPr>
                <w:sz w:val="17"/>
                <w:szCs w:val="17"/>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NARCO</w:t>
            </w:r>
          </w:p>
        </w:tc>
        <w:tc>
          <w:tcPr>
            <w:tcW w:w="180" w:type="dxa"/>
            <w:vAlign w:val="bottom"/>
          </w:tcPr>
          <w:p>
            <w:pPr>
              <w:spacing w:after="0"/>
              <w:rPr>
                <w:sz w:val="17"/>
                <w:szCs w:val="17"/>
                <w:color w:val="auto"/>
              </w:rPr>
            </w:pPr>
          </w:p>
        </w:tc>
        <w:tc>
          <w:tcPr>
            <w:tcW w:w="700" w:type="dxa"/>
            <w:vAlign w:val="bottom"/>
          </w:tcPr>
          <w:p>
            <w:pPr>
              <w:jc w:val="right"/>
              <w:ind w:right="193"/>
              <w:spacing w:after="0"/>
              <w:rPr>
                <w:sz w:val="20"/>
                <w:szCs w:val="20"/>
                <w:color w:val="auto"/>
              </w:rPr>
            </w:pPr>
            <w:r>
              <w:rPr>
                <w:rFonts w:ascii="Arial" w:cs="Arial" w:eastAsia="Arial" w:hAnsi="Arial"/>
                <w:sz w:val="14"/>
                <w:szCs w:val="14"/>
                <w:b w:val="1"/>
                <w:bCs w:val="1"/>
                <w:color w:val="auto"/>
              </w:rPr>
              <w:t>Total</w:t>
            </w:r>
          </w:p>
        </w:tc>
      </w:tr>
      <w:tr>
        <w:trPr>
          <w:trHeight w:val="229"/>
        </w:trPr>
        <w:tc>
          <w:tcPr>
            <w:tcW w:w="2420" w:type="dxa"/>
            <w:vAlign w:val="bottom"/>
            <w:tcBorders>
              <w:top w:val="single" w:sz="8" w:color="DDDDDD"/>
            </w:tcBorders>
            <w:shd w:val="clear" w:color="auto" w:fill="DDDDDD"/>
          </w:tcPr>
          <w:p>
            <w:pPr>
              <w:ind w:left="20"/>
              <w:spacing w:after="0"/>
              <w:rPr>
                <w:sz w:val="20"/>
                <w:szCs w:val="20"/>
                <w:color w:val="auto"/>
              </w:rPr>
            </w:pPr>
            <w:r>
              <w:rPr>
                <w:rFonts w:ascii="Arial" w:cs="Arial" w:eastAsia="Arial" w:hAnsi="Arial"/>
                <w:sz w:val="18"/>
                <w:szCs w:val="18"/>
                <w:color w:val="auto"/>
              </w:rPr>
              <w:t>Beginning of year</w:t>
            </w:r>
          </w:p>
        </w:tc>
        <w:tc>
          <w:tcPr>
            <w:tcW w:w="160" w:type="dxa"/>
            <w:vAlign w:val="bottom"/>
            <w:tcBorders>
              <w:top w:val="single" w:sz="8" w:color="DC202E"/>
            </w:tcBorders>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DC202E"/>
            </w:tcBorders>
            <w:shd w:val="clear" w:color="auto" w:fill="DDDDDD"/>
          </w:tcPr>
          <w:p>
            <w:pPr>
              <w:jc w:val="right"/>
              <w:spacing w:after="0"/>
              <w:rPr>
                <w:sz w:val="20"/>
                <w:szCs w:val="20"/>
                <w:color w:val="auto"/>
              </w:rPr>
            </w:pPr>
            <w:r>
              <w:rPr>
                <w:rFonts w:ascii="Arial" w:cs="Arial" w:eastAsia="Arial" w:hAnsi="Arial"/>
                <w:sz w:val="18"/>
                <w:szCs w:val="18"/>
                <w:color w:val="auto"/>
              </w:rPr>
              <w:t>1,499</w:t>
            </w:r>
          </w:p>
        </w:tc>
        <w:tc>
          <w:tcPr>
            <w:tcW w:w="120" w:type="dxa"/>
            <w:vAlign w:val="bottom"/>
            <w:tcBorders>
              <w:top w:val="single" w:sz="8" w:color="DDDDDD"/>
            </w:tcBorders>
            <w:shd w:val="clear" w:color="auto" w:fill="DDDDDD"/>
          </w:tcPr>
          <w:p>
            <w:pPr>
              <w:spacing w:after="0"/>
              <w:rPr>
                <w:sz w:val="19"/>
                <w:szCs w:val="19"/>
                <w:color w:val="auto"/>
              </w:rPr>
            </w:pPr>
          </w:p>
        </w:tc>
        <w:tc>
          <w:tcPr>
            <w:tcW w:w="140" w:type="dxa"/>
            <w:vAlign w:val="bottom"/>
            <w:tcBorders>
              <w:top w:val="single" w:sz="8" w:color="DC202E"/>
            </w:tcBorders>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DC202E"/>
            </w:tcBorders>
            <w:shd w:val="clear" w:color="auto" w:fill="DDDDDD"/>
          </w:tcPr>
          <w:p>
            <w:pPr>
              <w:jc w:val="right"/>
              <w:spacing w:after="0"/>
              <w:rPr>
                <w:sz w:val="20"/>
                <w:szCs w:val="20"/>
                <w:color w:val="auto"/>
              </w:rPr>
            </w:pPr>
            <w:r>
              <w:rPr>
                <w:rFonts w:ascii="Arial" w:cs="Arial" w:eastAsia="Arial" w:hAnsi="Arial"/>
                <w:sz w:val="18"/>
                <w:szCs w:val="18"/>
                <w:color w:val="auto"/>
              </w:rPr>
              <w:t>858</w:t>
            </w:r>
          </w:p>
        </w:tc>
        <w:tc>
          <w:tcPr>
            <w:tcW w:w="100" w:type="dxa"/>
            <w:vAlign w:val="bottom"/>
            <w:tcBorders>
              <w:top w:val="single" w:sz="8" w:color="DDDDDD"/>
            </w:tcBorders>
            <w:shd w:val="clear" w:color="auto" w:fill="DDDDDD"/>
          </w:tcPr>
          <w:p>
            <w:pPr>
              <w:spacing w:after="0"/>
              <w:rPr>
                <w:sz w:val="19"/>
                <w:szCs w:val="19"/>
                <w:color w:val="auto"/>
              </w:rPr>
            </w:pPr>
          </w:p>
        </w:tc>
        <w:tc>
          <w:tcPr>
            <w:tcW w:w="200" w:type="dxa"/>
            <w:vAlign w:val="bottom"/>
            <w:tcBorders>
              <w:top w:val="single" w:sz="8" w:color="DC202E"/>
            </w:tcBorders>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DC202E"/>
            </w:tcBorders>
            <w:shd w:val="clear" w:color="auto" w:fill="DDDDDD"/>
          </w:tcPr>
          <w:p>
            <w:pPr>
              <w:jc w:val="right"/>
              <w:spacing w:after="0"/>
              <w:rPr>
                <w:sz w:val="20"/>
                <w:szCs w:val="20"/>
                <w:color w:val="auto"/>
              </w:rPr>
            </w:pPr>
            <w:r>
              <w:rPr>
                <w:rFonts w:ascii="Arial" w:cs="Arial" w:eastAsia="Arial" w:hAnsi="Arial"/>
                <w:sz w:val="18"/>
                <w:szCs w:val="18"/>
                <w:color w:val="auto"/>
              </w:rPr>
              <w:t>2,357</w:t>
            </w:r>
          </w:p>
        </w:tc>
        <w:tc>
          <w:tcPr>
            <w:tcW w:w="100" w:type="dxa"/>
            <w:vAlign w:val="bottom"/>
            <w:tcBorders>
              <w:top w:val="single" w:sz="8" w:color="DDDDDD"/>
            </w:tcBorders>
            <w:shd w:val="clear" w:color="auto" w:fill="DDDDDD"/>
          </w:tcPr>
          <w:p>
            <w:pPr>
              <w:spacing w:after="0"/>
              <w:rPr>
                <w:sz w:val="19"/>
                <w:szCs w:val="19"/>
                <w:color w:val="auto"/>
              </w:rPr>
            </w:pPr>
          </w:p>
        </w:tc>
        <w:tc>
          <w:tcPr>
            <w:tcW w:w="160" w:type="dxa"/>
            <w:vAlign w:val="bottom"/>
            <w:tcBorders>
              <w:top w:val="single" w:sz="8" w:color="DC202E"/>
            </w:tcBorders>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DC202E"/>
            </w:tcBorders>
            <w:shd w:val="clear" w:color="auto" w:fill="DDDDDD"/>
          </w:tcPr>
          <w:p>
            <w:pPr>
              <w:jc w:val="right"/>
              <w:spacing w:after="0"/>
              <w:rPr>
                <w:sz w:val="20"/>
                <w:szCs w:val="20"/>
                <w:color w:val="auto"/>
              </w:rPr>
            </w:pPr>
            <w:r>
              <w:rPr>
                <w:rFonts w:ascii="Arial" w:cs="Arial" w:eastAsia="Arial" w:hAnsi="Arial"/>
                <w:sz w:val="18"/>
                <w:szCs w:val="18"/>
                <w:color w:val="auto"/>
              </w:rPr>
              <w:t>1,623</w:t>
            </w:r>
          </w:p>
        </w:tc>
        <w:tc>
          <w:tcPr>
            <w:tcW w:w="100" w:type="dxa"/>
            <w:vAlign w:val="bottom"/>
            <w:tcBorders>
              <w:top w:val="single" w:sz="8" w:color="DDDDDD"/>
            </w:tcBorders>
            <w:shd w:val="clear" w:color="auto" w:fill="DDDDDD"/>
          </w:tcPr>
          <w:p>
            <w:pPr>
              <w:spacing w:after="0"/>
              <w:rPr>
                <w:sz w:val="19"/>
                <w:szCs w:val="19"/>
                <w:color w:val="auto"/>
              </w:rPr>
            </w:pPr>
          </w:p>
        </w:tc>
        <w:tc>
          <w:tcPr>
            <w:tcW w:w="140" w:type="dxa"/>
            <w:vAlign w:val="bottom"/>
            <w:tcBorders>
              <w:top w:val="single" w:sz="8" w:color="DC202E"/>
            </w:tcBorders>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DC202E"/>
            </w:tcBorders>
            <w:shd w:val="clear" w:color="auto" w:fill="DDDDDD"/>
          </w:tcPr>
          <w:p>
            <w:pPr>
              <w:jc w:val="right"/>
              <w:spacing w:after="0"/>
              <w:rPr>
                <w:sz w:val="20"/>
                <w:szCs w:val="20"/>
                <w:color w:val="auto"/>
              </w:rPr>
            </w:pPr>
            <w:r>
              <w:rPr>
                <w:rFonts w:ascii="Arial" w:cs="Arial" w:eastAsia="Arial" w:hAnsi="Arial"/>
                <w:sz w:val="18"/>
                <w:szCs w:val="18"/>
                <w:color w:val="auto"/>
              </w:rPr>
              <w:t>891</w:t>
            </w:r>
          </w:p>
        </w:tc>
        <w:tc>
          <w:tcPr>
            <w:tcW w:w="120" w:type="dxa"/>
            <w:vAlign w:val="bottom"/>
            <w:tcBorders>
              <w:top w:val="single" w:sz="8" w:color="DDDDDD"/>
            </w:tcBorders>
            <w:shd w:val="clear" w:color="auto" w:fill="DDDDDD"/>
          </w:tcPr>
          <w:p>
            <w:pPr>
              <w:spacing w:after="0"/>
              <w:rPr>
                <w:sz w:val="19"/>
                <w:szCs w:val="19"/>
                <w:color w:val="auto"/>
              </w:rPr>
            </w:pPr>
          </w:p>
        </w:tc>
        <w:tc>
          <w:tcPr>
            <w:tcW w:w="200" w:type="dxa"/>
            <w:vAlign w:val="bottom"/>
            <w:tcBorders>
              <w:top w:val="single" w:sz="8" w:color="DC202E"/>
            </w:tcBorders>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DC202E"/>
            </w:tcBorders>
            <w:shd w:val="clear" w:color="auto" w:fill="DDDDDD"/>
          </w:tcPr>
          <w:p>
            <w:pPr>
              <w:jc w:val="right"/>
              <w:spacing w:after="0"/>
              <w:rPr>
                <w:sz w:val="20"/>
                <w:szCs w:val="20"/>
                <w:color w:val="auto"/>
              </w:rPr>
            </w:pPr>
            <w:r>
              <w:rPr>
                <w:rFonts w:ascii="Arial" w:cs="Arial" w:eastAsia="Arial" w:hAnsi="Arial"/>
                <w:sz w:val="18"/>
                <w:szCs w:val="18"/>
                <w:color w:val="auto"/>
              </w:rPr>
              <w:t>2,514</w:t>
            </w:r>
          </w:p>
        </w:tc>
        <w:tc>
          <w:tcPr>
            <w:tcW w:w="100" w:type="dxa"/>
            <w:vAlign w:val="bottom"/>
            <w:tcBorders>
              <w:top w:val="single" w:sz="8" w:color="DDDDDD"/>
            </w:tcBorders>
            <w:shd w:val="clear" w:color="auto" w:fill="DDDDDD"/>
          </w:tcPr>
          <w:p>
            <w:pPr>
              <w:spacing w:after="0"/>
              <w:rPr>
                <w:sz w:val="19"/>
                <w:szCs w:val="19"/>
                <w:color w:val="auto"/>
              </w:rPr>
            </w:pPr>
          </w:p>
        </w:tc>
        <w:tc>
          <w:tcPr>
            <w:tcW w:w="160" w:type="dxa"/>
            <w:vAlign w:val="bottom"/>
            <w:tcBorders>
              <w:top w:val="single" w:sz="8" w:color="DC202E"/>
            </w:tcBorders>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DC202E"/>
            </w:tcBorders>
            <w:shd w:val="clear" w:color="auto" w:fill="DDDDDD"/>
          </w:tcPr>
          <w:p>
            <w:pPr>
              <w:jc w:val="right"/>
              <w:spacing w:after="0"/>
              <w:rPr>
                <w:sz w:val="20"/>
                <w:szCs w:val="20"/>
                <w:color w:val="auto"/>
              </w:rPr>
            </w:pPr>
            <w:r>
              <w:rPr>
                <w:rFonts w:ascii="Arial" w:cs="Arial" w:eastAsia="Arial" w:hAnsi="Arial"/>
                <w:sz w:val="18"/>
                <w:szCs w:val="18"/>
                <w:color w:val="auto"/>
              </w:rPr>
              <w:t>1,703</w:t>
            </w:r>
          </w:p>
        </w:tc>
        <w:tc>
          <w:tcPr>
            <w:tcW w:w="100" w:type="dxa"/>
            <w:vAlign w:val="bottom"/>
            <w:tcBorders>
              <w:top w:val="single" w:sz="8" w:color="DDDDDD"/>
            </w:tcBorders>
            <w:shd w:val="clear" w:color="auto" w:fill="DDDDDD"/>
          </w:tcPr>
          <w:p>
            <w:pPr>
              <w:spacing w:after="0"/>
              <w:rPr>
                <w:sz w:val="19"/>
                <w:szCs w:val="19"/>
                <w:color w:val="auto"/>
              </w:rPr>
            </w:pPr>
          </w:p>
        </w:tc>
        <w:tc>
          <w:tcPr>
            <w:tcW w:w="160" w:type="dxa"/>
            <w:vAlign w:val="bottom"/>
            <w:tcBorders>
              <w:top w:val="single" w:sz="8" w:color="DC202E"/>
            </w:tcBorders>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DC202E"/>
            </w:tcBorders>
            <w:shd w:val="clear" w:color="auto" w:fill="DDDDDD"/>
          </w:tcPr>
          <w:p>
            <w:pPr>
              <w:jc w:val="right"/>
              <w:spacing w:after="0"/>
              <w:rPr>
                <w:sz w:val="20"/>
                <w:szCs w:val="20"/>
                <w:color w:val="auto"/>
              </w:rPr>
            </w:pPr>
            <w:r>
              <w:rPr>
                <w:rFonts w:ascii="Arial" w:cs="Arial" w:eastAsia="Arial" w:hAnsi="Arial"/>
                <w:sz w:val="18"/>
                <w:szCs w:val="18"/>
                <w:color w:val="auto"/>
              </w:rPr>
              <w:t>907</w:t>
            </w:r>
          </w:p>
        </w:tc>
        <w:tc>
          <w:tcPr>
            <w:tcW w:w="120" w:type="dxa"/>
            <w:vAlign w:val="bottom"/>
            <w:tcBorders>
              <w:top w:val="single" w:sz="8" w:color="DDDDDD"/>
            </w:tcBorders>
            <w:shd w:val="clear" w:color="auto" w:fill="DDDDDD"/>
          </w:tcPr>
          <w:p>
            <w:pPr>
              <w:spacing w:after="0"/>
              <w:rPr>
                <w:sz w:val="19"/>
                <w:szCs w:val="19"/>
                <w:color w:val="auto"/>
              </w:rPr>
            </w:pPr>
          </w:p>
        </w:tc>
        <w:tc>
          <w:tcPr>
            <w:tcW w:w="180" w:type="dxa"/>
            <w:vAlign w:val="bottom"/>
            <w:tcBorders>
              <w:top w:val="single" w:sz="8" w:color="DC202E"/>
            </w:tcBorders>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DC202E"/>
            </w:tcBorders>
            <w:shd w:val="clear" w:color="auto" w:fill="DDDDDD"/>
          </w:tcPr>
          <w:p>
            <w:pPr>
              <w:jc w:val="right"/>
              <w:spacing w:after="0"/>
              <w:rPr>
                <w:sz w:val="20"/>
                <w:szCs w:val="20"/>
                <w:color w:val="auto"/>
              </w:rPr>
            </w:pPr>
            <w:r>
              <w:rPr>
                <w:rFonts w:ascii="Arial" w:cs="Arial" w:eastAsia="Arial" w:hAnsi="Arial"/>
                <w:sz w:val="18"/>
                <w:szCs w:val="18"/>
                <w:color w:val="auto"/>
              </w:rPr>
              <w:t>2,610</w:t>
            </w:r>
          </w:p>
        </w:tc>
      </w:tr>
      <w:tr>
        <w:trPr>
          <w:trHeight w:val="188"/>
        </w:trPr>
        <w:tc>
          <w:tcPr>
            <w:tcW w:w="2420" w:type="dxa"/>
            <w:vAlign w:val="bottom"/>
          </w:tcPr>
          <w:p>
            <w:pPr>
              <w:ind w:left="20"/>
              <w:spacing w:after="0" w:line="189" w:lineRule="exact"/>
              <w:rPr>
                <w:sz w:val="20"/>
                <w:szCs w:val="20"/>
                <w:color w:val="auto"/>
              </w:rPr>
            </w:pPr>
            <w:r>
              <w:rPr>
                <w:rFonts w:ascii="Arial" w:cs="Arial" w:eastAsia="Arial" w:hAnsi="Arial"/>
                <w:sz w:val="18"/>
                <w:szCs w:val="18"/>
                <w:color w:val="auto"/>
              </w:rPr>
              <w:t>Accrual for update to</w:t>
            </w: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17"/>
        </w:trPr>
        <w:tc>
          <w:tcPr>
            <w:tcW w:w="2420" w:type="dxa"/>
            <w:vAlign w:val="bottom"/>
          </w:tcPr>
          <w:p>
            <w:pPr>
              <w:ind w:left="20"/>
              <w:spacing w:after="0"/>
              <w:rPr>
                <w:sz w:val="20"/>
                <w:szCs w:val="20"/>
                <w:color w:val="auto"/>
              </w:rPr>
            </w:pPr>
            <w:r>
              <w:rPr>
                <w:rFonts w:ascii="Arial" w:cs="Arial" w:eastAsia="Arial" w:hAnsi="Arial"/>
                <w:sz w:val="18"/>
                <w:szCs w:val="18"/>
                <w:color w:val="auto"/>
              </w:rPr>
              <w:t>estimated liability</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229</w:t>
            </w:r>
          </w:p>
        </w:tc>
      </w:tr>
      <w:tr>
        <w:trPr>
          <w:trHeight w:val="188"/>
        </w:trPr>
        <w:tc>
          <w:tcPr>
            <w:tcW w:w="2420" w:type="dxa"/>
            <w:vAlign w:val="bottom"/>
            <w:shd w:val="clear" w:color="auto" w:fill="DDDDDD"/>
          </w:tcPr>
          <w:p>
            <w:pPr>
              <w:ind w:left="20"/>
              <w:spacing w:after="0" w:line="189" w:lineRule="exact"/>
              <w:rPr>
                <w:sz w:val="20"/>
                <w:szCs w:val="20"/>
                <w:color w:val="auto"/>
              </w:rPr>
            </w:pPr>
            <w:r>
              <w:rPr>
                <w:rFonts w:ascii="Arial" w:cs="Arial" w:eastAsia="Arial" w:hAnsi="Arial"/>
                <w:sz w:val="18"/>
                <w:szCs w:val="18"/>
                <w:color w:val="auto"/>
              </w:rPr>
              <w:t>Change in estimated cost of</w:t>
            </w:r>
          </w:p>
        </w:tc>
        <w:tc>
          <w:tcPr>
            <w:tcW w:w="160" w:type="dxa"/>
            <w:vAlign w:val="bottom"/>
            <w:shd w:val="clear" w:color="auto" w:fill="DDDDDD"/>
          </w:tcPr>
          <w:p>
            <w:pPr>
              <w:spacing w:after="0"/>
              <w:rPr>
                <w:sz w:val="16"/>
                <w:szCs w:val="16"/>
                <w:color w:val="auto"/>
              </w:rPr>
            </w:pPr>
          </w:p>
        </w:tc>
        <w:tc>
          <w:tcPr>
            <w:tcW w:w="70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140" w:type="dxa"/>
            <w:vAlign w:val="bottom"/>
            <w:shd w:val="clear" w:color="auto" w:fill="DDDDDD"/>
          </w:tcPr>
          <w:p>
            <w:pPr>
              <w:spacing w:after="0"/>
              <w:rPr>
                <w:sz w:val="16"/>
                <w:szCs w:val="16"/>
                <w:color w:val="auto"/>
              </w:rPr>
            </w:pPr>
          </w:p>
        </w:tc>
        <w:tc>
          <w:tcPr>
            <w:tcW w:w="7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00" w:type="dxa"/>
            <w:vAlign w:val="bottom"/>
            <w:shd w:val="clear" w:color="auto" w:fill="DDDDDD"/>
          </w:tcPr>
          <w:p>
            <w:pPr>
              <w:spacing w:after="0"/>
              <w:rPr>
                <w:sz w:val="16"/>
                <w:szCs w:val="16"/>
                <w:color w:val="auto"/>
              </w:rPr>
            </w:pPr>
          </w:p>
        </w:tc>
        <w:tc>
          <w:tcPr>
            <w:tcW w:w="6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7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40" w:type="dxa"/>
            <w:vAlign w:val="bottom"/>
            <w:shd w:val="clear" w:color="auto" w:fill="DDDDDD"/>
          </w:tcPr>
          <w:p>
            <w:pPr>
              <w:spacing w:after="0"/>
              <w:rPr>
                <w:sz w:val="16"/>
                <w:szCs w:val="16"/>
                <w:color w:val="auto"/>
              </w:rPr>
            </w:pPr>
          </w:p>
        </w:tc>
        <w:tc>
          <w:tcPr>
            <w:tcW w:w="72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200" w:type="dxa"/>
            <w:vAlign w:val="bottom"/>
            <w:shd w:val="clear" w:color="auto" w:fill="DDDDDD"/>
          </w:tcPr>
          <w:p>
            <w:pPr>
              <w:spacing w:after="0"/>
              <w:rPr>
                <w:sz w:val="16"/>
                <w:szCs w:val="16"/>
                <w:color w:val="auto"/>
              </w:rPr>
            </w:pPr>
          </w:p>
        </w:tc>
        <w:tc>
          <w:tcPr>
            <w:tcW w:w="6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7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72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700" w:type="dxa"/>
            <w:vAlign w:val="bottom"/>
            <w:shd w:val="clear" w:color="auto" w:fill="DDDDDD"/>
          </w:tcPr>
          <w:p>
            <w:pPr>
              <w:spacing w:after="0"/>
              <w:rPr>
                <w:sz w:val="16"/>
                <w:szCs w:val="16"/>
                <w:color w:val="auto"/>
              </w:rPr>
            </w:pPr>
          </w:p>
        </w:tc>
      </w:tr>
      <w:tr>
        <w:trPr>
          <w:trHeight w:val="217"/>
        </w:trPr>
        <w:tc>
          <w:tcPr>
            <w:tcW w:w="2420" w:type="dxa"/>
            <w:vAlign w:val="bottom"/>
            <w:shd w:val="clear" w:color="auto" w:fill="DDDDDD"/>
          </w:tcPr>
          <w:p>
            <w:pPr>
              <w:ind w:left="20"/>
              <w:spacing w:after="0"/>
              <w:rPr>
                <w:sz w:val="20"/>
                <w:szCs w:val="20"/>
                <w:color w:val="auto"/>
              </w:rPr>
            </w:pPr>
            <w:r>
              <w:rPr>
                <w:rFonts w:ascii="Arial" w:cs="Arial" w:eastAsia="Arial" w:hAnsi="Arial"/>
                <w:sz w:val="18"/>
                <w:szCs w:val="18"/>
                <w:color w:val="auto"/>
              </w:rPr>
              <w:t>future claims</w:t>
            </w:r>
          </w:p>
        </w:tc>
        <w:tc>
          <w:tcPr>
            <w:tcW w:w="160" w:type="dxa"/>
            <w:vAlign w:val="bottom"/>
            <w:shd w:val="clear" w:color="auto" w:fill="DDDDDD"/>
          </w:tcPr>
          <w:p>
            <w:pPr>
              <w:spacing w:after="0"/>
              <w:rPr>
                <w:sz w:val="18"/>
                <w:szCs w:val="18"/>
                <w:color w:val="auto"/>
              </w:rPr>
            </w:pPr>
          </w:p>
        </w:tc>
        <w:tc>
          <w:tcPr>
            <w:tcW w:w="7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DDDDDD"/>
          </w:tcPr>
          <w:p>
            <w:pPr>
              <w:spacing w:after="0"/>
              <w:rPr>
                <w:sz w:val="18"/>
                <w:szCs w:val="18"/>
                <w:color w:val="auto"/>
              </w:rPr>
            </w:pPr>
          </w:p>
        </w:tc>
        <w:tc>
          <w:tcPr>
            <w:tcW w:w="140" w:type="dxa"/>
            <w:vAlign w:val="bottom"/>
            <w:shd w:val="clear" w:color="auto" w:fill="DDDDDD"/>
          </w:tcPr>
          <w:p>
            <w:pPr>
              <w:spacing w:after="0"/>
              <w:rPr>
                <w:sz w:val="18"/>
                <w:szCs w:val="18"/>
                <w:color w:val="auto"/>
              </w:rPr>
            </w:pPr>
          </w:p>
        </w:tc>
        <w:tc>
          <w:tcPr>
            <w:tcW w:w="820" w:type="dxa"/>
            <w:vAlign w:val="bottom"/>
            <w:gridSpan w:val="2"/>
            <w:shd w:val="clear" w:color="auto" w:fill="DDDDDD"/>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DDDDDD"/>
          </w:tcPr>
          <w:p>
            <w:pPr>
              <w:spacing w:after="0"/>
              <w:rPr>
                <w:sz w:val="18"/>
                <w:szCs w:val="18"/>
                <w:color w:val="auto"/>
              </w:rPr>
            </w:pPr>
          </w:p>
        </w:tc>
        <w:tc>
          <w:tcPr>
            <w:tcW w:w="6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DDDDDD"/>
          </w:tcPr>
          <w:p>
            <w:pPr>
              <w:spacing w:after="0"/>
              <w:rPr>
                <w:sz w:val="18"/>
                <w:szCs w:val="18"/>
                <w:color w:val="auto"/>
              </w:rPr>
            </w:pPr>
          </w:p>
        </w:tc>
        <w:tc>
          <w:tcPr>
            <w:tcW w:w="160" w:type="dxa"/>
            <w:vAlign w:val="bottom"/>
            <w:shd w:val="clear" w:color="auto" w:fill="DDDDDD"/>
          </w:tcPr>
          <w:p>
            <w:pPr>
              <w:spacing w:after="0"/>
              <w:rPr>
                <w:sz w:val="18"/>
                <w:szCs w:val="18"/>
                <w:color w:val="auto"/>
              </w:rPr>
            </w:pPr>
          </w:p>
        </w:tc>
        <w:tc>
          <w:tcPr>
            <w:tcW w:w="7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DDDDDD"/>
          </w:tcPr>
          <w:p>
            <w:pPr>
              <w:spacing w:after="0"/>
              <w:rPr>
                <w:sz w:val="18"/>
                <w:szCs w:val="18"/>
                <w:color w:val="auto"/>
              </w:rPr>
            </w:pPr>
          </w:p>
        </w:tc>
        <w:tc>
          <w:tcPr>
            <w:tcW w:w="140" w:type="dxa"/>
            <w:vAlign w:val="bottom"/>
            <w:shd w:val="clear" w:color="auto" w:fill="DDDDDD"/>
          </w:tcPr>
          <w:p>
            <w:pPr>
              <w:spacing w:after="0"/>
              <w:rPr>
                <w:sz w:val="18"/>
                <w:szCs w:val="18"/>
                <w:color w:val="auto"/>
              </w:rPr>
            </w:pPr>
          </w:p>
        </w:tc>
        <w:tc>
          <w:tcPr>
            <w:tcW w:w="840" w:type="dxa"/>
            <w:vAlign w:val="bottom"/>
            <w:gridSpan w:val="2"/>
            <w:shd w:val="clear" w:color="auto" w:fill="DDDDDD"/>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DDDDDD"/>
          </w:tcPr>
          <w:p>
            <w:pPr>
              <w:spacing w:after="0"/>
              <w:rPr>
                <w:sz w:val="18"/>
                <w:szCs w:val="18"/>
                <w:color w:val="auto"/>
              </w:rPr>
            </w:pPr>
          </w:p>
        </w:tc>
        <w:tc>
          <w:tcPr>
            <w:tcW w:w="6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DDDDDD"/>
          </w:tcPr>
          <w:p>
            <w:pPr>
              <w:spacing w:after="0"/>
              <w:rPr>
                <w:sz w:val="18"/>
                <w:szCs w:val="18"/>
                <w:color w:val="auto"/>
              </w:rPr>
            </w:pPr>
          </w:p>
        </w:tc>
        <w:tc>
          <w:tcPr>
            <w:tcW w:w="160" w:type="dxa"/>
            <w:vAlign w:val="bottom"/>
            <w:shd w:val="clear" w:color="auto" w:fill="DDDDDD"/>
          </w:tcPr>
          <w:p>
            <w:pPr>
              <w:spacing w:after="0"/>
              <w:rPr>
                <w:sz w:val="18"/>
                <w:szCs w:val="18"/>
                <w:color w:val="auto"/>
              </w:rPr>
            </w:pPr>
          </w:p>
        </w:tc>
        <w:tc>
          <w:tcPr>
            <w:tcW w:w="7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DDDDDD"/>
          </w:tcPr>
          <w:p>
            <w:pPr>
              <w:spacing w:after="0"/>
              <w:rPr>
                <w:sz w:val="18"/>
                <w:szCs w:val="18"/>
                <w:color w:val="auto"/>
              </w:rPr>
            </w:pPr>
          </w:p>
        </w:tc>
        <w:tc>
          <w:tcPr>
            <w:tcW w:w="160" w:type="dxa"/>
            <w:vAlign w:val="bottom"/>
            <w:shd w:val="clear" w:color="auto" w:fill="DDDDDD"/>
          </w:tcPr>
          <w:p>
            <w:pPr>
              <w:spacing w:after="0"/>
              <w:rPr>
                <w:sz w:val="18"/>
                <w:szCs w:val="18"/>
                <w:color w:val="auto"/>
              </w:rPr>
            </w:pPr>
          </w:p>
        </w:tc>
        <w:tc>
          <w:tcPr>
            <w:tcW w:w="840" w:type="dxa"/>
            <w:vAlign w:val="bottom"/>
            <w:gridSpan w:val="2"/>
            <w:shd w:val="clear" w:color="auto" w:fill="DDDDDD"/>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DDDDDD"/>
          </w:tcPr>
          <w:p>
            <w:pPr>
              <w:spacing w:after="0"/>
              <w:rPr>
                <w:sz w:val="18"/>
                <w:szCs w:val="18"/>
                <w:color w:val="auto"/>
              </w:rPr>
            </w:pPr>
          </w:p>
        </w:tc>
        <w:tc>
          <w:tcPr>
            <w:tcW w:w="7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(72)</w:t>
            </w:r>
          </w:p>
        </w:tc>
      </w:tr>
      <w:tr>
        <w:trPr>
          <w:trHeight w:val="188"/>
        </w:trPr>
        <w:tc>
          <w:tcPr>
            <w:tcW w:w="2420" w:type="dxa"/>
            <w:vAlign w:val="bottom"/>
          </w:tcPr>
          <w:p>
            <w:pPr>
              <w:ind w:left="20"/>
              <w:spacing w:after="0" w:line="189" w:lineRule="exact"/>
              <w:rPr>
                <w:sz w:val="20"/>
                <w:szCs w:val="20"/>
                <w:color w:val="auto"/>
              </w:rPr>
            </w:pPr>
            <w:r>
              <w:rPr>
                <w:rFonts w:ascii="Arial" w:cs="Arial" w:eastAsia="Arial" w:hAnsi="Arial"/>
                <w:sz w:val="18"/>
                <w:szCs w:val="18"/>
                <w:color w:val="auto"/>
              </w:rPr>
              <w:t>Update of expected</w:t>
            </w: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75"/>
        </w:trPr>
        <w:tc>
          <w:tcPr>
            <w:tcW w:w="2420" w:type="dxa"/>
            <w:vAlign w:val="bottom"/>
          </w:tcPr>
          <w:p>
            <w:pPr>
              <w:ind w:left="20"/>
              <w:spacing w:after="0" w:line="176" w:lineRule="exact"/>
              <w:rPr>
                <w:sz w:val="20"/>
                <w:szCs w:val="20"/>
                <w:color w:val="auto"/>
              </w:rPr>
            </w:pPr>
            <w:r>
              <w:rPr>
                <w:rFonts w:ascii="Arial" w:cs="Arial" w:eastAsia="Arial" w:hAnsi="Arial"/>
                <w:sz w:val="18"/>
                <w:szCs w:val="18"/>
                <w:color w:val="auto"/>
              </w:rPr>
              <w:t>resolution values for pending</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17"/>
        </w:trPr>
        <w:tc>
          <w:tcPr>
            <w:tcW w:w="2420" w:type="dxa"/>
            <w:vAlign w:val="bottom"/>
          </w:tcPr>
          <w:p>
            <w:pPr>
              <w:ind w:left="20"/>
              <w:spacing w:after="0"/>
              <w:rPr>
                <w:sz w:val="20"/>
                <w:szCs w:val="20"/>
                <w:color w:val="auto"/>
              </w:rPr>
            </w:pPr>
            <w:r>
              <w:rPr>
                <w:rFonts w:ascii="Arial" w:cs="Arial" w:eastAsia="Arial" w:hAnsi="Arial"/>
                <w:sz w:val="18"/>
                <w:szCs w:val="18"/>
                <w:color w:val="auto"/>
              </w:rPr>
              <w:t>claims</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88"/>
        </w:trPr>
        <w:tc>
          <w:tcPr>
            <w:tcW w:w="2420" w:type="dxa"/>
            <w:vAlign w:val="bottom"/>
            <w:shd w:val="clear" w:color="auto" w:fill="DDDDDD"/>
          </w:tcPr>
          <w:p>
            <w:pPr>
              <w:ind w:left="20"/>
              <w:spacing w:after="0" w:line="189" w:lineRule="exact"/>
              <w:rPr>
                <w:sz w:val="20"/>
                <w:szCs w:val="20"/>
                <w:color w:val="auto"/>
              </w:rPr>
            </w:pPr>
            <w:r>
              <w:rPr>
                <w:rFonts w:ascii="Arial" w:cs="Arial" w:eastAsia="Arial" w:hAnsi="Arial"/>
                <w:sz w:val="18"/>
                <w:szCs w:val="18"/>
                <w:color w:val="auto"/>
              </w:rPr>
              <w:t>Asbestos related liability</w:t>
            </w:r>
          </w:p>
        </w:tc>
        <w:tc>
          <w:tcPr>
            <w:tcW w:w="160" w:type="dxa"/>
            <w:vAlign w:val="bottom"/>
            <w:shd w:val="clear" w:color="auto" w:fill="DDDDDD"/>
          </w:tcPr>
          <w:p>
            <w:pPr>
              <w:spacing w:after="0"/>
              <w:rPr>
                <w:sz w:val="16"/>
                <w:szCs w:val="16"/>
                <w:color w:val="auto"/>
              </w:rPr>
            </w:pPr>
          </w:p>
        </w:tc>
        <w:tc>
          <w:tcPr>
            <w:tcW w:w="70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140" w:type="dxa"/>
            <w:vAlign w:val="bottom"/>
            <w:shd w:val="clear" w:color="auto" w:fill="DDDDDD"/>
          </w:tcPr>
          <w:p>
            <w:pPr>
              <w:spacing w:after="0"/>
              <w:rPr>
                <w:sz w:val="16"/>
                <w:szCs w:val="16"/>
                <w:color w:val="auto"/>
              </w:rPr>
            </w:pPr>
          </w:p>
        </w:tc>
        <w:tc>
          <w:tcPr>
            <w:tcW w:w="7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00" w:type="dxa"/>
            <w:vAlign w:val="bottom"/>
            <w:shd w:val="clear" w:color="auto" w:fill="DDDDDD"/>
          </w:tcPr>
          <w:p>
            <w:pPr>
              <w:spacing w:after="0"/>
              <w:rPr>
                <w:sz w:val="16"/>
                <w:szCs w:val="16"/>
                <w:color w:val="auto"/>
              </w:rPr>
            </w:pPr>
          </w:p>
        </w:tc>
        <w:tc>
          <w:tcPr>
            <w:tcW w:w="6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7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40" w:type="dxa"/>
            <w:vAlign w:val="bottom"/>
            <w:shd w:val="clear" w:color="auto" w:fill="DDDDDD"/>
          </w:tcPr>
          <w:p>
            <w:pPr>
              <w:spacing w:after="0"/>
              <w:rPr>
                <w:sz w:val="16"/>
                <w:szCs w:val="16"/>
                <w:color w:val="auto"/>
              </w:rPr>
            </w:pPr>
          </w:p>
        </w:tc>
        <w:tc>
          <w:tcPr>
            <w:tcW w:w="72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200" w:type="dxa"/>
            <w:vAlign w:val="bottom"/>
            <w:shd w:val="clear" w:color="auto" w:fill="DDDDDD"/>
          </w:tcPr>
          <w:p>
            <w:pPr>
              <w:spacing w:after="0"/>
              <w:rPr>
                <w:sz w:val="16"/>
                <w:szCs w:val="16"/>
                <w:color w:val="auto"/>
              </w:rPr>
            </w:pPr>
          </w:p>
        </w:tc>
        <w:tc>
          <w:tcPr>
            <w:tcW w:w="6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7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72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700" w:type="dxa"/>
            <w:vAlign w:val="bottom"/>
            <w:shd w:val="clear" w:color="auto" w:fill="DDDDDD"/>
          </w:tcPr>
          <w:p>
            <w:pPr>
              <w:spacing w:after="0"/>
              <w:rPr>
                <w:sz w:val="16"/>
                <w:szCs w:val="16"/>
                <w:color w:val="auto"/>
              </w:rPr>
            </w:pPr>
          </w:p>
        </w:tc>
      </w:tr>
      <w:tr>
        <w:trPr>
          <w:trHeight w:val="217"/>
        </w:trPr>
        <w:tc>
          <w:tcPr>
            <w:tcW w:w="2420" w:type="dxa"/>
            <w:vAlign w:val="bottom"/>
            <w:shd w:val="clear" w:color="auto" w:fill="DDDDDD"/>
          </w:tcPr>
          <w:p>
            <w:pPr>
              <w:ind w:left="20"/>
              <w:spacing w:after="0"/>
              <w:rPr>
                <w:sz w:val="20"/>
                <w:szCs w:val="20"/>
                <w:color w:val="auto"/>
              </w:rPr>
            </w:pPr>
            <w:r>
              <w:rPr>
                <w:rFonts w:ascii="Arial" w:cs="Arial" w:eastAsia="Arial" w:hAnsi="Arial"/>
                <w:sz w:val="18"/>
                <w:szCs w:val="18"/>
                <w:color w:val="auto"/>
              </w:rPr>
              <w:t>payments</w:t>
            </w:r>
          </w:p>
        </w:tc>
        <w:tc>
          <w:tcPr>
            <w:tcW w:w="160" w:type="dxa"/>
            <w:vAlign w:val="bottom"/>
            <w:tcBorders>
              <w:bottom w:val="single" w:sz="8" w:color="auto"/>
            </w:tcBorders>
            <w:shd w:val="clear" w:color="auto" w:fill="DDDDDD"/>
          </w:tcPr>
          <w:p>
            <w:pPr>
              <w:spacing w:after="0"/>
              <w:rPr>
                <w:sz w:val="18"/>
                <w:szCs w:val="18"/>
                <w:color w:val="auto"/>
              </w:rPr>
            </w:pPr>
          </w:p>
        </w:tc>
        <w:tc>
          <w:tcPr>
            <w:tcW w:w="7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(190)</w:t>
            </w:r>
          </w:p>
        </w:tc>
        <w:tc>
          <w:tcPr>
            <w:tcW w:w="120" w:type="dxa"/>
            <w:vAlign w:val="bottom"/>
            <w:shd w:val="clear" w:color="auto" w:fill="DDDDDD"/>
          </w:tcPr>
          <w:p>
            <w:pPr>
              <w:spacing w:after="0"/>
              <w:rPr>
                <w:sz w:val="18"/>
                <w:szCs w:val="18"/>
                <w:color w:val="auto"/>
              </w:rPr>
            </w:pPr>
          </w:p>
        </w:tc>
        <w:tc>
          <w:tcPr>
            <w:tcW w:w="140" w:type="dxa"/>
            <w:vAlign w:val="bottom"/>
            <w:tcBorders>
              <w:bottom w:val="single" w:sz="8" w:color="auto"/>
            </w:tcBorders>
            <w:shd w:val="clear" w:color="auto" w:fill="DDDDDD"/>
          </w:tcPr>
          <w:p>
            <w:pPr>
              <w:spacing w:after="0"/>
              <w:rPr>
                <w:sz w:val="18"/>
                <w:szCs w:val="18"/>
                <w:color w:val="auto"/>
              </w:rPr>
            </w:pPr>
          </w:p>
        </w:tc>
        <w:tc>
          <w:tcPr>
            <w:tcW w:w="7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DDDDDD"/>
          </w:tcPr>
          <w:p>
            <w:pPr>
              <w:spacing w:after="0"/>
              <w:rPr>
                <w:sz w:val="18"/>
                <w:szCs w:val="18"/>
                <w:color w:val="auto"/>
              </w:rPr>
            </w:pPr>
          </w:p>
        </w:tc>
        <w:tc>
          <w:tcPr>
            <w:tcW w:w="200" w:type="dxa"/>
            <w:vAlign w:val="bottom"/>
            <w:tcBorders>
              <w:bottom w:val="single" w:sz="8" w:color="auto"/>
            </w:tcBorders>
            <w:shd w:val="clear" w:color="auto" w:fill="DDDDDD"/>
          </w:tcPr>
          <w:p>
            <w:pPr>
              <w:spacing w:after="0"/>
              <w:rPr>
                <w:sz w:val="18"/>
                <w:szCs w:val="18"/>
                <w:color w:val="auto"/>
              </w:rPr>
            </w:pPr>
          </w:p>
        </w:tc>
        <w:tc>
          <w:tcPr>
            <w:tcW w:w="6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(287)</w:t>
            </w:r>
          </w:p>
        </w:tc>
        <w:tc>
          <w:tcPr>
            <w:tcW w:w="100" w:type="dxa"/>
            <w:vAlign w:val="bottom"/>
            <w:shd w:val="clear" w:color="auto" w:fill="DDDDDD"/>
          </w:tcPr>
          <w:p>
            <w:pPr>
              <w:spacing w:after="0"/>
              <w:rPr>
                <w:sz w:val="18"/>
                <w:szCs w:val="18"/>
                <w:color w:val="auto"/>
              </w:rPr>
            </w:pPr>
          </w:p>
        </w:tc>
        <w:tc>
          <w:tcPr>
            <w:tcW w:w="160" w:type="dxa"/>
            <w:vAlign w:val="bottom"/>
            <w:tcBorders>
              <w:bottom w:val="single" w:sz="8" w:color="auto"/>
            </w:tcBorders>
            <w:shd w:val="clear" w:color="auto" w:fill="DDDDDD"/>
          </w:tcPr>
          <w:p>
            <w:pPr>
              <w:spacing w:after="0"/>
              <w:rPr>
                <w:sz w:val="18"/>
                <w:szCs w:val="18"/>
                <w:color w:val="auto"/>
              </w:rPr>
            </w:pPr>
          </w:p>
        </w:tc>
        <w:tc>
          <w:tcPr>
            <w:tcW w:w="7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DDDDDD"/>
          </w:tcPr>
          <w:p>
            <w:pPr>
              <w:spacing w:after="0"/>
              <w:rPr>
                <w:sz w:val="18"/>
                <w:szCs w:val="18"/>
                <w:color w:val="auto"/>
              </w:rPr>
            </w:pPr>
          </w:p>
        </w:tc>
        <w:tc>
          <w:tcPr>
            <w:tcW w:w="140" w:type="dxa"/>
            <w:vAlign w:val="bottom"/>
            <w:tcBorders>
              <w:bottom w:val="single" w:sz="8" w:color="auto"/>
            </w:tcBorders>
            <w:shd w:val="clear" w:color="auto" w:fill="DDDDDD"/>
          </w:tcPr>
          <w:p>
            <w:pPr>
              <w:spacing w:after="0"/>
              <w:rPr>
                <w:sz w:val="18"/>
                <w:szCs w:val="18"/>
                <w:color w:val="auto"/>
              </w:rPr>
            </w:pPr>
          </w:p>
        </w:tc>
        <w:tc>
          <w:tcPr>
            <w:tcW w:w="7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DDDDDD"/>
          </w:tcPr>
          <w:p>
            <w:pPr>
              <w:spacing w:after="0"/>
              <w:rPr>
                <w:sz w:val="18"/>
                <w:szCs w:val="18"/>
                <w:color w:val="auto"/>
              </w:rPr>
            </w:pPr>
          </w:p>
        </w:tc>
        <w:tc>
          <w:tcPr>
            <w:tcW w:w="200" w:type="dxa"/>
            <w:vAlign w:val="bottom"/>
            <w:tcBorders>
              <w:bottom w:val="single" w:sz="8" w:color="auto"/>
            </w:tcBorders>
            <w:shd w:val="clear" w:color="auto" w:fill="DDDDDD"/>
          </w:tcPr>
          <w:p>
            <w:pPr>
              <w:spacing w:after="0"/>
              <w:rPr>
                <w:sz w:val="18"/>
                <w:szCs w:val="18"/>
                <w:color w:val="auto"/>
              </w:rPr>
            </w:pPr>
          </w:p>
        </w:tc>
        <w:tc>
          <w:tcPr>
            <w:tcW w:w="6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DDDDDD"/>
          </w:tcPr>
          <w:p>
            <w:pPr>
              <w:spacing w:after="0"/>
              <w:rPr>
                <w:sz w:val="18"/>
                <w:szCs w:val="18"/>
                <w:color w:val="auto"/>
              </w:rPr>
            </w:pPr>
          </w:p>
        </w:tc>
        <w:tc>
          <w:tcPr>
            <w:tcW w:w="160" w:type="dxa"/>
            <w:vAlign w:val="bottom"/>
            <w:tcBorders>
              <w:bottom w:val="single" w:sz="8" w:color="auto"/>
            </w:tcBorders>
            <w:shd w:val="clear" w:color="auto" w:fill="DDDDDD"/>
          </w:tcPr>
          <w:p>
            <w:pPr>
              <w:spacing w:after="0"/>
              <w:rPr>
                <w:sz w:val="18"/>
                <w:szCs w:val="18"/>
                <w:color w:val="auto"/>
              </w:rPr>
            </w:pPr>
          </w:p>
        </w:tc>
        <w:tc>
          <w:tcPr>
            <w:tcW w:w="7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DDDDDD"/>
          </w:tcPr>
          <w:p>
            <w:pPr>
              <w:spacing w:after="0"/>
              <w:rPr>
                <w:sz w:val="18"/>
                <w:szCs w:val="18"/>
                <w:color w:val="auto"/>
              </w:rPr>
            </w:pPr>
          </w:p>
        </w:tc>
        <w:tc>
          <w:tcPr>
            <w:tcW w:w="160" w:type="dxa"/>
            <w:vAlign w:val="bottom"/>
            <w:tcBorders>
              <w:bottom w:val="single" w:sz="8" w:color="auto"/>
            </w:tcBorders>
            <w:shd w:val="clear" w:color="auto" w:fill="DDDDDD"/>
          </w:tcPr>
          <w:p>
            <w:pPr>
              <w:spacing w:after="0"/>
              <w:rPr>
                <w:sz w:val="18"/>
                <w:szCs w:val="18"/>
                <w:color w:val="auto"/>
              </w:rPr>
            </w:pPr>
          </w:p>
        </w:tc>
        <w:tc>
          <w:tcPr>
            <w:tcW w:w="7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DDDDDD"/>
          </w:tcPr>
          <w:p>
            <w:pPr>
              <w:spacing w:after="0"/>
              <w:rPr>
                <w:sz w:val="18"/>
                <w:szCs w:val="18"/>
                <w:color w:val="auto"/>
              </w:rPr>
            </w:pPr>
          </w:p>
        </w:tc>
        <w:tc>
          <w:tcPr>
            <w:tcW w:w="180" w:type="dxa"/>
            <w:vAlign w:val="bottom"/>
            <w:tcBorders>
              <w:bottom w:val="single" w:sz="8" w:color="auto"/>
            </w:tcBorders>
            <w:shd w:val="clear" w:color="auto" w:fill="DDDDDD"/>
          </w:tcPr>
          <w:p>
            <w:pPr>
              <w:spacing w:after="0"/>
              <w:rPr>
                <w:sz w:val="18"/>
                <w:szCs w:val="18"/>
                <w:color w:val="auto"/>
              </w:rPr>
            </w:pPr>
          </w:p>
        </w:tc>
        <w:tc>
          <w:tcPr>
            <w:tcW w:w="7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(254)</w:t>
            </w:r>
          </w:p>
        </w:tc>
      </w:tr>
      <w:tr>
        <w:trPr>
          <w:trHeight w:val="223"/>
        </w:trPr>
        <w:tc>
          <w:tcPr>
            <w:tcW w:w="2420" w:type="dxa"/>
            <w:vAlign w:val="bottom"/>
          </w:tcPr>
          <w:p>
            <w:pPr>
              <w:ind w:left="20"/>
              <w:spacing w:after="0"/>
              <w:rPr>
                <w:sz w:val="20"/>
                <w:szCs w:val="20"/>
                <w:color w:val="auto"/>
              </w:rPr>
            </w:pPr>
            <w:r>
              <w:rPr>
                <w:rFonts w:ascii="Arial" w:cs="Arial" w:eastAsia="Arial" w:hAnsi="Arial"/>
                <w:sz w:val="18"/>
                <w:szCs w:val="18"/>
                <w:color w:val="auto"/>
              </w:rPr>
              <w:t>End of year</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1,441</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2,514</w:t>
            </w:r>
          </w:p>
        </w:tc>
      </w:tr>
      <w:tr>
        <w:trPr>
          <w:trHeight w:val="21"/>
        </w:trPr>
        <w:tc>
          <w:tcPr>
            <w:tcW w:w="2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INSURANCE RECOVERIES FOR ASBESTOS RELATED LIABILITIES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460" w:type="dxa"/>
            <w:vAlign w:val="bottom"/>
          </w:tcPr>
          <w:p>
            <w:pPr>
              <w:spacing w:after="0"/>
              <w:rPr>
                <w:sz w:val="17"/>
                <w:szCs w:val="17"/>
                <w:color w:val="auto"/>
              </w:rPr>
            </w:pPr>
          </w:p>
        </w:tc>
        <w:tc>
          <w:tcPr>
            <w:tcW w:w="160" w:type="dxa"/>
            <w:vAlign w:val="bottom"/>
            <w:tcBorders>
              <w:bottom w:val="single" w:sz="8" w:color="DC202E"/>
            </w:tcBorders>
          </w:tcPr>
          <w:p>
            <w:pPr>
              <w:spacing w:after="0"/>
              <w:rPr>
                <w:sz w:val="17"/>
                <w:szCs w:val="17"/>
                <w:color w:val="auto"/>
              </w:rPr>
            </w:pPr>
          </w:p>
        </w:tc>
        <w:tc>
          <w:tcPr>
            <w:tcW w:w="2640" w:type="dxa"/>
            <w:vAlign w:val="bottom"/>
            <w:tcBorders>
              <w:bottom w:val="single" w:sz="8" w:color="DC202E"/>
            </w:tcBorders>
            <w:gridSpan w:val="7"/>
          </w:tcPr>
          <w:p>
            <w:pPr>
              <w:jc w:val="right"/>
              <w:ind w:right="253"/>
              <w:spacing w:after="0"/>
              <w:rPr>
                <w:sz w:val="20"/>
                <w:szCs w:val="20"/>
                <w:color w:val="auto"/>
              </w:rPr>
            </w:pPr>
            <w:r>
              <w:rPr>
                <w:rFonts w:ascii="Arial" w:cs="Arial" w:eastAsia="Arial" w:hAnsi="Arial"/>
                <w:sz w:val="14"/>
                <w:szCs w:val="14"/>
                <w:b w:val="1"/>
                <w:bCs w:val="1"/>
                <w:color w:val="auto"/>
              </w:rPr>
              <w:t>Year Ended December 31, 2020</w:t>
            </w:r>
          </w:p>
        </w:tc>
        <w:tc>
          <w:tcPr>
            <w:tcW w:w="100" w:type="dxa"/>
            <w:vAlign w:val="bottom"/>
          </w:tcPr>
          <w:p>
            <w:pPr>
              <w:spacing w:after="0"/>
              <w:rPr>
                <w:sz w:val="17"/>
                <w:szCs w:val="17"/>
                <w:color w:val="auto"/>
              </w:rPr>
            </w:pPr>
          </w:p>
        </w:tc>
        <w:tc>
          <w:tcPr>
            <w:tcW w:w="160" w:type="dxa"/>
            <w:vAlign w:val="bottom"/>
            <w:tcBorders>
              <w:bottom w:val="single" w:sz="8" w:color="DC202E"/>
            </w:tcBorders>
          </w:tcPr>
          <w:p>
            <w:pPr>
              <w:spacing w:after="0"/>
              <w:rPr>
                <w:sz w:val="17"/>
                <w:szCs w:val="17"/>
                <w:color w:val="auto"/>
              </w:rPr>
            </w:pPr>
          </w:p>
        </w:tc>
        <w:tc>
          <w:tcPr>
            <w:tcW w:w="2660" w:type="dxa"/>
            <w:vAlign w:val="bottom"/>
            <w:tcBorders>
              <w:bottom w:val="single" w:sz="8" w:color="DC202E"/>
            </w:tcBorders>
            <w:gridSpan w:val="7"/>
          </w:tcPr>
          <w:p>
            <w:pPr>
              <w:jc w:val="right"/>
              <w:ind w:right="253"/>
              <w:spacing w:after="0"/>
              <w:rPr>
                <w:sz w:val="20"/>
                <w:szCs w:val="20"/>
                <w:color w:val="auto"/>
              </w:rPr>
            </w:pPr>
            <w:r>
              <w:rPr>
                <w:rFonts w:ascii="Arial" w:cs="Arial" w:eastAsia="Arial" w:hAnsi="Arial"/>
                <w:sz w:val="14"/>
                <w:szCs w:val="14"/>
                <w:b w:val="1"/>
                <w:bCs w:val="1"/>
                <w:color w:val="auto"/>
              </w:rPr>
              <w:t>Year Ended December 31, 2019</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bottom w:val="single" w:sz="8" w:color="DC202E"/>
            </w:tcBorders>
          </w:tcPr>
          <w:p>
            <w:pPr>
              <w:spacing w:after="0"/>
              <w:rPr>
                <w:sz w:val="17"/>
                <w:szCs w:val="17"/>
                <w:color w:val="auto"/>
              </w:rPr>
            </w:pPr>
          </w:p>
        </w:tc>
        <w:tc>
          <w:tcPr>
            <w:tcW w:w="2680" w:type="dxa"/>
            <w:vAlign w:val="bottom"/>
            <w:tcBorders>
              <w:bottom w:val="single" w:sz="8" w:color="DC202E"/>
            </w:tcBorders>
            <w:gridSpan w:val="9"/>
          </w:tcPr>
          <w:p>
            <w:pPr>
              <w:jc w:val="right"/>
              <w:ind w:right="272"/>
              <w:spacing w:after="0"/>
              <w:rPr>
                <w:sz w:val="20"/>
                <w:szCs w:val="20"/>
                <w:color w:val="auto"/>
              </w:rPr>
            </w:pPr>
            <w:r>
              <w:rPr>
                <w:rFonts w:ascii="Arial" w:cs="Arial" w:eastAsia="Arial" w:hAnsi="Arial"/>
                <w:sz w:val="14"/>
                <w:szCs w:val="14"/>
                <w:b w:val="1"/>
                <w:bCs w:val="1"/>
                <w:color w:val="auto"/>
              </w:rPr>
              <w:t>Year Ended December 31, 2018</w:t>
            </w:r>
          </w:p>
        </w:tc>
        <w:tc>
          <w:tcPr>
            <w:tcW w:w="100" w:type="dxa"/>
            <w:vAlign w:val="bottom"/>
          </w:tcPr>
          <w:p>
            <w:pPr>
              <w:spacing w:after="0"/>
              <w:rPr>
                <w:sz w:val="17"/>
                <w:szCs w:val="17"/>
                <w:color w:val="auto"/>
              </w:rPr>
            </w:pPr>
          </w:p>
        </w:tc>
      </w:tr>
      <w:tr>
        <w:trPr>
          <w:trHeight w:val="196"/>
        </w:trPr>
        <w:tc>
          <w:tcPr>
            <w:tcW w:w="2460" w:type="dxa"/>
            <w:vAlign w:val="bottom"/>
            <w:tcBorders>
              <w:bottom w:val="single" w:sz="8" w:color="DDDDDD"/>
            </w:tcBorders>
          </w:tcPr>
          <w:p>
            <w:pPr>
              <w:spacing w:after="0"/>
              <w:rPr>
                <w:sz w:val="17"/>
                <w:szCs w:val="17"/>
                <w:color w:val="auto"/>
              </w:rPr>
            </w:pPr>
          </w:p>
        </w:tc>
        <w:tc>
          <w:tcPr>
            <w:tcW w:w="160" w:type="dxa"/>
            <w:vAlign w:val="bottom"/>
            <w:tcBorders>
              <w:bottom w:val="single" w:sz="8" w:color="DC202E"/>
            </w:tcBorders>
          </w:tcPr>
          <w:p>
            <w:pPr>
              <w:spacing w:after="0"/>
              <w:rPr>
                <w:sz w:val="17"/>
                <w:szCs w:val="17"/>
                <w:color w:val="auto"/>
              </w:rPr>
            </w:pPr>
          </w:p>
        </w:tc>
        <w:tc>
          <w:tcPr>
            <w:tcW w:w="700" w:type="dxa"/>
            <w:vAlign w:val="bottom"/>
            <w:tcBorders>
              <w:bottom w:val="single" w:sz="8" w:color="DC202E"/>
            </w:tcBorders>
          </w:tcPr>
          <w:p>
            <w:pPr>
              <w:jc w:val="right"/>
              <w:ind w:right="95"/>
              <w:spacing w:after="0"/>
              <w:rPr>
                <w:sz w:val="20"/>
                <w:szCs w:val="20"/>
                <w:color w:val="auto"/>
              </w:rPr>
            </w:pPr>
            <w:r>
              <w:rPr>
                <w:rFonts w:ascii="Arial" w:cs="Arial" w:eastAsia="Arial" w:hAnsi="Arial"/>
                <w:sz w:val="14"/>
                <w:szCs w:val="14"/>
                <w:b w:val="1"/>
                <w:bCs w:val="1"/>
                <w:color w:val="auto"/>
              </w:rPr>
              <w:t>Bendix</w:t>
            </w:r>
          </w:p>
        </w:tc>
        <w:tc>
          <w:tcPr>
            <w:tcW w:w="120" w:type="dxa"/>
            <w:vAlign w:val="bottom"/>
            <w:tcBorders>
              <w:bottom w:val="single" w:sz="8" w:color="DDDDDD"/>
            </w:tcBorders>
          </w:tcPr>
          <w:p>
            <w:pPr>
              <w:spacing w:after="0"/>
              <w:rPr>
                <w:sz w:val="17"/>
                <w:szCs w:val="17"/>
                <w:color w:val="auto"/>
              </w:rPr>
            </w:pPr>
          </w:p>
        </w:tc>
        <w:tc>
          <w:tcPr>
            <w:tcW w:w="140" w:type="dxa"/>
            <w:vAlign w:val="bottom"/>
            <w:tcBorders>
              <w:bottom w:val="single" w:sz="8" w:color="DC202E"/>
            </w:tcBorders>
          </w:tcPr>
          <w:p>
            <w:pPr>
              <w:spacing w:after="0"/>
              <w:rPr>
                <w:sz w:val="17"/>
                <w:szCs w:val="17"/>
                <w:color w:val="auto"/>
              </w:rPr>
            </w:pPr>
          </w:p>
        </w:tc>
        <w:tc>
          <w:tcPr>
            <w:tcW w:w="720" w:type="dxa"/>
            <w:vAlign w:val="bottom"/>
            <w:tcBorders>
              <w:bottom w:val="single" w:sz="8" w:color="DC202E"/>
            </w:tcBorders>
          </w:tcPr>
          <w:p>
            <w:pPr>
              <w:jc w:val="right"/>
              <w:ind w:right="73"/>
              <w:spacing w:after="0"/>
              <w:rPr>
                <w:sz w:val="20"/>
                <w:szCs w:val="20"/>
                <w:color w:val="auto"/>
              </w:rPr>
            </w:pPr>
            <w:r>
              <w:rPr>
                <w:rFonts w:ascii="Arial" w:cs="Arial" w:eastAsia="Arial" w:hAnsi="Arial"/>
                <w:sz w:val="14"/>
                <w:szCs w:val="14"/>
                <w:b w:val="1"/>
                <w:bCs w:val="1"/>
                <w:color w:val="auto"/>
              </w:rPr>
              <w:t>NARCO</w:t>
            </w:r>
          </w:p>
        </w:tc>
        <w:tc>
          <w:tcPr>
            <w:tcW w:w="100" w:type="dxa"/>
            <w:vAlign w:val="bottom"/>
            <w:tcBorders>
              <w:bottom w:val="single" w:sz="8" w:color="DDDDDD"/>
            </w:tcBorders>
          </w:tcPr>
          <w:p>
            <w:pPr>
              <w:spacing w:after="0"/>
              <w:rPr>
                <w:sz w:val="17"/>
                <w:szCs w:val="17"/>
                <w:color w:val="auto"/>
              </w:rPr>
            </w:pPr>
          </w:p>
        </w:tc>
        <w:tc>
          <w:tcPr>
            <w:tcW w:w="200" w:type="dxa"/>
            <w:vAlign w:val="bottom"/>
            <w:tcBorders>
              <w:bottom w:val="single" w:sz="8" w:color="DC202E"/>
            </w:tcBorders>
          </w:tcPr>
          <w:p>
            <w:pPr>
              <w:spacing w:after="0"/>
              <w:rPr>
                <w:sz w:val="17"/>
                <w:szCs w:val="17"/>
                <w:color w:val="auto"/>
              </w:rPr>
            </w:pPr>
          </w:p>
        </w:tc>
        <w:tc>
          <w:tcPr>
            <w:tcW w:w="660" w:type="dxa"/>
            <w:vAlign w:val="bottom"/>
            <w:tcBorders>
              <w:bottom w:val="single" w:sz="8" w:color="DC202E"/>
            </w:tcBorders>
          </w:tcPr>
          <w:p>
            <w:pPr>
              <w:jc w:val="right"/>
              <w:ind w:right="173"/>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DDDDDD"/>
            </w:tcBorders>
          </w:tcPr>
          <w:p>
            <w:pPr>
              <w:spacing w:after="0"/>
              <w:rPr>
                <w:sz w:val="17"/>
                <w:szCs w:val="17"/>
                <w:color w:val="auto"/>
              </w:rPr>
            </w:pPr>
          </w:p>
        </w:tc>
        <w:tc>
          <w:tcPr>
            <w:tcW w:w="160" w:type="dxa"/>
            <w:vAlign w:val="bottom"/>
            <w:tcBorders>
              <w:bottom w:val="single" w:sz="8" w:color="DC202E"/>
            </w:tcBorders>
          </w:tcPr>
          <w:p>
            <w:pPr>
              <w:spacing w:after="0"/>
              <w:rPr>
                <w:sz w:val="17"/>
                <w:szCs w:val="17"/>
                <w:color w:val="auto"/>
              </w:rPr>
            </w:pPr>
          </w:p>
        </w:tc>
        <w:tc>
          <w:tcPr>
            <w:tcW w:w="720" w:type="dxa"/>
            <w:vAlign w:val="bottom"/>
            <w:tcBorders>
              <w:bottom w:val="single" w:sz="8" w:color="DC202E"/>
            </w:tcBorders>
          </w:tcPr>
          <w:p>
            <w:pPr>
              <w:jc w:val="right"/>
              <w:ind w:right="115"/>
              <w:spacing w:after="0"/>
              <w:rPr>
                <w:sz w:val="20"/>
                <w:szCs w:val="20"/>
                <w:color w:val="auto"/>
              </w:rPr>
            </w:pPr>
            <w:r>
              <w:rPr>
                <w:rFonts w:ascii="Arial" w:cs="Arial" w:eastAsia="Arial" w:hAnsi="Arial"/>
                <w:sz w:val="14"/>
                <w:szCs w:val="14"/>
                <w:b w:val="1"/>
                <w:bCs w:val="1"/>
                <w:color w:val="auto"/>
              </w:rPr>
              <w:t>Bendix</w:t>
            </w:r>
          </w:p>
        </w:tc>
        <w:tc>
          <w:tcPr>
            <w:tcW w:w="100" w:type="dxa"/>
            <w:vAlign w:val="bottom"/>
            <w:tcBorders>
              <w:bottom w:val="single" w:sz="8" w:color="DDDDDD"/>
            </w:tcBorders>
          </w:tcPr>
          <w:p>
            <w:pPr>
              <w:spacing w:after="0"/>
              <w:rPr>
                <w:sz w:val="17"/>
                <w:szCs w:val="17"/>
                <w:color w:val="auto"/>
              </w:rPr>
            </w:pPr>
          </w:p>
        </w:tc>
        <w:tc>
          <w:tcPr>
            <w:tcW w:w="140" w:type="dxa"/>
            <w:vAlign w:val="bottom"/>
            <w:tcBorders>
              <w:bottom w:val="single" w:sz="8" w:color="DC202E"/>
            </w:tcBorders>
          </w:tcPr>
          <w:p>
            <w:pPr>
              <w:spacing w:after="0"/>
              <w:rPr>
                <w:sz w:val="17"/>
                <w:szCs w:val="17"/>
                <w:color w:val="auto"/>
              </w:rPr>
            </w:pPr>
          </w:p>
        </w:tc>
        <w:tc>
          <w:tcPr>
            <w:tcW w:w="740" w:type="dxa"/>
            <w:vAlign w:val="bottom"/>
            <w:tcBorders>
              <w:bottom w:val="single" w:sz="8" w:color="DC202E"/>
            </w:tcBorders>
          </w:tcPr>
          <w:p>
            <w:pPr>
              <w:jc w:val="right"/>
              <w:ind w:right="93"/>
              <w:spacing w:after="0"/>
              <w:rPr>
                <w:sz w:val="20"/>
                <w:szCs w:val="20"/>
                <w:color w:val="auto"/>
              </w:rPr>
            </w:pPr>
            <w:r>
              <w:rPr>
                <w:rFonts w:ascii="Arial" w:cs="Arial" w:eastAsia="Arial" w:hAnsi="Arial"/>
                <w:sz w:val="14"/>
                <w:szCs w:val="14"/>
                <w:b w:val="1"/>
                <w:bCs w:val="1"/>
                <w:color w:val="auto"/>
              </w:rPr>
              <w:t>NARCO</w:t>
            </w:r>
          </w:p>
        </w:tc>
        <w:tc>
          <w:tcPr>
            <w:tcW w:w="100" w:type="dxa"/>
            <w:vAlign w:val="bottom"/>
            <w:tcBorders>
              <w:bottom w:val="single" w:sz="8" w:color="DDDDDD"/>
            </w:tcBorders>
          </w:tcPr>
          <w:p>
            <w:pPr>
              <w:spacing w:after="0"/>
              <w:rPr>
                <w:sz w:val="17"/>
                <w:szCs w:val="17"/>
                <w:color w:val="auto"/>
              </w:rPr>
            </w:pPr>
          </w:p>
        </w:tc>
        <w:tc>
          <w:tcPr>
            <w:tcW w:w="200" w:type="dxa"/>
            <w:vAlign w:val="bottom"/>
            <w:tcBorders>
              <w:bottom w:val="single" w:sz="8" w:color="DC202E"/>
            </w:tcBorders>
          </w:tcPr>
          <w:p>
            <w:pPr>
              <w:spacing w:after="0"/>
              <w:rPr>
                <w:sz w:val="17"/>
                <w:szCs w:val="17"/>
                <w:color w:val="auto"/>
              </w:rPr>
            </w:pPr>
          </w:p>
        </w:tc>
        <w:tc>
          <w:tcPr>
            <w:tcW w:w="660" w:type="dxa"/>
            <w:vAlign w:val="bottom"/>
            <w:tcBorders>
              <w:bottom w:val="single" w:sz="8" w:color="DC202E"/>
            </w:tcBorders>
          </w:tcPr>
          <w:p>
            <w:pPr>
              <w:jc w:val="right"/>
              <w:ind w:right="173"/>
              <w:spacing w:after="0"/>
              <w:rPr>
                <w:sz w:val="20"/>
                <w:szCs w:val="20"/>
                <w:color w:val="auto"/>
              </w:rPr>
            </w:pPr>
            <w:r>
              <w:rPr>
                <w:rFonts w:ascii="Arial" w:cs="Arial" w:eastAsia="Arial" w:hAnsi="Arial"/>
                <w:sz w:val="14"/>
                <w:szCs w:val="14"/>
                <w:b w:val="1"/>
                <w:bCs w:val="1"/>
                <w:color w:val="auto"/>
              </w:rPr>
              <w:t>Total</w:t>
            </w:r>
          </w:p>
        </w:tc>
        <w:tc>
          <w:tcPr>
            <w:tcW w:w="60" w:type="dxa"/>
            <w:vAlign w:val="bottom"/>
            <w:tcBorders>
              <w:bottom w:val="single" w:sz="8" w:color="DDDDDD"/>
            </w:tcBorders>
          </w:tcPr>
          <w:p>
            <w:pPr>
              <w:spacing w:after="0"/>
              <w:rPr>
                <w:sz w:val="17"/>
                <w:szCs w:val="17"/>
                <w:color w:val="auto"/>
              </w:rPr>
            </w:pPr>
          </w:p>
        </w:tc>
        <w:tc>
          <w:tcPr>
            <w:tcW w:w="60" w:type="dxa"/>
            <w:vAlign w:val="bottom"/>
            <w:tcBorders>
              <w:bottom w:val="single" w:sz="8" w:color="DDDDDD"/>
            </w:tcBorders>
          </w:tcPr>
          <w:p>
            <w:pPr>
              <w:spacing w:after="0"/>
              <w:rPr>
                <w:sz w:val="17"/>
                <w:szCs w:val="17"/>
                <w:color w:val="auto"/>
              </w:rPr>
            </w:pPr>
          </w:p>
        </w:tc>
        <w:tc>
          <w:tcPr>
            <w:tcW w:w="160" w:type="dxa"/>
            <w:vAlign w:val="bottom"/>
            <w:tcBorders>
              <w:bottom w:val="single" w:sz="8" w:color="DC202E"/>
            </w:tcBorders>
          </w:tcPr>
          <w:p>
            <w:pPr>
              <w:spacing w:after="0"/>
              <w:rPr>
                <w:sz w:val="17"/>
                <w:szCs w:val="17"/>
                <w:color w:val="auto"/>
              </w:rPr>
            </w:pPr>
          </w:p>
        </w:tc>
        <w:tc>
          <w:tcPr>
            <w:tcW w:w="700" w:type="dxa"/>
            <w:vAlign w:val="bottom"/>
            <w:tcBorders>
              <w:bottom w:val="single" w:sz="8" w:color="DC202E"/>
            </w:tcBorders>
          </w:tcPr>
          <w:p>
            <w:pPr>
              <w:jc w:val="right"/>
              <w:ind w:right="97"/>
              <w:spacing w:after="0"/>
              <w:rPr>
                <w:sz w:val="20"/>
                <w:szCs w:val="20"/>
                <w:color w:val="auto"/>
              </w:rPr>
            </w:pPr>
            <w:r>
              <w:rPr>
                <w:rFonts w:ascii="Arial" w:cs="Arial" w:eastAsia="Arial" w:hAnsi="Arial"/>
                <w:sz w:val="14"/>
                <w:szCs w:val="14"/>
                <w:b w:val="1"/>
                <w:bCs w:val="1"/>
                <w:color w:val="auto"/>
              </w:rPr>
              <w:t>Bendix</w:t>
            </w:r>
          </w:p>
        </w:tc>
        <w:tc>
          <w:tcPr>
            <w:tcW w:w="20" w:type="dxa"/>
            <w:vAlign w:val="bottom"/>
            <w:tcBorders>
              <w:bottom w:val="single" w:sz="8" w:color="DC202E"/>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880" w:type="dxa"/>
            <w:vAlign w:val="bottom"/>
            <w:tcBorders>
              <w:bottom w:val="single" w:sz="8" w:color="DC202E"/>
            </w:tcBorders>
            <w:gridSpan w:val="3"/>
          </w:tcPr>
          <w:p>
            <w:pPr>
              <w:jc w:val="right"/>
              <w:ind w:right="90"/>
              <w:spacing w:after="0"/>
              <w:rPr>
                <w:sz w:val="20"/>
                <w:szCs w:val="20"/>
                <w:color w:val="auto"/>
              </w:rPr>
            </w:pPr>
            <w:r>
              <w:rPr>
                <w:rFonts w:ascii="Arial" w:cs="Arial" w:eastAsia="Arial" w:hAnsi="Arial"/>
                <w:sz w:val="14"/>
                <w:szCs w:val="14"/>
                <w:b w:val="1"/>
                <w:bCs w:val="1"/>
                <w:color w:val="auto"/>
              </w:rPr>
              <w:t>NARCO</w:t>
            </w:r>
          </w:p>
        </w:tc>
        <w:tc>
          <w:tcPr>
            <w:tcW w:w="100" w:type="dxa"/>
            <w:vAlign w:val="bottom"/>
            <w:tcBorders>
              <w:bottom w:val="single" w:sz="8" w:color="DDDDDD"/>
            </w:tcBorders>
          </w:tcPr>
          <w:p>
            <w:pPr>
              <w:spacing w:after="0"/>
              <w:rPr>
                <w:sz w:val="17"/>
                <w:szCs w:val="17"/>
                <w:color w:val="auto"/>
              </w:rPr>
            </w:pPr>
          </w:p>
        </w:tc>
        <w:tc>
          <w:tcPr>
            <w:tcW w:w="200" w:type="dxa"/>
            <w:vAlign w:val="bottom"/>
            <w:tcBorders>
              <w:bottom w:val="single" w:sz="8" w:color="DC202E"/>
            </w:tcBorders>
          </w:tcPr>
          <w:p>
            <w:pPr>
              <w:spacing w:after="0"/>
              <w:rPr>
                <w:sz w:val="17"/>
                <w:szCs w:val="17"/>
                <w:color w:val="auto"/>
              </w:rPr>
            </w:pPr>
          </w:p>
        </w:tc>
        <w:tc>
          <w:tcPr>
            <w:tcW w:w="680" w:type="dxa"/>
            <w:vAlign w:val="bottom"/>
            <w:tcBorders>
              <w:bottom w:val="single" w:sz="8" w:color="DC202E"/>
            </w:tcBorders>
          </w:tcPr>
          <w:p>
            <w:pPr>
              <w:jc w:val="right"/>
              <w:ind w:right="192"/>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7"/>
                <w:szCs w:val="17"/>
                <w:color w:val="auto"/>
              </w:rPr>
            </w:pPr>
          </w:p>
        </w:tc>
      </w:tr>
      <w:tr>
        <w:trPr>
          <w:trHeight w:val="229"/>
        </w:trPr>
        <w:tc>
          <w:tcPr>
            <w:tcW w:w="2460" w:type="dxa"/>
            <w:vAlign w:val="bottom"/>
            <w:shd w:val="clear" w:color="auto" w:fill="DDDDDD"/>
          </w:tcPr>
          <w:p>
            <w:pPr>
              <w:ind w:left="20"/>
              <w:spacing w:after="0"/>
              <w:rPr>
                <w:sz w:val="20"/>
                <w:szCs w:val="20"/>
                <w:color w:val="auto"/>
              </w:rPr>
            </w:pPr>
            <w:r>
              <w:rPr>
                <w:rFonts w:ascii="Arial" w:cs="Arial" w:eastAsia="Arial" w:hAnsi="Arial"/>
                <w:sz w:val="18"/>
                <w:szCs w:val="18"/>
                <w:color w:val="auto"/>
              </w:rPr>
              <w:t>Beginning of year</w:t>
            </w:r>
          </w:p>
        </w:tc>
        <w:tc>
          <w:tcPr>
            <w:tcW w:w="16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DDDDDD"/>
          </w:tcPr>
          <w:p>
            <w:pPr>
              <w:spacing w:after="0"/>
              <w:rPr>
                <w:sz w:val="19"/>
                <w:szCs w:val="19"/>
                <w:color w:val="auto"/>
              </w:rPr>
            </w:pPr>
          </w:p>
        </w:tc>
        <w:tc>
          <w:tcPr>
            <w:tcW w:w="14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DDDDDD"/>
          </w:tcPr>
          <w:p>
            <w:pPr>
              <w:spacing w:after="0"/>
              <w:rPr>
                <w:sz w:val="19"/>
                <w:szCs w:val="19"/>
                <w:color w:val="auto"/>
              </w:rPr>
            </w:pPr>
          </w:p>
        </w:tc>
        <w:tc>
          <w:tcPr>
            <w:tcW w:w="20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434</w:t>
            </w:r>
          </w:p>
        </w:tc>
        <w:tc>
          <w:tcPr>
            <w:tcW w:w="100" w:type="dxa"/>
            <w:vAlign w:val="bottom"/>
            <w:shd w:val="clear" w:color="auto" w:fill="DDDDDD"/>
          </w:tcPr>
          <w:p>
            <w:pPr>
              <w:spacing w:after="0"/>
              <w:rPr>
                <w:sz w:val="19"/>
                <w:szCs w:val="19"/>
                <w:color w:val="auto"/>
              </w:rPr>
            </w:pPr>
          </w:p>
        </w:tc>
        <w:tc>
          <w:tcPr>
            <w:tcW w:w="16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DDDDDD"/>
          </w:tcPr>
          <w:p>
            <w:pPr>
              <w:spacing w:after="0"/>
              <w:rPr>
                <w:sz w:val="19"/>
                <w:szCs w:val="19"/>
                <w:color w:val="auto"/>
              </w:rPr>
            </w:pPr>
          </w:p>
        </w:tc>
        <w:tc>
          <w:tcPr>
            <w:tcW w:w="14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307</w:t>
            </w:r>
          </w:p>
        </w:tc>
        <w:tc>
          <w:tcPr>
            <w:tcW w:w="100" w:type="dxa"/>
            <w:vAlign w:val="bottom"/>
            <w:shd w:val="clear" w:color="auto" w:fill="DDDDDD"/>
          </w:tcPr>
          <w:p>
            <w:pPr>
              <w:spacing w:after="0"/>
              <w:rPr>
                <w:sz w:val="19"/>
                <w:szCs w:val="19"/>
                <w:color w:val="auto"/>
              </w:rPr>
            </w:pPr>
          </w:p>
        </w:tc>
        <w:tc>
          <w:tcPr>
            <w:tcW w:w="20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477</w:t>
            </w:r>
          </w:p>
        </w:tc>
        <w:tc>
          <w:tcPr>
            <w:tcW w:w="280" w:type="dxa"/>
            <w:vAlign w:val="bottom"/>
            <w:gridSpan w:val="3"/>
            <w:shd w:val="clear" w:color="auto" w:fill="DDDDDD"/>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191</w:t>
            </w:r>
          </w:p>
        </w:tc>
        <w:tc>
          <w:tcPr>
            <w:tcW w:w="520" w:type="dxa"/>
            <w:vAlign w:val="bottom"/>
            <w:gridSpan w:val="3"/>
            <w:shd w:val="clear" w:color="auto" w:fill="DDDDDD"/>
          </w:tcPr>
          <w:p>
            <w:pPr>
              <w:jc w:val="right"/>
              <w:ind w:right="199"/>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DDDDDD"/>
          </w:tcPr>
          <w:p>
            <w:pPr>
              <w:jc w:val="right"/>
              <w:spacing w:after="0"/>
              <w:rPr>
                <w:sz w:val="20"/>
                <w:szCs w:val="20"/>
                <w:color w:val="auto"/>
              </w:rPr>
            </w:pPr>
            <w:r>
              <w:rPr>
                <w:rFonts w:ascii="Arial" w:cs="Arial" w:eastAsia="Arial" w:hAnsi="Arial"/>
                <w:sz w:val="18"/>
                <w:szCs w:val="18"/>
                <w:color w:val="auto"/>
              </w:rPr>
              <w:t>312</w:t>
            </w:r>
          </w:p>
        </w:tc>
        <w:tc>
          <w:tcPr>
            <w:tcW w:w="100" w:type="dxa"/>
            <w:vAlign w:val="bottom"/>
            <w:shd w:val="clear" w:color="auto" w:fill="DDDDDD"/>
          </w:tcPr>
          <w:p>
            <w:pPr>
              <w:spacing w:after="0"/>
              <w:rPr>
                <w:sz w:val="19"/>
                <w:szCs w:val="19"/>
                <w:color w:val="auto"/>
              </w:rPr>
            </w:pPr>
          </w:p>
        </w:tc>
        <w:tc>
          <w:tcPr>
            <w:tcW w:w="20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19"/>
                <w:szCs w:val="19"/>
                <w:color w:val="auto"/>
              </w:rPr>
            </w:pPr>
          </w:p>
        </w:tc>
      </w:tr>
      <w:tr>
        <w:trPr>
          <w:trHeight w:val="188"/>
        </w:trPr>
        <w:tc>
          <w:tcPr>
            <w:tcW w:w="2460" w:type="dxa"/>
            <w:vAlign w:val="bottom"/>
          </w:tcPr>
          <w:p>
            <w:pPr>
              <w:ind w:left="20"/>
              <w:spacing w:after="0" w:line="189" w:lineRule="exact"/>
              <w:rPr>
                <w:sz w:val="20"/>
                <w:szCs w:val="20"/>
                <w:color w:val="auto"/>
              </w:rPr>
            </w:pPr>
            <w:r>
              <w:rPr>
                <w:rFonts w:ascii="Arial" w:cs="Arial" w:eastAsia="Arial" w:hAnsi="Arial"/>
                <w:sz w:val="18"/>
                <w:szCs w:val="18"/>
                <w:color w:val="auto"/>
              </w:rPr>
              <w:t>Probable insurance</w:t>
            </w: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75"/>
        </w:trPr>
        <w:tc>
          <w:tcPr>
            <w:tcW w:w="2460" w:type="dxa"/>
            <w:vAlign w:val="bottom"/>
          </w:tcPr>
          <w:p>
            <w:pPr>
              <w:ind w:left="20"/>
              <w:spacing w:after="0" w:line="176" w:lineRule="exact"/>
              <w:rPr>
                <w:sz w:val="20"/>
                <w:szCs w:val="20"/>
                <w:color w:val="auto"/>
              </w:rPr>
            </w:pPr>
            <w:r>
              <w:rPr>
                <w:rFonts w:ascii="Arial" w:cs="Arial" w:eastAsia="Arial" w:hAnsi="Arial"/>
                <w:sz w:val="18"/>
                <w:szCs w:val="18"/>
                <w:color w:val="auto"/>
              </w:rPr>
              <w:t>recoveries related to</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7"/>
        </w:trPr>
        <w:tc>
          <w:tcPr>
            <w:tcW w:w="2460" w:type="dxa"/>
            <w:vAlign w:val="bottom"/>
          </w:tcPr>
          <w:p>
            <w:pPr>
              <w:ind w:left="20"/>
              <w:spacing w:after="0"/>
              <w:rPr>
                <w:sz w:val="20"/>
                <w:szCs w:val="20"/>
                <w:color w:val="auto"/>
              </w:rPr>
            </w:pPr>
            <w:r>
              <w:rPr>
                <w:rFonts w:ascii="Arial" w:cs="Arial" w:eastAsia="Arial" w:hAnsi="Arial"/>
                <w:sz w:val="18"/>
                <w:szCs w:val="18"/>
                <w:color w:val="auto"/>
              </w:rPr>
              <w:t>estimated liability</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r>
      <w:tr>
        <w:trPr>
          <w:trHeight w:val="188"/>
        </w:trPr>
        <w:tc>
          <w:tcPr>
            <w:tcW w:w="2460" w:type="dxa"/>
            <w:vAlign w:val="bottom"/>
            <w:shd w:val="clear" w:color="auto" w:fill="DDDDDD"/>
          </w:tcPr>
          <w:p>
            <w:pPr>
              <w:ind w:left="20"/>
              <w:spacing w:after="0" w:line="189" w:lineRule="exact"/>
              <w:rPr>
                <w:sz w:val="20"/>
                <w:szCs w:val="20"/>
                <w:color w:val="auto"/>
              </w:rPr>
            </w:pPr>
            <w:r>
              <w:rPr>
                <w:rFonts w:ascii="Arial" w:cs="Arial" w:eastAsia="Arial" w:hAnsi="Arial"/>
                <w:sz w:val="18"/>
                <w:szCs w:val="18"/>
                <w:color w:val="auto"/>
              </w:rPr>
              <w:t>Insurance receipts for</w:t>
            </w:r>
          </w:p>
        </w:tc>
        <w:tc>
          <w:tcPr>
            <w:tcW w:w="160" w:type="dxa"/>
            <w:vAlign w:val="bottom"/>
            <w:shd w:val="clear" w:color="auto" w:fill="DDDDDD"/>
          </w:tcPr>
          <w:p>
            <w:pPr>
              <w:spacing w:after="0"/>
              <w:rPr>
                <w:sz w:val="16"/>
                <w:szCs w:val="16"/>
                <w:color w:val="auto"/>
              </w:rPr>
            </w:pPr>
          </w:p>
        </w:tc>
        <w:tc>
          <w:tcPr>
            <w:tcW w:w="70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140" w:type="dxa"/>
            <w:vAlign w:val="bottom"/>
            <w:shd w:val="clear" w:color="auto" w:fill="DDDDDD"/>
          </w:tcPr>
          <w:p>
            <w:pPr>
              <w:spacing w:after="0"/>
              <w:rPr>
                <w:sz w:val="16"/>
                <w:szCs w:val="16"/>
                <w:color w:val="auto"/>
              </w:rPr>
            </w:pPr>
          </w:p>
        </w:tc>
        <w:tc>
          <w:tcPr>
            <w:tcW w:w="7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00" w:type="dxa"/>
            <w:vAlign w:val="bottom"/>
            <w:shd w:val="clear" w:color="auto" w:fill="DDDDDD"/>
          </w:tcPr>
          <w:p>
            <w:pPr>
              <w:spacing w:after="0"/>
              <w:rPr>
                <w:sz w:val="16"/>
                <w:szCs w:val="16"/>
                <w:color w:val="auto"/>
              </w:rPr>
            </w:pPr>
          </w:p>
        </w:tc>
        <w:tc>
          <w:tcPr>
            <w:tcW w:w="6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7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40" w:type="dxa"/>
            <w:vAlign w:val="bottom"/>
            <w:shd w:val="clear" w:color="auto" w:fill="DDDDDD"/>
          </w:tcPr>
          <w:p>
            <w:pPr>
              <w:spacing w:after="0"/>
              <w:rPr>
                <w:sz w:val="16"/>
                <w:szCs w:val="16"/>
                <w:color w:val="auto"/>
              </w:rPr>
            </w:pPr>
          </w:p>
        </w:tc>
        <w:tc>
          <w:tcPr>
            <w:tcW w:w="7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00" w:type="dxa"/>
            <w:vAlign w:val="bottom"/>
            <w:shd w:val="clear" w:color="auto" w:fill="DDDDDD"/>
          </w:tcPr>
          <w:p>
            <w:pPr>
              <w:spacing w:after="0"/>
              <w:rPr>
                <w:sz w:val="16"/>
                <w:szCs w:val="16"/>
                <w:color w:val="auto"/>
              </w:rPr>
            </w:pPr>
          </w:p>
        </w:tc>
        <w:tc>
          <w:tcPr>
            <w:tcW w:w="660" w:type="dxa"/>
            <w:vAlign w:val="bottom"/>
            <w:shd w:val="clear" w:color="auto" w:fill="DDDDDD"/>
          </w:tcPr>
          <w:p>
            <w:pPr>
              <w:spacing w:after="0"/>
              <w:rPr>
                <w:sz w:val="16"/>
                <w:szCs w:val="16"/>
                <w:color w:val="auto"/>
              </w:rPr>
            </w:pPr>
          </w:p>
        </w:tc>
        <w:tc>
          <w:tcPr>
            <w:tcW w:w="60" w:type="dxa"/>
            <w:vAlign w:val="bottom"/>
            <w:shd w:val="clear" w:color="auto" w:fill="DDDDDD"/>
          </w:tcPr>
          <w:p>
            <w:pPr>
              <w:spacing w:after="0"/>
              <w:rPr>
                <w:sz w:val="16"/>
                <w:szCs w:val="16"/>
                <w:color w:val="auto"/>
              </w:rPr>
            </w:pPr>
          </w:p>
        </w:tc>
        <w:tc>
          <w:tcPr>
            <w:tcW w:w="6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700" w:type="dxa"/>
            <w:vAlign w:val="bottom"/>
            <w:shd w:val="clear" w:color="auto" w:fill="DDDDDD"/>
          </w:tcPr>
          <w:p>
            <w:pPr>
              <w:spacing w:after="0"/>
              <w:rPr>
                <w:sz w:val="16"/>
                <w:szCs w:val="16"/>
                <w:color w:val="auto"/>
              </w:rPr>
            </w:pPr>
          </w:p>
        </w:tc>
        <w:tc>
          <w:tcPr>
            <w:tcW w:w="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40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3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00" w:type="dxa"/>
            <w:vAlign w:val="bottom"/>
            <w:shd w:val="clear" w:color="auto" w:fill="DDDDDD"/>
          </w:tcPr>
          <w:p>
            <w:pPr>
              <w:spacing w:after="0"/>
              <w:rPr>
                <w:sz w:val="16"/>
                <w:szCs w:val="16"/>
                <w:color w:val="auto"/>
              </w:rPr>
            </w:pPr>
          </w:p>
        </w:tc>
        <w:tc>
          <w:tcPr>
            <w:tcW w:w="680" w:type="dxa"/>
            <w:vAlign w:val="bottom"/>
            <w:shd w:val="clear" w:color="auto" w:fill="DDDDDD"/>
          </w:tcPr>
          <w:p>
            <w:pPr>
              <w:spacing w:after="0"/>
              <w:rPr>
                <w:sz w:val="16"/>
                <w:szCs w:val="16"/>
                <w:color w:val="auto"/>
              </w:rPr>
            </w:pPr>
          </w:p>
        </w:tc>
        <w:tc>
          <w:tcPr>
            <w:tcW w:w="100" w:type="dxa"/>
            <w:vAlign w:val="bottom"/>
          </w:tcPr>
          <w:p>
            <w:pPr>
              <w:spacing w:after="0"/>
              <w:rPr>
                <w:sz w:val="16"/>
                <w:szCs w:val="16"/>
                <w:color w:val="auto"/>
              </w:rPr>
            </w:pPr>
          </w:p>
        </w:tc>
      </w:tr>
      <w:tr>
        <w:trPr>
          <w:trHeight w:val="217"/>
        </w:trPr>
        <w:tc>
          <w:tcPr>
            <w:tcW w:w="2460" w:type="dxa"/>
            <w:vAlign w:val="bottom"/>
            <w:shd w:val="clear" w:color="auto" w:fill="DDDDDD"/>
          </w:tcPr>
          <w:p>
            <w:pPr>
              <w:ind w:left="20"/>
              <w:spacing w:after="0"/>
              <w:rPr>
                <w:sz w:val="20"/>
                <w:szCs w:val="20"/>
                <w:color w:val="auto"/>
              </w:rPr>
            </w:pPr>
            <w:r>
              <w:rPr>
                <w:rFonts w:ascii="Arial" w:cs="Arial" w:eastAsia="Arial" w:hAnsi="Arial"/>
                <w:sz w:val="18"/>
                <w:szCs w:val="18"/>
                <w:color w:val="auto"/>
              </w:rPr>
              <w:t>asbestos related liabilities</w:t>
            </w:r>
          </w:p>
        </w:tc>
        <w:tc>
          <w:tcPr>
            <w:tcW w:w="160" w:type="dxa"/>
            <w:vAlign w:val="bottom"/>
            <w:shd w:val="clear" w:color="auto" w:fill="DDDDDD"/>
          </w:tcPr>
          <w:p>
            <w:pPr>
              <w:spacing w:after="0"/>
              <w:rPr>
                <w:sz w:val="18"/>
                <w:szCs w:val="18"/>
                <w:color w:val="auto"/>
              </w:rPr>
            </w:pPr>
          </w:p>
        </w:tc>
        <w:tc>
          <w:tcPr>
            <w:tcW w:w="7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DDDDDD"/>
          </w:tcPr>
          <w:p>
            <w:pPr>
              <w:spacing w:after="0"/>
              <w:rPr>
                <w:sz w:val="18"/>
                <w:szCs w:val="18"/>
                <w:color w:val="auto"/>
              </w:rPr>
            </w:pPr>
          </w:p>
        </w:tc>
        <w:tc>
          <w:tcPr>
            <w:tcW w:w="140" w:type="dxa"/>
            <w:vAlign w:val="bottom"/>
            <w:shd w:val="clear" w:color="auto" w:fill="DDDDDD"/>
          </w:tcPr>
          <w:p>
            <w:pPr>
              <w:spacing w:after="0"/>
              <w:rPr>
                <w:sz w:val="18"/>
                <w:szCs w:val="18"/>
                <w:color w:val="auto"/>
              </w:rPr>
            </w:pPr>
          </w:p>
        </w:tc>
        <w:tc>
          <w:tcPr>
            <w:tcW w:w="7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DDDDDD"/>
          </w:tcPr>
          <w:p>
            <w:pPr>
              <w:spacing w:after="0"/>
              <w:rPr>
                <w:sz w:val="18"/>
                <w:szCs w:val="18"/>
                <w:color w:val="auto"/>
              </w:rPr>
            </w:pPr>
          </w:p>
        </w:tc>
        <w:tc>
          <w:tcPr>
            <w:tcW w:w="200" w:type="dxa"/>
            <w:vAlign w:val="bottom"/>
            <w:shd w:val="clear" w:color="auto" w:fill="DDDDDD"/>
          </w:tcPr>
          <w:p>
            <w:pPr>
              <w:spacing w:after="0"/>
              <w:rPr>
                <w:sz w:val="18"/>
                <w:szCs w:val="18"/>
                <w:color w:val="auto"/>
              </w:rPr>
            </w:pPr>
          </w:p>
        </w:tc>
        <w:tc>
          <w:tcPr>
            <w:tcW w:w="6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DDDDDD"/>
          </w:tcPr>
          <w:p>
            <w:pPr>
              <w:spacing w:after="0"/>
              <w:rPr>
                <w:sz w:val="18"/>
                <w:szCs w:val="18"/>
                <w:color w:val="auto"/>
              </w:rPr>
            </w:pPr>
          </w:p>
        </w:tc>
        <w:tc>
          <w:tcPr>
            <w:tcW w:w="160" w:type="dxa"/>
            <w:vAlign w:val="bottom"/>
            <w:shd w:val="clear" w:color="auto" w:fill="DDDDDD"/>
          </w:tcPr>
          <w:p>
            <w:pPr>
              <w:spacing w:after="0"/>
              <w:rPr>
                <w:sz w:val="18"/>
                <w:szCs w:val="18"/>
                <w:color w:val="auto"/>
              </w:rPr>
            </w:pPr>
          </w:p>
        </w:tc>
        <w:tc>
          <w:tcPr>
            <w:tcW w:w="7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DDDDDD"/>
          </w:tcPr>
          <w:p>
            <w:pPr>
              <w:spacing w:after="0"/>
              <w:rPr>
                <w:sz w:val="18"/>
                <w:szCs w:val="18"/>
                <w:color w:val="auto"/>
              </w:rPr>
            </w:pPr>
          </w:p>
        </w:tc>
        <w:tc>
          <w:tcPr>
            <w:tcW w:w="140" w:type="dxa"/>
            <w:vAlign w:val="bottom"/>
            <w:shd w:val="clear" w:color="auto" w:fill="DDDDDD"/>
          </w:tcPr>
          <w:p>
            <w:pPr>
              <w:spacing w:after="0"/>
              <w:rPr>
                <w:sz w:val="18"/>
                <w:szCs w:val="18"/>
                <w:color w:val="auto"/>
              </w:rPr>
            </w:pPr>
          </w:p>
        </w:tc>
        <w:tc>
          <w:tcPr>
            <w:tcW w:w="7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DDDDDD"/>
          </w:tcPr>
          <w:p>
            <w:pPr>
              <w:spacing w:after="0"/>
              <w:rPr>
                <w:sz w:val="18"/>
                <w:szCs w:val="18"/>
                <w:color w:val="auto"/>
              </w:rPr>
            </w:pPr>
          </w:p>
        </w:tc>
        <w:tc>
          <w:tcPr>
            <w:tcW w:w="200" w:type="dxa"/>
            <w:vAlign w:val="bottom"/>
            <w:shd w:val="clear" w:color="auto" w:fill="DDDDDD"/>
          </w:tcPr>
          <w:p>
            <w:pPr>
              <w:spacing w:after="0"/>
              <w:rPr>
                <w:sz w:val="18"/>
                <w:szCs w:val="18"/>
                <w:color w:val="auto"/>
              </w:rPr>
            </w:pPr>
          </w:p>
        </w:tc>
        <w:tc>
          <w:tcPr>
            <w:tcW w:w="6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(68)</w:t>
            </w:r>
          </w:p>
        </w:tc>
        <w:tc>
          <w:tcPr>
            <w:tcW w:w="60" w:type="dxa"/>
            <w:vAlign w:val="bottom"/>
            <w:shd w:val="clear" w:color="auto" w:fill="DDDDDD"/>
          </w:tcPr>
          <w:p>
            <w:pPr>
              <w:spacing w:after="0"/>
              <w:rPr>
                <w:sz w:val="18"/>
                <w:szCs w:val="18"/>
                <w:color w:val="auto"/>
              </w:rPr>
            </w:pPr>
          </w:p>
        </w:tc>
        <w:tc>
          <w:tcPr>
            <w:tcW w:w="60" w:type="dxa"/>
            <w:vAlign w:val="bottom"/>
            <w:shd w:val="clear" w:color="auto" w:fill="DDDDDD"/>
          </w:tcPr>
          <w:p>
            <w:pPr>
              <w:spacing w:after="0"/>
              <w:rPr>
                <w:sz w:val="18"/>
                <w:szCs w:val="18"/>
                <w:color w:val="auto"/>
              </w:rPr>
            </w:pPr>
          </w:p>
        </w:tc>
        <w:tc>
          <w:tcPr>
            <w:tcW w:w="160" w:type="dxa"/>
            <w:vAlign w:val="bottom"/>
            <w:shd w:val="clear" w:color="auto" w:fill="DDDDDD"/>
          </w:tcPr>
          <w:p>
            <w:pPr>
              <w:spacing w:after="0"/>
              <w:rPr>
                <w:sz w:val="18"/>
                <w:szCs w:val="18"/>
                <w:color w:val="auto"/>
              </w:rPr>
            </w:pPr>
          </w:p>
        </w:tc>
        <w:tc>
          <w:tcPr>
            <w:tcW w:w="7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(33)</w:t>
            </w:r>
          </w:p>
        </w:tc>
        <w:tc>
          <w:tcPr>
            <w:tcW w:w="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400" w:type="dxa"/>
            <w:vAlign w:val="bottom"/>
            <w:shd w:val="clear" w:color="auto" w:fill="DDDDDD"/>
          </w:tcPr>
          <w:p>
            <w:pPr>
              <w:spacing w:after="0"/>
              <w:rPr>
                <w:sz w:val="18"/>
                <w:szCs w:val="18"/>
                <w:color w:val="auto"/>
              </w:rPr>
            </w:pPr>
          </w:p>
        </w:tc>
        <w:tc>
          <w:tcPr>
            <w:tcW w:w="480" w:type="dxa"/>
            <w:vAlign w:val="bottom"/>
            <w:gridSpan w:val="2"/>
            <w:shd w:val="clear" w:color="auto" w:fill="DDDDDD"/>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DDDDDD"/>
          </w:tcPr>
          <w:p>
            <w:pPr>
              <w:spacing w:after="0"/>
              <w:rPr>
                <w:sz w:val="18"/>
                <w:szCs w:val="18"/>
                <w:color w:val="auto"/>
              </w:rPr>
            </w:pPr>
          </w:p>
        </w:tc>
        <w:tc>
          <w:tcPr>
            <w:tcW w:w="200" w:type="dxa"/>
            <w:vAlign w:val="bottom"/>
            <w:shd w:val="clear" w:color="auto" w:fill="DDDDDD"/>
          </w:tcPr>
          <w:p>
            <w:pPr>
              <w:spacing w:after="0"/>
              <w:rPr>
                <w:sz w:val="18"/>
                <w:szCs w:val="18"/>
                <w:color w:val="auto"/>
              </w:rPr>
            </w:pPr>
          </w:p>
        </w:tc>
        <w:tc>
          <w:tcPr>
            <w:tcW w:w="6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r>
      <w:tr>
        <w:trPr>
          <w:trHeight w:val="188"/>
        </w:trPr>
        <w:tc>
          <w:tcPr>
            <w:tcW w:w="2460" w:type="dxa"/>
            <w:vAlign w:val="bottom"/>
          </w:tcPr>
          <w:p>
            <w:pPr>
              <w:ind w:left="20"/>
              <w:spacing w:after="0" w:line="189" w:lineRule="exact"/>
              <w:rPr>
                <w:sz w:val="20"/>
                <w:szCs w:val="20"/>
                <w:color w:val="auto"/>
              </w:rPr>
            </w:pPr>
            <w:r>
              <w:rPr>
                <w:rFonts w:ascii="Arial" w:cs="Arial" w:eastAsia="Arial" w:hAnsi="Arial"/>
                <w:sz w:val="18"/>
                <w:szCs w:val="18"/>
                <w:color w:val="auto"/>
              </w:rPr>
              <w:t>Insurance receivables</w:t>
            </w: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7"/>
        </w:trPr>
        <w:tc>
          <w:tcPr>
            <w:tcW w:w="2460" w:type="dxa"/>
            <w:vAlign w:val="bottom"/>
          </w:tcPr>
          <w:p>
            <w:pPr>
              <w:ind w:left="20"/>
              <w:spacing w:after="0"/>
              <w:rPr>
                <w:sz w:val="20"/>
                <w:szCs w:val="20"/>
                <w:color w:val="auto"/>
              </w:rPr>
            </w:pPr>
            <w:r>
              <w:rPr>
                <w:rFonts w:ascii="Arial" w:cs="Arial" w:eastAsia="Arial" w:hAnsi="Arial"/>
                <w:sz w:val="18"/>
                <w:szCs w:val="18"/>
                <w:color w:val="auto"/>
              </w:rPr>
              <w:t>settlements and write offs</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r>
      <w:tr>
        <w:trPr>
          <w:trHeight w:val="250"/>
        </w:trPr>
        <w:tc>
          <w:tcPr>
            <w:tcW w:w="246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8"/>
                <w:szCs w:val="18"/>
                <w:color w:val="auto"/>
              </w:rPr>
              <w:t>End of year</w:t>
            </w:r>
          </w:p>
        </w:tc>
        <w:tc>
          <w:tcPr>
            <w:tcW w:w="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DDDDDD"/>
            </w:tcBorders>
            <w:shd w:val="clear" w:color="auto" w:fill="DDDDDD"/>
          </w:tcPr>
          <w:p>
            <w:pPr>
              <w:spacing w:after="0"/>
              <w:rPr>
                <w:sz w:val="21"/>
                <w:szCs w:val="21"/>
                <w:color w:val="auto"/>
              </w:rPr>
            </w:pPr>
          </w:p>
        </w:tc>
        <w:tc>
          <w:tcPr>
            <w:tcW w:w="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Borders>
              <w:bottom w:val="single" w:sz="8" w:color="DDDDDD"/>
            </w:tcBorders>
            <w:shd w:val="clear" w:color="auto" w:fill="DDDDDD"/>
          </w:tcPr>
          <w:p>
            <w:pPr>
              <w:spacing w:after="0"/>
              <w:rPr>
                <w:sz w:val="21"/>
                <w:szCs w:val="21"/>
                <w:color w:val="auto"/>
              </w:rPr>
            </w:pPr>
          </w:p>
        </w:tc>
        <w:tc>
          <w:tcPr>
            <w:tcW w:w="2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Borders>
              <w:bottom w:val="single" w:sz="8" w:color="DDDDDD"/>
            </w:tcBorders>
            <w:shd w:val="clear" w:color="auto" w:fill="DDDDDD"/>
          </w:tcPr>
          <w:p>
            <w:pPr>
              <w:spacing w:after="0"/>
              <w:rPr>
                <w:sz w:val="21"/>
                <w:szCs w:val="21"/>
                <w:color w:val="auto"/>
              </w:rPr>
            </w:pPr>
          </w:p>
        </w:tc>
        <w:tc>
          <w:tcPr>
            <w:tcW w:w="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DDDDDD"/>
            </w:tcBorders>
            <w:shd w:val="clear" w:color="auto" w:fill="DDDDDD"/>
          </w:tcPr>
          <w:p>
            <w:pPr>
              <w:spacing w:after="0"/>
              <w:rPr>
                <w:sz w:val="21"/>
                <w:szCs w:val="21"/>
                <w:color w:val="auto"/>
              </w:rPr>
            </w:pPr>
          </w:p>
        </w:tc>
        <w:tc>
          <w:tcPr>
            <w:tcW w:w="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DDDDDD"/>
            </w:tcBorders>
            <w:shd w:val="clear" w:color="auto" w:fill="DDDDDD"/>
          </w:tcPr>
          <w:p>
            <w:pPr>
              <w:spacing w:after="0"/>
              <w:rPr>
                <w:sz w:val="21"/>
                <w:szCs w:val="21"/>
                <w:color w:val="auto"/>
              </w:rPr>
            </w:pPr>
          </w:p>
        </w:tc>
        <w:tc>
          <w:tcPr>
            <w:tcW w:w="2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434</w:t>
            </w:r>
          </w:p>
        </w:tc>
        <w:tc>
          <w:tcPr>
            <w:tcW w:w="120" w:type="dxa"/>
            <w:vAlign w:val="bottom"/>
            <w:tcBorders>
              <w:bottom w:val="single" w:sz="8" w:color="DDDDDD"/>
            </w:tcBorders>
            <w:gridSpan w:val="2"/>
            <w:shd w:val="clear" w:color="auto" w:fill="DDDDDD"/>
          </w:tcPr>
          <w:p>
            <w:pPr>
              <w:spacing w:after="0"/>
              <w:rPr>
                <w:sz w:val="21"/>
                <w:szCs w:val="21"/>
                <w:color w:val="auto"/>
              </w:rPr>
            </w:pPr>
          </w:p>
        </w:tc>
        <w:tc>
          <w:tcPr>
            <w:tcW w:w="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170</w:t>
            </w:r>
          </w:p>
        </w:tc>
        <w:tc>
          <w:tcPr>
            <w:tcW w:w="20" w:type="dxa"/>
            <w:vAlign w:val="bottom"/>
            <w:tcBorders>
              <w:bottom w:val="single" w:sz="8" w:color="auto"/>
            </w:tcBorders>
            <w:shd w:val="clear" w:color="auto" w:fill="DDDDDD"/>
          </w:tcPr>
          <w:p>
            <w:pPr>
              <w:spacing w:after="0"/>
              <w:rPr>
                <w:sz w:val="21"/>
                <w:szCs w:val="21"/>
                <w:color w:val="auto"/>
              </w:rPr>
            </w:pPr>
          </w:p>
        </w:tc>
        <w:tc>
          <w:tcPr>
            <w:tcW w:w="100" w:type="dxa"/>
            <w:vAlign w:val="bottom"/>
            <w:tcBorders>
              <w:bottom w:val="single" w:sz="8" w:color="DDDDDD"/>
            </w:tcBorders>
            <w:shd w:val="clear" w:color="auto" w:fill="DDDDDD"/>
          </w:tcPr>
          <w:p>
            <w:pPr>
              <w:spacing w:after="0"/>
              <w:rPr>
                <w:sz w:val="21"/>
                <w:szCs w:val="21"/>
                <w:color w:val="auto"/>
              </w:rPr>
            </w:pPr>
          </w:p>
        </w:tc>
        <w:tc>
          <w:tcPr>
            <w:tcW w:w="400" w:type="dxa"/>
            <w:vAlign w:val="bottom"/>
            <w:tcBorders>
              <w:bottom w:val="single" w:sz="8" w:color="auto"/>
            </w:tcBorders>
            <w:shd w:val="clear" w:color="auto" w:fill="DDDDDD"/>
          </w:tcPr>
          <w:p>
            <w:pPr>
              <w:jc w:val="right"/>
              <w:ind w:right="199"/>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gridSpan w:val="2"/>
            <w:shd w:val="clear" w:color="auto" w:fill="DDDDDD"/>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Borders>
              <w:bottom w:val="single" w:sz="8" w:color="DDDDDD"/>
            </w:tcBorders>
            <w:shd w:val="clear" w:color="auto" w:fill="DDDDDD"/>
          </w:tcPr>
          <w:p>
            <w:pPr>
              <w:spacing w:after="0"/>
              <w:rPr>
                <w:sz w:val="21"/>
                <w:szCs w:val="21"/>
                <w:color w:val="auto"/>
              </w:rPr>
            </w:pPr>
          </w:p>
        </w:tc>
        <w:tc>
          <w:tcPr>
            <w:tcW w:w="2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21"/>
                <w:szCs w:val="21"/>
                <w:color w:val="auto"/>
              </w:rPr>
            </w:pPr>
          </w:p>
        </w:tc>
      </w:tr>
      <w:tr>
        <w:trPr>
          <w:trHeight w:val="20"/>
        </w:trPr>
        <w:tc>
          <w:tcPr>
            <w:tcW w:w="246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14"/>
        </w:trPr>
        <w:tc>
          <w:tcPr>
            <w:tcW w:w="8180" w:type="dxa"/>
            <w:vAlign w:val="bottom"/>
            <w:gridSpan w:val="18"/>
          </w:tcPr>
          <w:p>
            <w:pPr>
              <w:spacing w:after="0"/>
              <w:rPr>
                <w:sz w:val="20"/>
                <w:szCs w:val="20"/>
                <w:color w:val="auto"/>
              </w:rPr>
            </w:pPr>
            <w:r>
              <w:rPr>
                <w:rFonts w:ascii="Arial" w:cs="Arial" w:eastAsia="Arial" w:hAnsi="Arial"/>
                <w:sz w:val="18"/>
                <w:szCs w:val="18"/>
                <w:color w:val="auto"/>
              </w:rPr>
              <w:t>NARCO and Bendix asbestos related balances are included in the following balance sheet accounts:</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5"/>
        </w:trPr>
        <w:tc>
          <w:tcPr>
            <w:tcW w:w="2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Borders>
              <w:bottom w:val="single" w:sz="8" w:color="DC202E"/>
            </w:tcBorders>
          </w:tcPr>
          <w:p>
            <w:pPr>
              <w:spacing w:after="0"/>
              <w:rPr>
                <w:sz w:val="24"/>
                <w:szCs w:val="24"/>
                <w:color w:val="auto"/>
              </w:rPr>
            </w:pPr>
          </w:p>
        </w:tc>
        <w:tc>
          <w:tcPr>
            <w:tcW w:w="160" w:type="dxa"/>
            <w:vAlign w:val="bottom"/>
            <w:tcBorders>
              <w:bottom w:val="single" w:sz="8" w:color="DC202E"/>
            </w:tcBorders>
          </w:tcPr>
          <w:p>
            <w:pPr>
              <w:spacing w:after="0"/>
              <w:rPr>
                <w:sz w:val="24"/>
                <w:szCs w:val="24"/>
                <w:color w:val="auto"/>
              </w:rPr>
            </w:pPr>
          </w:p>
        </w:tc>
        <w:tc>
          <w:tcPr>
            <w:tcW w:w="700" w:type="dxa"/>
            <w:vAlign w:val="bottom"/>
            <w:tcBorders>
              <w:bottom w:val="single" w:sz="8" w:color="DC202E"/>
            </w:tcBorders>
          </w:tcPr>
          <w:p>
            <w:pPr>
              <w:spacing w:after="0"/>
              <w:rPr>
                <w:sz w:val="24"/>
                <w:szCs w:val="24"/>
                <w:color w:val="auto"/>
              </w:rPr>
            </w:pPr>
          </w:p>
        </w:tc>
        <w:tc>
          <w:tcPr>
            <w:tcW w:w="20" w:type="dxa"/>
            <w:vAlign w:val="bottom"/>
            <w:tcBorders>
              <w:bottom w:val="single" w:sz="8" w:color="DC202E"/>
            </w:tcBorders>
          </w:tcPr>
          <w:p>
            <w:pPr>
              <w:spacing w:after="0"/>
              <w:rPr>
                <w:sz w:val="24"/>
                <w:szCs w:val="24"/>
                <w:color w:val="auto"/>
              </w:rPr>
            </w:pPr>
          </w:p>
        </w:tc>
        <w:tc>
          <w:tcPr>
            <w:tcW w:w="1080" w:type="dxa"/>
            <w:vAlign w:val="bottom"/>
            <w:tcBorders>
              <w:bottom w:val="single" w:sz="8" w:color="DC202E"/>
            </w:tcBorders>
            <w:gridSpan w:val="5"/>
          </w:tcPr>
          <w:p>
            <w:pPr>
              <w:ind w:left="10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Borders>
              <w:bottom w:val="single" w:sz="8" w:color="DC202E"/>
            </w:tcBorders>
          </w:tcPr>
          <w:p>
            <w:pPr>
              <w:spacing w:after="0"/>
              <w:rPr>
                <w:sz w:val="24"/>
                <w:szCs w:val="24"/>
                <w:color w:val="auto"/>
              </w:rPr>
            </w:pPr>
          </w:p>
        </w:tc>
        <w:tc>
          <w:tcPr>
            <w:tcW w:w="680" w:type="dxa"/>
            <w:vAlign w:val="bottom"/>
            <w:tcBorders>
              <w:bottom w:val="single" w:sz="8" w:color="DC202E"/>
            </w:tcBorders>
          </w:tcPr>
          <w:p>
            <w:pPr>
              <w:spacing w:after="0"/>
              <w:rPr>
                <w:sz w:val="24"/>
                <w:szCs w:val="24"/>
                <w:color w:val="auto"/>
              </w:rPr>
            </w:pPr>
          </w:p>
        </w:tc>
        <w:tc>
          <w:tcPr>
            <w:tcW w:w="100" w:type="dxa"/>
            <w:vAlign w:val="bottom"/>
            <w:tcBorders>
              <w:bottom w:val="single" w:sz="8" w:color="DC202E"/>
            </w:tcBorders>
          </w:tcPr>
          <w:p>
            <w:pPr>
              <w:spacing w:after="0"/>
              <w:rPr>
                <w:sz w:val="24"/>
                <w:szCs w:val="24"/>
                <w:color w:val="auto"/>
              </w:rPr>
            </w:pPr>
          </w:p>
        </w:tc>
      </w:tr>
      <w:tr>
        <w:trPr>
          <w:trHeight w:val="237"/>
        </w:trPr>
        <w:tc>
          <w:tcPr>
            <w:tcW w:w="2460" w:type="dxa"/>
            <w:vAlign w:val="bottom"/>
            <w:tcBorders>
              <w:bottom w:val="single" w:sz="8" w:color="DDDDDD"/>
            </w:tcBorders>
          </w:tcPr>
          <w:p>
            <w:pPr>
              <w:spacing w:after="0"/>
              <w:rPr>
                <w:sz w:val="20"/>
                <w:szCs w:val="20"/>
                <w:color w:val="auto"/>
              </w:rPr>
            </w:pPr>
          </w:p>
        </w:tc>
        <w:tc>
          <w:tcPr>
            <w:tcW w:w="160" w:type="dxa"/>
            <w:vAlign w:val="bottom"/>
            <w:tcBorders>
              <w:bottom w:val="single" w:sz="8" w:color="DDDDDD"/>
            </w:tcBorders>
          </w:tcPr>
          <w:p>
            <w:pPr>
              <w:spacing w:after="0"/>
              <w:rPr>
                <w:sz w:val="20"/>
                <w:szCs w:val="20"/>
                <w:color w:val="auto"/>
              </w:rPr>
            </w:pPr>
          </w:p>
        </w:tc>
        <w:tc>
          <w:tcPr>
            <w:tcW w:w="700" w:type="dxa"/>
            <w:vAlign w:val="bottom"/>
            <w:tcBorders>
              <w:bottom w:val="single" w:sz="8" w:color="DDDDDD"/>
            </w:tcBorders>
          </w:tcPr>
          <w:p>
            <w:pPr>
              <w:spacing w:after="0"/>
              <w:rPr>
                <w:sz w:val="20"/>
                <w:szCs w:val="20"/>
                <w:color w:val="auto"/>
              </w:rPr>
            </w:pPr>
          </w:p>
        </w:tc>
        <w:tc>
          <w:tcPr>
            <w:tcW w:w="120" w:type="dxa"/>
            <w:vAlign w:val="bottom"/>
            <w:tcBorders>
              <w:bottom w:val="single" w:sz="8" w:color="DDDDDD"/>
            </w:tcBorders>
          </w:tcPr>
          <w:p>
            <w:pPr>
              <w:spacing w:after="0"/>
              <w:rPr>
                <w:sz w:val="20"/>
                <w:szCs w:val="20"/>
                <w:color w:val="auto"/>
              </w:rPr>
            </w:pPr>
          </w:p>
        </w:tc>
        <w:tc>
          <w:tcPr>
            <w:tcW w:w="140" w:type="dxa"/>
            <w:vAlign w:val="bottom"/>
            <w:tcBorders>
              <w:bottom w:val="single" w:sz="8" w:color="DDDDDD"/>
            </w:tcBorders>
          </w:tcPr>
          <w:p>
            <w:pPr>
              <w:spacing w:after="0"/>
              <w:rPr>
                <w:sz w:val="20"/>
                <w:szCs w:val="20"/>
                <w:color w:val="auto"/>
              </w:rPr>
            </w:pPr>
          </w:p>
        </w:tc>
        <w:tc>
          <w:tcPr>
            <w:tcW w:w="720" w:type="dxa"/>
            <w:vAlign w:val="bottom"/>
            <w:tcBorders>
              <w:bottom w:val="single" w:sz="8" w:color="DDDDDD"/>
            </w:tcBorders>
          </w:tcPr>
          <w:p>
            <w:pPr>
              <w:spacing w:after="0"/>
              <w:rPr>
                <w:sz w:val="20"/>
                <w:szCs w:val="20"/>
                <w:color w:val="auto"/>
              </w:rPr>
            </w:pPr>
          </w:p>
        </w:tc>
        <w:tc>
          <w:tcPr>
            <w:tcW w:w="100" w:type="dxa"/>
            <w:vAlign w:val="bottom"/>
            <w:tcBorders>
              <w:bottom w:val="single" w:sz="8" w:color="DDDDDD"/>
            </w:tcBorders>
          </w:tcPr>
          <w:p>
            <w:pPr>
              <w:spacing w:after="0"/>
              <w:rPr>
                <w:sz w:val="20"/>
                <w:szCs w:val="20"/>
                <w:color w:val="auto"/>
              </w:rPr>
            </w:pPr>
          </w:p>
        </w:tc>
        <w:tc>
          <w:tcPr>
            <w:tcW w:w="200" w:type="dxa"/>
            <w:vAlign w:val="bottom"/>
            <w:tcBorders>
              <w:bottom w:val="single" w:sz="8" w:color="DDDDDD"/>
            </w:tcBorders>
          </w:tcPr>
          <w:p>
            <w:pPr>
              <w:spacing w:after="0"/>
              <w:rPr>
                <w:sz w:val="20"/>
                <w:szCs w:val="20"/>
                <w:color w:val="auto"/>
              </w:rPr>
            </w:pPr>
          </w:p>
        </w:tc>
        <w:tc>
          <w:tcPr>
            <w:tcW w:w="660" w:type="dxa"/>
            <w:vAlign w:val="bottom"/>
            <w:tcBorders>
              <w:bottom w:val="single" w:sz="8" w:color="DDDDDD"/>
            </w:tcBorders>
          </w:tcPr>
          <w:p>
            <w:pPr>
              <w:spacing w:after="0"/>
              <w:rPr>
                <w:sz w:val="20"/>
                <w:szCs w:val="20"/>
                <w:color w:val="auto"/>
              </w:rPr>
            </w:pPr>
          </w:p>
        </w:tc>
        <w:tc>
          <w:tcPr>
            <w:tcW w:w="100" w:type="dxa"/>
            <w:vAlign w:val="bottom"/>
            <w:tcBorders>
              <w:bottom w:val="single" w:sz="8" w:color="DDDDDD"/>
            </w:tcBorders>
          </w:tcPr>
          <w:p>
            <w:pPr>
              <w:spacing w:after="0"/>
              <w:rPr>
                <w:sz w:val="20"/>
                <w:szCs w:val="20"/>
                <w:color w:val="auto"/>
              </w:rPr>
            </w:pPr>
          </w:p>
        </w:tc>
        <w:tc>
          <w:tcPr>
            <w:tcW w:w="160" w:type="dxa"/>
            <w:vAlign w:val="bottom"/>
            <w:tcBorders>
              <w:bottom w:val="single" w:sz="8" w:color="DDDDDD"/>
            </w:tcBorders>
          </w:tcPr>
          <w:p>
            <w:pPr>
              <w:spacing w:after="0"/>
              <w:rPr>
                <w:sz w:val="20"/>
                <w:szCs w:val="20"/>
                <w:color w:val="auto"/>
              </w:rPr>
            </w:pPr>
          </w:p>
        </w:tc>
        <w:tc>
          <w:tcPr>
            <w:tcW w:w="720" w:type="dxa"/>
            <w:vAlign w:val="bottom"/>
            <w:tcBorders>
              <w:bottom w:val="single" w:sz="8" w:color="DDDDDD"/>
            </w:tcBorders>
          </w:tcPr>
          <w:p>
            <w:pPr>
              <w:spacing w:after="0"/>
              <w:rPr>
                <w:sz w:val="20"/>
                <w:szCs w:val="20"/>
                <w:color w:val="auto"/>
              </w:rPr>
            </w:pPr>
          </w:p>
        </w:tc>
        <w:tc>
          <w:tcPr>
            <w:tcW w:w="100" w:type="dxa"/>
            <w:vAlign w:val="bottom"/>
            <w:tcBorders>
              <w:bottom w:val="single" w:sz="8" w:color="DDDDDD"/>
            </w:tcBorders>
          </w:tcPr>
          <w:p>
            <w:pPr>
              <w:spacing w:after="0"/>
              <w:rPr>
                <w:sz w:val="20"/>
                <w:szCs w:val="20"/>
                <w:color w:val="auto"/>
              </w:rPr>
            </w:pPr>
          </w:p>
        </w:tc>
        <w:tc>
          <w:tcPr>
            <w:tcW w:w="140" w:type="dxa"/>
            <w:vAlign w:val="bottom"/>
            <w:tcBorders>
              <w:bottom w:val="single" w:sz="8" w:color="DDDDDD"/>
            </w:tcBorders>
          </w:tcPr>
          <w:p>
            <w:pPr>
              <w:spacing w:after="0"/>
              <w:rPr>
                <w:sz w:val="20"/>
                <w:szCs w:val="20"/>
                <w:color w:val="auto"/>
              </w:rPr>
            </w:pPr>
          </w:p>
        </w:tc>
        <w:tc>
          <w:tcPr>
            <w:tcW w:w="740" w:type="dxa"/>
            <w:vAlign w:val="bottom"/>
            <w:tcBorders>
              <w:bottom w:val="single" w:sz="8" w:color="DDDDDD"/>
            </w:tcBorders>
          </w:tcPr>
          <w:p>
            <w:pPr>
              <w:spacing w:after="0"/>
              <w:rPr>
                <w:sz w:val="20"/>
                <w:szCs w:val="20"/>
                <w:color w:val="auto"/>
              </w:rPr>
            </w:pPr>
          </w:p>
        </w:tc>
        <w:tc>
          <w:tcPr>
            <w:tcW w:w="100" w:type="dxa"/>
            <w:vAlign w:val="bottom"/>
            <w:tcBorders>
              <w:bottom w:val="single" w:sz="8" w:color="DDDDDD"/>
            </w:tcBorders>
          </w:tcPr>
          <w:p>
            <w:pPr>
              <w:spacing w:after="0"/>
              <w:rPr>
                <w:sz w:val="20"/>
                <w:szCs w:val="20"/>
                <w:color w:val="auto"/>
              </w:rPr>
            </w:pPr>
          </w:p>
        </w:tc>
        <w:tc>
          <w:tcPr>
            <w:tcW w:w="200" w:type="dxa"/>
            <w:vAlign w:val="bottom"/>
            <w:tcBorders>
              <w:bottom w:val="single" w:sz="8" w:color="DDDDDD"/>
            </w:tcBorders>
          </w:tcPr>
          <w:p>
            <w:pPr>
              <w:spacing w:after="0"/>
              <w:rPr>
                <w:sz w:val="20"/>
                <w:szCs w:val="20"/>
                <w:color w:val="auto"/>
              </w:rPr>
            </w:pPr>
          </w:p>
        </w:tc>
        <w:tc>
          <w:tcPr>
            <w:tcW w:w="660" w:type="dxa"/>
            <w:vAlign w:val="bottom"/>
            <w:tcBorders>
              <w:bottom w:val="single" w:sz="8" w:color="DDDDDD"/>
            </w:tcBorders>
          </w:tcPr>
          <w:p>
            <w:pPr>
              <w:spacing w:after="0"/>
              <w:rPr>
                <w:sz w:val="20"/>
                <w:szCs w:val="20"/>
                <w:color w:val="auto"/>
              </w:rPr>
            </w:pPr>
          </w:p>
        </w:tc>
        <w:tc>
          <w:tcPr>
            <w:tcW w:w="60" w:type="dxa"/>
            <w:vAlign w:val="bottom"/>
            <w:tcBorders>
              <w:bottom w:val="single" w:sz="8" w:color="DDDDDD"/>
            </w:tcBorders>
          </w:tcPr>
          <w:p>
            <w:pPr>
              <w:spacing w:after="0"/>
              <w:rPr>
                <w:sz w:val="20"/>
                <w:szCs w:val="20"/>
                <w:color w:val="auto"/>
              </w:rPr>
            </w:pPr>
          </w:p>
        </w:tc>
        <w:tc>
          <w:tcPr>
            <w:tcW w:w="60" w:type="dxa"/>
            <w:vAlign w:val="bottom"/>
            <w:tcBorders>
              <w:bottom w:val="single" w:sz="8" w:color="DC202E"/>
            </w:tcBorders>
          </w:tcPr>
          <w:p>
            <w:pPr>
              <w:spacing w:after="0"/>
              <w:rPr>
                <w:sz w:val="20"/>
                <w:szCs w:val="20"/>
                <w:color w:val="auto"/>
              </w:rPr>
            </w:pPr>
          </w:p>
        </w:tc>
        <w:tc>
          <w:tcPr>
            <w:tcW w:w="160" w:type="dxa"/>
            <w:vAlign w:val="bottom"/>
            <w:tcBorders>
              <w:bottom w:val="single" w:sz="8" w:color="DC202E"/>
            </w:tcBorders>
          </w:tcPr>
          <w:p>
            <w:pPr>
              <w:spacing w:after="0"/>
              <w:rPr>
                <w:sz w:val="20"/>
                <w:szCs w:val="20"/>
                <w:color w:val="auto"/>
              </w:rPr>
            </w:pPr>
          </w:p>
        </w:tc>
        <w:tc>
          <w:tcPr>
            <w:tcW w:w="70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DC202E"/>
            </w:tcBorders>
          </w:tcPr>
          <w:p>
            <w:pPr>
              <w:spacing w:after="0"/>
              <w:rPr>
                <w:sz w:val="20"/>
                <w:szCs w:val="20"/>
                <w:color w:val="auto"/>
              </w:rPr>
            </w:pPr>
          </w:p>
        </w:tc>
        <w:tc>
          <w:tcPr>
            <w:tcW w:w="100" w:type="dxa"/>
            <w:vAlign w:val="bottom"/>
            <w:tcBorders>
              <w:bottom w:val="single" w:sz="8" w:color="DC202E"/>
            </w:tcBorders>
          </w:tcPr>
          <w:p>
            <w:pPr>
              <w:spacing w:after="0"/>
              <w:rPr>
                <w:sz w:val="20"/>
                <w:szCs w:val="20"/>
                <w:color w:val="auto"/>
              </w:rPr>
            </w:pPr>
          </w:p>
        </w:tc>
        <w:tc>
          <w:tcPr>
            <w:tcW w:w="400" w:type="dxa"/>
            <w:vAlign w:val="bottom"/>
            <w:tcBorders>
              <w:bottom w:val="single" w:sz="8" w:color="DC202E"/>
            </w:tcBorders>
          </w:tcPr>
          <w:p>
            <w:pPr>
              <w:spacing w:after="0"/>
              <w:rPr>
                <w:sz w:val="20"/>
                <w:szCs w:val="20"/>
                <w:color w:val="auto"/>
              </w:rPr>
            </w:pPr>
          </w:p>
        </w:tc>
        <w:tc>
          <w:tcPr>
            <w:tcW w:w="120" w:type="dxa"/>
            <w:vAlign w:val="bottom"/>
            <w:tcBorders>
              <w:bottom w:val="single" w:sz="8" w:color="DDDDDD"/>
            </w:tcBorders>
          </w:tcPr>
          <w:p>
            <w:pPr>
              <w:spacing w:after="0"/>
              <w:rPr>
                <w:sz w:val="20"/>
                <w:szCs w:val="20"/>
                <w:color w:val="auto"/>
              </w:rPr>
            </w:pPr>
          </w:p>
        </w:tc>
        <w:tc>
          <w:tcPr>
            <w:tcW w:w="360" w:type="dxa"/>
            <w:vAlign w:val="bottom"/>
            <w:tcBorders>
              <w:bottom w:val="single" w:sz="8" w:color="DC202E"/>
            </w:tcBorders>
          </w:tcPr>
          <w:p>
            <w:pPr>
              <w:spacing w:after="0"/>
              <w:rPr>
                <w:sz w:val="20"/>
                <w:szCs w:val="20"/>
                <w:color w:val="auto"/>
              </w:rPr>
            </w:pPr>
          </w:p>
        </w:tc>
        <w:tc>
          <w:tcPr>
            <w:tcW w:w="100" w:type="dxa"/>
            <w:vAlign w:val="bottom"/>
            <w:tcBorders>
              <w:bottom w:val="single" w:sz="8" w:color="DC202E"/>
            </w:tcBorders>
          </w:tcPr>
          <w:p>
            <w:pPr>
              <w:spacing w:after="0"/>
              <w:rPr>
                <w:sz w:val="20"/>
                <w:szCs w:val="20"/>
                <w:color w:val="auto"/>
              </w:rPr>
            </w:pPr>
          </w:p>
        </w:tc>
        <w:tc>
          <w:tcPr>
            <w:tcW w:w="880" w:type="dxa"/>
            <w:vAlign w:val="bottom"/>
            <w:tcBorders>
              <w:bottom w:val="single" w:sz="8" w:color="DC202E"/>
            </w:tcBorders>
            <w:gridSpan w:val="2"/>
          </w:tcPr>
          <w:p>
            <w:pPr>
              <w:jc w:val="right"/>
              <w:ind w:right="37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DC202E"/>
            </w:tcBorders>
          </w:tcPr>
          <w:p>
            <w:pPr>
              <w:spacing w:after="0"/>
              <w:rPr>
                <w:sz w:val="20"/>
                <w:szCs w:val="20"/>
                <w:color w:val="auto"/>
              </w:rPr>
            </w:pPr>
          </w:p>
        </w:tc>
      </w:tr>
      <w:tr>
        <w:trPr>
          <w:trHeight w:val="230"/>
        </w:trPr>
        <w:tc>
          <w:tcPr>
            <w:tcW w:w="2460" w:type="dxa"/>
            <w:vAlign w:val="bottom"/>
            <w:shd w:val="clear" w:color="auto" w:fill="DDDDDD"/>
          </w:tcPr>
          <w:p>
            <w:pPr>
              <w:ind w:left="20"/>
              <w:spacing w:after="0"/>
              <w:rPr>
                <w:sz w:val="20"/>
                <w:szCs w:val="20"/>
                <w:color w:val="auto"/>
              </w:rPr>
            </w:pPr>
            <w:r>
              <w:rPr>
                <w:rFonts w:ascii="Arial" w:cs="Arial" w:eastAsia="Arial" w:hAnsi="Arial"/>
                <w:sz w:val="18"/>
                <w:szCs w:val="18"/>
                <w:color w:val="auto"/>
              </w:rPr>
              <w:t>Other current assets</w:t>
            </w:r>
          </w:p>
        </w:tc>
        <w:tc>
          <w:tcPr>
            <w:tcW w:w="160" w:type="dxa"/>
            <w:vAlign w:val="bottom"/>
            <w:shd w:val="clear" w:color="auto" w:fill="DDDDDD"/>
          </w:tcPr>
          <w:p>
            <w:pPr>
              <w:spacing w:after="0"/>
              <w:rPr>
                <w:sz w:val="19"/>
                <w:szCs w:val="19"/>
                <w:color w:val="auto"/>
              </w:rPr>
            </w:pPr>
          </w:p>
        </w:tc>
        <w:tc>
          <w:tcPr>
            <w:tcW w:w="70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140" w:type="dxa"/>
            <w:vAlign w:val="bottom"/>
            <w:shd w:val="clear" w:color="auto" w:fill="DDDDDD"/>
          </w:tcPr>
          <w:p>
            <w:pPr>
              <w:spacing w:after="0"/>
              <w:rPr>
                <w:sz w:val="19"/>
                <w:szCs w:val="19"/>
                <w:color w:val="auto"/>
              </w:rPr>
            </w:pPr>
          </w:p>
        </w:tc>
        <w:tc>
          <w:tcPr>
            <w:tcW w:w="72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200" w:type="dxa"/>
            <w:vAlign w:val="bottom"/>
            <w:shd w:val="clear" w:color="auto" w:fill="DDDDDD"/>
          </w:tcPr>
          <w:p>
            <w:pPr>
              <w:spacing w:after="0"/>
              <w:rPr>
                <w:sz w:val="19"/>
                <w:szCs w:val="19"/>
                <w:color w:val="auto"/>
              </w:rPr>
            </w:pPr>
          </w:p>
        </w:tc>
        <w:tc>
          <w:tcPr>
            <w:tcW w:w="66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160" w:type="dxa"/>
            <w:vAlign w:val="bottom"/>
            <w:shd w:val="clear" w:color="auto" w:fill="DDDDDD"/>
          </w:tcPr>
          <w:p>
            <w:pPr>
              <w:spacing w:after="0"/>
              <w:rPr>
                <w:sz w:val="19"/>
                <w:szCs w:val="19"/>
                <w:color w:val="auto"/>
              </w:rPr>
            </w:pPr>
          </w:p>
        </w:tc>
        <w:tc>
          <w:tcPr>
            <w:tcW w:w="72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140" w:type="dxa"/>
            <w:vAlign w:val="bottom"/>
            <w:shd w:val="clear" w:color="auto" w:fill="DDDDDD"/>
          </w:tcPr>
          <w:p>
            <w:pPr>
              <w:spacing w:after="0"/>
              <w:rPr>
                <w:sz w:val="19"/>
                <w:szCs w:val="19"/>
                <w:color w:val="auto"/>
              </w:rPr>
            </w:pPr>
          </w:p>
        </w:tc>
        <w:tc>
          <w:tcPr>
            <w:tcW w:w="74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200" w:type="dxa"/>
            <w:vAlign w:val="bottom"/>
            <w:shd w:val="clear" w:color="auto" w:fill="DDDDDD"/>
          </w:tcPr>
          <w:p>
            <w:pPr>
              <w:spacing w:after="0"/>
              <w:rPr>
                <w:sz w:val="19"/>
                <w:szCs w:val="19"/>
                <w:color w:val="auto"/>
              </w:rPr>
            </w:pPr>
          </w:p>
        </w:tc>
        <w:tc>
          <w:tcPr>
            <w:tcW w:w="660" w:type="dxa"/>
            <w:vAlign w:val="bottom"/>
            <w:shd w:val="clear" w:color="auto" w:fill="DDDDDD"/>
          </w:tcPr>
          <w:p>
            <w:pPr>
              <w:spacing w:after="0"/>
              <w:rPr>
                <w:sz w:val="19"/>
                <w:szCs w:val="19"/>
                <w:color w:val="auto"/>
              </w:rPr>
            </w:pPr>
          </w:p>
        </w:tc>
        <w:tc>
          <w:tcPr>
            <w:tcW w:w="280" w:type="dxa"/>
            <w:vAlign w:val="bottom"/>
            <w:gridSpan w:val="3"/>
            <w:shd w:val="clear" w:color="auto" w:fill="DDDDDD"/>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shd w:val="clear" w:color="auto" w:fill="DDDDDD"/>
          </w:tcPr>
          <w:p>
            <w:pPr>
              <w:spacing w:after="0"/>
              <w:rPr>
                <w:sz w:val="19"/>
                <w:szCs w:val="19"/>
                <w:color w:val="auto"/>
              </w:rPr>
            </w:pPr>
          </w:p>
        </w:tc>
        <w:tc>
          <w:tcPr>
            <w:tcW w:w="520" w:type="dxa"/>
            <w:vAlign w:val="bottom"/>
            <w:gridSpan w:val="3"/>
            <w:shd w:val="clear" w:color="auto" w:fill="DDDDDD"/>
          </w:tcPr>
          <w:p>
            <w:pPr>
              <w:jc w:val="right"/>
              <w:spacing w:after="0"/>
              <w:rPr>
                <w:sz w:val="20"/>
                <w:szCs w:val="20"/>
                <w:color w:val="auto"/>
              </w:rPr>
            </w:pPr>
            <w:r>
              <w:rPr>
                <w:rFonts w:ascii="Arial" w:cs="Arial" w:eastAsia="Arial" w:hAnsi="Arial"/>
                <w:sz w:val="18"/>
                <w:szCs w:val="18"/>
                <w:color w:val="auto"/>
              </w:rPr>
              <w:t>36</w:t>
            </w:r>
          </w:p>
        </w:tc>
        <w:tc>
          <w:tcPr>
            <w:tcW w:w="480" w:type="dxa"/>
            <w:vAlign w:val="bottom"/>
            <w:gridSpan w:val="2"/>
            <w:shd w:val="clear" w:color="auto" w:fill="DDDDDD"/>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shd w:val="clear" w:color="auto" w:fill="DDDDDD"/>
          </w:tcPr>
          <w:p>
            <w:pPr>
              <w:spacing w:after="0"/>
              <w:rPr>
                <w:sz w:val="19"/>
                <w:szCs w:val="19"/>
                <w:color w:val="auto"/>
              </w:rPr>
            </w:pPr>
          </w:p>
        </w:tc>
        <w:tc>
          <w:tcPr>
            <w:tcW w:w="200" w:type="dxa"/>
            <w:vAlign w:val="bottom"/>
            <w:shd w:val="clear" w:color="auto" w:fill="DDDDDD"/>
          </w:tcPr>
          <w:p>
            <w:pPr>
              <w:spacing w:after="0"/>
              <w:rPr>
                <w:sz w:val="19"/>
                <w:szCs w:val="19"/>
                <w:color w:val="auto"/>
              </w:rPr>
            </w:pPr>
          </w:p>
        </w:tc>
        <w:tc>
          <w:tcPr>
            <w:tcW w:w="780" w:type="dxa"/>
            <w:vAlign w:val="bottom"/>
            <w:gridSpan w:val="2"/>
            <w:shd w:val="clear" w:color="auto" w:fill="DDDDDD"/>
          </w:tcPr>
          <w:p>
            <w:pPr>
              <w:jc w:val="right"/>
              <w:ind w:right="80"/>
              <w:spacing w:after="0"/>
              <w:rPr>
                <w:sz w:val="20"/>
                <w:szCs w:val="20"/>
                <w:color w:val="auto"/>
              </w:rPr>
            </w:pPr>
            <w:r>
              <w:rPr>
                <w:rFonts w:ascii="Arial" w:cs="Arial" w:eastAsia="Arial" w:hAnsi="Arial"/>
                <w:sz w:val="18"/>
                <w:szCs w:val="18"/>
                <w:color w:val="auto"/>
              </w:rPr>
              <w:t>42</w:t>
            </w:r>
          </w:p>
        </w:tc>
      </w:tr>
      <w:tr>
        <w:trPr>
          <w:trHeight w:val="229"/>
        </w:trPr>
        <w:tc>
          <w:tcPr>
            <w:tcW w:w="4400" w:type="dxa"/>
            <w:vAlign w:val="bottom"/>
            <w:tcBorders>
              <w:bottom w:val="single" w:sz="8" w:color="DDDDDD"/>
            </w:tcBorders>
            <w:gridSpan w:val="7"/>
          </w:tcPr>
          <w:p>
            <w:pPr>
              <w:ind w:left="20"/>
              <w:spacing w:after="0"/>
              <w:rPr>
                <w:sz w:val="20"/>
                <w:szCs w:val="20"/>
                <w:color w:val="auto"/>
              </w:rPr>
            </w:pPr>
            <w:r>
              <w:rPr>
                <w:rFonts w:ascii="Arial" w:cs="Arial" w:eastAsia="Arial" w:hAnsi="Arial"/>
                <w:sz w:val="18"/>
                <w:szCs w:val="18"/>
                <w:color w:val="auto"/>
              </w:rPr>
              <w:t>Insurance recoveries for asbestos related liabilities</w:t>
            </w:r>
          </w:p>
        </w:tc>
        <w:tc>
          <w:tcPr>
            <w:tcW w:w="200" w:type="dxa"/>
            <w:vAlign w:val="bottom"/>
            <w:tcBorders>
              <w:bottom w:val="single" w:sz="8" w:color="DDDDDD"/>
            </w:tcBorders>
          </w:tcPr>
          <w:p>
            <w:pPr>
              <w:spacing w:after="0"/>
              <w:rPr>
                <w:sz w:val="19"/>
                <w:szCs w:val="19"/>
                <w:color w:val="auto"/>
              </w:rPr>
            </w:pPr>
          </w:p>
        </w:tc>
        <w:tc>
          <w:tcPr>
            <w:tcW w:w="660" w:type="dxa"/>
            <w:vAlign w:val="bottom"/>
            <w:tcBorders>
              <w:bottom w:val="single" w:sz="8" w:color="DDDDDD"/>
            </w:tcBorders>
          </w:tcPr>
          <w:p>
            <w:pPr>
              <w:spacing w:after="0"/>
              <w:rPr>
                <w:sz w:val="19"/>
                <w:szCs w:val="19"/>
                <w:color w:val="auto"/>
              </w:rPr>
            </w:pPr>
          </w:p>
        </w:tc>
        <w:tc>
          <w:tcPr>
            <w:tcW w:w="100" w:type="dxa"/>
            <w:vAlign w:val="bottom"/>
            <w:tcBorders>
              <w:bottom w:val="single" w:sz="8" w:color="DDDDDD"/>
            </w:tcBorders>
          </w:tcPr>
          <w:p>
            <w:pPr>
              <w:spacing w:after="0"/>
              <w:rPr>
                <w:sz w:val="19"/>
                <w:szCs w:val="19"/>
                <w:color w:val="auto"/>
              </w:rPr>
            </w:pPr>
          </w:p>
        </w:tc>
        <w:tc>
          <w:tcPr>
            <w:tcW w:w="160" w:type="dxa"/>
            <w:vAlign w:val="bottom"/>
            <w:tcBorders>
              <w:bottom w:val="single" w:sz="8" w:color="DDDDDD"/>
            </w:tcBorders>
          </w:tcPr>
          <w:p>
            <w:pPr>
              <w:spacing w:after="0"/>
              <w:rPr>
                <w:sz w:val="19"/>
                <w:szCs w:val="19"/>
                <w:color w:val="auto"/>
              </w:rPr>
            </w:pPr>
          </w:p>
        </w:tc>
        <w:tc>
          <w:tcPr>
            <w:tcW w:w="720" w:type="dxa"/>
            <w:vAlign w:val="bottom"/>
            <w:tcBorders>
              <w:bottom w:val="single" w:sz="8" w:color="DDDDDD"/>
            </w:tcBorders>
          </w:tcPr>
          <w:p>
            <w:pPr>
              <w:spacing w:after="0"/>
              <w:rPr>
                <w:sz w:val="19"/>
                <w:szCs w:val="19"/>
                <w:color w:val="auto"/>
              </w:rPr>
            </w:pPr>
          </w:p>
        </w:tc>
        <w:tc>
          <w:tcPr>
            <w:tcW w:w="100" w:type="dxa"/>
            <w:vAlign w:val="bottom"/>
            <w:tcBorders>
              <w:bottom w:val="single" w:sz="8" w:color="DDDDDD"/>
            </w:tcBorders>
          </w:tcPr>
          <w:p>
            <w:pPr>
              <w:spacing w:after="0"/>
              <w:rPr>
                <w:sz w:val="19"/>
                <w:szCs w:val="19"/>
                <w:color w:val="auto"/>
              </w:rPr>
            </w:pPr>
          </w:p>
        </w:tc>
        <w:tc>
          <w:tcPr>
            <w:tcW w:w="140" w:type="dxa"/>
            <w:vAlign w:val="bottom"/>
            <w:tcBorders>
              <w:bottom w:val="single" w:sz="8" w:color="DDDDDD"/>
            </w:tcBorders>
          </w:tcPr>
          <w:p>
            <w:pPr>
              <w:spacing w:after="0"/>
              <w:rPr>
                <w:sz w:val="19"/>
                <w:szCs w:val="19"/>
                <w:color w:val="auto"/>
              </w:rPr>
            </w:pPr>
          </w:p>
        </w:tc>
        <w:tc>
          <w:tcPr>
            <w:tcW w:w="740" w:type="dxa"/>
            <w:vAlign w:val="bottom"/>
            <w:tcBorders>
              <w:bottom w:val="single" w:sz="8" w:color="DDDDDD"/>
            </w:tcBorders>
          </w:tcPr>
          <w:p>
            <w:pPr>
              <w:spacing w:after="0"/>
              <w:rPr>
                <w:sz w:val="19"/>
                <w:szCs w:val="19"/>
                <w:color w:val="auto"/>
              </w:rPr>
            </w:pPr>
          </w:p>
        </w:tc>
        <w:tc>
          <w:tcPr>
            <w:tcW w:w="100" w:type="dxa"/>
            <w:vAlign w:val="bottom"/>
            <w:tcBorders>
              <w:bottom w:val="single" w:sz="8" w:color="DDDDDD"/>
            </w:tcBorders>
          </w:tcPr>
          <w:p>
            <w:pPr>
              <w:spacing w:after="0"/>
              <w:rPr>
                <w:sz w:val="19"/>
                <w:szCs w:val="19"/>
                <w:color w:val="auto"/>
              </w:rPr>
            </w:pPr>
          </w:p>
        </w:tc>
        <w:tc>
          <w:tcPr>
            <w:tcW w:w="200" w:type="dxa"/>
            <w:vAlign w:val="bottom"/>
            <w:tcBorders>
              <w:bottom w:val="single" w:sz="8" w:color="DDDDDD"/>
            </w:tcBorders>
          </w:tcPr>
          <w:p>
            <w:pPr>
              <w:spacing w:after="0"/>
              <w:rPr>
                <w:sz w:val="19"/>
                <w:szCs w:val="19"/>
                <w:color w:val="auto"/>
              </w:rPr>
            </w:pPr>
          </w:p>
        </w:tc>
        <w:tc>
          <w:tcPr>
            <w:tcW w:w="660" w:type="dxa"/>
            <w:vAlign w:val="bottom"/>
            <w:tcBorders>
              <w:bottom w:val="single" w:sz="8" w:color="DDDDDD"/>
            </w:tcBorders>
          </w:tcPr>
          <w:p>
            <w:pPr>
              <w:spacing w:after="0"/>
              <w:rPr>
                <w:sz w:val="19"/>
                <w:szCs w:val="19"/>
                <w:color w:val="auto"/>
              </w:rPr>
            </w:pPr>
          </w:p>
        </w:tc>
        <w:tc>
          <w:tcPr>
            <w:tcW w:w="60" w:type="dxa"/>
            <w:vAlign w:val="bottom"/>
            <w:tcBorders>
              <w:bottom w:val="single" w:sz="8" w:color="DDDDDD"/>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366</w:t>
            </w:r>
          </w:p>
        </w:tc>
        <w:tc>
          <w:tcPr>
            <w:tcW w:w="120" w:type="dxa"/>
            <w:vAlign w:val="bottom"/>
            <w:tcBorders>
              <w:bottom w:val="single" w:sz="8" w:color="DDDDDD"/>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392</w:t>
            </w:r>
          </w:p>
        </w:tc>
      </w:tr>
      <w:tr>
        <w:trPr>
          <w:trHeight w:val="243"/>
        </w:trPr>
        <w:tc>
          <w:tcPr>
            <w:tcW w:w="2460" w:type="dxa"/>
            <w:vAlign w:val="bottom"/>
            <w:tcBorders>
              <w:bottom w:val="single" w:sz="8" w:color="DDDDDD"/>
            </w:tcBorders>
            <w:shd w:val="clear" w:color="auto" w:fill="DDDDDD"/>
          </w:tcPr>
          <w:p>
            <w:pPr>
              <w:spacing w:after="0"/>
              <w:rPr>
                <w:sz w:val="21"/>
                <w:szCs w:val="21"/>
                <w:color w:val="auto"/>
              </w:rPr>
            </w:pPr>
          </w:p>
        </w:tc>
        <w:tc>
          <w:tcPr>
            <w:tcW w:w="160" w:type="dxa"/>
            <w:vAlign w:val="bottom"/>
            <w:tcBorders>
              <w:bottom w:val="single" w:sz="8" w:color="DDDDDD"/>
            </w:tcBorders>
            <w:shd w:val="clear" w:color="auto" w:fill="DDDDDD"/>
          </w:tcPr>
          <w:p>
            <w:pPr>
              <w:spacing w:after="0"/>
              <w:rPr>
                <w:sz w:val="21"/>
                <w:szCs w:val="21"/>
                <w:color w:val="auto"/>
              </w:rPr>
            </w:pPr>
          </w:p>
        </w:tc>
        <w:tc>
          <w:tcPr>
            <w:tcW w:w="700" w:type="dxa"/>
            <w:vAlign w:val="bottom"/>
            <w:tcBorders>
              <w:bottom w:val="single" w:sz="8" w:color="DDDDDD"/>
            </w:tcBorders>
            <w:shd w:val="clear" w:color="auto" w:fill="DDDDDD"/>
          </w:tcPr>
          <w:p>
            <w:pPr>
              <w:spacing w:after="0"/>
              <w:rPr>
                <w:sz w:val="21"/>
                <w:szCs w:val="21"/>
                <w:color w:val="auto"/>
              </w:rPr>
            </w:pPr>
          </w:p>
        </w:tc>
        <w:tc>
          <w:tcPr>
            <w:tcW w:w="120" w:type="dxa"/>
            <w:vAlign w:val="bottom"/>
            <w:tcBorders>
              <w:bottom w:val="single" w:sz="8" w:color="DDDDDD"/>
            </w:tcBorders>
            <w:shd w:val="clear" w:color="auto" w:fill="DDDDDD"/>
          </w:tcPr>
          <w:p>
            <w:pPr>
              <w:spacing w:after="0"/>
              <w:rPr>
                <w:sz w:val="21"/>
                <w:szCs w:val="21"/>
                <w:color w:val="auto"/>
              </w:rPr>
            </w:pPr>
          </w:p>
        </w:tc>
        <w:tc>
          <w:tcPr>
            <w:tcW w:w="140" w:type="dxa"/>
            <w:vAlign w:val="bottom"/>
            <w:tcBorders>
              <w:bottom w:val="single" w:sz="8" w:color="DDDDDD"/>
            </w:tcBorders>
            <w:shd w:val="clear" w:color="auto" w:fill="DDDDDD"/>
          </w:tcPr>
          <w:p>
            <w:pPr>
              <w:spacing w:after="0"/>
              <w:rPr>
                <w:sz w:val="21"/>
                <w:szCs w:val="21"/>
                <w:color w:val="auto"/>
              </w:rPr>
            </w:pPr>
          </w:p>
        </w:tc>
        <w:tc>
          <w:tcPr>
            <w:tcW w:w="720" w:type="dxa"/>
            <w:vAlign w:val="bottom"/>
            <w:tcBorders>
              <w:bottom w:val="single" w:sz="8" w:color="DDDDDD"/>
            </w:tcBorders>
            <w:shd w:val="clear" w:color="auto" w:fill="DDDDDD"/>
          </w:tcPr>
          <w:p>
            <w:pPr>
              <w:spacing w:after="0"/>
              <w:rPr>
                <w:sz w:val="21"/>
                <w:szCs w:val="21"/>
                <w:color w:val="auto"/>
              </w:rPr>
            </w:pPr>
          </w:p>
        </w:tc>
        <w:tc>
          <w:tcPr>
            <w:tcW w:w="100" w:type="dxa"/>
            <w:vAlign w:val="bottom"/>
            <w:tcBorders>
              <w:bottom w:val="single" w:sz="8" w:color="DDDDDD"/>
            </w:tcBorders>
            <w:shd w:val="clear" w:color="auto" w:fill="DDDDDD"/>
          </w:tcPr>
          <w:p>
            <w:pPr>
              <w:spacing w:after="0"/>
              <w:rPr>
                <w:sz w:val="21"/>
                <w:szCs w:val="21"/>
                <w:color w:val="auto"/>
              </w:rPr>
            </w:pPr>
          </w:p>
        </w:tc>
        <w:tc>
          <w:tcPr>
            <w:tcW w:w="200" w:type="dxa"/>
            <w:vAlign w:val="bottom"/>
            <w:tcBorders>
              <w:bottom w:val="single" w:sz="8" w:color="DDDDDD"/>
            </w:tcBorders>
            <w:shd w:val="clear" w:color="auto" w:fill="DDDDDD"/>
          </w:tcPr>
          <w:p>
            <w:pPr>
              <w:spacing w:after="0"/>
              <w:rPr>
                <w:sz w:val="21"/>
                <w:szCs w:val="21"/>
                <w:color w:val="auto"/>
              </w:rPr>
            </w:pPr>
          </w:p>
        </w:tc>
        <w:tc>
          <w:tcPr>
            <w:tcW w:w="660" w:type="dxa"/>
            <w:vAlign w:val="bottom"/>
            <w:tcBorders>
              <w:bottom w:val="single" w:sz="8" w:color="DDDDDD"/>
            </w:tcBorders>
            <w:shd w:val="clear" w:color="auto" w:fill="DDDDDD"/>
          </w:tcPr>
          <w:p>
            <w:pPr>
              <w:spacing w:after="0"/>
              <w:rPr>
                <w:sz w:val="21"/>
                <w:szCs w:val="21"/>
                <w:color w:val="auto"/>
              </w:rPr>
            </w:pPr>
          </w:p>
        </w:tc>
        <w:tc>
          <w:tcPr>
            <w:tcW w:w="100" w:type="dxa"/>
            <w:vAlign w:val="bottom"/>
            <w:tcBorders>
              <w:bottom w:val="single" w:sz="8" w:color="DDDDDD"/>
            </w:tcBorders>
            <w:shd w:val="clear" w:color="auto" w:fill="DDDDDD"/>
          </w:tcPr>
          <w:p>
            <w:pPr>
              <w:spacing w:after="0"/>
              <w:rPr>
                <w:sz w:val="21"/>
                <w:szCs w:val="21"/>
                <w:color w:val="auto"/>
              </w:rPr>
            </w:pPr>
          </w:p>
        </w:tc>
        <w:tc>
          <w:tcPr>
            <w:tcW w:w="160" w:type="dxa"/>
            <w:vAlign w:val="bottom"/>
            <w:tcBorders>
              <w:bottom w:val="single" w:sz="8" w:color="DDDDDD"/>
            </w:tcBorders>
            <w:shd w:val="clear" w:color="auto" w:fill="DDDDDD"/>
          </w:tcPr>
          <w:p>
            <w:pPr>
              <w:spacing w:after="0"/>
              <w:rPr>
                <w:sz w:val="21"/>
                <w:szCs w:val="21"/>
                <w:color w:val="auto"/>
              </w:rPr>
            </w:pPr>
          </w:p>
        </w:tc>
        <w:tc>
          <w:tcPr>
            <w:tcW w:w="720" w:type="dxa"/>
            <w:vAlign w:val="bottom"/>
            <w:tcBorders>
              <w:bottom w:val="single" w:sz="8" w:color="DDDDDD"/>
            </w:tcBorders>
            <w:shd w:val="clear" w:color="auto" w:fill="DDDDDD"/>
          </w:tcPr>
          <w:p>
            <w:pPr>
              <w:spacing w:after="0"/>
              <w:rPr>
                <w:sz w:val="21"/>
                <w:szCs w:val="21"/>
                <w:color w:val="auto"/>
              </w:rPr>
            </w:pPr>
          </w:p>
        </w:tc>
        <w:tc>
          <w:tcPr>
            <w:tcW w:w="100" w:type="dxa"/>
            <w:vAlign w:val="bottom"/>
            <w:tcBorders>
              <w:bottom w:val="single" w:sz="8" w:color="DDDDDD"/>
            </w:tcBorders>
            <w:shd w:val="clear" w:color="auto" w:fill="DDDDDD"/>
          </w:tcPr>
          <w:p>
            <w:pPr>
              <w:spacing w:after="0"/>
              <w:rPr>
                <w:sz w:val="21"/>
                <w:szCs w:val="21"/>
                <w:color w:val="auto"/>
              </w:rPr>
            </w:pPr>
          </w:p>
        </w:tc>
        <w:tc>
          <w:tcPr>
            <w:tcW w:w="140" w:type="dxa"/>
            <w:vAlign w:val="bottom"/>
            <w:tcBorders>
              <w:bottom w:val="single" w:sz="8" w:color="DDDDDD"/>
            </w:tcBorders>
            <w:shd w:val="clear" w:color="auto" w:fill="DDDDDD"/>
          </w:tcPr>
          <w:p>
            <w:pPr>
              <w:spacing w:after="0"/>
              <w:rPr>
                <w:sz w:val="21"/>
                <w:szCs w:val="21"/>
                <w:color w:val="auto"/>
              </w:rPr>
            </w:pPr>
          </w:p>
        </w:tc>
        <w:tc>
          <w:tcPr>
            <w:tcW w:w="740" w:type="dxa"/>
            <w:vAlign w:val="bottom"/>
            <w:tcBorders>
              <w:bottom w:val="single" w:sz="8" w:color="DDDDDD"/>
            </w:tcBorders>
            <w:shd w:val="clear" w:color="auto" w:fill="DDDDDD"/>
          </w:tcPr>
          <w:p>
            <w:pPr>
              <w:spacing w:after="0"/>
              <w:rPr>
                <w:sz w:val="21"/>
                <w:szCs w:val="21"/>
                <w:color w:val="auto"/>
              </w:rPr>
            </w:pPr>
          </w:p>
        </w:tc>
        <w:tc>
          <w:tcPr>
            <w:tcW w:w="100" w:type="dxa"/>
            <w:vAlign w:val="bottom"/>
            <w:tcBorders>
              <w:bottom w:val="single" w:sz="8" w:color="DDDDDD"/>
            </w:tcBorders>
            <w:shd w:val="clear" w:color="auto" w:fill="DDDDDD"/>
          </w:tcPr>
          <w:p>
            <w:pPr>
              <w:spacing w:after="0"/>
              <w:rPr>
                <w:sz w:val="21"/>
                <w:szCs w:val="21"/>
                <w:color w:val="auto"/>
              </w:rPr>
            </w:pPr>
          </w:p>
        </w:tc>
        <w:tc>
          <w:tcPr>
            <w:tcW w:w="200" w:type="dxa"/>
            <w:vAlign w:val="bottom"/>
            <w:tcBorders>
              <w:bottom w:val="single" w:sz="8" w:color="DDDDDD"/>
            </w:tcBorders>
            <w:shd w:val="clear" w:color="auto" w:fill="DDDDDD"/>
          </w:tcPr>
          <w:p>
            <w:pPr>
              <w:spacing w:after="0"/>
              <w:rPr>
                <w:sz w:val="21"/>
                <w:szCs w:val="21"/>
                <w:color w:val="auto"/>
              </w:rPr>
            </w:pPr>
          </w:p>
        </w:tc>
        <w:tc>
          <w:tcPr>
            <w:tcW w:w="660" w:type="dxa"/>
            <w:vAlign w:val="bottom"/>
            <w:tcBorders>
              <w:bottom w:val="single" w:sz="8" w:color="DDDDDD"/>
            </w:tcBorders>
            <w:shd w:val="clear" w:color="auto" w:fill="DDDDDD"/>
          </w:tcPr>
          <w:p>
            <w:pPr>
              <w:spacing w:after="0"/>
              <w:rPr>
                <w:sz w:val="21"/>
                <w:szCs w:val="21"/>
                <w:color w:val="auto"/>
              </w:rPr>
            </w:pPr>
          </w:p>
        </w:tc>
        <w:tc>
          <w:tcPr>
            <w:tcW w:w="60" w:type="dxa"/>
            <w:vAlign w:val="bottom"/>
            <w:tcBorders>
              <w:bottom w:val="single" w:sz="8" w:color="DDDDDD"/>
            </w:tcBorders>
            <w:shd w:val="clear" w:color="auto" w:fill="DDDDDD"/>
          </w:tcPr>
          <w:p>
            <w:pPr>
              <w:spacing w:after="0"/>
              <w:rPr>
                <w:sz w:val="21"/>
                <w:szCs w:val="21"/>
                <w:color w:val="auto"/>
              </w:rPr>
            </w:pPr>
          </w:p>
        </w:tc>
        <w:tc>
          <w:tcPr>
            <w:tcW w:w="220" w:type="dxa"/>
            <w:vAlign w:val="bottom"/>
            <w:tcBorders>
              <w:bottom w:val="single" w:sz="8" w:color="auto"/>
            </w:tcBorders>
            <w:gridSpan w:val="2"/>
            <w:shd w:val="clear" w:color="auto" w:fill="DDDDDD"/>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DDDDDD"/>
          </w:tcPr>
          <w:p>
            <w:pPr>
              <w:spacing w:after="0"/>
              <w:rPr>
                <w:sz w:val="21"/>
                <w:szCs w:val="21"/>
                <w:color w:val="auto"/>
              </w:rPr>
            </w:pPr>
          </w:p>
        </w:tc>
        <w:tc>
          <w:tcPr>
            <w:tcW w:w="520" w:type="dxa"/>
            <w:vAlign w:val="bottom"/>
            <w:tcBorders>
              <w:bottom w:val="single" w:sz="8" w:color="auto"/>
            </w:tcBorders>
            <w:gridSpan w:val="3"/>
            <w:shd w:val="clear" w:color="auto" w:fill="DDDDDD"/>
          </w:tcPr>
          <w:p>
            <w:pPr>
              <w:jc w:val="right"/>
              <w:spacing w:after="0"/>
              <w:rPr>
                <w:sz w:val="20"/>
                <w:szCs w:val="20"/>
                <w:color w:val="auto"/>
              </w:rPr>
            </w:pPr>
            <w:r>
              <w:rPr>
                <w:rFonts w:ascii="Arial" w:cs="Arial" w:eastAsia="Arial" w:hAnsi="Arial"/>
                <w:sz w:val="18"/>
                <w:szCs w:val="18"/>
                <w:color w:val="auto"/>
              </w:rPr>
              <w:t>402</w:t>
            </w:r>
          </w:p>
        </w:tc>
        <w:tc>
          <w:tcPr>
            <w:tcW w:w="120" w:type="dxa"/>
            <w:vAlign w:val="bottom"/>
            <w:tcBorders>
              <w:bottom w:val="single" w:sz="8" w:color="DDDDDD"/>
            </w:tcBorders>
            <w:shd w:val="clear" w:color="auto" w:fill="DDDDDD"/>
          </w:tcPr>
          <w:p>
            <w:pPr>
              <w:spacing w:after="0"/>
              <w:rPr>
                <w:sz w:val="21"/>
                <w:szCs w:val="21"/>
                <w:color w:val="auto"/>
              </w:rPr>
            </w:pPr>
          </w:p>
        </w:tc>
        <w:tc>
          <w:tcPr>
            <w:tcW w:w="360" w:type="dxa"/>
            <w:vAlign w:val="bottom"/>
            <w:tcBorders>
              <w:bottom w:val="single" w:sz="8" w:color="auto"/>
            </w:tcBorders>
            <w:shd w:val="clear" w:color="auto" w:fill="DDDDDD"/>
          </w:tcPr>
          <w:p>
            <w:pPr>
              <w:jc w:val="right"/>
              <w:ind w:right="15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DDDDDD"/>
          </w:tcPr>
          <w:p>
            <w:pPr>
              <w:spacing w:after="0"/>
              <w:rPr>
                <w:sz w:val="21"/>
                <w:szCs w:val="21"/>
                <w:color w:val="auto"/>
              </w:rPr>
            </w:pPr>
          </w:p>
        </w:tc>
        <w:tc>
          <w:tcPr>
            <w:tcW w:w="200" w:type="dxa"/>
            <w:vAlign w:val="bottom"/>
            <w:tcBorders>
              <w:bottom w:val="single" w:sz="8" w:color="auto"/>
            </w:tcBorders>
            <w:shd w:val="clear" w:color="auto" w:fill="DDDDDD"/>
          </w:tcPr>
          <w:p>
            <w:pPr>
              <w:spacing w:after="0"/>
              <w:rPr>
                <w:sz w:val="21"/>
                <w:szCs w:val="21"/>
                <w:color w:val="auto"/>
              </w:rPr>
            </w:pPr>
          </w:p>
        </w:tc>
        <w:tc>
          <w:tcPr>
            <w:tcW w:w="780" w:type="dxa"/>
            <w:vAlign w:val="bottom"/>
            <w:tcBorders>
              <w:bottom w:val="single" w:sz="8" w:color="auto"/>
            </w:tcBorders>
            <w:gridSpan w:val="2"/>
            <w:shd w:val="clear" w:color="auto" w:fill="DDDDDD"/>
          </w:tcPr>
          <w:p>
            <w:pPr>
              <w:jc w:val="right"/>
              <w:ind w:right="80"/>
              <w:spacing w:after="0"/>
              <w:rPr>
                <w:sz w:val="20"/>
                <w:szCs w:val="20"/>
                <w:color w:val="auto"/>
              </w:rPr>
            </w:pPr>
            <w:r>
              <w:rPr>
                <w:rFonts w:ascii="Arial" w:cs="Arial" w:eastAsia="Arial" w:hAnsi="Arial"/>
                <w:sz w:val="18"/>
                <w:szCs w:val="18"/>
                <w:color w:val="auto"/>
              </w:rPr>
              <w:t>434</w:t>
            </w:r>
          </w:p>
        </w:tc>
      </w:tr>
      <w:tr>
        <w:trPr>
          <w:trHeight w:val="20"/>
        </w:trPr>
        <w:tc>
          <w:tcPr>
            <w:tcW w:w="2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r>
      <w:tr>
        <w:trPr>
          <w:trHeight w:val="203"/>
        </w:trPr>
        <w:tc>
          <w:tcPr>
            <w:tcW w:w="2460" w:type="dxa"/>
            <w:vAlign w:val="bottom"/>
          </w:tcPr>
          <w:p>
            <w:pPr>
              <w:ind w:left="20"/>
              <w:spacing w:after="0" w:line="203" w:lineRule="exact"/>
              <w:rPr>
                <w:sz w:val="20"/>
                <w:szCs w:val="20"/>
                <w:color w:val="auto"/>
              </w:rPr>
            </w:pPr>
            <w:r>
              <w:rPr>
                <w:rFonts w:ascii="Arial" w:cs="Arial" w:eastAsia="Arial" w:hAnsi="Arial"/>
                <w:sz w:val="18"/>
                <w:szCs w:val="18"/>
                <w:color w:val="auto"/>
              </w:rPr>
              <w:t>Accrued liabilities</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gridSpan w:val="3"/>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700" w:type="dxa"/>
            <w:vAlign w:val="bottom"/>
          </w:tcPr>
          <w:p>
            <w:pPr>
              <w:spacing w:after="0"/>
              <w:rPr>
                <w:sz w:val="17"/>
                <w:szCs w:val="17"/>
                <w:color w:val="auto"/>
              </w:rPr>
            </w:pPr>
          </w:p>
        </w:tc>
        <w:tc>
          <w:tcPr>
            <w:tcW w:w="520" w:type="dxa"/>
            <w:vAlign w:val="bottom"/>
            <w:gridSpan w:val="3"/>
          </w:tcPr>
          <w:p>
            <w:pPr>
              <w:jc w:val="right"/>
              <w:spacing w:after="0" w:line="203" w:lineRule="exact"/>
              <w:rPr>
                <w:sz w:val="20"/>
                <w:szCs w:val="20"/>
                <w:color w:val="auto"/>
              </w:rPr>
            </w:pPr>
            <w:r>
              <w:rPr>
                <w:rFonts w:ascii="Arial" w:cs="Arial" w:eastAsia="Arial" w:hAnsi="Arial"/>
                <w:sz w:val="18"/>
                <w:szCs w:val="18"/>
                <w:color w:val="auto"/>
              </w:rPr>
              <w:t>300</w:t>
            </w:r>
          </w:p>
        </w:tc>
        <w:tc>
          <w:tcPr>
            <w:tcW w:w="480" w:type="dxa"/>
            <w:vAlign w:val="bottom"/>
            <w:gridSpan w:val="2"/>
          </w:tcPr>
          <w:p>
            <w:pPr>
              <w:jc w:val="right"/>
              <w:ind w:right="150"/>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361</w:t>
            </w:r>
          </w:p>
        </w:tc>
      </w:tr>
      <w:tr>
        <w:trPr>
          <w:trHeight w:val="230"/>
        </w:trPr>
        <w:tc>
          <w:tcPr>
            <w:tcW w:w="2460" w:type="dxa"/>
            <w:vAlign w:val="bottom"/>
            <w:shd w:val="clear" w:color="auto" w:fill="DDDDDD"/>
          </w:tcPr>
          <w:p>
            <w:pPr>
              <w:ind w:left="20"/>
              <w:spacing w:after="0"/>
              <w:rPr>
                <w:sz w:val="20"/>
                <w:szCs w:val="20"/>
                <w:color w:val="auto"/>
              </w:rPr>
            </w:pPr>
            <w:r>
              <w:rPr>
                <w:rFonts w:ascii="Arial" w:cs="Arial" w:eastAsia="Arial" w:hAnsi="Arial"/>
                <w:sz w:val="18"/>
                <w:szCs w:val="18"/>
                <w:color w:val="auto"/>
              </w:rPr>
              <w:t>Asbestos related liabilities</w:t>
            </w:r>
          </w:p>
        </w:tc>
        <w:tc>
          <w:tcPr>
            <w:tcW w:w="160" w:type="dxa"/>
            <w:vAlign w:val="bottom"/>
            <w:shd w:val="clear" w:color="auto" w:fill="DDDDDD"/>
          </w:tcPr>
          <w:p>
            <w:pPr>
              <w:spacing w:after="0"/>
              <w:rPr>
                <w:sz w:val="19"/>
                <w:szCs w:val="19"/>
                <w:color w:val="auto"/>
              </w:rPr>
            </w:pPr>
          </w:p>
        </w:tc>
        <w:tc>
          <w:tcPr>
            <w:tcW w:w="70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140" w:type="dxa"/>
            <w:vAlign w:val="bottom"/>
            <w:shd w:val="clear" w:color="auto" w:fill="DDDDDD"/>
          </w:tcPr>
          <w:p>
            <w:pPr>
              <w:spacing w:after="0"/>
              <w:rPr>
                <w:sz w:val="19"/>
                <w:szCs w:val="19"/>
                <w:color w:val="auto"/>
              </w:rPr>
            </w:pPr>
          </w:p>
        </w:tc>
        <w:tc>
          <w:tcPr>
            <w:tcW w:w="72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200" w:type="dxa"/>
            <w:vAlign w:val="bottom"/>
            <w:shd w:val="clear" w:color="auto" w:fill="DDDDDD"/>
          </w:tcPr>
          <w:p>
            <w:pPr>
              <w:spacing w:after="0"/>
              <w:rPr>
                <w:sz w:val="19"/>
                <w:szCs w:val="19"/>
                <w:color w:val="auto"/>
              </w:rPr>
            </w:pPr>
          </w:p>
        </w:tc>
        <w:tc>
          <w:tcPr>
            <w:tcW w:w="66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160" w:type="dxa"/>
            <w:vAlign w:val="bottom"/>
            <w:shd w:val="clear" w:color="auto" w:fill="DDDDDD"/>
          </w:tcPr>
          <w:p>
            <w:pPr>
              <w:spacing w:after="0"/>
              <w:rPr>
                <w:sz w:val="19"/>
                <w:szCs w:val="19"/>
                <w:color w:val="auto"/>
              </w:rPr>
            </w:pPr>
          </w:p>
        </w:tc>
        <w:tc>
          <w:tcPr>
            <w:tcW w:w="72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140" w:type="dxa"/>
            <w:vAlign w:val="bottom"/>
            <w:shd w:val="clear" w:color="auto" w:fill="DDDDDD"/>
          </w:tcPr>
          <w:p>
            <w:pPr>
              <w:spacing w:after="0"/>
              <w:rPr>
                <w:sz w:val="19"/>
                <w:szCs w:val="19"/>
                <w:color w:val="auto"/>
              </w:rPr>
            </w:pPr>
          </w:p>
        </w:tc>
        <w:tc>
          <w:tcPr>
            <w:tcW w:w="74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200" w:type="dxa"/>
            <w:vAlign w:val="bottom"/>
            <w:shd w:val="clear" w:color="auto" w:fill="DDDDDD"/>
          </w:tcPr>
          <w:p>
            <w:pPr>
              <w:spacing w:after="0"/>
              <w:rPr>
                <w:sz w:val="19"/>
                <w:szCs w:val="19"/>
                <w:color w:val="auto"/>
              </w:rPr>
            </w:pPr>
          </w:p>
        </w:tc>
        <w:tc>
          <w:tcPr>
            <w:tcW w:w="660" w:type="dxa"/>
            <w:vAlign w:val="bottom"/>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60" w:type="dxa"/>
            <w:vAlign w:val="bottom"/>
            <w:tcBorders>
              <w:bottom w:val="single" w:sz="8" w:color="auto"/>
            </w:tcBorders>
            <w:shd w:val="clear" w:color="auto" w:fill="DDDDDD"/>
          </w:tcPr>
          <w:p>
            <w:pPr>
              <w:spacing w:after="0"/>
              <w:rPr>
                <w:sz w:val="19"/>
                <w:szCs w:val="19"/>
                <w:color w:val="auto"/>
              </w:rPr>
            </w:pPr>
          </w:p>
        </w:tc>
        <w:tc>
          <w:tcPr>
            <w:tcW w:w="160" w:type="dxa"/>
            <w:vAlign w:val="bottom"/>
            <w:tcBorders>
              <w:bottom w:val="single" w:sz="8" w:color="auto"/>
            </w:tcBorders>
            <w:shd w:val="clear" w:color="auto" w:fill="DDDDDD"/>
          </w:tcPr>
          <w:p>
            <w:pPr>
              <w:spacing w:after="0"/>
              <w:rPr>
                <w:sz w:val="19"/>
                <w:szCs w:val="19"/>
                <w:color w:val="auto"/>
              </w:rPr>
            </w:pPr>
          </w:p>
        </w:tc>
        <w:tc>
          <w:tcPr>
            <w:tcW w:w="700" w:type="dxa"/>
            <w:vAlign w:val="bottom"/>
            <w:tcBorders>
              <w:bottom w:val="single" w:sz="8" w:color="auto"/>
            </w:tcBorders>
            <w:shd w:val="clear" w:color="auto" w:fill="DDDDDD"/>
          </w:tcPr>
          <w:p>
            <w:pPr>
              <w:spacing w:after="0"/>
              <w:rPr>
                <w:sz w:val="19"/>
                <w:szCs w:val="19"/>
                <w:color w:val="auto"/>
              </w:rPr>
            </w:pPr>
          </w:p>
        </w:tc>
        <w:tc>
          <w:tcPr>
            <w:tcW w:w="520" w:type="dxa"/>
            <w:vAlign w:val="bottom"/>
            <w:tcBorders>
              <w:bottom w:val="single" w:sz="8" w:color="auto"/>
            </w:tcBorders>
            <w:gridSpan w:val="3"/>
            <w:shd w:val="clear" w:color="auto" w:fill="DDDDDD"/>
          </w:tcPr>
          <w:p>
            <w:pPr>
              <w:jc w:val="right"/>
              <w:spacing w:after="0"/>
              <w:rPr>
                <w:sz w:val="20"/>
                <w:szCs w:val="20"/>
                <w:color w:val="auto"/>
              </w:rPr>
            </w:pPr>
            <w:r>
              <w:rPr>
                <w:rFonts w:ascii="Arial" w:cs="Arial" w:eastAsia="Arial" w:hAnsi="Arial"/>
                <w:sz w:val="18"/>
                <w:szCs w:val="18"/>
                <w:color w:val="auto"/>
                <w:w w:val="97"/>
              </w:rPr>
              <w:t>1,920</w:t>
            </w:r>
          </w:p>
        </w:tc>
        <w:tc>
          <w:tcPr>
            <w:tcW w:w="120" w:type="dxa"/>
            <w:vAlign w:val="bottom"/>
            <w:shd w:val="clear" w:color="auto" w:fill="DDDDDD"/>
          </w:tcPr>
          <w:p>
            <w:pPr>
              <w:spacing w:after="0"/>
              <w:rPr>
                <w:sz w:val="19"/>
                <w:szCs w:val="19"/>
                <w:color w:val="auto"/>
              </w:rPr>
            </w:pPr>
          </w:p>
        </w:tc>
        <w:tc>
          <w:tcPr>
            <w:tcW w:w="360" w:type="dxa"/>
            <w:vAlign w:val="bottom"/>
            <w:tcBorders>
              <w:bottom w:val="single" w:sz="8" w:color="auto"/>
            </w:tcBorders>
            <w:shd w:val="clear" w:color="auto" w:fill="DDDDDD"/>
          </w:tcPr>
          <w:p>
            <w:pPr>
              <w:spacing w:after="0"/>
              <w:rPr>
                <w:sz w:val="19"/>
                <w:szCs w:val="19"/>
                <w:color w:val="auto"/>
              </w:rPr>
            </w:pPr>
          </w:p>
        </w:tc>
        <w:tc>
          <w:tcPr>
            <w:tcW w:w="100" w:type="dxa"/>
            <w:vAlign w:val="bottom"/>
            <w:tcBorders>
              <w:bottom w:val="single" w:sz="8" w:color="auto"/>
            </w:tcBorders>
            <w:shd w:val="clear" w:color="auto" w:fill="DDDDDD"/>
          </w:tcPr>
          <w:p>
            <w:pPr>
              <w:spacing w:after="0"/>
              <w:rPr>
                <w:sz w:val="19"/>
                <w:szCs w:val="19"/>
                <w:color w:val="auto"/>
              </w:rPr>
            </w:pPr>
          </w:p>
        </w:tc>
        <w:tc>
          <w:tcPr>
            <w:tcW w:w="200" w:type="dxa"/>
            <w:vAlign w:val="bottom"/>
            <w:tcBorders>
              <w:bottom w:val="single" w:sz="8" w:color="auto"/>
            </w:tcBorders>
            <w:shd w:val="clear" w:color="auto" w:fill="DDDDDD"/>
          </w:tcPr>
          <w:p>
            <w:pPr>
              <w:spacing w:after="0"/>
              <w:rPr>
                <w:sz w:val="19"/>
                <w:szCs w:val="19"/>
                <w:color w:val="auto"/>
              </w:rPr>
            </w:pPr>
          </w:p>
        </w:tc>
        <w:tc>
          <w:tcPr>
            <w:tcW w:w="780" w:type="dxa"/>
            <w:vAlign w:val="bottom"/>
            <w:tcBorders>
              <w:bottom w:val="single" w:sz="8" w:color="auto"/>
            </w:tcBorders>
            <w:gridSpan w:val="2"/>
            <w:shd w:val="clear" w:color="auto" w:fill="DDDDDD"/>
          </w:tcPr>
          <w:p>
            <w:pPr>
              <w:jc w:val="right"/>
              <w:ind w:right="80"/>
              <w:spacing w:after="0"/>
              <w:rPr>
                <w:sz w:val="20"/>
                <w:szCs w:val="20"/>
                <w:color w:val="auto"/>
              </w:rPr>
            </w:pPr>
            <w:r>
              <w:rPr>
                <w:rFonts w:ascii="Arial" w:cs="Arial" w:eastAsia="Arial" w:hAnsi="Arial"/>
                <w:sz w:val="18"/>
                <w:szCs w:val="18"/>
                <w:color w:val="auto"/>
              </w:rPr>
              <w:t>1,996</w:t>
            </w:r>
          </w:p>
        </w:tc>
      </w:tr>
      <w:tr>
        <w:trPr>
          <w:trHeight w:val="223"/>
        </w:trPr>
        <w:tc>
          <w:tcPr>
            <w:tcW w:w="2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w w:val="97"/>
              </w:rPr>
              <w:t>2,220</w:t>
            </w:r>
          </w:p>
        </w:tc>
        <w:tc>
          <w:tcPr>
            <w:tcW w:w="4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2,357</w:t>
            </w:r>
          </w:p>
        </w:tc>
      </w:tr>
      <w:tr>
        <w:trPr>
          <w:trHeight w:val="20"/>
        </w:trPr>
        <w:tc>
          <w:tcPr>
            <w:tcW w:w="2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87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90" w:name="page91"/>
    <w:bookmarkEnd w:id="90"/>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 xml:space="preserve">NARCO Products </w:t>
      </w:r>
      <w:r>
        <w:rPr>
          <w:rFonts w:ascii="Arial" w:cs="Arial" w:eastAsia="Arial" w:hAnsi="Arial"/>
          <w:sz w:val="18"/>
          <w:szCs w:val="18"/>
          <w:color w:val="auto"/>
        </w:rPr>
        <w:t>– NARCO manufactured high-grade, heat-resistant, refractory products for various industries. Honeywell’s predecessor,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Allied Corporation, owned NARCO from 1979 to 1986. Allied Corporation sold the NARCO business in 1986 and entered into a cross-indemnity agreement which included an obligation to indemnify the purchaser for asbestos claims. Such claims arise primarily from alleged occupational exposure to asbestos-containing refractory brick and mortar for high-temperature applications. NARCO ceased manufacturing these products in 1980 and ultimately filed for bankruptcy in January 2002, at which point in time all then current and future NARCO asbestos claims were stayed against both NARCO and Honeywell pending the reorganization of NARCO. The Company established its initial liability for NARCO asbestos claims in 2002.</w:t>
      </w:r>
    </w:p>
    <w:p>
      <w:pPr>
        <w:spacing w:after="0" w:line="9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NARCO emerged from bankruptcy in April 2013, at which time a federally authorized 524(g) trust was established to evaluate and resolve all existing NARCO asbestos claims (the Trust). Both Honeywell and NARCO are protected by a permanent channeling injunction barring all present and future individual actions in state or federal courts and requiring all asbestos-related claims based on exposure to NARCO asbestos-containing products to be made against the Trust. The NARCO Trust Agreement (TA) and the NARCO Trust Distribution Procedures (TDP) are the principal documents setting forth the structure of the Trust, establishing Honeywell’s evergreen funding obligations and the material operating rules for the Trust.</w:t>
      </w:r>
    </w:p>
    <w:p>
      <w:pPr>
        <w:spacing w:after="0" w:line="10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Per the TA, the Trust is eligible to receive cash dividends from Harbison-Walker International Inc. (HWI), the reorganized and renamed entity that emerged, fully operational, from the NARCO bankruptcy. The cash dividends are required to be used to pay claims which qualify for payment under the TDP (Annual Contribution Claims) until those funds are exhausted, at which point Honeywell’s funding obligation, subject to an annual cap of $145 million, is triggered. The Company is also required to fund amounts owed pursuant to settlement agreements reached during the pendency of the NARCO bankruptcy proceedings that provide for the right to submit claims to the Trust subject to qualification under the terms of the settlement agreements and TDP (Pre-Established Unliquidated Claims), as well as fund the annual operating costs of the Trust. There is no annual funding cap relative to Pre-Established Unliquidated Claims. Dividends from HWI were exhausted during the fourth quarter of 2019 and there have been no further dividends from HWI to date.</w:t>
      </w:r>
    </w:p>
    <w:p>
      <w:pPr>
        <w:spacing w:after="0" w:line="9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operating rules per the TDP include Honeywell’s audit rights and the criteria claimants must meet for a claim to be considered valid and paid, which include adequate medical evidence of the claimant’s asbestos-related condition and credible evidence of exposure to a specific NARCO asbestos-containing product. Once operational in 2014, the Trust began to receive, process and pay claims, at which point the Company began to assert its audit rights to review and monitor the claims processor’s adherence to the established requirements of the TDP. While doing so, the Company identified several issues with the way the Trust was adhering to the TDP and the Company continues to identify and dispute these matters as further claims are processed. Although the Company is attempting to resolve instances where it believes the Trust is not processing claims in accordance with the established TDP, the Company reserves the right to seek judicial intervention should it fail to resolve the disputed issues.</w:t>
      </w:r>
    </w:p>
    <w:p>
      <w:pPr>
        <w:spacing w:after="0" w:line="9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Due to the bankruptcy filing in 2002, claimants were not permitted to file additional claims until the Trust became operative in 2014. As a consequence, there was a large backlog of claims that were filed with the Trust upon becoming operative through December 31, 2017, the date by which these claims had to be filed or else be barred by the statute of limitations (subject to tolling exceptions in the TDP). Therefore, the claims filing rate did not start to normalize until 2018 and thereafter. As a result, between 2002 and 2018, the Company lacked a history of sufficiently reliable claims data to derive a reasonable estimate and the Company continued to update its original NARCO asbestos liability, as appropriate, using all available information.</w:t>
      </w:r>
    </w:p>
    <w:p>
      <w:pPr>
        <w:spacing w:after="0" w:line="10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With three years of sufficiently reliable claims data, the Company updated its estimate of the NARCO asbestos liability utilizing claims data from January 1, 2018 through December 31, 2020. The Company utilized an asbestos liability valuation specialist to support our preparation of the NARCO asbestos liability estimates. Our estimates, which involve significant management judgment, include consideration of multiple scenarios, including the impact of the COVID-19 pandemic on the Trust's ability to process claims during 2020. The estimate for the resolution of asserted Annual Contribution Claims and Pre-Established Unliquidated Claims uses average payment values for the relevant historical period. For unasserted claims, the estimate is based on historic and anticipated claims filing experience and payment rates, disease classifications and type of claim, and average payment values by the Trust for the relevant historical period. The Company's estimate also includes all years of epidemiological disease projection through 2059.</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88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91" w:name="page92"/>
    <w:bookmarkEnd w:id="91"/>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updated estimate of NARCO asbestos liability, which was consistent with the previously recorded NARCO liability estimate, was $779 million as of December 31, 2020. The liability reflects an estimate for the resolution of Annual Contribution Claims and Pre-Established Unliquidated Claims filed with the Trust, as well as unasserted Annual Contribution Claims and Pre-Established Unliquidated Claims. The NARCO asbestos liability excludes the annual operating expenses of the Trust which are expensed as they are incurred.</w:t>
      </w:r>
    </w:p>
    <w:p>
      <w:pPr>
        <w:spacing w:after="0" w:line="9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Company's insurance receivable of $254 million as of December 31, 2020, corresponding to the estimated liability for asserted and unasserted NARCO asbestos claims, reflects coverage which reimburses Honeywell for portions of NARCO-related indemnity and defense costs and is provided by a large number of insurance policies written by dozens of insurance companies in both the domestic insurance market and the London excess market. Honeywell conducts analyses to estimate the probable amount of insurance that is recoverable for asbestos claims. Most of our insurance carriers remain solvent. However, select individual insurance carriers are now insolvent, which we have considered in our analysis of probable recoveries. Our judgments related to our insurance carriers and insurance coverages are reasonable and consistent with Honeywell's historical dealings and Honeywell's knowledge of any pertinent solvency issues surrounding insurers.</w:t>
      </w:r>
    </w:p>
    <w:p>
      <w:pPr>
        <w:spacing w:after="0" w:line="7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Bendix Products </w:t>
      </w:r>
      <w:r>
        <w:rPr>
          <w:rFonts w:ascii="Arial" w:cs="Arial" w:eastAsia="Arial" w:hAnsi="Arial"/>
          <w:sz w:val="18"/>
          <w:szCs w:val="18"/>
          <w:color w:val="auto"/>
        </w:rPr>
        <w:t>– Bendix manufactured automotive brake linings that contained chrysotile asbestos in an encapsulated form. Claimants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consist largely of individuals who allege exposure to asbestos from brakes from either performing or being in the vicinity of individuals who performed brake replacements. The following tables present information regarding Bendix related asbestos claims activity:</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40" w:type="dxa"/>
            <w:vAlign w:val="bottom"/>
            <w:tcBorders>
              <w:bottom w:val="single" w:sz="8" w:color="DC202E"/>
            </w:tcBorders>
          </w:tcPr>
          <w:p>
            <w:pPr>
              <w:spacing w:after="0"/>
              <w:rPr>
                <w:sz w:val="17"/>
                <w:szCs w:val="17"/>
                <w:color w:val="auto"/>
              </w:rPr>
            </w:pPr>
          </w:p>
        </w:tc>
        <w:tc>
          <w:tcPr>
            <w:tcW w:w="2640" w:type="dxa"/>
            <w:vAlign w:val="bottom"/>
            <w:tcBorders>
              <w:bottom w:val="single" w:sz="8" w:color="DC202E"/>
            </w:tcBorders>
            <w:gridSpan w:val="4"/>
          </w:tcPr>
          <w:p>
            <w:pPr>
              <w:jc w:val="right"/>
              <w:ind w:right="475"/>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96"/>
        </w:trPr>
        <w:tc>
          <w:tcPr>
            <w:tcW w:w="3660" w:type="dxa"/>
            <w:vAlign w:val="bottom"/>
            <w:tcBorders>
              <w:bottom w:val="single" w:sz="8" w:color="DC202E"/>
            </w:tcBorders>
          </w:tcPr>
          <w:p>
            <w:pPr>
              <w:ind w:left="20"/>
              <w:spacing w:after="0"/>
              <w:rPr>
                <w:sz w:val="20"/>
                <w:szCs w:val="20"/>
                <w:color w:val="auto"/>
              </w:rPr>
            </w:pPr>
            <w:r>
              <w:rPr>
                <w:rFonts w:ascii="Arial" w:cs="Arial" w:eastAsia="Arial" w:hAnsi="Arial"/>
                <w:sz w:val="14"/>
                <w:szCs w:val="14"/>
                <w:b w:val="1"/>
                <w:bCs w:val="1"/>
                <w:color w:val="auto"/>
              </w:rPr>
              <w:t>Claims Activity</w:t>
            </w:r>
          </w:p>
        </w:tc>
        <w:tc>
          <w:tcPr>
            <w:tcW w:w="340" w:type="dxa"/>
            <w:vAlign w:val="bottom"/>
            <w:tcBorders>
              <w:bottom w:val="single" w:sz="8" w:color="DC202E"/>
            </w:tcBorders>
          </w:tcPr>
          <w:p>
            <w:pPr>
              <w:spacing w:after="0"/>
              <w:rPr>
                <w:sz w:val="17"/>
                <w:szCs w:val="17"/>
                <w:color w:val="auto"/>
              </w:rPr>
            </w:pPr>
          </w:p>
        </w:tc>
        <w:tc>
          <w:tcPr>
            <w:tcW w:w="1100" w:type="dxa"/>
            <w:vAlign w:val="bottom"/>
            <w:tcBorders>
              <w:bottom w:val="single" w:sz="8" w:color="DC202E"/>
            </w:tcBorders>
          </w:tcPr>
          <w:p>
            <w:pPr>
              <w:spacing w:after="0"/>
              <w:rPr>
                <w:sz w:val="17"/>
                <w:szCs w:val="17"/>
                <w:color w:val="auto"/>
              </w:rPr>
            </w:pPr>
          </w:p>
        </w:tc>
        <w:tc>
          <w:tcPr>
            <w:tcW w:w="420" w:type="dxa"/>
            <w:vAlign w:val="bottom"/>
            <w:tcBorders>
              <w:bottom w:val="single" w:sz="8" w:color="DC202E"/>
            </w:tcBorders>
          </w:tcPr>
          <w:p>
            <w:pPr>
              <w:spacing w:after="0"/>
              <w:rPr>
                <w:sz w:val="17"/>
                <w:szCs w:val="17"/>
                <w:color w:val="auto"/>
              </w:rPr>
            </w:pPr>
          </w:p>
        </w:tc>
        <w:tc>
          <w:tcPr>
            <w:tcW w:w="1120" w:type="dxa"/>
            <w:vAlign w:val="bottom"/>
            <w:tcBorders>
              <w:bottom w:val="single" w:sz="8" w:color="DC202E"/>
            </w:tcBorders>
          </w:tcPr>
          <w:p>
            <w:pPr>
              <w:spacing w:after="0"/>
              <w:rPr>
                <w:sz w:val="17"/>
                <w:szCs w:val="17"/>
                <w:color w:val="auto"/>
              </w:rPr>
            </w:pPr>
          </w:p>
        </w:tc>
        <w:tc>
          <w:tcPr>
            <w:tcW w:w="220" w:type="dxa"/>
            <w:vAlign w:val="bottom"/>
            <w:tcBorders>
              <w:bottom w:val="single" w:sz="8" w:color="DC202E"/>
            </w:tcBorders>
          </w:tcPr>
          <w:p>
            <w:pPr>
              <w:spacing w:after="0"/>
              <w:rPr>
                <w:sz w:val="17"/>
                <w:szCs w:val="17"/>
                <w:color w:val="auto"/>
              </w:rPr>
            </w:pPr>
          </w:p>
        </w:tc>
        <w:tc>
          <w:tcPr>
            <w:tcW w:w="1400" w:type="dxa"/>
            <w:vAlign w:val="bottom"/>
            <w:tcBorders>
              <w:bottom w:val="single" w:sz="8" w:color="DC202E"/>
            </w:tcBorders>
          </w:tcPr>
          <w:p>
            <w:pPr>
              <w:spacing w:after="0"/>
              <w:rPr>
                <w:sz w:val="17"/>
                <w:szCs w:val="17"/>
                <w:color w:val="auto"/>
              </w:rPr>
            </w:pPr>
          </w:p>
        </w:tc>
        <w:tc>
          <w:tcPr>
            <w:tcW w:w="340" w:type="dxa"/>
            <w:vAlign w:val="bottom"/>
            <w:tcBorders>
              <w:bottom w:val="single" w:sz="8" w:color="DC202E"/>
            </w:tcBorders>
          </w:tcPr>
          <w:p>
            <w:pPr>
              <w:spacing w:after="0"/>
              <w:rPr>
                <w:sz w:val="17"/>
                <w:szCs w:val="17"/>
                <w:color w:val="auto"/>
              </w:rPr>
            </w:pPr>
          </w:p>
        </w:tc>
        <w:tc>
          <w:tcPr>
            <w:tcW w:w="1100" w:type="dxa"/>
            <w:vAlign w:val="bottom"/>
            <w:tcBorders>
              <w:bottom w:val="single" w:sz="8" w:color="DC202E"/>
            </w:tcBorders>
          </w:tcPr>
          <w:p>
            <w:pPr>
              <w:jc w:val="right"/>
              <w:ind w:right="47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DDDDDD"/>
            </w:tcBorders>
          </w:tcPr>
          <w:p>
            <w:pPr>
              <w:spacing w:after="0"/>
              <w:rPr>
                <w:sz w:val="17"/>
                <w:szCs w:val="17"/>
                <w:color w:val="auto"/>
              </w:rPr>
            </w:pPr>
          </w:p>
        </w:tc>
        <w:tc>
          <w:tcPr>
            <w:tcW w:w="500" w:type="dxa"/>
            <w:vAlign w:val="bottom"/>
            <w:tcBorders>
              <w:bottom w:val="single" w:sz="8" w:color="DC202E"/>
            </w:tcBorders>
          </w:tcPr>
          <w:p>
            <w:pPr>
              <w:spacing w:after="0"/>
              <w:rPr>
                <w:sz w:val="17"/>
                <w:szCs w:val="17"/>
                <w:color w:val="auto"/>
              </w:rPr>
            </w:pPr>
          </w:p>
        </w:tc>
        <w:tc>
          <w:tcPr>
            <w:tcW w:w="940" w:type="dxa"/>
            <w:vAlign w:val="bottom"/>
            <w:tcBorders>
              <w:bottom w:val="single" w:sz="8" w:color="DC202E"/>
            </w:tcBorders>
          </w:tcPr>
          <w:p>
            <w:pPr>
              <w:jc w:val="right"/>
              <w:ind w:right="47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9"/>
        </w:trPr>
        <w:tc>
          <w:tcPr>
            <w:tcW w:w="3660" w:type="dxa"/>
            <w:vAlign w:val="bottom"/>
            <w:shd w:val="clear" w:color="auto" w:fill="DDDDDD"/>
          </w:tcPr>
          <w:p>
            <w:pPr>
              <w:ind w:left="20"/>
              <w:spacing w:after="0"/>
              <w:rPr>
                <w:sz w:val="20"/>
                <w:szCs w:val="20"/>
                <w:color w:val="auto"/>
              </w:rPr>
            </w:pPr>
            <w:r>
              <w:rPr>
                <w:rFonts w:ascii="Arial" w:cs="Arial" w:eastAsia="Arial" w:hAnsi="Arial"/>
                <w:sz w:val="18"/>
                <w:szCs w:val="18"/>
                <w:color w:val="auto"/>
              </w:rPr>
              <w:t>Claims Unresolved at the beginning of year</w:t>
            </w: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spacing w:after="0"/>
              <w:rPr>
                <w:sz w:val="19"/>
                <w:szCs w:val="19"/>
                <w:color w:val="auto"/>
              </w:rPr>
            </w:pPr>
          </w:p>
        </w:tc>
        <w:tc>
          <w:tcPr>
            <w:tcW w:w="420" w:type="dxa"/>
            <w:vAlign w:val="bottom"/>
            <w:shd w:val="clear" w:color="auto" w:fill="DDDDDD"/>
          </w:tcPr>
          <w:p>
            <w:pPr>
              <w:spacing w:after="0"/>
              <w:rPr>
                <w:sz w:val="19"/>
                <w:szCs w:val="19"/>
                <w:color w:val="auto"/>
              </w:rPr>
            </w:pPr>
          </w:p>
        </w:tc>
        <w:tc>
          <w:tcPr>
            <w:tcW w:w="1120" w:type="dxa"/>
            <w:vAlign w:val="bottom"/>
            <w:shd w:val="clear" w:color="auto" w:fill="DDDDDD"/>
          </w:tcPr>
          <w:p>
            <w:pPr>
              <w:spacing w:after="0"/>
              <w:rPr>
                <w:sz w:val="19"/>
                <w:szCs w:val="19"/>
                <w:color w:val="auto"/>
              </w:rPr>
            </w:pPr>
          </w:p>
        </w:tc>
        <w:tc>
          <w:tcPr>
            <w:tcW w:w="220" w:type="dxa"/>
            <w:vAlign w:val="bottom"/>
            <w:shd w:val="clear" w:color="auto" w:fill="DDDDDD"/>
          </w:tcPr>
          <w:p>
            <w:pPr>
              <w:spacing w:after="0"/>
              <w:rPr>
                <w:sz w:val="19"/>
                <w:szCs w:val="19"/>
                <w:color w:val="auto"/>
              </w:rPr>
            </w:pPr>
          </w:p>
        </w:tc>
        <w:tc>
          <w:tcPr>
            <w:tcW w:w="140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6,480</w:t>
            </w:r>
          </w:p>
        </w:tc>
        <w:tc>
          <w:tcPr>
            <w:tcW w:w="100" w:type="dxa"/>
            <w:vAlign w:val="bottom"/>
            <w:shd w:val="clear" w:color="auto" w:fill="DDDDDD"/>
          </w:tcPr>
          <w:p>
            <w:pPr>
              <w:spacing w:after="0"/>
              <w:rPr>
                <w:sz w:val="19"/>
                <w:szCs w:val="19"/>
                <w:color w:val="auto"/>
              </w:rPr>
            </w:pPr>
          </w:p>
        </w:tc>
        <w:tc>
          <w:tcPr>
            <w:tcW w:w="500" w:type="dxa"/>
            <w:vAlign w:val="bottom"/>
            <w:shd w:val="clear" w:color="auto" w:fill="DDDDDD"/>
          </w:tcPr>
          <w:p>
            <w:pPr>
              <w:spacing w:after="0"/>
              <w:rPr>
                <w:sz w:val="19"/>
                <w:szCs w:val="19"/>
                <w:color w:val="auto"/>
              </w:rPr>
            </w:pPr>
          </w:p>
        </w:tc>
        <w:tc>
          <w:tcPr>
            <w:tcW w:w="9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6,209</w:t>
            </w:r>
          </w:p>
        </w:tc>
        <w:tc>
          <w:tcPr>
            <w:tcW w:w="0" w:type="dxa"/>
            <w:vAlign w:val="bottom"/>
          </w:tcPr>
          <w:p>
            <w:pPr>
              <w:spacing w:after="0"/>
              <w:rPr>
                <w:sz w:val="1"/>
                <w:szCs w:val="1"/>
                <w:color w:val="auto"/>
              </w:rPr>
            </w:pPr>
          </w:p>
        </w:tc>
      </w:tr>
      <w:tr>
        <w:trPr>
          <w:trHeight w:val="230"/>
        </w:trPr>
        <w:tc>
          <w:tcPr>
            <w:tcW w:w="3660" w:type="dxa"/>
            <w:vAlign w:val="bottom"/>
          </w:tcPr>
          <w:p>
            <w:pPr>
              <w:ind w:left="20"/>
              <w:spacing w:after="0"/>
              <w:rPr>
                <w:sz w:val="20"/>
                <w:szCs w:val="20"/>
                <w:color w:val="auto"/>
              </w:rPr>
            </w:pPr>
            <w:r>
              <w:rPr>
                <w:rFonts w:ascii="Arial" w:cs="Arial" w:eastAsia="Arial" w:hAnsi="Arial"/>
                <w:sz w:val="18"/>
                <w:szCs w:val="18"/>
                <w:color w:val="auto"/>
              </w:rPr>
              <w:t>Claims Filed</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2,233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2,659</w:t>
            </w:r>
          </w:p>
        </w:tc>
        <w:tc>
          <w:tcPr>
            <w:tcW w:w="0" w:type="dxa"/>
            <w:vAlign w:val="bottom"/>
          </w:tcPr>
          <w:p>
            <w:pPr>
              <w:spacing w:after="0"/>
              <w:rPr>
                <w:sz w:val="1"/>
                <w:szCs w:val="1"/>
                <w:color w:val="auto"/>
              </w:rPr>
            </w:pPr>
          </w:p>
        </w:tc>
      </w:tr>
      <w:tr>
        <w:trPr>
          <w:trHeight w:val="229"/>
        </w:trPr>
        <w:tc>
          <w:tcPr>
            <w:tcW w:w="3660" w:type="dxa"/>
            <w:vAlign w:val="bottom"/>
            <w:shd w:val="clear" w:color="auto" w:fill="DDDDDD"/>
          </w:tcPr>
          <w:p>
            <w:pPr>
              <w:ind w:left="20"/>
              <w:spacing w:after="0"/>
              <w:rPr>
                <w:sz w:val="20"/>
                <w:szCs w:val="20"/>
                <w:color w:val="auto"/>
              </w:rPr>
            </w:pPr>
            <w:r>
              <w:rPr>
                <w:rFonts w:ascii="Arial" w:cs="Arial" w:eastAsia="Arial" w:hAnsi="Arial"/>
                <w:sz w:val="18"/>
                <w:szCs w:val="18"/>
                <w:color w:val="auto"/>
              </w:rPr>
              <w:t>Claims Resolved</w:t>
            </w: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spacing w:after="0"/>
              <w:rPr>
                <w:sz w:val="19"/>
                <w:szCs w:val="19"/>
                <w:color w:val="auto"/>
              </w:rPr>
            </w:pPr>
          </w:p>
        </w:tc>
        <w:tc>
          <w:tcPr>
            <w:tcW w:w="420" w:type="dxa"/>
            <w:vAlign w:val="bottom"/>
            <w:shd w:val="clear" w:color="auto" w:fill="DDDDDD"/>
          </w:tcPr>
          <w:p>
            <w:pPr>
              <w:spacing w:after="0"/>
              <w:rPr>
                <w:sz w:val="19"/>
                <w:szCs w:val="19"/>
                <w:color w:val="auto"/>
              </w:rPr>
            </w:pPr>
          </w:p>
        </w:tc>
        <w:tc>
          <w:tcPr>
            <w:tcW w:w="1120" w:type="dxa"/>
            <w:vAlign w:val="bottom"/>
            <w:shd w:val="clear" w:color="auto" w:fill="DDDDDD"/>
          </w:tcPr>
          <w:p>
            <w:pPr>
              <w:spacing w:after="0"/>
              <w:rPr>
                <w:sz w:val="19"/>
                <w:szCs w:val="19"/>
                <w:color w:val="auto"/>
              </w:rPr>
            </w:pPr>
          </w:p>
        </w:tc>
        <w:tc>
          <w:tcPr>
            <w:tcW w:w="220" w:type="dxa"/>
            <w:vAlign w:val="bottom"/>
            <w:shd w:val="clear" w:color="auto" w:fill="DDDDDD"/>
          </w:tcPr>
          <w:p>
            <w:pPr>
              <w:spacing w:after="0"/>
              <w:rPr>
                <w:sz w:val="19"/>
                <w:szCs w:val="19"/>
                <w:color w:val="auto"/>
              </w:rPr>
            </w:pPr>
          </w:p>
        </w:tc>
        <w:tc>
          <w:tcPr>
            <w:tcW w:w="1400" w:type="dxa"/>
            <w:vAlign w:val="bottom"/>
            <w:shd w:val="clear" w:color="auto" w:fill="DDDDDD"/>
          </w:tcPr>
          <w:p>
            <w:pPr>
              <w:spacing w:after="0"/>
              <w:rPr>
                <w:sz w:val="19"/>
                <w:szCs w:val="19"/>
                <w:color w:val="auto"/>
              </w:rPr>
            </w:pPr>
          </w:p>
        </w:tc>
        <w:tc>
          <w:tcPr>
            <w:tcW w:w="340" w:type="dxa"/>
            <w:vAlign w:val="bottom"/>
            <w:tcBorders>
              <w:bottom w:val="single" w:sz="8" w:color="auto"/>
            </w:tcBorders>
            <w:shd w:val="clear" w:color="auto" w:fill="DDDDDD"/>
          </w:tcPr>
          <w:p>
            <w:pPr>
              <w:spacing w:after="0"/>
              <w:rPr>
                <w:sz w:val="19"/>
                <w:szCs w:val="19"/>
                <w:color w:val="auto"/>
              </w:rPr>
            </w:pPr>
          </w:p>
        </w:tc>
        <w:tc>
          <w:tcPr>
            <w:tcW w:w="11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(2,471)</w:t>
            </w:r>
          </w:p>
        </w:tc>
        <w:tc>
          <w:tcPr>
            <w:tcW w:w="100" w:type="dxa"/>
            <w:vAlign w:val="bottom"/>
            <w:shd w:val="clear" w:color="auto" w:fill="DDDDDD"/>
          </w:tcPr>
          <w:p>
            <w:pPr>
              <w:spacing w:after="0"/>
              <w:rPr>
                <w:sz w:val="19"/>
                <w:szCs w:val="19"/>
                <w:color w:val="auto"/>
              </w:rPr>
            </w:pPr>
          </w:p>
        </w:tc>
        <w:tc>
          <w:tcPr>
            <w:tcW w:w="500" w:type="dxa"/>
            <w:vAlign w:val="bottom"/>
            <w:tcBorders>
              <w:bottom w:val="single" w:sz="8" w:color="auto"/>
            </w:tcBorders>
            <w:shd w:val="clear" w:color="auto" w:fill="DDDDDD"/>
          </w:tcPr>
          <w:p>
            <w:pPr>
              <w:spacing w:after="0"/>
              <w:rPr>
                <w:sz w:val="19"/>
                <w:szCs w:val="19"/>
                <w:color w:val="auto"/>
              </w:rPr>
            </w:pPr>
          </w:p>
        </w:tc>
        <w:tc>
          <w:tcPr>
            <w:tcW w:w="9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(2,388)</w:t>
            </w:r>
          </w:p>
        </w:tc>
        <w:tc>
          <w:tcPr>
            <w:tcW w:w="0" w:type="dxa"/>
            <w:vAlign w:val="bottom"/>
          </w:tcPr>
          <w:p>
            <w:pPr>
              <w:spacing w:after="0"/>
              <w:rPr>
                <w:sz w:val="1"/>
                <w:szCs w:val="1"/>
                <w:color w:val="auto"/>
              </w:rPr>
            </w:pPr>
          </w:p>
        </w:tc>
      </w:tr>
      <w:tr>
        <w:trPr>
          <w:trHeight w:val="223"/>
        </w:trPr>
        <w:tc>
          <w:tcPr>
            <w:tcW w:w="3660" w:type="dxa"/>
            <w:vAlign w:val="bottom"/>
          </w:tcPr>
          <w:p>
            <w:pPr>
              <w:ind w:left="20"/>
              <w:spacing w:after="0"/>
              <w:rPr>
                <w:sz w:val="20"/>
                <w:szCs w:val="20"/>
                <w:color w:val="auto"/>
              </w:rPr>
            </w:pPr>
            <w:r>
              <w:rPr>
                <w:rFonts w:ascii="Arial" w:cs="Arial" w:eastAsia="Arial" w:hAnsi="Arial"/>
                <w:sz w:val="18"/>
                <w:szCs w:val="18"/>
                <w:color w:val="auto"/>
              </w:rPr>
              <w:t>Claims Unresolved at the end of year</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6,242</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6,480</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2"/>
        </w:trPr>
        <w:tc>
          <w:tcPr>
            <w:tcW w:w="3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40" w:type="dxa"/>
            <w:vAlign w:val="bottom"/>
            <w:tcBorders>
              <w:bottom w:val="single" w:sz="8" w:color="DC202E"/>
            </w:tcBorders>
          </w:tcPr>
          <w:p>
            <w:pPr>
              <w:spacing w:after="0"/>
              <w:rPr>
                <w:sz w:val="24"/>
                <w:szCs w:val="24"/>
                <w:color w:val="auto"/>
              </w:rPr>
            </w:pPr>
          </w:p>
        </w:tc>
        <w:tc>
          <w:tcPr>
            <w:tcW w:w="1700" w:type="dxa"/>
            <w:vAlign w:val="bottom"/>
            <w:tcBorders>
              <w:bottom w:val="single" w:sz="8" w:color="DC202E"/>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DC202E"/>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660" w:type="dxa"/>
            <w:vAlign w:val="bottom"/>
            <w:tcBorders>
              <w:bottom w:val="single" w:sz="8" w:color="DC202E"/>
            </w:tcBorders>
          </w:tcPr>
          <w:p>
            <w:pPr>
              <w:ind w:left="20"/>
              <w:spacing w:after="0"/>
              <w:rPr>
                <w:sz w:val="20"/>
                <w:szCs w:val="20"/>
                <w:color w:val="auto"/>
              </w:rPr>
            </w:pPr>
            <w:r>
              <w:rPr>
                <w:rFonts w:ascii="Arial" w:cs="Arial" w:eastAsia="Arial" w:hAnsi="Arial"/>
                <w:sz w:val="14"/>
                <w:szCs w:val="14"/>
                <w:b w:val="1"/>
                <w:bCs w:val="1"/>
                <w:color w:val="auto"/>
              </w:rPr>
              <w:t>Disease Distribution of Unresolved Claims</w:t>
            </w:r>
          </w:p>
        </w:tc>
        <w:tc>
          <w:tcPr>
            <w:tcW w:w="340" w:type="dxa"/>
            <w:vAlign w:val="bottom"/>
            <w:tcBorders>
              <w:bottom w:val="single" w:sz="8" w:color="DC202E"/>
            </w:tcBorders>
          </w:tcPr>
          <w:p>
            <w:pPr>
              <w:spacing w:after="0"/>
              <w:rPr>
                <w:sz w:val="20"/>
                <w:szCs w:val="20"/>
                <w:color w:val="auto"/>
              </w:rPr>
            </w:pPr>
          </w:p>
        </w:tc>
        <w:tc>
          <w:tcPr>
            <w:tcW w:w="1100" w:type="dxa"/>
            <w:vAlign w:val="bottom"/>
            <w:tcBorders>
              <w:bottom w:val="single" w:sz="8" w:color="DC202E"/>
            </w:tcBorders>
          </w:tcPr>
          <w:p>
            <w:pPr>
              <w:spacing w:after="0"/>
              <w:rPr>
                <w:sz w:val="20"/>
                <w:szCs w:val="20"/>
                <w:color w:val="auto"/>
              </w:rPr>
            </w:pPr>
          </w:p>
        </w:tc>
        <w:tc>
          <w:tcPr>
            <w:tcW w:w="420" w:type="dxa"/>
            <w:vAlign w:val="bottom"/>
            <w:tcBorders>
              <w:bottom w:val="single" w:sz="8" w:color="DC202E"/>
            </w:tcBorders>
          </w:tcPr>
          <w:p>
            <w:pPr>
              <w:spacing w:after="0"/>
              <w:rPr>
                <w:sz w:val="20"/>
                <w:szCs w:val="20"/>
                <w:color w:val="auto"/>
              </w:rPr>
            </w:pPr>
          </w:p>
        </w:tc>
        <w:tc>
          <w:tcPr>
            <w:tcW w:w="1120" w:type="dxa"/>
            <w:vAlign w:val="bottom"/>
            <w:tcBorders>
              <w:bottom w:val="single" w:sz="8" w:color="DC202E"/>
            </w:tcBorders>
          </w:tcPr>
          <w:p>
            <w:pPr>
              <w:spacing w:after="0"/>
              <w:rPr>
                <w:sz w:val="20"/>
                <w:szCs w:val="20"/>
                <w:color w:val="auto"/>
              </w:rPr>
            </w:pPr>
          </w:p>
        </w:tc>
        <w:tc>
          <w:tcPr>
            <w:tcW w:w="220" w:type="dxa"/>
            <w:vAlign w:val="bottom"/>
            <w:tcBorders>
              <w:bottom w:val="single" w:sz="8" w:color="DC202E"/>
            </w:tcBorders>
          </w:tcPr>
          <w:p>
            <w:pPr>
              <w:spacing w:after="0"/>
              <w:rPr>
                <w:sz w:val="20"/>
                <w:szCs w:val="20"/>
                <w:color w:val="auto"/>
              </w:rPr>
            </w:pPr>
          </w:p>
        </w:tc>
        <w:tc>
          <w:tcPr>
            <w:tcW w:w="1400" w:type="dxa"/>
            <w:vAlign w:val="bottom"/>
            <w:tcBorders>
              <w:bottom w:val="single" w:sz="8" w:color="DC202E"/>
            </w:tcBorders>
          </w:tcPr>
          <w:p>
            <w:pPr>
              <w:spacing w:after="0"/>
              <w:rPr>
                <w:sz w:val="20"/>
                <w:szCs w:val="20"/>
                <w:color w:val="auto"/>
              </w:rPr>
            </w:pPr>
          </w:p>
        </w:tc>
        <w:tc>
          <w:tcPr>
            <w:tcW w:w="340" w:type="dxa"/>
            <w:vAlign w:val="bottom"/>
            <w:tcBorders>
              <w:bottom w:val="single" w:sz="8" w:color="DC202E"/>
            </w:tcBorders>
          </w:tcPr>
          <w:p>
            <w:pPr>
              <w:spacing w:after="0"/>
              <w:rPr>
                <w:sz w:val="20"/>
                <w:szCs w:val="20"/>
                <w:color w:val="auto"/>
              </w:rPr>
            </w:pPr>
          </w:p>
        </w:tc>
        <w:tc>
          <w:tcPr>
            <w:tcW w:w="1100" w:type="dxa"/>
            <w:vAlign w:val="bottom"/>
            <w:tcBorders>
              <w:bottom w:val="single" w:sz="8" w:color="DC202E"/>
            </w:tcBorders>
          </w:tcPr>
          <w:p>
            <w:pPr>
              <w:jc w:val="right"/>
              <w:ind w:right="47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DDDDDD"/>
            </w:tcBorders>
          </w:tcPr>
          <w:p>
            <w:pPr>
              <w:spacing w:after="0"/>
              <w:rPr>
                <w:sz w:val="20"/>
                <w:szCs w:val="20"/>
                <w:color w:val="auto"/>
              </w:rPr>
            </w:pPr>
          </w:p>
        </w:tc>
        <w:tc>
          <w:tcPr>
            <w:tcW w:w="500" w:type="dxa"/>
            <w:vAlign w:val="bottom"/>
            <w:tcBorders>
              <w:bottom w:val="single" w:sz="8" w:color="DC202E"/>
            </w:tcBorders>
          </w:tcPr>
          <w:p>
            <w:pPr>
              <w:spacing w:after="0"/>
              <w:rPr>
                <w:sz w:val="20"/>
                <w:szCs w:val="20"/>
                <w:color w:val="auto"/>
              </w:rPr>
            </w:pPr>
          </w:p>
        </w:tc>
        <w:tc>
          <w:tcPr>
            <w:tcW w:w="940" w:type="dxa"/>
            <w:vAlign w:val="bottom"/>
            <w:tcBorders>
              <w:bottom w:val="single" w:sz="8" w:color="DC202E"/>
            </w:tcBorders>
          </w:tcPr>
          <w:p>
            <w:pPr>
              <w:jc w:val="right"/>
              <w:ind w:right="47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9"/>
        </w:trPr>
        <w:tc>
          <w:tcPr>
            <w:tcW w:w="3660" w:type="dxa"/>
            <w:vAlign w:val="bottom"/>
            <w:shd w:val="clear" w:color="auto" w:fill="DDDDDD"/>
          </w:tcPr>
          <w:p>
            <w:pPr>
              <w:ind w:left="20"/>
              <w:spacing w:after="0"/>
              <w:rPr>
                <w:sz w:val="20"/>
                <w:szCs w:val="20"/>
                <w:color w:val="auto"/>
              </w:rPr>
            </w:pPr>
            <w:r>
              <w:rPr>
                <w:rFonts w:ascii="Arial" w:cs="Arial" w:eastAsia="Arial" w:hAnsi="Arial"/>
                <w:sz w:val="18"/>
                <w:szCs w:val="18"/>
                <w:color w:val="auto"/>
              </w:rPr>
              <w:t>Mesothelioma and Other Cancer Claims</w:t>
            </w: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spacing w:after="0"/>
              <w:rPr>
                <w:sz w:val="19"/>
                <w:szCs w:val="19"/>
                <w:color w:val="auto"/>
              </w:rPr>
            </w:pPr>
          </w:p>
        </w:tc>
        <w:tc>
          <w:tcPr>
            <w:tcW w:w="420" w:type="dxa"/>
            <w:vAlign w:val="bottom"/>
            <w:shd w:val="clear" w:color="auto" w:fill="DDDDDD"/>
          </w:tcPr>
          <w:p>
            <w:pPr>
              <w:spacing w:after="0"/>
              <w:rPr>
                <w:sz w:val="19"/>
                <w:szCs w:val="19"/>
                <w:color w:val="auto"/>
              </w:rPr>
            </w:pPr>
          </w:p>
        </w:tc>
        <w:tc>
          <w:tcPr>
            <w:tcW w:w="1120" w:type="dxa"/>
            <w:vAlign w:val="bottom"/>
            <w:shd w:val="clear" w:color="auto" w:fill="DDDDDD"/>
          </w:tcPr>
          <w:p>
            <w:pPr>
              <w:spacing w:after="0"/>
              <w:rPr>
                <w:sz w:val="19"/>
                <w:szCs w:val="19"/>
                <w:color w:val="auto"/>
              </w:rPr>
            </w:pPr>
          </w:p>
        </w:tc>
        <w:tc>
          <w:tcPr>
            <w:tcW w:w="220" w:type="dxa"/>
            <w:vAlign w:val="bottom"/>
            <w:shd w:val="clear" w:color="auto" w:fill="DDDDDD"/>
          </w:tcPr>
          <w:p>
            <w:pPr>
              <w:spacing w:after="0"/>
              <w:rPr>
                <w:sz w:val="19"/>
                <w:szCs w:val="19"/>
                <w:color w:val="auto"/>
              </w:rPr>
            </w:pPr>
          </w:p>
        </w:tc>
        <w:tc>
          <w:tcPr>
            <w:tcW w:w="140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3,422</w:t>
            </w:r>
          </w:p>
        </w:tc>
        <w:tc>
          <w:tcPr>
            <w:tcW w:w="100" w:type="dxa"/>
            <w:vAlign w:val="bottom"/>
            <w:shd w:val="clear" w:color="auto" w:fill="DDDDDD"/>
          </w:tcPr>
          <w:p>
            <w:pPr>
              <w:spacing w:after="0"/>
              <w:rPr>
                <w:sz w:val="19"/>
                <w:szCs w:val="19"/>
                <w:color w:val="auto"/>
              </w:rPr>
            </w:pPr>
          </w:p>
        </w:tc>
        <w:tc>
          <w:tcPr>
            <w:tcW w:w="500" w:type="dxa"/>
            <w:vAlign w:val="bottom"/>
            <w:shd w:val="clear" w:color="auto" w:fill="DDDDDD"/>
          </w:tcPr>
          <w:p>
            <w:pPr>
              <w:spacing w:after="0"/>
              <w:rPr>
                <w:sz w:val="19"/>
                <w:szCs w:val="19"/>
                <w:color w:val="auto"/>
              </w:rPr>
            </w:pPr>
          </w:p>
        </w:tc>
        <w:tc>
          <w:tcPr>
            <w:tcW w:w="9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3,399</w:t>
            </w:r>
          </w:p>
        </w:tc>
        <w:tc>
          <w:tcPr>
            <w:tcW w:w="0" w:type="dxa"/>
            <w:vAlign w:val="bottom"/>
          </w:tcPr>
          <w:p>
            <w:pPr>
              <w:spacing w:after="0"/>
              <w:rPr>
                <w:sz w:val="1"/>
                <w:szCs w:val="1"/>
                <w:color w:val="auto"/>
              </w:rPr>
            </w:pPr>
          </w:p>
        </w:tc>
      </w:tr>
      <w:tr>
        <w:trPr>
          <w:trHeight w:val="230"/>
        </w:trPr>
        <w:tc>
          <w:tcPr>
            <w:tcW w:w="3660" w:type="dxa"/>
            <w:vAlign w:val="bottom"/>
            <w:tcBorders>
              <w:bottom w:val="single" w:sz="8" w:color="DDDDDD"/>
            </w:tcBorders>
          </w:tcPr>
          <w:p>
            <w:pPr>
              <w:ind w:left="20"/>
              <w:spacing w:after="0"/>
              <w:rPr>
                <w:sz w:val="20"/>
                <w:szCs w:val="20"/>
                <w:color w:val="auto"/>
              </w:rPr>
            </w:pPr>
            <w:r>
              <w:rPr>
                <w:rFonts w:ascii="Arial" w:cs="Arial" w:eastAsia="Arial" w:hAnsi="Arial"/>
                <w:sz w:val="18"/>
                <w:szCs w:val="18"/>
                <w:color w:val="auto"/>
              </w:rPr>
              <w:t>Nonmalignant Claims</w:t>
            </w:r>
          </w:p>
        </w:tc>
        <w:tc>
          <w:tcPr>
            <w:tcW w:w="340" w:type="dxa"/>
            <w:vAlign w:val="bottom"/>
            <w:tcBorders>
              <w:bottom w:val="single" w:sz="8" w:color="DDDDDD"/>
            </w:tcBorders>
          </w:tcPr>
          <w:p>
            <w:pPr>
              <w:spacing w:after="0"/>
              <w:rPr>
                <w:sz w:val="19"/>
                <w:szCs w:val="19"/>
                <w:color w:val="auto"/>
              </w:rPr>
            </w:pPr>
          </w:p>
        </w:tc>
        <w:tc>
          <w:tcPr>
            <w:tcW w:w="1100" w:type="dxa"/>
            <w:vAlign w:val="bottom"/>
            <w:tcBorders>
              <w:bottom w:val="single" w:sz="8" w:color="DDDDDD"/>
            </w:tcBorders>
          </w:tcPr>
          <w:p>
            <w:pPr>
              <w:spacing w:after="0"/>
              <w:rPr>
                <w:sz w:val="19"/>
                <w:szCs w:val="19"/>
                <w:color w:val="auto"/>
              </w:rPr>
            </w:pPr>
          </w:p>
        </w:tc>
        <w:tc>
          <w:tcPr>
            <w:tcW w:w="420" w:type="dxa"/>
            <w:vAlign w:val="bottom"/>
            <w:tcBorders>
              <w:bottom w:val="single" w:sz="8" w:color="DDDDDD"/>
            </w:tcBorders>
          </w:tcPr>
          <w:p>
            <w:pPr>
              <w:spacing w:after="0"/>
              <w:rPr>
                <w:sz w:val="19"/>
                <w:szCs w:val="19"/>
                <w:color w:val="auto"/>
              </w:rPr>
            </w:pPr>
          </w:p>
        </w:tc>
        <w:tc>
          <w:tcPr>
            <w:tcW w:w="1120" w:type="dxa"/>
            <w:vAlign w:val="bottom"/>
            <w:tcBorders>
              <w:bottom w:val="single" w:sz="8" w:color="DDDDDD"/>
            </w:tcBorders>
          </w:tcPr>
          <w:p>
            <w:pPr>
              <w:spacing w:after="0"/>
              <w:rPr>
                <w:sz w:val="19"/>
                <w:szCs w:val="19"/>
                <w:color w:val="auto"/>
              </w:rPr>
            </w:pPr>
          </w:p>
        </w:tc>
        <w:tc>
          <w:tcPr>
            <w:tcW w:w="220" w:type="dxa"/>
            <w:vAlign w:val="bottom"/>
            <w:tcBorders>
              <w:bottom w:val="single" w:sz="8" w:color="DDDDDD"/>
            </w:tcBorders>
          </w:tcPr>
          <w:p>
            <w:pPr>
              <w:spacing w:after="0"/>
              <w:rPr>
                <w:sz w:val="19"/>
                <w:szCs w:val="19"/>
                <w:color w:val="auto"/>
              </w:rPr>
            </w:pPr>
          </w:p>
        </w:tc>
        <w:tc>
          <w:tcPr>
            <w:tcW w:w="1400" w:type="dxa"/>
            <w:vAlign w:val="bottom"/>
            <w:tcBorders>
              <w:bottom w:val="single" w:sz="8" w:color="DDDDDD"/>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2,820</w:t>
            </w:r>
          </w:p>
        </w:tc>
        <w:tc>
          <w:tcPr>
            <w:tcW w:w="100" w:type="dxa"/>
            <w:vAlign w:val="bottom"/>
            <w:tcBorders>
              <w:bottom w:val="single" w:sz="8" w:color="DDDDDD"/>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3,081</w:t>
            </w:r>
          </w:p>
        </w:tc>
        <w:tc>
          <w:tcPr>
            <w:tcW w:w="0" w:type="dxa"/>
            <w:vAlign w:val="bottom"/>
          </w:tcPr>
          <w:p>
            <w:pPr>
              <w:spacing w:after="0"/>
              <w:rPr>
                <w:sz w:val="1"/>
                <w:szCs w:val="1"/>
                <w:color w:val="auto"/>
              </w:rPr>
            </w:pPr>
          </w:p>
        </w:tc>
      </w:tr>
      <w:tr>
        <w:trPr>
          <w:trHeight w:val="248"/>
        </w:trPr>
        <w:tc>
          <w:tcPr>
            <w:tcW w:w="3660" w:type="dxa"/>
            <w:vAlign w:val="bottom"/>
            <w:tcBorders>
              <w:bottom w:val="single" w:sz="8" w:color="DDDDDD"/>
            </w:tcBorders>
            <w:shd w:val="clear" w:color="auto" w:fill="DDDDDD"/>
          </w:tcPr>
          <w:p>
            <w:pPr>
              <w:ind w:left="360"/>
              <w:spacing w:after="0"/>
              <w:rPr>
                <w:sz w:val="20"/>
                <w:szCs w:val="20"/>
                <w:color w:val="auto"/>
              </w:rPr>
            </w:pPr>
            <w:r>
              <w:rPr>
                <w:rFonts w:ascii="Arial" w:cs="Arial" w:eastAsia="Arial" w:hAnsi="Arial"/>
                <w:sz w:val="18"/>
                <w:szCs w:val="18"/>
                <w:color w:val="auto"/>
              </w:rPr>
              <w:t>Total Claims</w:t>
            </w:r>
          </w:p>
        </w:tc>
        <w:tc>
          <w:tcPr>
            <w:tcW w:w="340" w:type="dxa"/>
            <w:vAlign w:val="bottom"/>
            <w:tcBorders>
              <w:bottom w:val="single" w:sz="8" w:color="DDDDDD"/>
            </w:tcBorders>
            <w:shd w:val="clear" w:color="auto" w:fill="DDDDDD"/>
          </w:tcPr>
          <w:p>
            <w:pPr>
              <w:spacing w:after="0"/>
              <w:rPr>
                <w:sz w:val="21"/>
                <w:szCs w:val="21"/>
                <w:color w:val="auto"/>
              </w:rPr>
            </w:pPr>
          </w:p>
        </w:tc>
        <w:tc>
          <w:tcPr>
            <w:tcW w:w="1100" w:type="dxa"/>
            <w:vAlign w:val="bottom"/>
            <w:tcBorders>
              <w:bottom w:val="single" w:sz="8" w:color="DDDDDD"/>
            </w:tcBorders>
            <w:shd w:val="clear" w:color="auto" w:fill="DDDDDD"/>
          </w:tcPr>
          <w:p>
            <w:pPr>
              <w:spacing w:after="0"/>
              <w:rPr>
                <w:sz w:val="21"/>
                <w:szCs w:val="21"/>
                <w:color w:val="auto"/>
              </w:rPr>
            </w:pPr>
          </w:p>
        </w:tc>
        <w:tc>
          <w:tcPr>
            <w:tcW w:w="420" w:type="dxa"/>
            <w:vAlign w:val="bottom"/>
            <w:tcBorders>
              <w:bottom w:val="single" w:sz="8" w:color="DDDDDD"/>
            </w:tcBorders>
            <w:shd w:val="clear" w:color="auto" w:fill="DDDDDD"/>
          </w:tcPr>
          <w:p>
            <w:pPr>
              <w:spacing w:after="0"/>
              <w:rPr>
                <w:sz w:val="21"/>
                <w:szCs w:val="21"/>
                <w:color w:val="auto"/>
              </w:rPr>
            </w:pPr>
          </w:p>
        </w:tc>
        <w:tc>
          <w:tcPr>
            <w:tcW w:w="1120" w:type="dxa"/>
            <w:vAlign w:val="bottom"/>
            <w:tcBorders>
              <w:bottom w:val="single" w:sz="8" w:color="DDDDDD"/>
            </w:tcBorders>
            <w:shd w:val="clear" w:color="auto" w:fill="DDDDDD"/>
          </w:tcPr>
          <w:p>
            <w:pPr>
              <w:spacing w:after="0"/>
              <w:rPr>
                <w:sz w:val="21"/>
                <w:szCs w:val="21"/>
                <w:color w:val="auto"/>
              </w:rPr>
            </w:pPr>
          </w:p>
        </w:tc>
        <w:tc>
          <w:tcPr>
            <w:tcW w:w="220" w:type="dxa"/>
            <w:vAlign w:val="bottom"/>
            <w:tcBorders>
              <w:bottom w:val="single" w:sz="8" w:color="DDDDDD"/>
            </w:tcBorders>
            <w:shd w:val="clear" w:color="auto" w:fill="DDDDDD"/>
          </w:tcPr>
          <w:p>
            <w:pPr>
              <w:spacing w:after="0"/>
              <w:rPr>
                <w:sz w:val="21"/>
                <w:szCs w:val="21"/>
                <w:color w:val="auto"/>
              </w:rPr>
            </w:pPr>
          </w:p>
        </w:tc>
        <w:tc>
          <w:tcPr>
            <w:tcW w:w="1400" w:type="dxa"/>
            <w:vAlign w:val="bottom"/>
            <w:tcBorders>
              <w:bottom w:val="single" w:sz="8" w:color="DDDDDD"/>
            </w:tcBorders>
            <w:shd w:val="clear" w:color="auto" w:fill="DDDDDD"/>
          </w:tcPr>
          <w:p>
            <w:pPr>
              <w:spacing w:after="0"/>
              <w:rPr>
                <w:sz w:val="21"/>
                <w:szCs w:val="21"/>
                <w:color w:val="auto"/>
              </w:rPr>
            </w:pPr>
          </w:p>
        </w:tc>
        <w:tc>
          <w:tcPr>
            <w:tcW w:w="340" w:type="dxa"/>
            <w:vAlign w:val="bottom"/>
            <w:tcBorders>
              <w:bottom w:val="single" w:sz="8" w:color="auto"/>
            </w:tcBorders>
            <w:shd w:val="clear" w:color="auto" w:fill="DDDDDD"/>
          </w:tcPr>
          <w:p>
            <w:pPr>
              <w:spacing w:after="0"/>
              <w:rPr>
                <w:sz w:val="21"/>
                <w:szCs w:val="21"/>
                <w:color w:val="auto"/>
              </w:rPr>
            </w:pPr>
          </w:p>
        </w:tc>
        <w:tc>
          <w:tcPr>
            <w:tcW w:w="11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6,242</w:t>
            </w:r>
          </w:p>
        </w:tc>
        <w:tc>
          <w:tcPr>
            <w:tcW w:w="100" w:type="dxa"/>
            <w:vAlign w:val="bottom"/>
            <w:tcBorders>
              <w:bottom w:val="single" w:sz="8" w:color="DDDDDD"/>
            </w:tcBorders>
            <w:shd w:val="clear" w:color="auto" w:fill="DDDDDD"/>
          </w:tcPr>
          <w:p>
            <w:pPr>
              <w:spacing w:after="0"/>
              <w:rPr>
                <w:sz w:val="21"/>
                <w:szCs w:val="21"/>
                <w:color w:val="auto"/>
              </w:rPr>
            </w:pPr>
          </w:p>
        </w:tc>
        <w:tc>
          <w:tcPr>
            <w:tcW w:w="500" w:type="dxa"/>
            <w:vAlign w:val="bottom"/>
            <w:tcBorders>
              <w:bottom w:val="single" w:sz="8" w:color="auto"/>
            </w:tcBorders>
            <w:shd w:val="clear" w:color="auto" w:fill="DDDDDD"/>
          </w:tcPr>
          <w:p>
            <w:pPr>
              <w:spacing w:after="0"/>
              <w:rPr>
                <w:sz w:val="21"/>
                <w:szCs w:val="21"/>
                <w:color w:val="auto"/>
              </w:rPr>
            </w:pPr>
          </w:p>
        </w:tc>
        <w:tc>
          <w:tcPr>
            <w:tcW w:w="9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6,480</w:t>
            </w:r>
          </w:p>
        </w:tc>
        <w:tc>
          <w:tcPr>
            <w:tcW w:w="0" w:type="dxa"/>
            <w:vAlign w:val="bottom"/>
          </w:tcPr>
          <w:p>
            <w:pPr>
              <w:spacing w:after="0"/>
              <w:rPr>
                <w:sz w:val="1"/>
                <w:szCs w:val="1"/>
                <w:color w:val="auto"/>
              </w:rPr>
            </w:pPr>
          </w:p>
        </w:tc>
      </w:tr>
      <w:tr>
        <w:trPr>
          <w:trHeight w:val="20"/>
        </w:trPr>
        <w:tc>
          <w:tcPr>
            <w:tcW w:w="8260" w:type="dxa"/>
            <w:vAlign w:val="bottom"/>
            <w:tcBorders>
              <w:top w:val="single" w:sz="8" w:color="DDDDDD"/>
              <w:bottom w:val="single" w:sz="8" w:color="DDDDDD"/>
            </w:tcBorders>
            <w:gridSpan w:val="7"/>
            <w:vMerge w:val="restart"/>
          </w:tcPr>
          <w:p>
            <w:pPr>
              <w:spacing w:after="0"/>
              <w:rPr>
                <w:sz w:val="20"/>
                <w:szCs w:val="20"/>
                <w:color w:val="auto"/>
              </w:rPr>
            </w:pPr>
            <w:r>
              <w:rPr>
                <w:rFonts w:ascii="Arial" w:cs="Arial" w:eastAsia="Arial" w:hAnsi="Arial"/>
                <w:sz w:val="18"/>
                <w:szCs w:val="18"/>
                <w:color w:val="auto"/>
              </w:rPr>
              <w:t>Honeywell has experienced average resolution values per claim excluding legal costs as follows:</w:t>
            </w:r>
          </w:p>
        </w:tc>
        <w:tc>
          <w:tcPr>
            <w:tcW w:w="340" w:type="dxa"/>
            <w:vAlign w:val="bottom"/>
            <w:tcBorders>
              <w:top w:val="single" w:sz="8" w:color="DDDDDD"/>
              <w:bottom w:val="single" w:sz="8" w:color="auto"/>
            </w:tcBorders>
          </w:tcPr>
          <w:p>
            <w:pPr>
              <w:spacing w:after="0" w:line="20" w:lineRule="exact"/>
              <w:rPr>
                <w:sz w:val="1"/>
                <w:szCs w:val="1"/>
                <w:color w:val="auto"/>
              </w:rPr>
            </w:pPr>
          </w:p>
        </w:tc>
        <w:tc>
          <w:tcPr>
            <w:tcW w:w="1100" w:type="dxa"/>
            <w:vAlign w:val="bottom"/>
            <w:tcBorders>
              <w:top w:val="single" w:sz="8" w:color="DDDDDD"/>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500" w:type="dxa"/>
            <w:vAlign w:val="bottom"/>
            <w:tcBorders>
              <w:top w:val="single" w:sz="8" w:color="DDDDDD"/>
              <w:bottom w:val="single" w:sz="8" w:color="auto"/>
            </w:tcBorders>
          </w:tcPr>
          <w:p>
            <w:pPr>
              <w:spacing w:after="0" w:line="20" w:lineRule="exact"/>
              <w:rPr>
                <w:sz w:val="1"/>
                <w:szCs w:val="1"/>
                <w:color w:val="auto"/>
              </w:rPr>
            </w:pPr>
          </w:p>
        </w:tc>
        <w:tc>
          <w:tcPr>
            <w:tcW w:w="940" w:type="dxa"/>
            <w:vAlign w:val="bottom"/>
            <w:tcBorders>
              <w:top w:val="single" w:sz="8" w:color="DDDDD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6"/>
        </w:trPr>
        <w:tc>
          <w:tcPr>
            <w:tcW w:w="8260" w:type="dxa"/>
            <w:vAlign w:val="bottom"/>
            <w:gridSpan w:val="7"/>
            <w:vMerge w:val="continue"/>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660" w:type="dxa"/>
            <w:vAlign w:val="bottom"/>
          </w:tcPr>
          <w:p>
            <w:pPr>
              <w:spacing w:after="0"/>
              <w:rPr>
                <w:sz w:val="20"/>
                <w:szCs w:val="20"/>
                <w:color w:val="auto"/>
              </w:rPr>
            </w:pPr>
          </w:p>
        </w:tc>
        <w:tc>
          <w:tcPr>
            <w:tcW w:w="340" w:type="dxa"/>
            <w:vAlign w:val="bottom"/>
            <w:tcBorders>
              <w:bottom w:val="single" w:sz="8" w:color="DC202E"/>
            </w:tcBorders>
          </w:tcPr>
          <w:p>
            <w:pPr>
              <w:spacing w:after="0"/>
              <w:rPr>
                <w:sz w:val="20"/>
                <w:szCs w:val="20"/>
                <w:color w:val="auto"/>
              </w:rPr>
            </w:pPr>
          </w:p>
        </w:tc>
        <w:tc>
          <w:tcPr>
            <w:tcW w:w="1100" w:type="dxa"/>
            <w:vAlign w:val="bottom"/>
            <w:tcBorders>
              <w:bottom w:val="single" w:sz="8" w:color="DC202E"/>
            </w:tcBorders>
          </w:tcPr>
          <w:p>
            <w:pPr>
              <w:spacing w:after="0"/>
              <w:rPr>
                <w:sz w:val="20"/>
                <w:szCs w:val="20"/>
                <w:color w:val="auto"/>
              </w:rPr>
            </w:pPr>
          </w:p>
        </w:tc>
        <w:tc>
          <w:tcPr>
            <w:tcW w:w="420" w:type="dxa"/>
            <w:vAlign w:val="bottom"/>
            <w:tcBorders>
              <w:bottom w:val="single" w:sz="8" w:color="DC202E"/>
            </w:tcBorders>
          </w:tcPr>
          <w:p>
            <w:pPr>
              <w:spacing w:after="0"/>
              <w:rPr>
                <w:sz w:val="20"/>
                <w:szCs w:val="20"/>
                <w:color w:val="auto"/>
              </w:rPr>
            </w:pPr>
          </w:p>
        </w:tc>
        <w:tc>
          <w:tcPr>
            <w:tcW w:w="3080" w:type="dxa"/>
            <w:vAlign w:val="bottom"/>
            <w:tcBorders>
              <w:bottom w:val="single" w:sz="8" w:color="DC202E"/>
            </w:tcBorders>
            <w:gridSpan w:val="4"/>
          </w:tcPr>
          <w:p>
            <w:pPr>
              <w:jc w:val="center"/>
              <w:ind w:left="719"/>
              <w:spacing w:after="0"/>
              <w:rPr>
                <w:sz w:val="20"/>
                <w:szCs w:val="20"/>
                <w:color w:val="auto"/>
              </w:rPr>
            </w:pPr>
            <w:r>
              <w:rPr>
                <w:rFonts w:ascii="Arial" w:cs="Arial" w:eastAsia="Arial" w:hAnsi="Arial"/>
                <w:sz w:val="14"/>
                <w:szCs w:val="14"/>
                <w:b w:val="1"/>
                <w:bCs w:val="1"/>
                <w:color w:val="auto"/>
              </w:rPr>
              <w:t>Years Ended December 31,</w:t>
            </w:r>
          </w:p>
        </w:tc>
        <w:tc>
          <w:tcPr>
            <w:tcW w:w="1100" w:type="dxa"/>
            <w:vAlign w:val="bottom"/>
            <w:tcBorders>
              <w:bottom w:val="single" w:sz="8" w:color="DC202E"/>
            </w:tcBorders>
          </w:tcPr>
          <w:p>
            <w:pPr>
              <w:spacing w:after="0"/>
              <w:rPr>
                <w:sz w:val="20"/>
                <w:szCs w:val="20"/>
                <w:color w:val="auto"/>
              </w:rPr>
            </w:pPr>
          </w:p>
        </w:tc>
        <w:tc>
          <w:tcPr>
            <w:tcW w:w="100" w:type="dxa"/>
            <w:vAlign w:val="bottom"/>
            <w:tcBorders>
              <w:bottom w:val="single" w:sz="8" w:color="DC202E"/>
            </w:tcBorders>
          </w:tcPr>
          <w:p>
            <w:pPr>
              <w:spacing w:after="0"/>
              <w:rPr>
                <w:sz w:val="20"/>
                <w:szCs w:val="20"/>
                <w:color w:val="auto"/>
              </w:rPr>
            </w:pPr>
          </w:p>
        </w:tc>
        <w:tc>
          <w:tcPr>
            <w:tcW w:w="500" w:type="dxa"/>
            <w:vAlign w:val="bottom"/>
            <w:tcBorders>
              <w:bottom w:val="single" w:sz="8" w:color="DC202E"/>
            </w:tcBorders>
          </w:tcPr>
          <w:p>
            <w:pPr>
              <w:spacing w:after="0"/>
              <w:rPr>
                <w:sz w:val="20"/>
                <w:szCs w:val="20"/>
                <w:color w:val="auto"/>
              </w:rPr>
            </w:pPr>
          </w:p>
        </w:tc>
        <w:tc>
          <w:tcPr>
            <w:tcW w:w="940" w:type="dxa"/>
            <w:vAlign w:val="bottom"/>
            <w:tcBorders>
              <w:bottom w:val="single" w:sz="8" w:color="DC202E"/>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660" w:type="dxa"/>
            <w:vAlign w:val="bottom"/>
          </w:tcPr>
          <w:p>
            <w:pPr>
              <w:spacing w:after="0"/>
              <w:rPr>
                <w:sz w:val="17"/>
                <w:szCs w:val="17"/>
                <w:color w:val="auto"/>
              </w:rPr>
            </w:pPr>
          </w:p>
        </w:tc>
        <w:tc>
          <w:tcPr>
            <w:tcW w:w="340" w:type="dxa"/>
            <w:vAlign w:val="bottom"/>
            <w:tcBorders>
              <w:bottom w:val="single" w:sz="8" w:color="DC202E"/>
            </w:tcBorders>
          </w:tcPr>
          <w:p>
            <w:pPr>
              <w:spacing w:after="0"/>
              <w:rPr>
                <w:sz w:val="17"/>
                <w:szCs w:val="17"/>
                <w:color w:val="auto"/>
              </w:rPr>
            </w:pPr>
          </w:p>
        </w:tc>
        <w:tc>
          <w:tcPr>
            <w:tcW w:w="1100" w:type="dxa"/>
            <w:vAlign w:val="bottom"/>
            <w:tcBorders>
              <w:bottom w:val="single" w:sz="8" w:color="DC202E"/>
            </w:tcBorders>
          </w:tcPr>
          <w:p>
            <w:pPr>
              <w:jc w:val="right"/>
              <w:ind w:right="476"/>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DC202E"/>
            </w:tcBorders>
          </w:tcPr>
          <w:p>
            <w:pPr>
              <w:spacing w:after="0"/>
              <w:rPr>
                <w:sz w:val="17"/>
                <w:szCs w:val="17"/>
                <w:color w:val="auto"/>
              </w:rPr>
            </w:pPr>
          </w:p>
        </w:tc>
        <w:tc>
          <w:tcPr>
            <w:tcW w:w="1120" w:type="dxa"/>
            <w:vAlign w:val="bottom"/>
            <w:tcBorders>
              <w:bottom w:val="single" w:sz="8" w:color="DC202E"/>
            </w:tcBorders>
          </w:tcPr>
          <w:p>
            <w:pPr>
              <w:jc w:val="right"/>
              <w:ind w:right="499"/>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DC202E"/>
            </w:tcBorders>
          </w:tcPr>
          <w:p>
            <w:pPr>
              <w:spacing w:after="0"/>
              <w:rPr>
                <w:sz w:val="17"/>
                <w:szCs w:val="17"/>
                <w:color w:val="auto"/>
              </w:rPr>
            </w:pPr>
          </w:p>
        </w:tc>
        <w:tc>
          <w:tcPr>
            <w:tcW w:w="1400" w:type="dxa"/>
            <w:vAlign w:val="bottom"/>
            <w:tcBorders>
              <w:bottom w:val="single" w:sz="8" w:color="DC202E"/>
            </w:tcBorders>
          </w:tcPr>
          <w:p>
            <w:pPr>
              <w:jc w:val="center"/>
              <w:ind w:right="159"/>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DC202E"/>
            </w:tcBorders>
          </w:tcPr>
          <w:p>
            <w:pPr>
              <w:spacing w:after="0"/>
              <w:rPr>
                <w:sz w:val="17"/>
                <w:szCs w:val="17"/>
                <w:color w:val="auto"/>
              </w:rPr>
            </w:pPr>
          </w:p>
        </w:tc>
        <w:tc>
          <w:tcPr>
            <w:tcW w:w="1100" w:type="dxa"/>
            <w:vAlign w:val="bottom"/>
            <w:tcBorders>
              <w:bottom w:val="single" w:sz="8" w:color="DC202E"/>
            </w:tcBorders>
          </w:tcPr>
          <w:p>
            <w:pPr>
              <w:jc w:val="right"/>
              <w:ind w:right="47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DC202E"/>
            </w:tcBorders>
          </w:tcPr>
          <w:p>
            <w:pPr>
              <w:spacing w:after="0"/>
              <w:rPr>
                <w:sz w:val="17"/>
                <w:szCs w:val="17"/>
                <w:color w:val="auto"/>
              </w:rPr>
            </w:pPr>
          </w:p>
        </w:tc>
        <w:tc>
          <w:tcPr>
            <w:tcW w:w="500" w:type="dxa"/>
            <w:vAlign w:val="bottom"/>
            <w:tcBorders>
              <w:bottom w:val="single" w:sz="8" w:color="DC202E"/>
            </w:tcBorders>
          </w:tcPr>
          <w:p>
            <w:pPr>
              <w:spacing w:after="0"/>
              <w:rPr>
                <w:sz w:val="17"/>
                <w:szCs w:val="17"/>
                <w:color w:val="auto"/>
              </w:rPr>
            </w:pPr>
          </w:p>
        </w:tc>
        <w:tc>
          <w:tcPr>
            <w:tcW w:w="940" w:type="dxa"/>
            <w:vAlign w:val="bottom"/>
            <w:tcBorders>
              <w:bottom w:val="single" w:sz="8" w:color="DC202E"/>
            </w:tcBorders>
          </w:tcPr>
          <w:p>
            <w:pPr>
              <w:jc w:val="right"/>
              <w:ind w:right="475"/>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89"/>
        </w:trPr>
        <w:tc>
          <w:tcPr>
            <w:tcW w:w="3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jc w:val="center"/>
              <w:ind w:right="139"/>
              <w:spacing w:after="0"/>
              <w:rPr>
                <w:sz w:val="20"/>
                <w:szCs w:val="20"/>
                <w:color w:val="auto"/>
              </w:rPr>
            </w:pPr>
            <w:r>
              <w:rPr>
                <w:rFonts w:ascii="Arial" w:cs="Arial" w:eastAsia="Arial" w:hAnsi="Arial"/>
                <w:sz w:val="14"/>
                <w:szCs w:val="14"/>
                <w:b w:val="1"/>
                <w:bCs w:val="1"/>
                <w:color w:val="auto"/>
              </w:rPr>
              <w:t>(in whole dollars)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DDDDDD"/>
          </w:tcPr>
          <w:p>
            <w:pPr>
              <w:ind w:left="20"/>
              <w:spacing w:after="0"/>
              <w:rPr>
                <w:sz w:val="20"/>
                <w:szCs w:val="20"/>
                <w:color w:val="auto"/>
              </w:rPr>
            </w:pPr>
            <w:r>
              <w:rPr>
                <w:rFonts w:ascii="Arial" w:cs="Arial" w:eastAsia="Arial" w:hAnsi="Arial"/>
                <w:sz w:val="18"/>
                <w:szCs w:val="18"/>
                <w:color w:val="auto"/>
              </w:rPr>
              <w:t>Malignant claims</w:t>
            </w:r>
          </w:p>
        </w:tc>
        <w:tc>
          <w:tcPr>
            <w:tcW w:w="3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DDDDD"/>
          </w:tcPr>
          <w:p>
            <w:pPr>
              <w:jc w:val="right"/>
              <w:ind w:right="16"/>
              <w:spacing w:after="0"/>
              <w:rPr>
                <w:sz w:val="20"/>
                <w:szCs w:val="20"/>
                <w:color w:val="auto"/>
              </w:rPr>
            </w:pPr>
            <w:r>
              <w:rPr>
                <w:rFonts w:ascii="Arial" w:cs="Arial" w:eastAsia="Arial" w:hAnsi="Arial"/>
                <w:sz w:val="18"/>
                <w:szCs w:val="18"/>
                <w:color w:val="auto"/>
              </w:rPr>
              <w:t>61,500</w:t>
            </w:r>
          </w:p>
        </w:tc>
        <w:tc>
          <w:tcPr>
            <w:tcW w:w="420" w:type="dxa"/>
            <w:vAlign w:val="bottom"/>
            <w:shd w:val="clear" w:color="auto" w:fill="DDDDDD"/>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DDDDD"/>
          </w:tcPr>
          <w:p>
            <w:pPr>
              <w:jc w:val="right"/>
              <w:ind w:right="19"/>
              <w:spacing w:after="0"/>
              <w:rPr>
                <w:sz w:val="20"/>
                <w:szCs w:val="20"/>
                <w:color w:val="auto"/>
              </w:rPr>
            </w:pPr>
            <w:r>
              <w:rPr>
                <w:rFonts w:ascii="Arial" w:cs="Arial" w:eastAsia="Arial" w:hAnsi="Arial"/>
                <w:sz w:val="18"/>
                <w:szCs w:val="18"/>
                <w:color w:val="auto"/>
              </w:rPr>
              <w:t>50,200</w:t>
            </w:r>
          </w:p>
        </w:tc>
        <w:tc>
          <w:tcPr>
            <w:tcW w:w="2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DDDDDD"/>
          </w:tcPr>
          <w:p>
            <w:pPr>
              <w:jc w:val="right"/>
              <w:ind w:right="99"/>
              <w:spacing w:after="0"/>
              <w:rPr>
                <w:sz w:val="20"/>
                <w:szCs w:val="20"/>
                <w:color w:val="auto"/>
              </w:rPr>
            </w:pPr>
            <w:r>
              <w:rPr>
                <w:rFonts w:ascii="Arial" w:cs="Arial" w:eastAsia="Arial" w:hAnsi="Arial"/>
                <w:sz w:val="18"/>
                <w:szCs w:val="18"/>
                <w:color w:val="auto"/>
              </w:rPr>
              <w:t>55,300</w:t>
            </w:r>
          </w:p>
        </w:tc>
        <w:tc>
          <w:tcPr>
            <w:tcW w:w="3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56,000</w:t>
            </w:r>
          </w:p>
        </w:tc>
        <w:tc>
          <w:tcPr>
            <w:tcW w:w="100" w:type="dxa"/>
            <w:vAlign w:val="bottom"/>
            <w:shd w:val="clear" w:color="auto" w:fill="DDDDDD"/>
          </w:tcPr>
          <w:p>
            <w:pPr>
              <w:spacing w:after="0"/>
              <w:rPr>
                <w:sz w:val="19"/>
                <w:szCs w:val="19"/>
                <w:color w:val="auto"/>
              </w:rPr>
            </w:pPr>
          </w:p>
        </w:tc>
        <w:tc>
          <w:tcPr>
            <w:tcW w:w="500" w:type="dxa"/>
            <w:vAlign w:val="bottom"/>
            <w:shd w:val="clear" w:color="auto" w:fill="DDDDDD"/>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44,000</w:t>
            </w:r>
          </w:p>
        </w:tc>
        <w:tc>
          <w:tcPr>
            <w:tcW w:w="0" w:type="dxa"/>
            <w:vAlign w:val="bottom"/>
          </w:tcPr>
          <w:p>
            <w:pPr>
              <w:spacing w:after="0"/>
              <w:rPr>
                <w:sz w:val="1"/>
                <w:szCs w:val="1"/>
                <w:color w:val="auto"/>
              </w:rPr>
            </w:pPr>
          </w:p>
        </w:tc>
      </w:tr>
      <w:tr>
        <w:trPr>
          <w:trHeight w:val="230"/>
        </w:trPr>
        <w:tc>
          <w:tcPr>
            <w:tcW w:w="3660" w:type="dxa"/>
            <w:vAlign w:val="bottom"/>
          </w:tcPr>
          <w:p>
            <w:pPr>
              <w:ind w:left="20"/>
              <w:spacing w:after="0"/>
              <w:rPr>
                <w:sz w:val="20"/>
                <w:szCs w:val="20"/>
                <w:color w:val="auto"/>
              </w:rPr>
            </w:pPr>
            <w:r>
              <w:rPr>
                <w:rFonts w:ascii="Arial" w:cs="Arial" w:eastAsia="Arial" w:hAnsi="Arial"/>
                <w:sz w:val="18"/>
                <w:szCs w:val="18"/>
                <w:color w:val="auto"/>
              </w:rPr>
              <w:t>Nonmalignant claims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550</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3,900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99"/>
              <w:spacing w:after="0"/>
              <w:rPr>
                <w:sz w:val="20"/>
                <w:szCs w:val="20"/>
                <w:color w:val="auto"/>
              </w:rPr>
            </w:pPr>
            <w:r>
              <w:rPr>
                <w:rFonts w:ascii="Arial" w:cs="Arial" w:eastAsia="Arial" w:hAnsi="Arial"/>
                <w:sz w:val="18"/>
                <w:szCs w:val="18"/>
                <w:color w:val="auto"/>
              </w:rPr>
              <w:t>4,700</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2,800</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4,485</w:t>
            </w: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It is not possible to predict whether resolution values for Bendix-related asbestos claims will increase, decrease or stabilize in the future.</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Consolidated Financial Statements reflect an estimated liability for resolution of asserted (claims filed as of the financial statement date) and unasserted Bendix-related asbestos claims and excludes the Company’s ongoing legal fees to defend such asbestos claims which will continue to be expensed as they are incurred. The Company has valued Bendix asserted and unasserted claims using average resolution values for the previous five years. The Company updates the resolution values used to estimate the cost of Bendix asserted and unasserted claims during the fourth quarter each year.</w:t>
      </w:r>
    </w:p>
    <w:p>
      <w:pPr>
        <w:spacing w:after="0" w:line="9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reflects the inclusion of all years of epidemiological disease projection through 2059 when estimating the liability for unasserted Bendix-related asbestos claims. Such liability for unasserted Bendix-related asbestos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89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92" w:name="page93"/>
    <w:bookmarkEnd w:id="92"/>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5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claims is based on historic and anticipated claims filing experience and dismissal rates, disease classifications, and resolution values in the tort system for the previous five years.</w:t>
      </w:r>
    </w:p>
    <w:p>
      <w:pPr>
        <w:spacing w:after="0" w:line="9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Company's insurance receivable corresponding to the liability for settlement of asserted and unasserted Bendix asbestos claims reflects coverage which is provided by a large number of insurance policies written by dozens of insurance companies in both the domestic insurance market and the London excess market. Based on our ongoing analysis of the probable insurance recovery, insurance receivables are recorded in the financial statements simultaneous with the recording of the estimated liability for the underlying asbestos claims. This determination is based on our analysis of the underlying insurance policies, our historical experience with our insurers, our ongoing review of the solvency of our insurers, judicial determinations relevant to our insurance programs, and our consideration of the impacts of any settlements reached with our insurers.</w:t>
      </w:r>
    </w:p>
    <w:p>
      <w:pPr>
        <w:spacing w:after="0" w:line="9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October 31, 2018, David Kanefsky, a Honeywell shareholder, filed a putative class action complaint in the U.S. District Court for the District of New Jersey alleging violations of the Securities Exchange Act of 1934 and Rule 10b-5 related to the prior accounting for Bendix asbestos claims. An Amended Complaint was filed on December 30, 2019, and on February 7, 2020, we filed a Motion to Dismiss. On May 18, 2020, the court denied our Motion to Dismiss. We believe the claims have no merit.</w:t>
      </w:r>
    </w:p>
    <w:p>
      <w:pPr>
        <w:spacing w:after="0" w:line="2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GARRETT MATTER</w:t>
      </w:r>
    </w:p>
    <w:p>
      <w:pPr>
        <w:spacing w:after="0" w:line="13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conjunction with the Garrett spin-off, the Company entered into a binding indemnification and reimbursement agreement (Garrett Indemnity) with a Garrett subsidiary, pursuant to which Garrett’s subsidiary has an ongoing obligation to make cash payments to Honeywell in amounts equal to (i) 90% of Honeywell’s asbestos-related liability payments primarily related to the Bendix business in the United States, as well as certain environmental-related liability payments and accounts payable and non-United States asbestos-related liability payments, including the legal costs of defending and resolving such liabilities, less (ii) 90% of Honeywell’s net insurance receipts and, as may be applicable, certain other recoveries associated with such liabilities. The amount payable to Honeywell in respect of such liabilities arising in any given year is subject to a cap of approximately Euro 150 million (equivalent to $175 million at the time the Garrett Indemnity was entered into). The obligation under the terms of the Garrett Indemnity continues until the earlier of December 31, 2048, or December 31 of the third consecutive year during which the annual obligation is less than the Euro equivalent, at the fixed exchange rate at the time the indemnification and reimbursement agreement was entered into, of $25 million.</w:t>
      </w:r>
    </w:p>
    <w:p>
      <w:pPr>
        <w:spacing w:after="0" w:line="10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June 12, 2020, the Company and Garrett entered into an amendment of the Garrett Indemnity in connection with Garrett’s amendment of its 2018 credit agreement. These amendments provided Garrett with temporary financial covenant relief with respect to the total leverage and interest coverage ratios, for a period that could extend to as late as June 30, 2022. Garrett’s payments to the Company under the Garrett Indemnity were deferred to the extent Garrett is (or to the extent such payments would cause Garrett to be) out of compliance with the original financial covenants and resume to the extent Garrett is in compliance with such original financial covenants. Any deferred amounts were to be paid to the extent Garrett was in compliance with such original financial covenants and had available capacity to make such payments pursuant to the terms of the Garrett Indemnity and its current credit agreement.</w:t>
      </w:r>
    </w:p>
    <w:p>
      <w:pPr>
        <w:spacing w:after="0" w:line="9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Reimbursements associated with the Garrett Indemnity are scheduled under the agreement to be collected from Garrett quarterly and offset operating cash outflows incurred by the Company. As a result of the extension referenced above and below, such amounts were $36 million in 2020 as compared with $152 million in 2019. As the Company records the accruals for matters covered by the Garrett Indemnity, a corresponding receivable from Garrett is recorded for 90% of that accrual as determined by the terms of the Garrett Indemnity.</w:t>
      </w:r>
    </w:p>
    <w:p>
      <w:pPr>
        <w:spacing w:after="0" w:line="9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conjunction with the spin-off, Honeywell also entered into a binding tax matters agreement with Garrett and a Garrett subsidiary (the Tax Matters Agreement). The Tax Matters Agreement generally provides that Garrett is responsible and must indemnify Honeywell for all ordinary operating taxes, including income taxes, sales taxes, value-added taxes and payroll taxes, relating to Garrett for all periods, including periods prior to the spin-off, to the extent not paid prior to the spin-off date. In addition, among other items, as a result of the mandatory transition tax imposed by the U.S. Tax Cuts and Jobs Act, Garrett is required to make payments to Honeywell in the amount representing the net tax liability of Honeywell under the mandatory transition tax attributable to Garrett.</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90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93" w:name="page94"/>
    <w:bookmarkEnd w:id="93"/>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GARRETT LITIGATION AND BANKRUPTCY PROCEEDINGS</w:t>
      </w:r>
    </w:p>
    <w:p>
      <w:pPr>
        <w:spacing w:after="0" w:line="13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December 2, 2019, Garrett and Garrett ASASCO Inc. filed a Summons with Notice and commenced a lawsuit in the Commercial Division of the Supreme Court of the State of New York, County of New York (the State Court), seeking to invalidate the Garrett Indemnity. Garrett sought damages and a declaratory judgment based on various claims set forth in the Summons with Notice. On January 15, 2020, Garrett filed its complaint in the action, which asserted the same claims, and on March 5, 2020, we filed a Motion to Dismiss. On June 12, 2020, given the challenges of operating in the COVID-19 environment, Honeywell and Garrett entered into a litigation status agreement pursuant to which (i) the parties agreed to make good faith efforts to limit near-term litigation spend on this matter, and (ii) the Company agreed to extend both the $2 million payment owed by Garrett to the Company on May 1, 2020 under the Garrett Indemnity and the $18 million payment owed by Garrett to the Company on April 1, 2020 under the Tax Matters Agreement until December 31, 2020 (which amounts, as previously disclosed, had been deferred to May 31, 2020). On July 17, 2020, the Company received a notice from Garrett asserting that Honeywell has caused material breaches of the Tax Matters Agreement and that the Tax Matters Agreement is unenforceable.</w:t>
      </w:r>
    </w:p>
    <w:p>
      <w:pPr>
        <w:spacing w:after="0" w:line="10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September 20, 2020, Garrett and 36 of its affiliates filed voluntary petitions for relief under Chapter 11 of the United States Bankruptcy Code in the United States Bankruptcy Court for the Southern District of New York (the Bankruptcy Court). On September 23, 2020, Garrett moved the existing State Court litigation against Honeywell to the Bankruptcy Court. Honeywell again moved to dismiss all of Garrett’s claims on October 13, 2020. On November 2, 2020, Garrett filed a motion seeking to establish procedures to estimate the value of Honeywell’s claims. Honeywell objected to the motion. On November 18, 2020, the Bankruptcy Court did not rule on the motion to dismiss but suggested that two weeks be set aside in February 2021 for an evidentiary hearing to establish the actual allowed amount or net amount of Honeywell’s claim against Garrett. Honeywell and Garrett agreed to proceed with the estimation of Honeywell’s claims. We believe we have fully complied with our obligations under the Garrett Indemnity and the Tax Matters Agreement and that both agreements are valid and enforceable.</w:t>
      </w:r>
    </w:p>
    <w:p>
      <w:pPr>
        <w:spacing w:after="0" w:line="9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Garrett’s operations have and are expected to continue, without interruption, throughout the bankruptcy proceedings. Garrett initially proposed to sell its business while in bankruptcy, and entered into a Share and Asset Purchase Agreement, dated as of September 20, 2020, with KPS Capital Partners, LP (the Stalking Horse Agreement) and filed proposed bidding procedures for a marketing and sale process, auction and other procedures related to the proposed sale. In October 2020, Honeywell signed a coordination agreement with Oaktree Capital Management, L.P. (Oaktree) and Centerbridge Partners, L.P. (Centerbridge), which was subsequently signed by additional equity holders that, collectively with Honeywell, Centerbridge and Oaktree, represent approximately 58% of Garrett’s outstanding common stock and noteholders representing approximately 88% of the principal amount of Garrett’s outstanding senior notes (the Coordination Agreement). The Coordination Agreement and related term sheet set forth the terms of a proposed plan of reorganization (the Initial COH Proposal).</w:t>
      </w:r>
    </w:p>
    <w:p>
      <w:pPr>
        <w:spacing w:after="0" w:line="9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October 2020, the Bankruptcy Court approved the bidding procedures and the Stalking Horse Agreement (as amended), and Garrett conducted a marketing and auction process through January 8, 2021. On January 11, 2021, after further revisions to the Initial COH Proposal, Garrett determined that the revised proposal (the Final COH Plan) was higher and better than all other proposals received and entered into a plan support agreement (the Plan Support Agreement), pursuant to which all parties agreed to pursue Bankruptcy Court confirmation of the Final COH Plan. On January 15, 2021, KPS Capital Partners, LP terminated the Stalking Horse Agreement with Garrett.</w:t>
      </w:r>
    </w:p>
    <w:p>
      <w:pPr>
        <w:spacing w:after="0" w:line="9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As set forth in the Plan Support Agreement, the Final COH Plan provides that, if it is confirmed by the Bankruptcy Court, Honeywell will receive from Garrett at the time of Garrett’s emergence from bankruptcy an initial payment of $375 million in cash and Series B Preferred Stock, which will provide for cash payments to Honeywell of $35 million in 2022 and $100 million per year from 2023 to 2030 (inclusive), subject to various put and call rights set forth therein. The initial cash payment, together with the Series B Preferred Stock, would be paid/issued in full and final satisfaction of Garrett’s obligations to Honeywell under the Garrett Indemnity and the Tax Matters Agreement. Upon Garrett’s emergence from bankruptcy, both agreements would be terminated, Honeywell and Garrett would mutually release each other from the claims asserted in all pending legal actions, and all pending litigation with Garrett would be resolved. In light of these developments, the hearing scheduled to estimate Honeywell’s claims and the adversary proceeding seeking to invalidate the Indemnity Agreement have been stayed and all related litigation suspended. If the Final COH Plan is confirmed by the Bankruptcy Court, both proceedings would be dismissed with prejudice on the effective date of the Final COH Plan.</w:t>
      </w:r>
    </w:p>
    <w:p>
      <w:pPr>
        <w:spacing w:after="0" w:line="10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regularly review the aggregate carrying value of the receivable amounts due in connection with the Garrett Indemnity and the Tax Matters Agreement. Following Garrett’s bankruptcy filing on September 20, 2020, the Company reduced the aggregate carrying value of the receivable by $350 million to reflect the present value of</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91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94" w:name="page95"/>
    <w:bookmarkEnd w:id="94"/>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5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amounts owed to us over the full term of these agreements. Because Garrett is now a party to the Plan Support Agreement, we believe the present value of payments to Honeywell under the Final COH Plan, discounted at a rate reflective of the terms of the agreement, is an appropriate estimate of receivable amounts. On this basis, Honeywell recorded an additional adjustment of $92 million to lower the aggregate carrying value of the receivable amounts due in connection with the Garrett Indemnity and Tax Matters Agreement to $959 million as of December 31, 2020. Other Current Assets and Other Assets include $10 million and $949 million, respectively, for the short-term and long-term portion of the receivable amount due from the Garrett Indemnity and Tax Matters Agreement. As of December 31, 2019, Other Current Assets and Other Assets include $133 million and $1,188 million, respectively, for the short-term and long-term portion of the receivable amount due from the Garrett Indemnity and Tax Matters Agreement. For the year ended December 31, 2020, a non-cash charge of $509 million is recognized in Other (income) expense, which includes the adjustments to the carrying value of the receivable described above.</w:t>
      </w:r>
    </w:p>
    <w:p>
      <w:pPr>
        <w:spacing w:after="0" w:line="32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There can be no assurance that the Final COH Plan will be confirmed by the Bankruptcy Court or that Garrett will be able to substantially consummate the restructuring transactions contemplated in the Final COH Plan. The ultimate outcome of the bankruptcy process is uncertain. Depending on the transaction and/or plan of reorganization ultimately approved and confirmed by the Bankruptcy Court, the amount collected could differ from the receivable amounts currently recorded in our financial statements. There can be no assurance that recording an additional adjustment (positive or negative) against the remaining receivable amounts in whole or in part (together with a related statement of operations charge) will not be necessary in a future period or periods. Honeywell will continue to participate in the Bankruptcy Court proceedings in order to appropriately assess and enforce our rights in this matter. Should the Final COH Plan not be confirmed in the form currently contemplated, Honeywell intends to vigorously defend its rights to collect amounts due under the Garrett Indemnity and Tax Matters Agreement with Garrett.</w:t>
      </w:r>
    </w:p>
    <w:p>
      <w:pPr>
        <w:spacing w:after="0" w:line="3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MATTERS</w:t>
      </w:r>
    </w:p>
    <w:p>
      <w:pPr>
        <w:spacing w:after="0" w:line="13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is subject to a number of other lawsuits, investigations and disputes (some of which involve substantial amounts claimed) arising out of the conduct of our business, including matters relating to commercial transactions, government contracts, product liability, prior acquisitions and divestitures, employee benefit plans, intellectual property, and environmental, health and safety matters. We recognize a liability for any contingency that is probable of occurrence and reasonably estimable. We continually assess the likelihood of adverse judgments or outcomes in these matters, as well as potential ranges of possible losses (taking into consideration any insurance recoveries), based on a careful analysis of each matter with the assistance of outside legal counsel and, if applicable, other experts. Included in these other matters is the following:</w:t>
      </w:r>
    </w:p>
    <w:p>
      <w:pPr>
        <w:spacing w:after="0" w:line="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Honeywell v. United Auto Workers (UAW) et. al </w:t>
      </w:r>
      <w:r>
        <w:rPr>
          <w:rFonts w:ascii="Arial" w:cs="Arial" w:eastAsia="Arial" w:hAnsi="Arial"/>
          <w:sz w:val="18"/>
          <w:szCs w:val="18"/>
          <w:color w:val="auto"/>
        </w:rPr>
        <w:t>– In September 2011, the UAW and certain Honeywell retirees (Plaintiffs) filed a suit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Eastern District of Michigan (the District Court) alleging that a series of Master Collective Bargaining Agreements (MCBAs) between Honeywell and the UAW provided the retirees with rights to lifetime, vested healthcare benefits that could never be changed or reduced. Plaintiffs alleged that Honeywell had violated those vested rights by implementing express limitations (CAPS) on the amount Honeywell contributed toward healthcare coverage for the retirees. Honeywell subsequently answered the UAW’s complaint and asserted counterclaims, including for breach of implied warranty.</w:t>
      </w:r>
    </w:p>
    <w:p>
      <w:pPr>
        <w:spacing w:after="0" w:line="9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Between 2014 and 2015, Honeywell began enforcing the CAPS against former employees. In response, the UAW and certain of the Plaintiffs filed a motion seeking a ruling that the MCBAs do not limit Honeywell’s obligation to contribute to healthcare coverage for those retirees.</w:t>
      </w:r>
    </w:p>
    <w:p>
      <w:pPr>
        <w:spacing w:after="0" w:line="9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March 29, 2018, the District Court issued its opinion resolving all pending summary judgment motions, except for Honeywell’s counterclaim for breach of implied warranty, which has since been dismissed without prejudice.</w:t>
      </w:r>
    </w:p>
    <w:p>
      <w:pPr>
        <w:spacing w:after="0" w:line="9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the opinion, the District Court held that the MCBAs do not promise retirees vested, lifetime benefits that survive expiration of the MCBAs. Based on this ruling, Honeywell terminated the retirees healthcare coverage benefits altogether as of July 31, 2018. In response, the UAW filed a motion to enjoin Honeywell from completely terminating coverage as of July 31, 2018, arguing that the CAPS themselves are vested and that Honeywell must continue to provide retiree medical benefits at the capped level. On July 28, 2018, the District Court denied the UAW’s motion and entered a final judgment consistent with its March 2018 ruling. The UAW appealed this decision to the Sixth Circuit Court of Appeals.</w:t>
      </w:r>
    </w:p>
    <w:p>
      <w:pPr>
        <w:spacing w:after="0" w:line="10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In the March 2018 opinion, the District Court also held that Honeywell is obligated under the MCBAs to pay the “full premium” for retiree healthcare rather than the capped amount. Based on this ruling, Honeywell would be required</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92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95" w:name="page96"/>
    <w:bookmarkEnd w:id="95"/>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 pay monetary damages to retirees for any past years in which Honeywell paid less than the “full premium” of their healthcare coverage. Such damages would be limited, depending on the retiree group, to a two to three-year period ending when the 2017 MCBA expired, and Honeywell would have no ongoing obligation to continue funding healthcare coverage for subsequent periods. Honeywell appealed the District Court’s ruling on this “full premium” damages issue.</w:t>
      </w:r>
    </w:p>
    <w:p>
      <w:pPr>
        <w:spacing w:after="0" w:line="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April 3, 2020, the Sixth Circuit Court of Appeals issued an opinion ruling for Honeywell in all respects. The Court of Appeals affirmed the District Court's ruling that the MCBAs do not promise retirees vested, lifetime benefits that survive expiration of the MCBAs. In addition, the Court of Appeals reversed the District Court's ruling that Honeywell was obligated under the MCBAs to pay the "full premium" for retiree healthcare, rather than the capped amount. As a result of these rulings, Honeywell is not required to pay any monetary damages to the Plaintiffs.</w:t>
      </w:r>
    </w:p>
    <w:p>
      <w:pPr>
        <w:spacing w:after="0" w:line="9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Plaintiffs sought rehearing en banc from the Sixth Circuit Court of Appeals, which petition was denied. Plaintiffs failed to timely appeal the Sixth Circuit's ruling to the Supreme Court of the United States. Accordingly, as of October 8, 2020, the case was fully resolved.</w:t>
      </w:r>
    </w:p>
    <w:p>
      <w:pPr>
        <w:spacing w:after="0" w:line="6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 xml:space="preserve">Petrobras and Unaoil </w:t>
      </w:r>
      <w:r>
        <w:rPr>
          <w:rFonts w:ascii="Arial" w:cs="Arial" w:eastAsia="Arial" w:hAnsi="Arial"/>
          <w:sz w:val="18"/>
          <w:szCs w:val="18"/>
          <w:color w:val="auto"/>
        </w:rPr>
        <w:t>– We are cooperating with certain investigations by the U.S. Department of Justice (DOJ), the SEC and Brazilian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authorities relating to our use of third parties who previously worked for our UOP business in Brazil in relation to Petróleo Brasileiro S.A. (Petrobras). The investigations are focused on compliance with the U.S. Foreign Corrupt Practices Act and similar Brazilian laws, and involve, among other things, document production and interviews with former and current management and employees. The DOJ and the SEC are also examining a matter involving a foreign subsidiary’s prior engagement of Unaoil S.A.M. in Algeria. We are cooperating with the authorities in each of the above matters. While we cannot predict the outcome of these matters, based on the facts currently known to us, we do not anticipate that these matters will have a material adverse effect on our financial condition, results of operations, or cash flows.</w:t>
      </w:r>
    </w:p>
    <w:p>
      <w:pPr>
        <w:spacing w:after="0" w:line="9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Given the uncertainty inherent in litigation and investigations (including the specific matters referenced above), we do not believe it is possible to develop estimates of reasonably possible loss in excess of current accruals for these matters (other than as specifically set forth above). Considering our past experience and existing accruals, we do not expect the outcome of these matters, either individually or in the aggregate, to have a material adverse effect on our consolidated financial position. Because most contingencies are resolved over long periods of time, potential liabilities are subject to change due to new developments, changes in settlement strategy or the impact of evidentiary requirements, which could cause us to pay damage awards or settlements (or become subject to equitable remedies) that could have a material adverse effect on our Consolidated Results of Operations or operating cash flows in the periods recognized or paid.</w:t>
      </w:r>
    </w:p>
    <w:p>
      <w:pPr>
        <w:spacing w:after="0" w:line="2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WARRANTIES AND GUARANTEES</w:t>
      </w:r>
    </w:p>
    <w:p>
      <w:pPr>
        <w:spacing w:after="0" w:line="13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normal course of business, the Company issues product warranties and product performance guarantees. We accrue for the estimated cost of product warranties and performance guarantees based on contract terms and historical experience at the time of sale. Adjustments to initial obligations for warranties and guarantees are made as changes to the obligations become reasonably estimable. The following table summarizes information concerning our recorded obligations for product warranties and product performance guarantees.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20" w:type="dxa"/>
            <w:vAlign w:val="bottom"/>
          </w:tcPr>
          <w:p>
            <w:pPr>
              <w:spacing w:after="0"/>
              <w:rPr>
                <w:sz w:val="17"/>
                <w:szCs w:val="17"/>
                <w:color w:val="auto"/>
              </w:rPr>
            </w:pPr>
          </w:p>
        </w:tc>
        <w:tc>
          <w:tcPr>
            <w:tcW w:w="920" w:type="dxa"/>
            <w:vAlign w:val="bottom"/>
            <w:tcBorders>
              <w:bottom w:val="single" w:sz="8" w:color="DC202E"/>
            </w:tcBorders>
          </w:tcPr>
          <w:p>
            <w:pPr>
              <w:spacing w:after="0"/>
              <w:rPr>
                <w:sz w:val="17"/>
                <w:szCs w:val="17"/>
                <w:color w:val="auto"/>
              </w:rPr>
            </w:pPr>
          </w:p>
        </w:tc>
        <w:tc>
          <w:tcPr>
            <w:tcW w:w="2500" w:type="dxa"/>
            <w:vAlign w:val="bottom"/>
            <w:tcBorders>
              <w:bottom w:val="single" w:sz="8" w:color="DC202E"/>
            </w:tcBorders>
            <w:gridSpan w:val="6"/>
          </w:tcPr>
          <w:p>
            <w:pPr>
              <w:jc w:val="right"/>
              <w:ind w:right="150"/>
              <w:spacing w:after="0"/>
              <w:rPr>
                <w:sz w:val="20"/>
                <w:szCs w:val="20"/>
                <w:color w:val="auto"/>
              </w:rPr>
            </w:pPr>
            <w:r>
              <w:rPr>
                <w:rFonts w:ascii="Arial" w:cs="Arial" w:eastAsia="Arial" w:hAnsi="Arial"/>
                <w:sz w:val="14"/>
                <w:szCs w:val="14"/>
                <w:b w:val="1"/>
                <w:bCs w:val="1"/>
                <w:color w:val="auto"/>
              </w:rPr>
              <w:t>Years Ended December 31,</w:t>
            </w:r>
          </w:p>
        </w:tc>
        <w:tc>
          <w:tcPr>
            <w:tcW w:w="1100" w:type="dxa"/>
            <w:vAlign w:val="bottom"/>
            <w:tcBorders>
              <w:bottom w:val="single" w:sz="8" w:color="DC202E"/>
            </w:tcBorders>
          </w:tcPr>
          <w:p>
            <w:pPr>
              <w:spacing w:after="0"/>
              <w:rPr>
                <w:sz w:val="17"/>
                <w:szCs w:val="17"/>
                <w:color w:val="auto"/>
              </w:rPr>
            </w:pPr>
          </w:p>
        </w:tc>
      </w:tr>
      <w:tr>
        <w:trPr>
          <w:trHeight w:val="196"/>
        </w:trPr>
        <w:tc>
          <w:tcPr>
            <w:tcW w:w="6720" w:type="dxa"/>
            <w:vAlign w:val="bottom"/>
            <w:tcBorders>
              <w:bottom w:val="single" w:sz="8" w:color="DDDDDD"/>
            </w:tcBorders>
          </w:tcPr>
          <w:p>
            <w:pPr>
              <w:spacing w:after="0"/>
              <w:rPr>
                <w:sz w:val="17"/>
                <w:szCs w:val="17"/>
                <w:color w:val="auto"/>
              </w:rPr>
            </w:pPr>
          </w:p>
        </w:tc>
        <w:tc>
          <w:tcPr>
            <w:tcW w:w="92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DC202E"/>
            </w:tcBorders>
          </w:tcPr>
          <w:p>
            <w:pPr>
              <w:spacing w:after="0"/>
              <w:rPr>
                <w:sz w:val="17"/>
                <w:szCs w:val="17"/>
                <w:color w:val="auto"/>
              </w:rPr>
            </w:pPr>
          </w:p>
        </w:tc>
        <w:tc>
          <w:tcPr>
            <w:tcW w:w="120" w:type="dxa"/>
            <w:vAlign w:val="bottom"/>
            <w:tcBorders>
              <w:bottom w:val="single" w:sz="8" w:color="DDDDDD"/>
            </w:tcBorders>
          </w:tcPr>
          <w:p>
            <w:pPr>
              <w:spacing w:after="0"/>
              <w:rPr>
                <w:sz w:val="17"/>
                <w:szCs w:val="17"/>
                <w:color w:val="auto"/>
              </w:rPr>
            </w:pPr>
          </w:p>
        </w:tc>
        <w:tc>
          <w:tcPr>
            <w:tcW w:w="340" w:type="dxa"/>
            <w:vAlign w:val="bottom"/>
            <w:tcBorders>
              <w:bottom w:val="single" w:sz="8" w:color="DC202E"/>
            </w:tcBorders>
          </w:tcPr>
          <w:p>
            <w:pPr>
              <w:spacing w:after="0"/>
              <w:rPr>
                <w:sz w:val="17"/>
                <w:szCs w:val="17"/>
                <w:color w:val="auto"/>
              </w:rPr>
            </w:pPr>
          </w:p>
        </w:tc>
        <w:tc>
          <w:tcPr>
            <w:tcW w:w="1080" w:type="dxa"/>
            <w:vAlign w:val="bottom"/>
            <w:tcBorders>
              <w:bottom w:val="single" w:sz="8" w:color="DC202E"/>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DDDDDD"/>
            </w:tcBorders>
          </w:tcPr>
          <w:p>
            <w:pPr>
              <w:spacing w:after="0"/>
              <w:rPr>
                <w:sz w:val="17"/>
                <w:szCs w:val="17"/>
                <w:color w:val="auto"/>
              </w:rPr>
            </w:pPr>
          </w:p>
        </w:tc>
        <w:tc>
          <w:tcPr>
            <w:tcW w:w="340" w:type="dxa"/>
            <w:vAlign w:val="bottom"/>
            <w:tcBorders>
              <w:bottom w:val="single" w:sz="8" w:color="DC202E"/>
            </w:tcBorders>
          </w:tcPr>
          <w:p>
            <w:pPr>
              <w:spacing w:after="0"/>
              <w:rPr>
                <w:sz w:val="17"/>
                <w:szCs w:val="17"/>
                <w:color w:val="auto"/>
              </w:rPr>
            </w:pPr>
          </w:p>
        </w:tc>
        <w:tc>
          <w:tcPr>
            <w:tcW w:w="1100" w:type="dxa"/>
            <w:vAlign w:val="bottom"/>
            <w:tcBorders>
              <w:bottom w:val="single" w:sz="8" w:color="DC202E"/>
            </w:tcBorders>
          </w:tcPr>
          <w:p>
            <w:pPr>
              <w:jc w:val="right"/>
              <w:ind w:right="473"/>
              <w:spacing w:after="0"/>
              <w:rPr>
                <w:sz w:val="20"/>
                <w:szCs w:val="20"/>
                <w:color w:val="auto"/>
              </w:rPr>
            </w:pPr>
            <w:r>
              <w:rPr>
                <w:rFonts w:ascii="Arial" w:cs="Arial" w:eastAsia="Arial" w:hAnsi="Arial"/>
                <w:sz w:val="14"/>
                <w:szCs w:val="14"/>
                <w:b w:val="1"/>
                <w:bCs w:val="1"/>
                <w:color w:val="auto"/>
              </w:rPr>
              <w:t>2018</w:t>
            </w:r>
          </w:p>
        </w:tc>
      </w:tr>
      <w:tr>
        <w:trPr>
          <w:trHeight w:val="230"/>
        </w:trPr>
        <w:tc>
          <w:tcPr>
            <w:tcW w:w="6720" w:type="dxa"/>
            <w:vAlign w:val="bottom"/>
            <w:shd w:val="clear" w:color="auto" w:fill="DDDDDD"/>
          </w:tcPr>
          <w:p>
            <w:pPr>
              <w:ind w:left="20"/>
              <w:spacing w:after="0"/>
              <w:rPr>
                <w:sz w:val="20"/>
                <w:szCs w:val="20"/>
                <w:color w:val="auto"/>
              </w:rPr>
            </w:pPr>
            <w:r>
              <w:rPr>
                <w:rFonts w:ascii="Arial" w:cs="Arial" w:eastAsia="Arial" w:hAnsi="Arial"/>
                <w:sz w:val="18"/>
                <w:szCs w:val="18"/>
                <w:color w:val="auto"/>
              </w:rPr>
              <w:t>Beginning of year</w:t>
            </w:r>
          </w:p>
        </w:tc>
        <w:tc>
          <w:tcPr>
            <w:tcW w:w="920" w:type="dxa"/>
            <w:vAlign w:val="bottom"/>
            <w:shd w:val="clear" w:color="auto" w:fill="DDDDDD"/>
          </w:tcPr>
          <w:p>
            <w:pPr>
              <w:jc w:val="right"/>
              <w:ind w:right="716"/>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269</w:t>
            </w:r>
          </w:p>
        </w:tc>
        <w:tc>
          <w:tcPr>
            <w:tcW w:w="120" w:type="dxa"/>
            <w:vAlign w:val="bottom"/>
            <w:shd w:val="clear" w:color="auto" w:fill="DDDDDD"/>
          </w:tcPr>
          <w:p>
            <w:pPr>
              <w:spacing w:after="0"/>
              <w:rPr>
                <w:sz w:val="19"/>
                <w:szCs w:val="19"/>
                <w:color w:val="auto"/>
              </w:rPr>
            </w:pPr>
          </w:p>
        </w:tc>
        <w:tc>
          <w:tcPr>
            <w:tcW w:w="3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310</w:t>
            </w:r>
          </w:p>
        </w:tc>
        <w:tc>
          <w:tcPr>
            <w:tcW w:w="120" w:type="dxa"/>
            <w:vAlign w:val="bottom"/>
            <w:shd w:val="clear" w:color="auto" w:fill="DDDDDD"/>
          </w:tcPr>
          <w:p>
            <w:pPr>
              <w:spacing w:after="0"/>
              <w:rPr>
                <w:sz w:val="19"/>
                <w:szCs w:val="19"/>
                <w:color w:val="auto"/>
              </w:rPr>
            </w:pPr>
          </w:p>
        </w:tc>
        <w:tc>
          <w:tcPr>
            <w:tcW w:w="3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408</w:t>
            </w: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Accruals for warranties/guarantees issued during the year</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208</w:t>
            </w:r>
          </w:p>
        </w:tc>
      </w:tr>
      <w:tr>
        <w:trPr>
          <w:trHeight w:val="229"/>
        </w:trPr>
        <w:tc>
          <w:tcPr>
            <w:tcW w:w="6720" w:type="dxa"/>
            <w:vAlign w:val="bottom"/>
            <w:shd w:val="clear" w:color="auto" w:fill="DDDDDD"/>
          </w:tcPr>
          <w:p>
            <w:pPr>
              <w:ind w:left="20"/>
              <w:spacing w:after="0"/>
              <w:rPr>
                <w:sz w:val="20"/>
                <w:szCs w:val="20"/>
                <w:color w:val="auto"/>
              </w:rPr>
            </w:pPr>
            <w:r>
              <w:rPr>
                <w:rFonts w:ascii="Arial" w:cs="Arial" w:eastAsia="Arial" w:hAnsi="Arial"/>
                <w:sz w:val="18"/>
                <w:szCs w:val="18"/>
                <w:color w:val="auto"/>
              </w:rPr>
              <w:t>Adjustment of pre-existing warranties/guarantees</w:t>
            </w:r>
          </w:p>
        </w:tc>
        <w:tc>
          <w:tcPr>
            <w:tcW w:w="920" w:type="dxa"/>
            <w:vAlign w:val="bottom"/>
            <w:shd w:val="clear" w:color="auto" w:fill="DDDDDD"/>
          </w:tcPr>
          <w:p>
            <w:pPr>
              <w:spacing w:after="0"/>
              <w:rPr>
                <w:sz w:val="19"/>
                <w:szCs w:val="19"/>
                <w:color w:val="auto"/>
              </w:rPr>
            </w:pPr>
          </w:p>
        </w:tc>
        <w:tc>
          <w:tcPr>
            <w:tcW w:w="5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10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(78)</w:t>
            </w:r>
          </w:p>
        </w:tc>
      </w:tr>
      <w:tr>
        <w:trPr>
          <w:trHeight w:val="230"/>
        </w:trPr>
        <w:tc>
          <w:tcPr>
            <w:tcW w:w="6720" w:type="dxa"/>
            <w:vAlign w:val="bottom"/>
            <w:tcBorders>
              <w:bottom w:val="single" w:sz="8" w:color="DDDDDD"/>
            </w:tcBorders>
          </w:tcPr>
          <w:p>
            <w:pPr>
              <w:ind w:left="20"/>
              <w:spacing w:after="0"/>
              <w:rPr>
                <w:sz w:val="20"/>
                <w:szCs w:val="20"/>
                <w:color w:val="auto"/>
              </w:rPr>
            </w:pPr>
            <w:r>
              <w:rPr>
                <w:rFonts w:ascii="Arial" w:cs="Arial" w:eastAsia="Arial" w:hAnsi="Arial"/>
                <w:sz w:val="18"/>
                <w:szCs w:val="18"/>
                <w:color w:val="auto"/>
              </w:rPr>
              <w:t>Settlement of warranty/guarantee claims</w:t>
            </w: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Borders>
              <w:bottom w:val="single" w:sz="8" w:color="DDDDDD"/>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Borders>
              <w:bottom w:val="single" w:sz="8" w:color="DDDDDD"/>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w:t>
            </w:r>
          </w:p>
        </w:tc>
      </w:tr>
      <w:tr>
        <w:trPr>
          <w:trHeight w:val="248"/>
        </w:trPr>
        <w:tc>
          <w:tcPr>
            <w:tcW w:w="672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8"/>
                <w:szCs w:val="18"/>
                <w:color w:val="auto"/>
              </w:rPr>
              <w:t>End of year</w:t>
            </w:r>
          </w:p>
        </w:tc>
        <w:tc>
          <w:tcPr>
            <w:tcW w:w="920" w:type="dxa"/>
            <w:vAlign w:val="bottom"/>
            <w:tcBorders>
              <w:bottom w:val="single" w:sz="8" w:color="auto"/>
            </w:tcBorders>
            <w:shd w:val="clear" w:color="auto" w:fill="DDDDDD"/>
          </w:tcPr>
          <w:p>
            <w:pPr>
              <w:jc w:val="right"/>
              <w:ind w:right="71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243</w:t>
            </w:r>
          </w:p>
        </w:tc>
        <w:tc>
          <w:tcPr>
            <w:tcW w:w="120" w:type="dxa"/>
            <w:vAlign w:val="bottom"/>
            <w:tcBorders>
              <w:bottom w:val="single" w:sz="8" w:color="DDDDDD"/>
            </w:tcBorders>
            <w:shd w:val="clear" w:color="auto" w:fill="DDDDDD"/>
          </w:tcPr>
          <w:p>
            <w:pPr>
              <w:spacing w:after="0"/>
              <w:rPr>
                <w:sz w:val="21"/>
                <w:szCs w:val="21"/>
                <w:color w:val="auto"/>
              </w:rPr>
            </w:pPr>
          </w:p>
        </w:tc>
        <w:tc>
          <w:tcPr>
            <w:tcW w:w="340" w:type="dxa"/>
            <w:vAlign w:val="bottom"/>
            <w:tcBorders>
              <w:bottom w:val="single" w:sz="8" w:color="auto"/>
            </w:tcBorders>
            <w:shd w:val="clear" w:color="auto" w:fill="DDDDDD"/>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269</w:t>
            </w:r>
          </w:p>
        </w:tc>
        <w:tc>
          <w:tcPr>
            <w:tcW w:w="120" w:type="dxa"/>
            <w:vAlign w:val="bottom"/>
            <w:tcBorders>
              <w:bottom w:val="single" w:sz="8" w:color="DDDDDD"/>
            </w:tcBorders>
            <w:shd w:val="clear" w:color="auto" w:fill="DDDDDD"/>
          </w:tcPr>
          <w:p>
            <w:pPr>
              <w:spacing w:after="0"/>
              <w:rPr>
                <w:sz w:val="21"/>
                <w:szCs w:val="21"/>
                <w:color w:val="auto"/>
              </w:rPr>
            </w:pPr>
          </w:p>
        </w:tc>
        <w:tc>
          <w:tcPr>
            <w:tcW w:w="340" w:type="dxa"/>
            <w:vAlign w:val="bottom"/>
            <w:tcBorders>
              <w:bottom w:val="single" w:sz="8" w:color="auto"/>
            </w:tcBorders>
            <w:shd w:val="clear" w:color="auto" w:fill="DDDDDD"/>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310</w:t>
            </w:r>
          </w:p>
        </w:tc>
      </w:tr>
      <w:tr>
        <w:trPr>
          <w:trHeight w:val="20"/>
        </w:trPr>
        <w:tc>
          <w:tcPr>
            <w:tcW w:w="6720" w:type="dxa"/>
            <w:vAlign w:val="bottom"/>
            <w:tcBorders>
              <w:top w:val="single" w:sz="8" w:color="DDDDDD"/>
            </w:tcBorders>
          </w:tcPr>
          <w:p>
            <w:pPr>
              <w:spacing w:after="0" w:line="20" w:lineRule="exact"/>
              <w:rPr>
                <w:sz w:val="1"/>
                <w:szCs w:val="1"/>
                <w:color w:val="auto"/>
              </w:rPr>
            </w:pPr>
          </w:p>
        </w:tc>
        <w:tc>
          <w:tcPr>
            <w:tcW w:w="920" w:type="dxa"/>
            <w:vAlign w:val="bottom"/>
            <w:tcBorders>
              <w:top w:val="single" w:sz="8" w:color="DDDDDD"/>
              <w:bottom w:val="single" w:sz="8" w:color="auto"/>
            </w:tcBorders>
          </w:tcPr>
          <w:p>
            <w:pPr>
              <w:spacing w:after="0" w:line="20" w:lineRule="exact"/>
              <w:rPr>
                <w:sz w:val="1"/>
                <w:szCs w:val="1"/>
                <w:color w:val="auto"/>
              </w:rPr>
            </w:pPr>
          </w:p>
        </w:tc>
        <w:tc>
          <w:tcPr>
            <w:tcW w:w="500" w:type="dxa"/>
            <w:vAlign w:val="bottom"/>
            <w:tcBorders>
              <w:top w:val="single" w:sz="8" w:color="DDDDDD"/>
              <w:bottom w:val="single" w:sz="8" w:color="auto"/>
            </w:tcBorders>
          </w:tcPr>
          <w:p>
            <w:pPr>
              <w:spacing w:after="0" w:line="20" w:lineRule="exact"/>
              <w:rPr>
                <w:sz w:val="1"/>
                <w:szCs w:val="1"/>
                <w:color w:val="auto"/>
              </w:rPr>
            </w:pPr>
          </w:p>
        </w:tc>
        <w:tc>
          <w:tcPr>
            <w:tcW w:w="120" w:type="dxa"/>
            <w:vAlign w:val="bottom"/>
            <w:tcBorders>
              <w:top w:val="single" w:sz="8" w:color="DDDDDD"/>
            </w:tcBorders>
          </w:tcPr>
          <w:p>
            <w:pPr>
              <w:spacing w:after="0" w:line="20" w:lineRule="exact"/>
              <w:rPr>
                <w:sz w:val="1"/>
                <w:szCs w:val="1"/>
                <w:color w:val="auto"/>
              </w:rPr>
            </w:pPr>
          </w:p>
        </w:tc>
        <w:tc>
          <w:tcPr>
            <w:tcW w:w="340" w:type="dxa"/>
            <w:vAlign w:val="bottom"/>
            <w:tcBorders>
              <w:top w:val="single" w:sz="8" w:color="DDDDDD"/>
              <w:bottom w:val="single" w:sz="8" w:color="auto"/>
            </w:tcBorders>
          </w:tcPr>
          <w:p>
            <w:pPr>
              <w:spacing w:after="0" w:line="20" w:lineRule="exact"/>
              <w:rPr>
                <w:sz w:val="1"/>
                <w:szCs w:val="1"/>
                <w:color w:val="auto"/>
              </w:rPr>
            </w:pPr>
          </w:p>
        </w:tc>
        <w:tc>
          <w:tcPr>
            <w:tcW w:w="1080" w:type="dxa"/>
            <w:vAlign w:val="bottom"/>
            <w:tcBorders>
              <w:top w:val="single" w:sz="8" w:color="DDDDDD"/>
              <w:bottom w:val="single" w:sz="8" w:color="auto"/>
            </w:tcBorders>
          </w:tcPr>
          <w:p>
            <w:pPr>
              <w:spacing w:after="0" w:line="20" w:lineRule="exact"/>
              <w:rPr>
                <w:sz w:val="1"/>
                <w:szCs w:val="1"/>
                <w:color w:val="auto"/>
              </w:rPr>
            </w:pPr>
          </w:p>
        </w:tc>
        <w:tc>
          <w:tcPr>
            <w:tcW w:w="120" w:type="dxa"/>
            <w:vAlign w:val="bottom"/>
            <w:tcBorders>
              <w:top w:val="single" w:sz="8" w:color="DDDDDD"/>
            </w:tcBorders>
          </w:tcPr>
          <w:p>
            <w:pPr>
              <w:spacing w:after="0" w:line="20" w:lineRule="exact"/>
              <w:rPr>
                <w:sz w:val="1"/>
                <w:szCs w:val="1"/>
                <w:color w:val="auto"/>
              </w:rPr>
            </w:pPr>
          </w:p>
        </w:tc>
        <w:tc>
          <w:tcPr>
            <w:tcW w:w="340" w:type="dxa"/>
            <w:vAlign w:val="bottom"/>
            <w:tcBorders>
              <w:top w:val="single" w:sz="8" w:color="DDDDDD"/>
              <w:bottom w:val="single" w:sz="8" w:color="auto"/>
            </w:tcBorders>
          </w:tcPr>
          <w:p>
            <w:pPr>
              <w:spacing w:after="0" w:line="20" w:lineRule="exact"/>
              <w:rPr>
                <w:sz w:val="1"/>
                <w:szCs w:val="1"/>
                <w:color w:val="auto"/>
              </w:rPr>
            </w:pPr>
          </w:p>
        </w:tc>
        <w:tc>
          <w:tcPr>
            <w:tcW w:w="1100" w:type="dxa"/>
            <w:vAlign w:val="bottom"/>
            <w:tcBorders>
              <w:top w:val="single" w:sz="8" w:color="DDDDDD"/>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93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96" w:name="page97"/>
    <w:bookmarkEnd w:id="96"/>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Product warranties and product performance guarantees are included in the following balance sheet accounts: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240" w:type="dxa"/>
            <w:vAlign w:val="bottom"/>
          </w:tcPr>
          <w:p>
            <w:pPr>
              <w:spacing w:after="0"/>
              <w:rPr>
                <w:sz w:val="17"/>
                <w:szCs w:val="17"/>
                <w:color w:val="auto"/>
              </w:rPr>
            </w:pPr>
          </w:p>
        </w:tc>
        <w:tc>
          <w:tcPr>
            <w:tcW w:w="960" w:type="dxa"/>
            <w:vAlign w:val="bottom"/>
            <w:tcBorders>
              <w:bottom w:val="single" w:sz="8" w:color="DC202E"/>
            </w:tcBorders>
          </w:tcPr>
          <w:p>
            <w:pPr>
              <w:spacing w:after="0"/>
              <w:rPr>
                <w:sz w:val="17"/>
                <w:szCs w:val="17"/>
                <w:color w:val="auto"/>
              </w:rPr>
            </w:pPr>
          </w:p>
        </w:tc>
        <w:tc>
          <w:tcPr>
            <w:tcW w:w="1080" w:type="dxa"/>
            <w:vAlign w:val="bottom"/>
            <w:tcBorders>
              <w:bottom w:val="single" w:sz="8" w:color="DC202E"/>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DC202E"/>
            </w:tcBorders>
          </w:tcPr>
          <w:p>
            <w:pPr>
              <w:spacing w:after="0"/>
              <w:rPr>
                <w:sz w:val="17"/>
                <w:szCs w:val="17"/>
                <w:color w:val="auto"/>
              </w:rPr>
            </w:pPr>
          </w:p>
        </w:tc>
      </w:tr>
      <w:tr>
        <w:trPr>
          <w:trHeight w:val="196"/>
        </w:trPr>
        <w:tc>
          <w:tcPr>
            <w:tcW w:w="8240" w:type="dxa"/>
            <w:vAlign w:val="bottom"/>
            <w:tcBorders>
              <w:bottom w:val="single" w:sz="8" w:color="DDDDDD"/>
            </w:tcBorders>
          </w:tcPr>
          <w:p>
            <w:pPr>
              <w:spacing w:after="0"/>
              <w:rPr>
                <w:sz w:val="17"/>
                <w:szCs w:val="17"/>
                <w:color w:val="auto"/>
              </w:rPr>
            </w:pPr>
          </w:p>
        </w:tc>
        <w:tc>
          <w:tcPr>
            <w:tcW w:w="96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DC202E"/>
            </w:tcBorders>
          </w:tcPr>
          <w:p>
            <w:pPr>
              <w:spacing w:after="0"/>
              <w:rPr>
                <w:sz w:val="17"/>
                <w:szCs w:val="17"/>
                <w:color w:val="auto"/>
              </w:rPr>
            </w:pPr>
          </w:p>
        </w:tc>
        <w:tc>
          <w:tcPr>
            <w:tcW w:w="120" w:type="dxa"/>
            <w:vAlign w:val="bottom"/>
            <w:tcBorders>
              <w:bottom w:val="single" w:sz="8" w:color="DDDDDD"/>
            </w:tcBorders>
          </w:tcPr>
          <w:p>
            <w:pPr>
              <w:spacing w:after="0"/>
              <w:rPr>
                <w:sz w:val="17"/>
                <w:szCs w:val="17"/>
                <w:color w:val="auto"/>
              </w:rPr>
            </w:pPr>
          </w:p>
        </w:tc>
        <w:tc>
          <w:tcPr>
            <w:tcW w:w="480" w:type="dxa"/>
            <w:vAlign w:val="bottom"/>
            <w:tcBorders>
              <w:bottom w:val="single" w:sz="8" w:color="DC202E"/>
            </w:tcBorders>
          </w:tcPr>
          <w:p>
            <w:pPr>
              <w:spacing w:after="0"/>
              <w:rPr>
                <w:sz w:val="17"/>
                <w:szCs w:val="17"/>
                <w:color w:val="auto"/>
              </w:rPr>
            </w:pPr>
          </w:p>
        </w:tc>
        <w:tc>
          <w:tcPr>
            <w:tcW w:w="960" w:type="dxa"/>
            <w:vAlign w:val="bottom"/>
            <w:tcBorders>
              <w:bottom w:val="single" w:sz="8" w:color="DC202E"/>
            </w:tcBorders>
          </w:tcPr>
          <w:p>
            <w:pPr>
              <w:jc w:val="right"/>
              <w:ind w:right="475"/>
              <w:spacing w:after="0"/>
              <w:rPr>
                <w:sz w:val="20"/>
                <w:szCs w:val="20"/>
                <w:color w:val="auto"/>
              </w:rPr>
            </w:pPr>
            <w:r>
              <w:rPr>
                <w:rFonts w:ascii="Arial" w:cs="Arial" w:eastAsia="Arial" w:hAnsi="Arial"/>
                <w:sz w:val="14"/>
                <w:szCs w:val="14"/>
                <w:b w:val="1"/>
                <w:bCs w:val="1"/>
                <w:color w:val="auto"/>
              </w:rPr>
              <w:t>2019</w:t>
            </w:r>
          </w:p>
        </w:tc>
      </w:tr>
      <w:tr>
        <w:trPr>
          <w:trHeight w:val="229"/>
        </w:trPr>
        <w:tc>
          <w:tcPr>
            <w:tcW w:w="8240" w:type="dxa"/>
            <w:vAlign w:val="bottom"/>
            <w:shd w:val="clear" w:color="auto" w:fill="DDDDDD"/>
          </w:tcPr>
          <w:p>
            <w:pPr>
              <w:ind w:left="20"/>
              <w:spacing w:after="0"/>
              <w:rPr>
                <w:sz w:val="20"/>
                <w:szCs w:val="20"/>
                <w:color w:val="auto"/>
              </w:rPr>
            </w:pPr>
            <w:r>
              <w:rPr>
                <w:rFonts w:ascii="Arial" w:cs="Arial" w:eastAsia="Arial" w:hAnsi="Arial"/>
                <w:sz w:val="18"/>
                <w:szCs w:val="18"/>
                <w:color w:val="auto"/>
              </w:rPr>
              <w:t>Accrued liabilities</w:t>
            </w:r>
          </w:p>
        </w:tc>
        <w:tc>
          <w:tcPr>
            <w:tcW w:w="960" w:type="dxa"/>
            <w:vAlign w:val="bottom"/>
            <w:shd w:val="clear" w:color="auto" w:fill="DDDDDD"/>
          </w:tcPr>
          <w:p>
            <w:pPr>
              <w:jc w:val="right"/>
              <w:ind w:right="756"/>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183</w:t>
            </w:r>
          </w:p>
        </w:tc>
        <w:tc>
          <w:tcPr>
            <w:tcW w:w="120" w:type="dxa"/>
            <w:vAlign w:val="bottom"/>
            <w:shd w:val="clear" w:color="auto" w:fill="DDDDDD"/>
          </w:tcPr>
          <w:p>
            <w:pPr>
              <w:spacing w:after="0"/>
              <w:rPr>
                <w:sz w:val="19"/>
                <w:szCs w:val="19"/>
                <w:color w:val="auto"/>
              </w:rPr>
            </w:pPr>
          </w:p>
        </w:tc>
        <w:tc>
          <w:tcPr>
            <w:tcW w:w="480" w:type="dxa"/>
            <w:vAlign w:val="bottom"/>
            <w:shd w:val="clear" w:color="auto" w:fill="DDDDDD"/>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213</w:t>
            </w:r>
          </w:p>
        </w:tc>
      </w:tr>
      <w:tr>
        <w:trPr>
          <w:trHeight w:val="229"/>
        </w:trPr>
        <w:tc>
          <w:tcPr>
            <w:tcW w:w="8240" w:type="dxa"/>
            <w:vAlign w:val="bottom"/>
            <w:tcBorders>
              <w:bottom w:val="single" w:sz="8" w:color="DDDDDD"/>
            </w:tcBorders>
          </w:tcPr>
          <w:p>
            <w:pPr>
              <w:ind w:left="20"/>
              <w:spacing w:after="0"/>
              <w:rPr>
                <w:sz w:val="20"/>
                <w:szCs w:val="20"/>
                <w:color w:val="auto"/>
              </w:rPr>
            </w:pPr>
            <w:r>
              <w:rPr>
                <w:rFonts w:ascii="Arial" w:cs="Arial" w:eastAsia="Arial" w:hAnsi="Arial"/>
                <w:sz w:val="18"/>
                <w:szCs w:val="18"/>
                <w:color w:val="auto"/>
              </w:rPr>
              <w:t>Other liabilities</w:t>
            </w:r>
          </w:p>
        </w:tc>
        <w:tc>
          <w:tcPr>
            <w:tcW w:w="9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DDDDDD"/>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r>
      <w:tr>
        <w:trPr>
          <w:trHeight w:val="248"/>
        </w:trPr>
        <w:tc>
          <w:tcPr>
            <w:tcW w:w="8240" w:type="dxa"/>
            <w:vAlign w:val="bottom"/>
            <w:tcBorders>
              <w:bottom w:val="single" w:sz="8" w:color="DDDDDD"/>
            </w:tcBorders>
            <w:shd w:val="clear" w:color="auto" w:fill="DDDDDD"/>
          </w:tcPr>
          <w:p>
            <w:pPr>
              <w:spacing w:after="0"/>
              <w:rPr>
                <w:sz w:val="21"/>
                <w:szCs w:val="21"/>
                <w:color w:val="auto"/>
              </w:rPr>
            </w:pPr>
          </w:p>
        </w:tc>
        <w:tc>
          <w:tcPr>
            <w:tcW w:w="960" w:type="dxa"/>
            <w:vAlign w:val="bottom"/>
            <w:tcBorders>
              <w:bottom w:val="single" w:sz="8" w:color="auto"/>
            </w:tcBorders>
            <w:shd w:val="clear" w:color="auto" w:fill="DDDDDD"/>
          </w:tcPr>
          <w:p>
            <w:pPr>
              <w:jc w:val="right"/>
              <w:ind w:right="75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243</w:t>
            </w:r>
          </w:p>
        </w:tc>
        <w:tc>
          <w:tcPr>
            <w:tcW w:w="120" w:type="dxa"/>
            <w:vAlign w:val="bottom"/>
            <w:tcBorders>
              <w:bottom w:val="single" w:sz="8" w:color="DDDDDD"/>
            </w:tcBorders>
            <w:shd w:val="clear" w:color="auto" w:fill="DDDDDD"/>
          </w:tcPr>
          <w:p>
            <w:pPr>
              <w:spacing w:after="0"/>
              <w:rPr>
                <w:sz w:val="21"/>
                <w:szCs w:val="21"/>
                <w:color w:val="auto"/>
              </w:rPr>
            </w:pPr>
          </w:p>
        </w:tc>
        <w:tc>
          <w:tcPr>
            <w:tcW w:w="480" w:type="dxa"/>
            <w:vAlign w:val="bottom"/>
            <w:tcBorders>
              <w:bottom w:val="single" w:sz="8" w:color="auto"/>
            </w:tcBorders>
            <w:shd w:val="clear" w:color="auto" w:fill="DDDDDD"/>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269</w:t>
            </w:r>
          </w:p>
        </w:tc>
      </w:tr>
      <w:tr>
        <w:trPr>
          <w:trHeight w:val="20"/>
        </w:trPr>
        <w:tc>
          <w:tcPr>
            <w:tcW w:w="8240" w:type="dxa"/>
            <w:vAlign w:val="bottom"/>
            <w:tcBorders>
              <w:top w:val="single" w:sz="8" w:color="DDDDDD"/>
            </w:tcBorders>
          </w:tcPr>
          <w:p>
            <w:pPr>
              <w:spacing w:after="0" w:line="20" w:lineRule="exact"/>
              <w:rPr>
                <w:sz w:val="1"/>
                <w:szCs w:val="1"/>
                <w:color w:val="auto"/>
              </w:rPr>
            </w:pPr>
          </w:p>
        </w:tc>
        <w:tc>
          <w:tcPr>
            <w:tcW w:w="960" w:type="dxa"/>
            <w:vAlign w:val="bottom"/>
            <w:tcBorders>
              <w:top w:val="single" w:sz="8" w:color="DDDDDD"/>
              <w:bottom w:val="single" w:sz="8" w:color="auto"/>
            </w:tcBorders>
          </w:tcPr>
          <w:p>
            <w:pPr>
              <w:spacing w:after="0" w:line="20" w:lineRule="exact"/>
              <w:rPr>
                <w:sz w:val="1"/>
                <w:szCs w:val="1"/>
                <w:color w:val="auto"/>
              </w:rPr>
            </w:pPr>
          </w:p>
        </w:tc>
        <w:tc>
          <w:tcPr>
            <w:tcW w:w="480" w:type="dxa"/>
            <w:vAlign w:val="bottom"/>
            <w:tcBorders>
              <w:top w:val="single" w:sz="8" w:color="DDDDDD"/>
              <w:bottom w:val="single" w:sz="8" w:color="auto"/>
            </w:tcBorders>
          </w:tcPr>
          <w:p>
            <w:pPr>
              <w:spacing w:after="0" w:line="20" w:lineRule="exact"/>
              <w:rPr>
                <w:sz w:val="1"/>
                <w:szCs w:val="1"/>
                <w:color w:val="auto"/>
              </w:rPr>
            </w:pPr>
          </w:p>
        </w:tc>
        <w:tc>
          <w:tcPr>
            <w:tcW w:w="120" w:type="dxa"/>
            <w:vAlign w:val="bottom"/>
            <w:tcBorders>
              <w:top w:val="single" w:sz="8" w:color="DDDDDD"/>
            </w:tcBorders>
          </w:tcPr>
          <w:p>
            <w:pPr>
              <w:spacing w:after="0" w:line="20" w:lineRule="exact"/>
              <w:rPr>
                <w:sz w:val="1"/>
                <w:szCs w:val="1"/>
                <w:color w:val="auto"/>
              </w:rPr>
            </w:pPr>
          </w:p>
        </w:tc>
        <w:tc>
          <w:tcPr>
            <w:tcW w:w="480" w:type="dxa"/>
            <w:vAlign w:val="bottom"/>
            <w:tcBorders>
              <w:top w:val="single" w:sz="8" w:color="DDDDDD"/>
              <w:bottom w:val="single" w:sz="8" w:color="auto"/>
            </w:tcBorders>
          </w:tcPr>
          <w:p>
            <w:pPr>
              <w:spacing w:after="0" w:line="20" w:lineRule="exact"/>
              <w:rPr>
                <w:sz w:val="1"/>
                <w:szCs w:val="1"/>
                <w:color w:val="auto"/>
              </w:rPr>
            </w:pPr>
          </w:p>
        </w:tc>
        <w:tc>
          <w:tcPr>
            <w:tcW w:w="960" w:type="dxa"/>
            <w:vAlign w:val="bottom"/>
            <w:tcBorders>
              <w:top w:val="single" w:sz="8" w:color="DDDDDD"/>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9"/>
          <w:szCs w:val="29"/>
          <w:b w:val="1"/>
          <w:bCs w:val="1"/>
          <w:color w:val="DC202E"/>
        </w:rPr>
        <w:t>NOTE 21. PENSION AND OTHER POSTRETIREMENT BENEFITS</w:t>
      </w:r>
    </w:p>
    <w:p>
      <w:pPr>
        <w:spacing w:after="0" w:line="15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sponsors a number of both funded and unfunded U.S. and non-U.S. defined benefit pension plans. Pension benefits for many of our U.S. employees are provided through non-contributory, qualified and non-qualified defined benefit plans. All non-union hourly and salaried employees joining Honeywell for the first time after December 31, 2012, are not eligible to participate in Honeywell’s U.S. defined benefit pension plans. We also sponsor defined benefit pension plans which cover non-U.S. employees who are not U.S. citizens, in certain jurisdictions, principally the UK, Netherlands, Germany, and Canada. Other pension plans outside of the U.S. are not material to the Company either individually or in the aggregate.</w:t>
      </w:r>
    </w:p>
    <w:p>
      <w:pPr>
        <w:spacing w:after="0" w:line="10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also sponsors postretirement benefit plans that provide health care benefits and life insurance coverage mainly to U.S. eligible retirees. None of Honeywell’s U.S. employees are eligible for a retiree medical subsidy from the Company. In addition, the vast majority of Honeywell’s U.S. retirees either have no Company subsidy or have a fixed-dollar subsidy amount. This significantly limits our exposure to the impact of future health care cost increases. The retiree medical and life insurance plans are not funded. Claims and expenses are paid from our cash flows from operations.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94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97" w:name="page98"/>
    <w:bookmarkEnd w:id="97"/>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5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following tables summarize the balance sheet impact, including the benefit obligations, assets and funded status associated with the Company's significant pension and other postretirement benefit plans.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00" w:type="dxa"/>
            <w:vAlign w:val="bottom"/>
          </w:tcPr>
          <w:p>
            <w:pPr>
              <w:spacing w:after="0"/>
              <w:rPr>
                <w:sz w:val="17"/>
                <w:szCs w:val="17"/>
                <w:color w:val="auto"/>
              </w:rPr>
            </w:pPr>
          </w:p>
        </w:tc>
        <w:tc>
          <w:tcPr>
            <w:tcW w:w="320" w:type="dxa"/>
            <w:vAlign w:val="bottom"/>
            <w:tcBorders>
              <w:bottom w:val="single" w:sz="8" w:color="DC202E"/>
            </w:tcBorders>
          </w:tcPr>
          <w:p>
            <w:pPr>
              <w:spacing w:after="0"/>
              <w:rPr>
                <w:sz w:val="17"/>
                <w:szCs w:val="17"/>
                <w:color w:val="auto"/>
              </w:rPr>
            </w:pPr>
          </w:p>
        </w:tc>
        <w:tc>
          <w:tcPr>
            <w:tcW w:w="1100" w:type="dxa"/>
            <w:vAlign w:val="bottom"/>
            <w:tcBorders>
              <w:bottom w:val="single" w:sz="8" w:color="DC202E"/>
            </w:tcBorders>
          </w:tcPr>
          <w:p>
            <w:pPr>
              <w:spacing w:after="0"/>
              <w:rPr>
                <w:sz w:val="17"/>
                <w:szCs w:val="17"/>
                <w:color w:val="auto"/>
              </w:rPr>
            </w:pPr>
          </w:p>
        </w:tc>
        <w:tc>
          <w:tcPr>
            <w:tcW w:w="120" w:type="dxa"/>
            <w:vAlign w:val="bottom"/>
            <w:tcBorders>
              <w:bottom w:val="single" w:sz="8" w:color="DC202E"/>
            </w:tcBorders>
          </w:tcPr>
          <w:p>
            <w:pPr>
              <w:spacing w:after="0"/>
              <w:rPr>
                <w:sz w:val="17"/>
                <w:szCs w:val="17"/>
                <w:color w:val="auto"/>
              </w:rPr>
            </w:pPr>
          </w:p>
        </w:tc>
        <w:tc>
          <w:tcPr>
            <w:tcW w:w="420" w:type="dxa"/>
            <w:vAlign w:val="bottom"/>
            <w:tcBorders>
              <w:bottom w:val="single" w:sz="8" w:color="DC202E"/>
            </w:tcBorders>
          </w:tcPr>
          <w:p>
            <w:pPr>
              <w:spacing w:after="0"/>
              <w:rPr>
                <w:sz w:val="17"/>
                <w:szCs w:val="17"/>
                <w:color w:val="auto"/>
              </w:rPr>
            </w:pPr>
          </w:p>
        </w:tc>
        <w:tc>
          <w:tcPr>
            <w:tcW w:w="2000" w:type="dxa"/>
            <w:vAlign w:val="bottom"/>
            <w:tcBorders>
              <w:bottom w:val="single" w:sz="8" w:color="DC202E"/>
            </w:tcBorders>
            <w:gridSpan w:val="3"/>
          </w:tcPr>
          <w:p>
            <w:pPr>
              <w:jc w:val="right"/>
              <w:ind w:right="274"/>
              <w:spacing w:after="0"/>
              <w:rPr>
                <w:sz w:val="20"/>
                <w:szCs w:val="20"/>
                <w:color w:val="auto"/>
              </w:rPr>
            </w:pPr>
            <w:r>
              <w:rPr>
                <w:rFonts w:ascii="Arial" w:cs="Arial" w:eastAsia="Arial" w:hAnsi="Arial"/>
                <w:sz w:val="14"/>
                <w:szCs w:val="14"/>
                <w:b w:val="1"/>
                <w:bCs w:val="1"/>
                <w:color w:val="auto"/>
              </w:rPr>
              <w:t>Pension Benefits</w:t>
            </w:r>
          </w:p>
        </w:tc>
        <w:tc>
          <w:tcPr>
            <w:tcW w:w="540" w:type="dxa"/>
            <w:vAlign w:val="bottom"/>
            <w:tcBorders>
              <w:bottom w:val="single" w:sz="8" w:color="DC202E"/>
            </w:tcBorders>
          </w:tcPr>
          <w:p>
            <w:pPr>
              <w:spacing w:after="0"/>
              <w:rPr>
                <w:sz w:val="17"/>
                <w:szCs w:val="17"/>
                <w:color w:val="auto"/>
              </w:rPr>
            </w:pPr>
          </w:p>
        </w:tc>
        <w:tc>
          <w:tcPr>
            <w:tcW w:w="100" w:type="dxa"/>
            <w:vAlign w:val="bottom"/>
            <w:tcBorders>
              <w:bottom w:val="single" w:sz="8" w:color="DC202E"/>
            </w:tcBorders>
          </w:tcPr>
          <w:p>
            <w:pPr>
              <w:spacing w:after="0"/>
              <w:rPr>
                <w:sz w:val="17"/>
                <w:szCs w:val="17"/>
                <w:color w:val="auto"/>
              </w:rPr>
            </w:pPr>
          </w:p>
        </w:tc>
        <w:tc>
          <w:tcPr>
            <w:tcW w:w="520" w:type="dxa"/>
            <w:vAlign w:val="bottom"/>
            <w:tcBorders>
              <w:bottom w:val="single" w:sz="8" w:color="DC202E"/>
            </w:tcBorders>
          </w:tcPr>
          <w:p>
            <w:pPr>
              <w:spacing w:after="0"/>
              <w:rPr>
                <w:sz w:val="17"/>
                <w:szCs w:val="17"/>
                <w:color w:val="auto"/>
              </w:rPr>
            </w:pPr>
          </w:p>
        </w:tc>
        <w:tc>
          <w:tcPr>
            <w:tcW w:w="920" w:type="dxa"/>
            <w:vAlign w:val="bottom"/>
            <w:tcBorders>
              <w:bottom w:val="single" w:sz="8" w:color="DC202E"/>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0" w:type="dxa"/>
            <w:vAlign w:val="bottom"/>
          </w:tcPr>
          <w:p>
            <w:pPr>
              <w:spacing w:after="0"/>
              <w:rPr>
                <w:sz w:val="17"/>
                <w:szCs w:val="17"/>
                <w:color w:val="auto"/>
              </w:rPr>
            </w:pPr>
          </w:p>
        </w:tc>
        <w:tc>
          <w:tcPr>
            <w:tcW w:w="320" w:type="dxa"/>
            <w:vAlign w:val="bottom"/>
            <w:tcBorders>
              <w:bottom w:val="single" w:sz="8" w:color="DC202E"/>
            </w:tcBorders>
          </w:tcPr>
          <w:p>
            <w:pPr>
              <w:spacing w:after="0"/>
              <w:rPr>
                <w:sz w:val="17"/>
                <w:szCs w:val="17"/>
                <w:color w:val="auto"/>
              </w:rPr>
            </w:pPr>
          </w:p>
        </w:tc>
        <w:tc>
          <w:tcPr>
            <w:tcW w:w="1640" w:type="dxa"/>
            <w:vAlign w:val="bottom"/>
            <w:tcBorders>
              <w:bottom w:val="single" w:sz="8" w:color="DC202E"/>
            </w:tcBorders>
            <w:gridSpan w:val="3"/>
          </w:tcPr>
          <w:p>
            <w:pPr>
              <w:jc w:val="right"/>
              <w:ind w:right="50"/>
              <w:spacing w:after="0"/>
              <w:rPr>
                <w:sz w:val="20"/>
                <w:szCs w:val="20"/>
                <w:color w:val="auto"/>
              </w:rPr>
            </w:pPr>
            <w:r>
              <w:rPr>
                <w:rFonts w:ascii="Arial" w:cs="Arial" w:eastAsia="Arial" w:hAnsi="Arial"/>
                <w:sz w:val="14"/>
                <w:szCs w:val="14"/>
                <w:b w:val="1"/>
                <w:bCs w:val="1"/>
                <w:color w:val="auto"/>
              </w:rPr>
              <w:t>U.S. Plans</w:t>
            </w:r>
          </w:p>
        </w:tc>
        <w:tc>
          <w:tcPr>
            <w:tcW w:w="1000" w:type="dxa"/>
            <w:vAlign w:val="bottom"/>
            <w:tcBorders>
              <w:bottom w:val="single" w:sz="8" w:color="DC202E"/>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bottom w:val="single" w:sz="8" w:color="DC202E"/>
            </w:tcBorders>
          </w:tcPr>
          <w:p>
            <w:pPr>
              <w:spacing w:after="0"/>
              <w:rPr>
                <w:sz w:val="17"/>
                <w:szCs w:val="17"/>
                <w:color w:val="auto"/>
              </w:rPr>
            </w:pPr>
          </w:p>
        </w:tc>
        <w:tc>
          <w:tcPr>
            <w:tcW w:w="1160" w:type="dxa"/>
            <w:vAlign w:val="bottom"/>
            <w:tcBorders>
              <w:bottom w:val="single" w:sz="8" w:color="DC202E"/>
            </w:tcBorders>
            <w:gridSpan w:val="3"/>
          </w:tcPr>
          <w:p>
            <w:pPr>
              <w:jc w:val="right"/>
              <w:spacing w:after="0"/>
              <w:rPr>
                <w:sz w:val="20"/>
                <w:szCs w:val="20"/>
                <w:color w:val="auto"/>
              </w:rPr>
            </w:pPr>
            <w:r>
              <w:rPr>
                <w:rFonts w:ascii="Arial" w:cs="Arial" w:eastAsia="Arial" w:hAnsi="Arial"/>
                <w:sz w:val="14"/>
                <w:szCs w:val="14"/>
                <w:b w:val="1"/>
                <w:bCs w:val="1"/>
                <w:color w:val="auto"/>
              </w:rPr>
              <w:t>Non-U.S. Plans</w:t>
            </w:r>
          </w:p>
        </w:tc>
        <w:tc>
          <w:tcPr>
            <w:tcW w:w="920" w:type="dxa"/>
            <w:vAlign w:val="bottom"/>
            <w:tcBorders>
              <w:bottom w:val="single" w:sz="8" w:color="DC202E"/>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200" w:type="dxa"/>
            <w:vAlign w:val="bottom"/>
            <w:tcBorders>
              <w:bottom w:val="single" w:sz="8" w:color="DDDDDD"/>
            </w:tcBorders>
          </w:tcPr>
          <w:p>
            <w:pPr>
              <w:spacing w:after="0"/>
              <w:rPr>
                <w:sz w:val="21"/>
                <w:szCs w:val="21"/>
                <w:color w:val="auto"/>
              </w:rPr>
            </w:pPr>
          </w:p>
        </w:tc>
        <w:tc>
          <w:tcPr>
            <w:tcW w:w="320" w:type="dxa"/>
            <w:vAlign w:val="bottom"/>
            <w:tcBorders>
              <w:bottom w:val="single" w:sz="8" w:color="DC202E"/>
            </w:tcBorders>
          </w:tcPr>
          <w:p>
            <w:pPr>
              <w:spacing w:after="0"/>
              <w:rPr>
                <w:sz w:val="21"/>
                <w:szCs w:val="21"/>
                <w:color w:val="auto"/>
              </w:rPr>
            </w:pPr>
          </w:p>
        </w:tc>
        <w:tc>
          <w:tcPr>
            <w:tcW w:w="1100" w:type="dxa"/>
            <w:vAlign w:val="bottom"/>
            <w:tcBorders>
              <w:bottom w:val="single" w:sz="8" w:color="DC202E"/>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DDDDDD"/>
            </w:tcBorders>
          </w:tcPr>
          <w:p>
            <w:pPr>
              <w:spacing w:after="0"/>
              <w:rPr>
                <w:sz w:val="21"/>
                <w:szCs w:val="21"/>
                <w:color w:val="auto"/>
              </w:rPr>
            </w:pPr>
          </w:p>
        </w:tc>
        <w:tc>
          <w:tcPr>
            <w:tcW w:w="420" w:type="dxa"/>
            <w:vAlign w:val="bottom"/>
            <w:tcBorders>
              <w:bottom w:val="single" w:sz="8" w:color="DC202E"/>
            </w:tcBorders>
          </w:tcPr>
          <w:p>
            <w:pPr>
              <w:spacing w:after="0"/>
              <w:rPr>
                <w:sz w:val="21"/>
                <w:szCs w:val="21"/>
                <w:color w:val="auto"/>
              </w:rPr>
            </w:pPr>
          </w:p>
        </w:tc>
        <w:tc>
          <w:tcPr>
            <w:tcW w:w="1000" w:type="dxa"/>
            <w:vAlign w:val="bottom"/>
            <w:tcBorders>
              <w:bottom w:val="single" w:sz="8" w:color="DC202E"/>
            </w:tcBorders>
          </w:tcPr>
          <w:p>
            <w:pPr>
              <w:jc w:val="right"/>
              <w:ind w:right="47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DDDDDD"/>
            </w:tcBorders>
          </w:tcPr>
          <w:p>
            <w:pPr>
              <w:spacing w:after="0"/>
              <w:rPr>
                <w:sz w:val="21"/>
                <w:szCs w:val="21"/>
                <w:color w:val="auto"/>
              </w:rPr>
            </w:pPr>
          </w:p>
        </w:tc>
        <w:tc>
          <w:tcPr>
            <w:tcW w:w="90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DC202E"/>
            </w:tcBorders>
          </w:tcPr>
          <w:p>
            <w:pPr>
              <w:spacing w:after="0"/>
              <w:rPr>
                <w:sz w:val="21"/>
                <w:szCs w:val="21"/>
                <w:color w:val="auto"/>
              </w:rPr>
            </w:pPr>
          </w:p>
        </w:tc>
        <w:tc>
          <w:tcPr>
            <w:tcW w:w="100" w:type="dxa"/>
            <w:vAlign w:val="bottom"/>
            <w:tcBorders>
              <w:bottom w:val="single" w:sz="8" w:color="DDDDDD"/>
            </w:tcBorders>
          </w:tcPr>
          <w:p>
            <w:pPr>
              <w:spacing w:after="0"/>
              <w:rPr>
                <w:sz w:val="21"/>
                <w:szCs w:val="21"/>
                <w:color w:val="auto"/>
              </w:rPr>
            </w:pPr>
          </w:p>
        </w:tc>
        <w:tc>
          <w:tcPr>
            <w:tcW w:w="520" w:type="dxa"/>
            <w:vAlign w:val="bottom"/>
            <w:tcBorders>
              <w:bottom w:val="single" w:sz="8" w:color="DC202E"/>
            </w:tcBorders>
          </w:tcPr>
          <w:p>
            <w:pPr>
              <w:spacing w:after="0"/>
              <w:rPr>
                <w:sz w:val="21"/>
                <w:szCs w:val="21"/>
                <w:color w:val="auto"/>
              </w:rPr>
            </w:pPr>
          </w:p>
        </w:tc>
        <w:tc>
          <w:tcPr>
            <w:tcW w:w="920" w:type="dxa"/>
            <w:vAlign w:val="bottom"/>
            <w:tcBorders>
              <w:bottom w:val="single" w:sz="8" w:color="DC202E"/>
            </w:tcBorders>
          </w:tcPr>
          <w:p>
            <w:pPr>
              <w:jc w:val="right"/>
              <w:ind w:right="47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30"/>
        </w:trPr>
        <w:tc>
          <w:tcPr>
            <w:tcW w:w="5200" w:type="dxa"/>
            <w:vAlign w:val="bottom"/>
            <w:shd w:val="clear" w:color="auto" w:fill="DDDDDD"/>
          </w:tcPr>
          <w:p>
            <w:pPr>
              <w:ind w:left="20"/>
              <w:spacing w:after="0"/>
              <w:rPr>
                <w:sz w:val="20"/>
                <w:szCs w:val="20"/>
                <w:color w:val="auto"/>
              </w:rPr>
            </w:pPr>
            <w:r>
              <w:rPr>
                <w:rFonts w:ascii="Arial" w:cs="Arial" w:eastAsia="Arial" w:hAnsi="Arial"/>
                <w:sz w:val="18"/>
                <w:szCs w:val="18"/>
                <w:color w:val="auto"/>
              </w:rPr>
              <w:t>Change in benefit obligation:</w:t>
            </w:r>
          </w:p>
        </w:tc>
        <w:tc>
          <w:tcPr>
            <w:tcW w:w="320" w:type="dxa"/>
            <w:vAlign w:val="bottom"/>
            <w:shd w:val="clear" w:color="auto" w:fill="DDDDDD"/>
          </w:tcPr>
          <w:p>
            <w:pPr>
              <w:spacing w:after="0"/>
              <w:rPr>
                <w:sz w:val="19"/>
                <w:szCs w:val="19"/>
                <w:color w:val="auto"/>
              </w:rPr>
            </w:pPr>
          </w:p>
        </w:tc>
        <w:tc>
          <w:tcPr>
            <w:tcW w:w="110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420" w:type="dxa"/>
            <w:vAlign w:val="bottom"/>
            <w:shd w:val="clear" w:color="auto" w:fill="DDDDDD"/>
          </w:tcPr>
          <w:p>
            <w:pPr>
              <w:spacing w:after="0"/>
              <w:rPr>
                <w:sz w:val="19"/>
                <w:szCs w:val="19"/>
                <w:color w:val="auto"/>
              </w:rPr>
            </w:pPr>
          </w:p>
        </w:tc>
        <w:tc>
          <w:tcPr>
            <w:tcW w:w="100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900" w:type="dxa"/>
            <w:vAlign w:val="bottom"/>
            <w:shd w:val="clear" w:color="auto" w:fill="DDDDDD"/>
          </w:tcPr>
          <w:p>
            <w:pPr>
              <w:spacing w:after="0"/>
              <w:rPr>
                <w:sz w:val="19"/>
                <w:szCs w:val="19"/>
                <w:color w:val="auto"/>
              </w:rPr>
            </w:pPr>
          </w:p>
        </w:tc>
        <w:tc>
          <w:tcPr>
            <w:tcW w:w="54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520" w:type="dxa"/>
            <w:vAlign w:val="bottom"/>
            <w:shd w:val="clear" w:color="auto" w:fill="DDDDDD"/>
          </w:tcPr>
          <w:p>
            <w:pPr>
              <w:spacing w:after="0"/>
              <w:rPr>
                <w:sz w:val="19"/>
                <w:szCs w:val="19"/>
                <w:color w:val="auto"/>
              </w:rPr>
            </w:pPr>
          </w:p>
        </w:tc>
        <w:tc>
          <w:tcPr>
            <w:tcW w:w="92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360"/>
              <w:spacing w:after="0"/>
              <w:rPr>
                <w:sz w:val="20"/>
                <w:szCs w:val="20"/>
                <w:color w:val="auto"/>
              </w:rPr>
            </w:pPr>
            <w:r>
              <w:rPr>
                <w:rFonts w:ascii="Arial" w:cs="Arial" w:eastAsia="Arial" w:hAnsi="Arial"/>
                <w:sz w:val="18"/>
                <w:szCs w:val="18"/>
                <w:color w:val="auto"/>
              </w:rPr>
              <w:t>Benefit obligation at beginning of year</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17,283</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16,141</w:t>
            </w:r>
          </w:p>
        </w:tc>
        <w:tc>
          <w:tcPr>
            <w:tcW w:w="100" w:type="dxa"/>
            <w:vAlign w:val="bottom"/>
          </w:tcPr>
          <w:p>
            <w:pPr>
              <w:spacing w:after="0"/>
              <w:rPr>
                <w:sz w:val="19"/>
                <w:szCs w:val="19"/>
                <w:color w:val="auto"/>
              </w:rPr>
            </w:pPr>
          </w:p>
        </w:tc>
        <w:tc>
          <w:tcPr>
            <w:tcW w:w="900" w:type="dxa"/>
            <w:vAlign w:val="bottom"/>
          </w:tcPr>
          <w:p>
            <w:pPr>
              <w:jc w:val="right"/>
              <w:ind w:right="694"/>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6,897</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6,182</w:t>
            </w:r>
          </w:p>
        </w:tc>
        <w:tc>
          <w:tcPr>
            <w:tcW w:w="0" w:type="dxa"/>
            <w:vAlign w:val="bottom"/>
          </w:tcPr>
          <w:p>
            <w:pPr>
              <w:spacing w:after="0"/>
              <w:rPr>
                <w:sz w:val="1"/>
                <w:szCs w:val="1"/>
                <w:color w:val="auto"/>
              </w:rPr>
            </w:pPr>
          </w:p>
        </w:tc>
      </w:tr>
      <w:tr>
        <w:trPr>
          <w:trHeight w:val="229"/>
        </w:trPr>
        <w:tc>
          <w:tcPr>
            <w:tcW w:w="5200" w:type="dxa"/>
            <w:vAlign w:val="bottom"/>
            <w:shd w:val="clear" w:color="auto" w:fill="DDDDDD"/>
          </w:tcPr>
          <w:p>
            <w:pPr>
              <w:ind w:left="360"/>
              <w:spacing w:after="0"/>
              <w:rPr>
                <w:sz w:val="20"/>
                <w:szCs w:val="20"/>
                <w:color w:val="auto"/>
              </w:rPr>
            </w:pPr>
            <w:r>
              <w:rPr>
                <w:rFonts w:ascii="Arial" w:cs="Arial" w:eastAsia="Arial" w:hAnsi="Arial"/>
                <w:sz w:val="18"/>
                <w:szCs w:val="18"/>
                <w:color w:val="auto"/>
              </w:rPr>
              <w:t>Service cost</w:t>
            </w:r>
          </w:p>
        </w:tc>
        <w:tc>
          <w:tcPr>
            <w:tcW w:w="32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99</w:t>
            </w:r>
          </w:p>
        </w:tc>
        <w:tc>
          <w:tcPr>
            <w:tcW w:w="120" w:type="dxa"/>
            <w:vAlign w:val="bottom"/>
            <w:shd w:val="clear" w:color="auto" w:fill="DDDDDD"/>
          </w:tcPr>
          <w:p>
            <w:pPr>
              <w:spacing w:after="0"/>
              <w:rPr>
                <w:sz w:val="19"/>
                <w:szCs w:val="19"/>
                <w:color w:val="auto"/>
              </w:rPr>
            </w:pPr>
          </w:p>
        </w:tc>
        <w:tc>
          <w:tcPr>
            <w:tcW w:w="420" w:type="dxa"/>
            <w:vAlign w:val="bottom"/>
            <w:shd w:val="clear" w:color="auto" w:fill="DDDDDD"/>
          </w:tcPr>
          <w:p>
            <w:pPr>
              <w:spacing w:after="0"/>
              <w:rPr>
                <w:sz w:val="19"/>
                <w:szCs w:val="19"/>
                <w:color w:val="auto"/>
              </w:rPr>
            </w:pPr>
          </w:p>
        </w:tc>
        <w:tc>
          <w:tcPr>
            <w:tcW w:w="10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DDDDDD"/>
          </w:tcPr>
          <w:p>
            <w:pPr>
              <w:spacing w:after="0"/>
              <w:rPr>
                <w:sz w:val="19"/>
                <w:szCs w:val="19"/>
                <w:color w:val="auto"/>
              </w:rPr>
            </w:pPr>
          </w:p>
        </w:tc>
        <w:tc>
          <w:tcPr>
            <w:tcW w:w="900" w:type="dxa"/>
            <w:vAlign w:val="bottom"/>
            <w:shd w:val="clear" w:color="auto" w:fill="DDDDDD"/>
          </w:tcPr>
          <w:p>
            <w:pPr>
              <w:spacing w:after="0"/>
              <w:rPr>
                <w:sz w:val="19"/>
                <w:szCs w:val="19"/>
                <w:color w:val="auto"/>
              </w:rPr>
            </w:pPr>
          </w:p>
        </w:tc>
        <w:tc>
          <w:tcPr>
            <w:tcW w:w="5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DDDDDD"/>
          </w:tcPr>
          <w:p>
            <w:pPr>
              <w:spacing w:after="0"/>
              <w:rPr>
                <w:sz w:val="19"/>
                <w:szCs w:val="19"/>
                <w:color w:val="auto"/>
              </w:rPr>
            </w:pPr>
          </w:p>
        </w:tc>
        <w:tc>
          <w:tcPr>
            <w:tcW w:w="520" w:type="dxa"/>
            <w:vAlign w:val="bottom"/>
            <w:shd w:val="clear" w:color="auto" w:fill="DDDDDD"/>
          </w:tcPr>
          <w:p>
            <w:pPr>
              <w:spacing w:after="0"/>
              <w:rPr>
                <w:sz w:val="19"/>
                <w:szCs w:val="19"/>
                <w:color w:val="auto"/>
              </w:rPr>
            </w:pPr>
          </w:p>
        </w:tc>
        <w:tc>
          <w:tcPr>
            <w:tcW w:w="9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5200" w:type="dxa"/>
            <w:vAlign w:val="bottom"/>
          </w:tcPr>
          <w:p>
            <w:pPr>
              <w:ind w:left="360"/>
              <w:spacing w:after="0"/>
              <w:rPr>
                <w:sz w:val="20"/>
                <w:szCs w:val="20"/>
                <w:color w:val="auto"/>
              </w:rPr>
            </w:pPr>
            <w:r>
              <w:rPr>
                <w:rFonts w:ascii="Arial" w:cs="Arial" w:eastAsia="Arial" w:hAnsi="Arial"/>
                <w:sz w:val="18"/>
                <w:szCs w:val="18"/>
                <w:color w:val="auto"/>
              </w:rPr>
              <w:t>Interest cost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29"/>
        </w:trPr>
        <w:tc>
          <w:tcPr>
            <w:tcW w:w="5200" w:type="dxa"/>
            <w:vAlign w:val="bottom"/>
            <w:shd w:val="clear" w:color="auto" w:fill="DDDDDD"/>
          </w:tcPr>
          <w:p>
            <w:pPr>
              <w:ind w:left="360"/>
              <w:spacing w:after="0"/>
              <w:rPr>
                <w:sz w:val="20"/>
                <w:szCs w:val="20"/>
                <w:color w:val="auto"/>
              </w:rPr>
            </w:pPr>
            <w:r>
              <w:rPr>
                <w:rFonts w:ascii="Arial" w:cs="Arial" w:eastAsia="Arial" w:hAnsi="Arial"/>
                <w:sz w:val="18"/>
                <w:szCs w:val="18"/>
                <w:color w:val="auto"/>
              </w:rPr>
              <w:t>Plan amendments</w:t>
            </w:r>
          </w:p>
        </w:tc>
        <w:tc>
          <w:tcPr>
            <w:tcW w:w="320" w:type="dxa"/>
            <w:vAlign w:val="bottom"/>
            <w:shd w:val="clear" w:color="auto" w:fill="DDDDDD"/>
          </w:tcPr>
          <w:p>
            <w:pPr>
              <w:spacing w:after="0"/>
              <w:rPr>
                <w:sz w:val="19"/>
                <w:szCs w:val="19"/>
                <w:color w:val="auto"/>
              </w:rPr>
            </w:pPr>
          </w:p>
        </w:tc>
        <w:tc>
          <w:tcPr>
            <w:tcW w:w="1220" w:type="dxa"/>
            <w:vAlign w:val="bottom"/>
            <w:gridSpan w:val="2"/>
            <w:shd w:val="clear" w:color="auto" w:fill="DDDDDD"/>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shd w:val="clear" w:color="auto" w:fill="DDDDDD"/>
          </w:tcPr>
          <w:p>
            <w:pPr>
              <w:spacing w:after="0"/>
              <w:rPr>
                <w:sz w:val="19"/>
                <w:szCs w:val="19"/>
                <w:color w:val="auto"/>
              </w:rPr>
            </w:pPr>
          </w:p>
        </w:tc>
        <w:tc>
          <w:tcPr>
            <w:tcW w:w="1100" w:type="dxa"/>
            <w:vAlign w:val="bottom"/>
            <w:gridSpan w:val="2"/>
            <w:shd w:val="clear" w:color="auto" w:fill="DDDDDD"/>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DDDDDD"/>
          </w:tcPr>
          <w:p>
            <w:pPr>
              <w:spacing w:after="0"/>
              <w:rPr>
                <w:sz w:val="19"/>
                <w:szCs w:val="19"/>
                <w:color w:val="auto"/>
              </w:rPr>
            </w:pPr>
          </w:p>
        </w:tc>
        <w:tc>
          <w:tcPr>
            <w:tcW w:w="5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DDDDDD"/>
          </w:tcPr>
          <w:p>
            <w:pPr>
              <w:spacing w:after="0"/>
              <w:rPr>
                <w:sz w:val="19"/>
                <w:szCs w:val="19"/>
                <w:color w:val="auto"/>
              </w:rPr>
            </w:pPr>
          </w:p>
        </w:tc>
        <w:tc>
          <w:tcPr>
            <w:tcW w:w="520" w:type="dxa"/>
            <w:vAlign w:val="bottom"/>
            <w:shd w:val="clear" w:color="auto" w:fill="DDDDDD"/>
          </w:tcPr>
          <w:p>
            <w:pPr>
              <w:spacing w:after="0"/>
              <w:rPr>
                <w:sz w:val="19"/>
                <w:szCs w:val="19"/>
                <w:color w:val="auto"/>
              </w:rPr>
            </w:pPr>
          </w:p>
        </w:tc>
        <w:tc>
          <w:tcPr>
            <w:tcW w:w="9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tcPr>
          <w:p>
            <w:pPr>
              <w:ind w:left="360"/>
              <w:spacing w:after="0" w:line="230" w:lineRule="exact"/>
              <w:rPr>
                <w:sz w:val="20"/>
                <w:szCs w:val="20"/>
                <w:color w:val="auto"/>
              </w:rPr>
            </w:pPr>
            <w:r>
              <w:rPr>
                <w:rFonts w:ascii="Arial" w:cs="Arial" w:eastAsia="Arial" w:hAnsi="Arial"/>
                <w:sz w:val="18"/>
                <w:szCs w:val="18"/>
                <w:color w:val="auto"/>
              </w:rPr>
              <w:t>Actuarial (gains) losses</w:t>
            </w:r>
            <w:r>
              <w:rPr>
                <w:rFonts w:ascii="Arial" w:cs="Arial" w:eastAsia="Arial" w:hAnsi="Arial"/>
                <w:sz w:val="23"/>
                <w:szCs w:val="23"/>
                <w:color w:val="auto"/>
                <w:vertAlign w:val="superscript"/>
              </w:rPr>
              <w:t>(1)</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1,331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2,064</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29"/>
        </w:trPr>
        <w:tc>
          <w:tcPr>
            <w:tcW w:w="5200" w:type="dxa"/>
            <w:vAlign w:val="bottom"/>
            <w:shd w:val="clear" w:color="auto" w:fill="DDDDDD"/>
          </w:tcPr>
          <w:p>
            <w:pPr>
              <w:ind w:left="360"/>
              <w:spacing w:after="0"/>
              <w:rPr>
                <w:sz w:val="20"/>
                <w:szCs w:val="20"/>
                <w:color w:val="auto"/>
              </w:rPr>
            </w:pPr>
            <w:r>
              <w:rPr>
                <w:rFonts w:ascii="Arial" w:cs="Arial" w:eastAsia="Arial" w:hAnsi="Arial"/>
                <w:sz w:val="18"/>
                <w:szCs w:val="18"/>
                <w:color w:val="auto"/>
              </w:rPr>
              <w:t>Benefits paid</w:t>
            </w:r>
          </w:p>
        </w:tc>
        <w:tc>
          <w:tcPr>
            <w:tcW w:w="32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(1,100)</w:t>
            </w:r>
          </w:p>
        </w:tc>
        <w:tc>
          <w:tcPr>
            <w:tcW w:w="120" w:type="dxa"/>
            <w:vAlign w:val="bottom"/>
            <w:shd w:val="clear" w:color="auto" w:fill="DDDDDD"/>
          </w:tcPr>
          <w:p>
            <w:pPr>
              <w:spacing w:after="0"/>
              <w:rPr>
                <w:sz w:val="19"/>
                <w:szCs w:val="19"/>
                <w:color w:val="auto"/>
              </w:rPr>
            </w:pPr>
          </w:p>
        </w:tc>
        <w:tc>
          <w:tcPr>
            <w:tcW w:w="420" w:type="dxa"/>
            <w:vAlign w:val="bottom"/>
            <w:shd w:val="clear" w:color="auto" w:fill="DDDDDD"/>
          </w:tcPr>
          <w:p>
            <w:pPr>
              <w:spacing w:after="0"/>
              <w:rPr>
                <w:sz w:val="19"/>
                <w:szCs w:val="19"/>
                <w:color w:val="auto"/>
              </w:rPr>
            </w:pPr>
          </w:p>
        </w:tc>
        <w:tc>
          <w:tcPr>
            <w:tcW w:w="10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(1,111)</w:t>
            </w:r>
          </w:p>
        </w:tc>
        <w:tc>
          <w:tcPr>
            <w:tcW w:w="100" w:type="dxa"/>
            <w:vAlign w:val="bottom"/>
            <w:shd w:val="clear" w:color="auto" w:fill="DDDDDD"/>
          </w:tcPr>
          <w:p>
            <w:pPr>
              <w:spacing w:after="0"/>
              <w:rPr>
                <w:sz w:val="19"/>
                <w:szCs w:val="19"/>
                <w:color w:val="auto"/>
              </w:rPr>
            </w:pPr>
          </w:p>
        </w:tc>
        <w:tc>
          <w:tcPr>
            <w:tcW w:w="900" w:type="dxa"/>
            <w:vAlign w:val="bottom"/>
            <w:shd w:val="clear" w:color="auto" w:fill="DDDDDD"/>
          </w:tcPr>
          <w:p>
            <w:pPr>
              <w:spacing w:after="0"/>
              <w:rPr>
                <w:sz w:val="19"/>
                <w:szCs w:val="19"/>
                <w:color w:val="auto"/>
              </w:rPr>
            </w:pPr>
          </w:p>
        </w:tc>
        <w:tc>
          <w:tcPr>
            <w:tcW w:w="5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DDDDDD"/>
          </w:tcPr>
          <w:p>
            <w:pPr>
              <w:spacing w:after="0"/>
              <w:rPr>
                <w:sz w:val="19"/>
                <w:szCs w:val="19"/>
                <w:color w:val="auto"/>
              </w:rPr>
            </w:pPr>
          </w:p>
        </w:tc>
        <w:tc>
          <w:tcPr>
            <w:tcW w:w="520" w:type="dxa"/>
            <w:vAlign w:val="bottom"/>
            <w:shd w:val="clear" w:color="auto" w:fill="DDDDDD"/>
          </w:tcPr>
          <w:p>
            <w:pPr>
              <w:spacing w:after="0"/>
              <w:rPr>
                <w:sz w:val="19"/>
                <w:szCs w:val="19"/>
                <w:color w:val="auto"/>
              </w:rPr>
            </w:pPr>
          </w:p>
        </w:tc>
        <w:tc>
          <w:tcPr>
            <w:tcW w:w="9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29"/>
        </w:trPr>
        <w:tc>
          <w:tcPr>
            <w:tcW w:w="5200" w:type="dxa"/>
            <w:vAlign w:val="bottom"/>
          </w:tcPr>
          <w:p>
            <w:pPr>
              <w:ind w:left="360"/>
              <w:spacing w:after="0"/>
              <w:rPr>
                <w:sz w:val="20"/>
                <w:szCs w:val="20"/>
                <w:color w:val="auto"/>
              </w:rPr>
            </w:pPr>
            <w:r>
              <w:rPr>
                <w:rFonts w:ascii="Arial" w:cs="Arial" w:eastAsia="Arial" w:hAnsi="Arial"/>
                <w:sz w:val="18"/>
                <w:szCs w:val="18"/>
                <w:color w:val="auto"/>
              </w:rPr>
              <w:t>Settlements and curtailments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(507)</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shd w:val="clear" w:color="auto" w:fill="DDDDDD"/>
          </w:tcPr>
          <w:p>
            <w:pPr>
              <w:ind w:left="360"/>
              <w:spacing w:after="0"/>
              <w:rPr>
                <w:sz w:val="20"/>
                <w:szCs w:val="20"/>
                <w:color w:val="auto"/>
              </w:rPr>
            </w:pPr>
            <w:r>
              <w:rPr>
                <w:rFonts w:ascii="Arial" w:cs="Arial" w:eastAsia="Arial" w:hAnsi="Arial"/>
                <w:sz w:val="18"/>
                <w:szCs w:val="18"/>
                <w:color w:val="auto"/>
              </w:rPr>
              <w:t>Foreign currency translation</w:t>
            </w:r>
          </w:p>
        </w:tc>
        <w:tc>
          <w:tcPr>
            <w:tcW w:w="320" w:type="dxa"/>
            <w:vAlign w:val="bottom"/>
            <w:shd w:val="clear" w:color="auto" w:fill="DDDDDD"/>
          </w:tcPr>
          <w:p>
            <w:pPr>
              <w:spacing w:after="0"/>
              <w:rPr>
                <w:sz w:val="19"/>
                <w:szCs w:val="19"/>
                <w:color w:val="auto"/>
              </w:rPr>
            </w:pPr>
          </w:p>
        </w:tc>
        <w:tc>
          <w:tcPr>
            <w:tcW w:w="1220" w:type="dxa"/>
            <w:vAlign w:val="bottom"/>
            <w:gridSpan w:val="2"/>
            <w:shd w:val="clear" w:color="auto" w:fill="DDDDDD"/>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shd w:val="clear" w:color="auto" w:fill="DDDDDD"/>
          </w:tcPr>
          <w:p>
            <w:pPr>
              <w:spacing w:after="0"/>
              <w:rPr>
                <w:sz w:val="19"/>
                <w:szCs w:val="19"/>
                <w:color w:val="auto"/>
              </w:rPr>
            </w:pPr>
          </w:p>
        </w:tc>
        <w:tc>
          <w:tcPr>
            <w:tcW w:w="1100" w:type="dxa"/>
            <w:vAlign w:val="bottom"/>
            <w:gridSpan w:val="2"/>
            <w:shd w:val="clear" w:color="auto" w:fill="DDDDDD"/>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DDDDDD"/>
          </w:tcPr>
          <w:p>
            <w:pPr>
              <w:spacing w:after="0"/>
              <w:rPr>
                <w:sz w:val="19"/>
                <w:szCs w:val="19"/>
                <w:color w:val="auto"/>
              </w:rPr>
            </w:pPr>
          </w:p>
        </w:tc>
        <w:tc>
          <w:tcPr>
            <w:tcW w:w="5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291</w:t>
            </w:r>
          </w:p>
        </w:tc>
        <w:tc>
          <w:tcPr>
            <w:tcW w:w="100" w:type="dxa"/>
            <w:vAlign w:val="bottom"/>
            <w:shd w:val="clear" w:color="auto" w:fill="DDDDDD"/>
          </w:tcPr>
          <w:p>
            <w:pPr>
              <w:spacing w:after="0"/>
              <w:rPr>
                <w:sz w:val="19"/>
                <w:szCs w:val="19"/>
                <w:color w:val="auto"/>
              </w:rPr>
            </w:pPr>
          </w:p>
        </w:tc>
        <w:tc>
          <w:tcPr>
            <w:tcW w:w="520" w:type="dxa"/>
            <w:vAlign w:val="bottom"/>
            <w:shd w:val="clear" w:color="auto" w:fill="DDDDDD"/>
          </w:tcPr>
          <w:p>
            <w:pPr>
              <w:spacing w:after="0"/>
              <w:rPr>
                <w:sz w:val="19"/>
                <w:szCs w:val="19"/>
                <w:color w:val="auto"/>
              </w:rPr>
            </w:pPr>
          </w:p>
        </w:tc>
        <w:tc>
          <w:tcPr>
            <w:tcW w:w="9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DDDDDD"/>
            </w:tcBorders>
          </w:tcPr>
          <w:p>
            <w:pPr>
              <w:ind w:left="36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DDDDDD"/>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DDDDDD"/>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DDDDDD"/>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5200" w:type="dxa"/>
            <w:vAlign w:val="bottom"/>
            <w:shd w:val="clear" w:color="auto" w:fill="DDDDDD"/>
          </w:tcPr>
          <w:p>
            <w:pPr>
              <w:ind w:left="360"/>
              <w:spacing w:after="0"/>
              <w:rPr>
                <w:sz w:val="20"/>
                <w:szCs w:val="20"/>
                <w:color w:val="auto"/>
              </w:rPr>
            </w:pPr>
            <w:r>
              <w:rPr>
                <w:rFonts w:ascii="Arial" w:cs="Arial" w:eastAsia="Arial" w:hAnsi="Arial"/>
                <w:sz w:val="18"/>
                <w:szCs w:val="18"/>
                <w:color w:val="auto"/>
              </w:rPr>
              <w:t>Benefit obligation at end of year</w:t>
            </w:r>
          </w:p>
        </w:tc>
        <w:tc>
          <w:tcPr>
            <w:tcW w:w="320" w:type="dxa"/>
            <w:vAlign w:val="bottom"/>
            <w:tcBorders>
              <w:bottom w:val="single" w:sz="8" w:color="auto"/>
            </w:tcBorders>
            <w:shd w:val="clear" w:color="auto" w:fill="DDDDDD"/>
          </w:tcPr>
          <w:p>
            <w:pPr>
              <w:spacing w:after="0"/>
              <w:rPr>
                <w:sz w:val="19"/>
                <w:szCs w:val="19"/>
                <w:color w:val="auto"/>
              </w:rPr>
            </w:pPr>
          </w:p>
        </w:tc>
        <w:tc>
          <w:tcPr>
            <w:tcW w:w="11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18,054</w:t>
            </w:r>
          </w:p>
        </w:tc>
        <w:tc>
          <w:tcPr>
            <w:tcW w:w="120" w:type="dxa"/>
            <w:vAlign w:val="bottom"/>
            <w:shd w:val="clear" w:color="auto" w:fill="DDDDDD"/>
          </w:tcPr>
          <w:p>
            <w:pPr>
              <w:spacing w:after="0"/>
              <w:rPr>
                <w:sz w:val="19"/>
                <w:szCs w:val="19"/>
                <w:color w:val="auto"/>
              </w:rPr>
            </w:pPr>
          </w:p>
        </w:tc>
        <w:tc>
          <w:tcPr>
            <w:tcW w:w="420" w:type="dxa"/>
            <w:vAlign w:val="bottom"/>
            <w:tcBorders>
              <w:bottom w:val="single" w:sz="8" w:color="auto"/>
            </w:tcBorders>
            <w:shd w:val="clear" w:color="auto" w:fill="DDDDDD"/>
          </w:tcPr>
          <w:p>
            <w:pPr>
              <w:spacing w:after="0"/>
              <w:rPr>
                <w:sz w:val="19"/>
                <w:szCs w:val="19"/>
                <w:color w:val="auto"/>
              </w:rPr>
            </w:pPr>
          </w:p>
        </w:tc>
        <w:tc>
          <w:tcPr>
            <w:tcW w:w="10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17,283</w:t>
            </w:r>
          </w:p>
        </w:tc>
        <w:tc>
          <w:tcPr>
            <w:tcW w:w="100" w:type="dxa"/>
            <w:vAlign w:val="bottom"/>
            <w:shd w:val="clear" w:color="auto" w:fill="DDDDDD"/>
          </w:tcPr>
          <w:p>
            <w:pPr>
              <w:spacing w:after="0"/>
              <w:rPr>
                <w:sz w:val="19"/>
                <w:szCs w:val="19"/>
                <w:color w:val="auto"/>
              </w:rPr>
            </w:pPr>
          </w:p>
        </w:tc>
        <w:tc>
          <w:tcPr>
            <w:tcW w:w="900" w:type="dxa"/>
            <w:vAlign w:val="bottom"/>
            <w:tcBorders>
              <w:bottom w:val="single" w:sz="8" w:color="auto"/>
            </w:tcBorders>
            <w:shd w:val="clear" w:color="auto" w:fill="DDDDDD"/>
          </w:tcPr>
          <w:p>
            <w:pPr>
              <w:spacing w:after="0"/>
              <w:rPr>
                <w:sz w:val="19"/>
                <w:szCs w:val="19"/>
                <w:color w:val="auto"/>
              </w:rPr>
            </w:pPr>
          </w:p>
        </w:tc>
        <w:tc>
          <w:tcPr>
            <w:tcW w:w="5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w w:val="97"/>
              </w:rPr>
              <w:t>7,670</w:t>
            </w:r>
          </w:p>
        </w:tc>
        <w:tc>
          <w:tcPr>
            <w:tcW w:w="100" w:type="dxa"/>
            <w:vAlign w:val="bottom"/>
            <w:shd w:val="clear" w:color="auto" w:fill="DDDDDD"/>
          </w:tcPr>
          <w:p>
            <w:pPr>
              <w:spacing w:after="0"/>
              <w:rPr>
                <w:sz w:val="19"/>
                <w:szCs w:val="19"/>
                <w:color w:val="auto"/>
              </w:rPr>
            </w:pPr>
          </w:p>
        </w:tc>
        <w:tc>
          <w:tcPr>
            <w:tcW w:w="520" w:type="dxa"/>
            <w:vAlign w:val="bottom"/>
            <w:tcBorders>
              <w:bottom w:val="single" w:sz="8" w:color="auto"/>
            </w:tcBorders>
            <w:shd w:val="clear" w:color="auto" w:fill="DDDDDD"/>
          </w:tcPr>
          <w:p>
            <w:pPr>
              <w:spacing w:after="0"/>
              <w:rPr>
                <w:sz w:val="19"/>
                <w:szCs w:val="19"/>
                <w:color w:val="auto"/>
              </w:rPr>
            </w:pPr>
          </w:p>
        </w:tc>
        <w:tc>
          <w:tcPr>
            <w:tcW w:w="9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6,897</w:t>
            </w:r>
          </w:p>
        </w:tc>
        <w:tc>
          <w:tcPr>
            <w:tcW w:w="0" w:type="dxa"/>
            <w:vAlign w:val="bottom"/>
          </w:tcPr>
          <w:p>
            <w:pPr>
              <w:spacing w:after="0"/>
              <w:rPr>
                <w:sz w:val="1"/>
                <w:szCs w:val="1"/>
                <w:color w:val="auto"/>
              </w:rPr>
            </w:pPr>
          </w:p>
        </w:tc>
      </w:tr>
      <w:tr>
        <w:trPr>
          <w:trHeight w:val="209"/>
        </w:trPr>
        <w:tc>
          <w:tcPr>
            <w:tcW w:w="5200" w:type="dxa"/>
            <w:vAlign w:val="bottom"/>
          </w:tcPr>
          <w:p>
            <w:pPr>
              <w:ind w:left="20"/>
              <w:spacing w:after="0"/>
              <w:rPr>
                <w:sz w:val="20"/>
                <w:szCs w:val="20"/>
                <w:color w:val="auto"/>
              </w:rPr>
            </w:pPr>
            <w:r>
              <w:rPr>
                <w:rFonts w:ascii="Arial" w:cs="Arial" w:eastAsia="Arial" w:hAnsi="Arial"/>
                <w:sz w:val="18"/>
                <w:szCs w:val="18"/>
                <w:color w:val="auto"/>
              </w:rPr>
              <w:t>Change in plan assets: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DDDDDD"/>
          </w:tcPr>
          <w:p>
            <w:pPr>
              <w:ind w:left="360"/>
              <w:spacing w:after="0"/>
              <w:rPr>
                <w:sz w:val="20"/>
                <w:szCs w:val="20"/>
                <w:color w:val="auto"/>
              </w:rPr>
            </w:pPr>
            <w:r>
              <w:rPr>
                <w:rFonts w:ascii="Arial" w:cs="Arial" w:eastAsia="Arial" w:hAnsi="Arial"/>
                <w:sz w:val="18"/>
                <w:szCs w:val="18"/>
                <w:color w:val="auto"/>
              </w:rPr>
              <w:t>Fair value of plan assets at beginning of year</w:t>
            </w:r>
          </w:p>
        </w:tc>
        <w:tc>
          <w:tcPr>
            <w:tcW w:w="32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18,995</w:t>
            </w:r>
          </w:p>
        </w:tc>
        <w:tc>
          <w:tcPr>
            <w:tcW w:w="120" w:type="dxa"/>
            <w:vAlign w:val="bottom"/>
            <w:shd w:val="clear" w:color="auto" w:fill="DDDDDD"/>
          </w:tcPr>
          <w:p>
            <w:pPr>
              <w:spacing w:after="0"/>
              <w:rPr>
                <w:sz w:val="19"/>
                <w:szCs w:val="19"/>
                <w:color w:val="auto"/>
              </w:rPr>
            </w:pPr>
          </w:p>
        </w:tc>
        <w:tc>
          <w:tcPr>
            <w:tcW w:w="420" w:type="dxa"/>
            <w:vAlign w:val="bottom"/>
            <w:shd w:val="clear" w:color="auto" w:fill="DDDDDD"/>
          </w:tcPr>
          <w:p>
            <w:pPr>
              <w:spacing w:after="0"/>
              <w:rPr>
                <w:sz w:val="19"/>
                <w:szCs w:val="19"/>
                <w:color w:val="auto"/>
              </w:rPr>
            </w:pPr>
          </w:p>
        </w:tc>
        <w:tc>
          <w:tcPr>
            <w:tcW w:w="10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17,109</w:t>
            </w:r>
          </w:p>
        </w:tc>
        <w:tc>
          <w:tcPr>
            <w:tcW w:w="100" w:type="dxa"/>
            <w:vAlign w:val="bottom"/>
            <w:shd w:val="clear" w:color="auto" w:fill="DDDDDD"/>
          </w:tcPr>
          <w:p>
            <w:pPr>
              <w:spacing w:after="0"/>
              <w:rPr>
                <w:sz w:val="19"/>
                <w:szCs w:val="19"/>
                <w:color w:val="auto"/>
              </w:rPr>
            </w:pPr>
          </w:p>
        </w:tc>
        <w:tc>
          <w:tcPr>
            <w:tcW w:w="900" w:type="dxa"/>
            <w:vAlign w:val="bottom"/>
            <w:shd w:val="clear" w:color="auto" w:fill="DDDDDD"/>
          </w:tcPr>
          <w:p>
            <w:pPr>
              <w:spacing w:after="0"/>
              <w:rPr>
                <w:sz w:val="19"/>
                <w:szCs w:val="19"/>
                <w:color w:val="auto"/>
              </w:rPr>
            </w:pPr>
          </w:p>
        </w:tc>
        <w:tc>
          <w:tcPr>
            <w:tcW w:w="54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7"/>
              </w:rPr>
              <w:t>7,307</w:t>
            </w:r>
          </w:p>
        </w:tc>
        <w:tc>
          <w:tcPr>
            <w:tcW w:w="100" w:type="dxa"/>
            <w:vAlign w:val="bottom"/>
            <w:shd w:val="clear" w:color="auto" w:fill="DDDDDD"/>
          </w:tcPr>
          <w:p>
            <w:pPr>
              <w:spacing w:after="0"/>
              <w:rPr>
                <w:sz w:val="19"/>
                <w:szCs w:val="19"/>
                <w:color w:val="auto"/>
              </w:rPr>
            </w:pPr>
          </w:p>
        </w:tc>
        <w:tc>
          <w:tcPr>
            <w:tcW w:w="520" w:type="dxa"/>
            <w:vAlign w:val="bottom"/>
            <w:shd w:val="clear" w:color="auto" w:fill="DDDDDD"/>
          </w:tcPr>
          <w:p>
            <w:pPr>
              <w:spacing w:after="0"/>
              <w:rPr>
                <w:sz w:val="19"/>
                <w:szCs w:val="19"/>
                <w:color w:val="auto"/>
              </w:rPr>
            </w:pPr>
          </w:p>
        </w:tc>
        <w:tc>
          <w:tcPr>
            <w:tcW w:w="9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6,481</w:t>
            </w:r>
          </w:p>
        </w:tc>
        <w:tc>
          <w:tcPr>
            <w:tcW w:w="0" w:type="dxa"/>
            <w:vAlign w:val="bottom"/>
          </w:tcPr>
          <w:p>
            <w:pPr>
              <w:spacing w:after="0"/>
              <w:rPr>
                <w:sz w:val="1"/>
                <w:szCs w:val="1"/>
                <w:color w:val="auto"/>
              </w:rPr>
            </w:pPr>
          </w:p>
        </w:tc>
      </w:tr>
      <w:tr>
        <w:trPr>
          <w:trHeight w:val="230"/>
        </w:trPr>
        <w:tc>
          <w:tcPr>
            <w:tcW w:w="5200" w:type="dxa"/>
            <w:vAlign w:val="bottom"/>
          </w:tcPr>
          <w:p>
            <w:pPr>
              <w:ind w:left="360"/>
              <w:spacing w:after="0"/>
              <w:rPr>
                <w:sz w:val="20"/>
                <w:szCs w:val="20"/>
                <w:color w:val="auto"/>
              </w:rPr>
            </w:pPr>
            <w:r>
              <w:rPr>
                <w:rFonts w:ascii="Arial" w:cs="Arial" w:eastAsia="Arial" w:hAnsi="Arial"/>
                <w:sz w:val="18"/>
                <w:szCs w:val="18"/>
                <w:color w:val="auto"/>
              </w:rPr>
              <w:t>Actual return on plan assets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2,475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3,458</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918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29"/>
        </w:trPr>
        <w:tc>
          <w:tcPr>
            <w:tcW w:w="5200" w:type="dxa"/>
            <w:vAlign w:val="bottom"/>
            <w:shd w:val="clear" w:color="auto" w:fill="DDDDDD"/>
          </w:tcPr>
          <w:p>
            <w:pPr>
              <w:ind w:left="360"/>
              <w:spacing w:after="0"/>
              <w:rPr>
                <w:sz w:val="20"/>
                <w:szCs w:val="20"/>
                <w:color w:val="auto"/>
              </w:rPr>
            </w:pPr>
            <w:r>
              <w:rPr>
                <w:rFonts w:ascii="Arial" w:cs="Arial" w:eastAsia="Arial" w:hAnsi="Arial"/>
                <w:sz w:val="18"/>
                <w:szCs w:val="18"/>
                <w:color w:val="auto"/>
              </w:rPr>
              <w:t>Company contributions</w:t>
            </w:r>
          </w:p>
        </w:tc>
        <w:tc>
          <w:tcPr>
            <w:tcW w:w="32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DDDDDD"/>
          </w:tcPr>
          <w:p>
            <w:pPr>
              <w:spacing w:after="0"/>
              <w:rPr>
                <w:sz w:val="19"/>
                <w:szCs w:val="19"/>
                <w:color w:val="auto"/>
              </w:rPr>
            </w:pPr>
          </w:p>
        </w:tc>
        <w:tc>
          <w:tcPr>
            <w:tcW w:w="420" w:type="dxa"/>
            <w:vAlign w:val="bottom"/>
            <w:shd w:val="clear" w:color="auto" w:fill="DDDDDD"/>
          </w:tcPr>
          <w:p>
            <w:pPr>
              <w:spacing w:after="0"/>
              <w:rPr>
                <w:sz w:val="19"/>
                <w:szCs w:val="19"/>
                <w:color w:val="auto"/>
              </w:rPr>
            </w:pPr>
          </w:p>
        </w:tc>
        <w:tc>
          <w:tcPr>
            <w:tcW w:w="10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DDDDDD"/>
          </w:tcPr>
          <w:p>
            <w:pPr>
              <w:spacing w:after="0"/>
              <w:rPr>
                <w:sz w:val="19"/>
                <w:szCs w:val="19"/>
                <w:color w:val="auto"/>
              </w:rPr>
            </w:pPr>
          </w:p>
        </w:tc>
        <w:tc>
          <w:tcPr>
            <w:tcW w:w="900" w:type="dxa"/>
            <w:vAlign w:val="bottom"/>
            <w:shd w:val="clear" w:color="auto" w:fill="DDDDDD"/>
          </w:tcPr>
          <w:p>
            <w:pPr>
              <w:spacing w:after="0"/>
              <w:rPr>
                <w:sz w:val="19"/>
                <w:szCs w:val="19"/>
                <w:color w:val="auto"/>
              </w:rPr>
            </w:pPr>
          </w:p>
        </w:tc>
        <w:tc>
          <w:tcPr>
            <w:tcW w:w="5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DDDDDD"/>
          </w:tcPr>
          <w:p>
            <w:pPr>
              <w:spacing w:after="0"/>
              <w:rPr>
                <w:sz w:val="19"/>
                <w:szCs w:val="19"/>
                <w:color w:val="auto"/>
              </w:rPr>
            </w:pPr>
          </w:p>
        </w:tc>
        <w:tc>
          <w:tcPr>
            <w:tcW w:w="520" w:type="dxa"/>
            <w:vAlign w:val="bottom"/>
            <w:shd w:val="clear" w:color="auto" w:fill="DDDDDD"/>
          </w:tcPr>
          <w:p>
            <w:pPr>
              <w:spacing w:after="0"/>
              <w:rPr>
                <w:sz w:val="19"/>
                <w:szCs w:val="19"/>
                <w:color w:val="auto"/>
              </w:rPr>
            </w:pPr>
          </w:p>
        </w:tc>
        <w:tc>
          <w:tcPr>
            <w:tcW w:w="9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0"/>
        </w:trPr>
        <w:tc>
          <w:tcPr>
            <w:tcW w:w="5200" w:type="dxa"/>
            <w:vAlign w:val="bottom"/>
          </w:tcPr>
          <w:p>
            <w:pPr>
              <w:ind w:left="360"/>
              <w:spacing w:after="0"/>
              <w:rPr>
                <w:sz w:val="20"/>
                <w:szCs w:val="20"/>
                <w:color w:val="auto"/>
              </w:rPr>
            </w:pPr>
            <w:r>
              <w:rPr>
                <w:rFonts w:ascii="Arial" w:cs="Arial" w:eastAsia="Arial" w:hAnsi="Arial"/>
                <w:sz w:val="18"/>
                <w:szCs w:val="18"/>
                <w:color w:val="auto"/>
              </w:rPr>
              <w:t>Benefits paid</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(1,100)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(1,111)</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29"/>
        </w:trPr>
        <w:tc>
          <w:tcPr>
            <w:tcW w:w="5200" w:type="dxa"/>
            <w:vAlign w:val="bottom"/>
            <w:shd w:val="clear" w:color="auto" w:fill="DDDDDD"/>
          </w:tcPr>
          <w:p>
            <w:pPr>
              <w:ind w:left="360"/>
              <w:spacing w:after="0"/>
              <w:rPr>
                <w:sz w:val="20"/>
                <w:szCs w:val="20"/>
                <w:color w:val="auto"/>
              </w:rPr>
            </w:pPr>
            <w:r>
              <w:rPr>
                <w:rFonts w:ascii="Arial" w:cs="Arial" w:eastAsia="Arial" w:hAnsi="Arial"/>
                <w:sz w:val="18"/>
                <w:szCs w:val="18"/>
                <w:color w:val="auto"/>
              </w:rPr>
              <w:t>Settlements and curtailments</w:t>
            </w:r>
          </w:p>
        </w:tc>
        <w:tc>
          <w:tcPr>
            <w:tcW w:w="32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DDDDDD"/>
          </w:tcPr>
          <w:p>
            <w:pPr>
              <w:spacing w:after="0"/>
              <w:rPr>
                <w:sz w:val="19"/>
                <w:szCs w:val="19"/>
                <w:color w:val="auto"/>
              </w:rPr>
            </w:pPr>
          </w:p>
        </w:tc>
        <w:tc>
          <w:tcPr>
            <w:tcW w:w="420" w:type="dxa"/>
            <w:vAlign w:val="bottom"/>
            <w:shd w:val="clear" w:color="auto" w:fill="DDDDDD"/>
          </w:tcPr>
          <w:p>
            <w:pPr>
              <w:spacing w:after="0"/>
              <w:rPr>
                <w:sz w:val="19"/>
                <w:szCs w:val="19"/>
                <w:color w:val="auto"/>
              </w:rPr>
            </w:pPr>
          </w:p>
        </w:tc>
        <w:tc>
          <w:tcPr>
            <w:tcW w:w="10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(507)</w:t>
            </w:r>
          </w:p>
        </w:tc>
        <w:tc>
          <w:tcPr>
            <w:tcW w:w="100" w:type="dxa"/>
            <w:vAlign w:val="bottom"/>
            <w:shd w:val="clear" w:color="auto" w:fill="DDDDDD"/>
          </w:tcPr>
          <w:p>
            <w:pPr>
              <w:spacing w:after="0"/>
              <w:rPr>
                <w:sz w:val="19"/>
                <w:szCs w:val="19"/>
                <w:color w:val="auto"/>
              </w:rPr>
            </w:pPr>
          </w:p>
        </w:tc>
        <w:tc>
          <w:tcPr>
            <w:tcW w:w="900" w:type="dxa"/>
            <w:vAlign w:val="bottom"/>
            <w:shd w:val="clear" w:color="auto" w:fill="DDDDDD"/>
          </w:tcPr>
          <w:p>
            <w:pPr>
              <w:spacing w:after="0"/>
              <w:rPr>
                <w:sz w:val="19"/>
                <w:szCs w:val="19"/>
                <w:color w:val="auto"/>
              </w:rPr>
            </w:pPr>
          </w:p>
        </w:tc>
        <w:tc>
          <w:tcPr>
            <w:tcW w:w="640" w:type="dxa"/>
            <w:vAlign w:val="bottom"/>
            <w:gridSpan w:val="2"/>
            <w:shd w:val="clear" w:color="auto" w:fill="DDDDDD"/>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DDDDDD"/>
          </w:tcPr>
          <w:p>
            <w:pPr>
              <w:spacing w:after="0"/>
              <w:rPr>
                <w:sz w:val="19"/>
                <w:szCs w:val="19"/>
                <w:color w:val="auto"/>
              </w:rPr>
            </w:pPr>
          </w:p>
        </w:tc>
        <w:tc>
          <w:tcPr>
            <w:tcW w:w="9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tcPr>
          <w:p>
            <w:pPr>
              <w:ind w:left="360"/>
              <w:spacing w:after="0"/>
              <w:rPr>
                <w:sz w:val="20"/>
                <w:szCs w:val="20"/>
                <w:color w:val="auto"/>
              </w:rPr>
            </w:pPr>
            <w:r>
              <w:rPr>
                <w:rFonts w:ascii="Arial" w:cs="Arial" w:eastAsia="Arial" w:hAnsi="Arial"/>
                <w:sz w:val="18"/>
                <w:szCs w:val="18"/>
                <w:color w:val="auto"/>
              </w:rPr>
              <w:t>Foreign currency translation</w:t>
            </w:r>
          </w:p>
        </w:tc>
        <w:tc>
          <w:tcPr>
            <w:tcW w:w="3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29"/>
        </w:trPr>
        <w:tc>
          <w:tcPr>
            <w:tcW w:w="5200" w:type="dxa"/>
            <w:vAlign w:val="bottom"/>
            <w:shd w:val="clear" w:color="auto" w:fill="DDDDDD"/>
          </w:tcPr>
          <w:p>
            <w:pPr>
              <w:ind w:left="36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DDDDDD"/>
          </w:tcPr>
          <w:p>
            <w:pPr>
              <w:spacing w:after="0"/>
              <w:rPr>
                <w:sz w:val="19"/>
                <w:szCs w:val="19"/>
                <w:color w:val="auto"/>
              </w:rPr>
            </w:pPr>
          </w:p>
        </w:tc>
        <w:tc>
          <w:tcPr>
            <w:tcW w:w="11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DDDDDD"/>
          </w:tcPr>
          <w:p>
            <w:pPr>
              <w:spacing w:after="0"/>
              <w:rPr>
                <w:sz w:val="19"/>
                <w:szCs w:val="19"/>
                <w:color w:val="auto"/>
              </w:rPr>
            </w:pPr>
          </w:p>
        </w:tc>
        <w:tc>
          <w:tcPr>
            <w:tcW w:w="420" w:type="dxa"/>
            <w:vAlign w:val="bottom"/>
            <w:tcBorders>
              <w:bottom w:val="single" w:sz="8" w:color="auto"/>
            </w:tcBorders>
            <w:shd w:val="clear" w:color="auto" w:fill="DDDDDD"/>
          </w:tcPr>
          <w:p>
            <w:pPr>
              <w:spacing w:after="0"/>
              <w:rPr>
                <w:sz w:val="19"/>
                <w:szCs w:val="19"/>
                <w:color w:val="auto"/>
              </w:rPr>
            </w:pPr>
          </w:p>
        </w:tc>
        <w:tc>
          <w:tcPr>
            <w:tcW w:w="10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DDDDDD"/>
          </w:tcPr>
          <w:p>
            <w:pPr>
              <w:spacing w:after="0"/>
              <w:rPr>
                <w:sz w:val="19"/>
                <w:szCs w:val="19"/>
                <w:color w:val="auto"/>
              </w:rPr>
            </w:pPr>
          </w:p>
        </w:tc>
        <w:tc>
          <w:tcPr>
            <w:tcW w:w="900" w:type="dxa"/>
            <w:vAlign w:val="bottom"/>
            <w:tcBorders>
              <w:bottom w:val="single" w:sz="8" w:color="auto"/>
            </w:tcBorders>
            <w:shd w:val="clear" w:color="auto" w:fill="DDDDDD"/>
          </w:tcPr>
          <w:p>
            <w:pPr>
              <w:spacing w:after="0"/>
              <w:rPr>
                <w:sz w:val="19"/>
                <w:szCs w:val="19"/>
                <w:color w:val="auto"/>
              </w:rPr>
            </w:pPr>
          </w:p>
        </w:tc>
        <w:tc>
          <w:tcPr>
            <w:tcW w:w="5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DDDDDD"/>
          </w:tcPr>
          <w:p>
            <w:pPr>
              <w:spacing w:after="0"/>
              <w:rPr>
                <w:sz w:val="19"/>
                <w:szCs w:val="19"/>
                <w:color w:val="auto"/>
              </w:rPr>
            </w:pPr>
          </w:p>
        </w:tc>
        <w:tc>
          <w:tcPr>
            <w:tcW w:w="520" w:type="dxa"/>
            <w:vAlign w:val="bottom"/>
            <w:tcBorders>
              <w:bottom w:val="single" w:sz="8" w:color="auto"/>
            </w:tcBorders>
            <w:shd w:val="clear" w:color="auto" w:fill="DDDDDD"/>
          </w:tcPr>
          <w:p>
            <w:pPr>
              <w:spacing w:after="0"/>
              <w:rPr>
                <w:sz w:val="19"/>
                <w:szCs w:val="19"/>
                <w:color w:val="auto"/>
              </w:rPr>
            </w:pPr>
          </w:p>
        </w:tc>
        <w:tc>
          <w:tcPr>
            <w:tcW w:w="9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5200" w:type="dxa"/>
            <w:vAlign w:val="bottom"/>
            <w:tcBorders>
              <w:bottom w:val="single" w:sz="8" w:color="DDDDDD"/>
            </w:tcBorders>
          </w:tcPr>
          <w:p>
            <w:pPr>
              <w:ind w:left="360"/>
              <w:spacing w:after="0"/>
              <w:rPr>
                <w:sz w:val="20"/>
                <w:szCs w:val="20"/>
                <w:color w:val="auto"/>
              </w:rPr>
            </w:pPr>
            <w:r>
              <w:rPr>
                <w:rFonts w:ascii="Arial" w:cs="Arial" w:eastAsia="Arial" w:hAnsi="Arial"/>
                <w:sz w:val="18"/>
                <w:szCs w:val="18"/>
                <w:color w:val="auto"/>
              </w:rPr>
              <w:t>Fair value of plan assets at end of year</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20,396</w:t>
            </w:r>
          </w:p>
        </w:tc>
        <w:tc>
          <w:tcPr>
            <w:tcW w:w="120" w:type="dxa"/>
            <w:vAlign w:val="bottom"/>
            <w:tcBorders>
              <w:bottom w:val="single" w:sz="8" w:color="DDDDDD"/>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18,995</w:t>
            </w:r>
          </w:p>
        </w:tc>
        <w:tc>
          <w:tcPr>
            <w:tcW w:w="100" w:type="dxa"/>
            <w:vAlign w:val="bottom"/>
            <w:tcBorders>
              <w:bottom w:val="single" w:sz="8" w:color="DDDDDD"/>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8,450</w:t>
            </w:r>
          </w:p>
        </w:tc>
        <w:tc>
          <w:tcPr>
            <w:tcW w:w="100" w:type="dxa"/>
            <w:vAlign w:val="bottom"/>
            <w:tcBorders>
              <w:bottom w:val="single" w:sz="8" w:color="DDDDDD"/>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7,307</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8"/>
                <w:szCs w:val="18"/>
                <w:color w:val="auto"/>
              </w:rPr>
              <w:t>Funded status of plans</w:t>
            </w:r>
          </w:p>
        </w:tc>
        <w:tc>
          <w:tcPr>
            <w:tcW w:w="320" w:type="dxa"/>
            <w:vAlign w:val="bottom"/>
            <w:tcBorders>
              <w:bottom w:val="single" w:sz="8" w:color="auto"/>
            </w:tcBorders>
            <w:shd w:val="clear" w:color="auto" w:fill="DDDDDD"/>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2,342</w:t>
            </w:r>
          </w:p>
        </w:tc>
        <w:tc>
          <w:tcPr>
            <w:tcW w:w="120" w:type="dxa"/>
            <w:vAlign w:val="bottom"/>
            <w:tcBorders>
              <w:bottom w:val="single" w:sz="8" w:color="DDDDDD"/>
            </w:tcBorders>
            <w:shd w:val="clear" w:color="auto" w:fill="DDDDDD"/>
          </w:tcPr>
          <w:p>
            <w:pPr>
              <w:spacing w:after="0"/>
              <w:rPr>
                <w:sz w:val="21"/>
                <w:szCs w:val="21"/>
                <w:color w:val="auto"/>
              </w:rPr>
            </w:pPr>
          </w:p>
        </w:tc>
        <w:tc>
          <w:tcPr>
            <w:tcW w:w="420" w:type="dxa"/>
            <w:vAlign w:val="bottom"/>
            <w:tcBorders>
              <w:bottom w:val="single" w:sz="8" w:color="auto"/>
            </w:tcBorders>
            <w:shd w:val="clear" w:color="auto" w:fill="DDDDDD"/>
          </w:tcPr>
          <w:p>
            <w:pPr>
              <w:jc w:val="right"/>
              <w:ind w:right="2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1,712</w:t>
            </w:r>
          </w:p>
        </w:tc>
        <w:tc>
          <w:tcPr>
            <w:tcW w:w="100" w:type="dxa"/>
            <w:vAlign w:val="bottom"/>
            <w:tcBorders>
              <w:bottom w:val="single" w:sz="8" w:color="DDDDDD"/>
            </w:tcBorders>
            <w:shd w:val="clear" w:color="auto" w:fill="DDDDDD"/>
          </w:tcPr>
          <w:p>
            <w:pPr>
              <w:spacing w:after="0"/>
              <w:rPr>
                <w:sz w:val="21"/>
                <w:szCs w:val="21"/>
                <w:color w:val="auto"/>
              </w:rPr>
            </w:pPr>
          </w:p>
        </w:tc>
        <w:tc>
          <w:tcPr>
            <w:tcW w:w="900" w:type="dxa"/>
            <w:vAlign w:val="bottom"/>
            <w:tcBorders>
              <w:bottom w:val="single" w:sz="8" w:color="auto"/>
            </w:tcBorders>
            <w:shd w:val="clear" w:color="auto" w:fill="DDDDDD"/>
          </w:tcPr>
          <w:p>
            <w:pPr>
              <w:jc w:val="right"/>
              <w:ind w:right="694"/>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780</w:t>
            </w:r>
          </w:p>
        </w:tc>
        <w:tc>
          <w:tcPr>
            <w:tcW w:w="100" w:type="dxa"/>
            <w:vAlign w:val="bottom"/>
            <w:tcBorders>
              <w:bottom w:val="single" w:sz="8" w:color="DDDDDD"/>
            </w:tcBorders>
            <w:shd w:val="clear" w:color="auto" w:fill="DDDDDD"/>
          </w:tcPr>
          <w:p>
            <w:pPr>
              <w:spacing w:after="0"/>
              <w:rPr>
                <w:sz w:val="21"/>
                <w:szCs w:val="21"/>
                <w:color w:val="auto"/>
              </w:rPr>
            </w:pPr>
          </w:p>
        </w:tc>
        <w:tc>
          <w:tcPr>
            <w:tcW w:w="520" w:type="dxa"/>
            <w:vAlign w:val="bottom"/>
            <w:tcBorders>
              <w:bottom w:val="single" w:sz="8" w:color="auto"/>
            </w:tcBorders>
            <w:shd w:val="clear" w:color="auto" w:fill="DDDDDD"/>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0"/>
        </w:trPr>
        <w:tc>
          <w:tcPr>
            <w:tcW w:w="5200" w:type="dxa"/>
            <w:vAlign w:val="bottom"/>
            <w:tcBorders>
              <w:top w:val="single" w:sz="8" w:color="DDDDDD"/>
              <w:bottom w:val="single" w:sz="8" w:color="DDDDDD"/>
            </w:tcBorders>
            <w:vMerge w:val="restart"/>
          </w:tcPr>
          <w:p>
            <w:pPr>
              <w:ind w:left="20"/>
              <w:spacing w:after="0"/>
              <w:rPr>
                <w:sz w:val="20"/>
                <w:szCs w:val="20"/>
                <w:color w:val="auto"/>
              </w:rPr>
            </w:pPr>
            <w:r>
              <w:rPr>
                <w:rFonts w:ascii="Arial" w:cs="Arial" w:eastAsia="Arial" w:hAnsi="Arial"/>
                <w:sz w:val="18"/>
                <w:szCs w:val="18"/>
                <w:color w:val="auto"/>
              </w:rPr>
              <w:t>Amounts recognized in Consolidated Balance Sheet consist of:</w:t>
            </w:r>
          </w:p>
        </w:tc>
        <w:tc>
          <w:tcPr>
            <w:tcW w:w="320" w:type="dxa"/>
            <w:vAlign w:val="bottom"/>
            <w:tcBorders>
              <w:top w:val="single" w:sz="8" w:color="DDDDDD"/>
              <w:bottom w:val="single" w:sz="8" w:color="auto"/>
            </w:tcBorders>
          </w:tcPr>
          <w:p>
            <w:pPr>
              <w:spacing w:after="0" w:line="20" w:lineRule="exact"/>
              <w:rPr>
                <w:sz w:val="1"/>
                <w:szCs w:val="1"/>
                <w:color w:val="auto"/>
              </w:rPr>
            </w:pPr>
          </w:p>
        </w:tc>
        <w:tc>
          <w:tcPr>
            <w:tcW w:w="1100" w:type="dxa"/>
            <w:vAlign w:val="bottom"/>
            <w:tcBorders>
              <w:top w:val="single" w:sz="8" w:color="DDDDDD"/>
              <w:bottom w:val="single" w:sz="8" w:color="auto"/>
            </w:tcBorders>
          </w:tcPr>
          <w:p>
            <w:pPr>
              <w:spacing w:after="0" w:line="20" w:lineRule="exact"/>
              <w:rPr>
                <w:sz w:val="1"/>
                <w:szCs w:val="1"/>
                <w:color w:val="auto"/>
              </w:rPr>
            </w:pPr>
          </w:p>
        </w:tc>
        <w:tc>
          <w:tcPr>
            <w:tcW w:w="120" w:type="dxa"/>
            <w:vAlign w:val="bottom"/>
            <w:tcBorders>
              <w:top w:val="single" w:sz="8" w:color="DDDDDD"/>
            </w:tcBorders>
          </w:tcPr>
          <w:p>
            <w:pPr>
              <w:spacing w:after="0" w:line="20" w:lineRule="exact"/>
              <w:rPr>
                <w:sz w:val="1"/>
                <w:szCs w:val="1"/>
                <w:color w:val="auto"/>
              </w:rPr>
            </w:pPr>
          </w:p>
        </w:tc>
        <w:tc>
          <w:tcPr>
            <w:tcW w:w="420" w:type="dxa"/>
            <w:vAlign w:val="bottom"/>
            <w:tcBorders>
              <w:top w:val="single" w:sz="8" w:color="DDDDDD"/>
              <w:bottom w:val="single" w:sz="8" w:color="auto"/>
            </w:tcBorders>
          </w:tcPr>
          <w:p>
            <w:pPr>
              <w:spacing w:after="0" w:line="20" w:lineRule="exact"/>
              <w:rPr>
                <w:sz w:val="1"/>
                <w:szCs w:val="1"/>
                <w:color w:val="auto"/>
              </w:rPr>
            </w:pPr>
          </w:p>
        </w:tc>
        <w:tc>
          <w:tcPr>
            <w:tcW w:w="1000" w:type="dxa"/>
            <w:vAlign w:val="bottom"/>
            <w:tcBorders>
              <w:top w:val="single" w:sz="8" w:color="DDDDDD"/>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900" w:type="dxa"/>
            <w:vAlign w:val="bottom"/>
            <w:tcBorders>
              <w:top w:val="single" w:sz="8" w:color="DDDDDD"/>
              <w:bottom w:val="single" w:sz="8" w:color="auto"/>
            </w:tcBorders>
          </w:tcPr>
          <w:p>
            <w:pPr>
              <w:spacing w:after="0" w:line="20" w:lineRule="exact"/>
              <w:rPr>
                <w:sz w:val="1"/>
                <w:szCs w:val="1"/>
                <w:color w:val="auto"/>
              </w:rPr>
            </w:pPr>
          </w:p>
        </w:tc>
        <w:tc>
          <w:tcPr>
            <w:tcW w:w="540" w:type="dxa"/>
            <w:vAlign w:val="bottom"/>
            <w:tcBorders>
              <w:top w:val="single" w:sz="8" w:color="DDDDDD"/>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520" w:type="dxa"/>
            <w:vAlign w:val="bottom"/>
            <w:tcBorders>
              <w:top w:val="single" w:sz="8" w:color="DDDDDD"/>
              <w:bottom w:val="single" w:sz="8" w:color="auto"/>
            </w:tcBorders>
          </w:tcPr>
          <w:p>
            <w:pPr>
              <w:spacing w:after="0" w:line="20" w:lineRule="exact"/>
              <w:rPr>
                <w:sz w:val="1"/>
                <w:szCs w:val="1"/>
                <w:color w:val="auto"/>
              </w:rPr>
            </w:pPr>
          </w:p>
        </w:tc>
        <w:tc>
          <w:tcPr>
            <w:tcW w:w="920" w:type="dxa"/>
            <w:vAlign w:val="bottom"/>
            <w:tcBorders>
              <w:top w:val="single" w:sz="8" w:color="DDDDD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2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DDDDDD"/>
          </w:tcPr>
          <w:p>
            <w:pPr>
              <w:ind w:left="400"/>
              <w:spacing w:after="0" w:line="230" w:lineRule="exact"/>
              <w:rPr>
                <w:sz w:val="20"/>
                <w:szCs w:val="20"/>
                <w:color w:val="auto"/>
              </w:rPr>
            </w:pPr>
            <w:r>
              <w:rPr>
                <w:rFonts w:ascii="Arial" w:cs="Arial" w:eastAsia="Arial" w:hAnsi="Arial"/>
                <w:sz w:val="18"/>
                <w:szCs w:val="18"/>
                <w:color w:val="auto"/>
              </w:rPr>
              <w:t>Prepaid pension benefit cost</w:t>
            </w:r>
            <w:r>
              <w:rPr>
                <w:rFonts w:ascii="Arial" w:cs="Arial" w:eastAsia="Arial" w:hAnsi="Arial"/>
                <w:sz w:val="23"/>
                <w:szCs w:val="23"/>
                <w:color w:val="auto"/>
                <w:vertAlign w:val="superscript"/>
              </w:rPr>
              <w:t>(2)</w:t>
            </w:r>
          </w:p>
        </w:tc>
        <w:tc>
          <w:tcPr>
            <w:tcW w:w="320" w:type="dxa"/>
            <w:vAlign w:val="bottom"/>
            <w:shd w:val="clear" w:color="auto" w:fill="DDDDDD"/>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2,695</w:t>
            </w:r>
          </w:p>
        </w:tc>
        <w:tc>
          <w:tcPr>
            <w:tcW w:w="120" w:type="dxa"/>
            <w:vAlign w:val="bottom"/>
            <w:shd w:val="clear" w:color="auto" w:fill="DDDDDD"/>
          </w:tcPr>
          <w:p>
            <w:pPr>
              <w:spacing w:after="0"/>
              <w:rPr>
                <w:sz w:val="19"/>
                <w:szCs w:val="19"/>
                <w:color w:val="auto"/>
              </w:rPr>
            </w:pPr>
          </w:p>
        </w:tc>
        <w:tc>
          <w:tcPr>
            <w:tcW w:w="420" w:type="dxa"/>
            <w:vAlign w:val="bottom"/>
            <w:shd w:val="clear" w:color="auto" w:fill="DDDDDD"/>
          </w:tcPr>
          <w:p>
            <w:pPr>
              <w:jc w:val="right"/>
              <w:ind w:right="2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2,069</w:t>
            </w:r>
          </w:p>
        </w:tc>
        <w:tc>
          <w:tcPr>
            <w:tcW w:w="100" w:type="dxa"/>
            <w:vAlign w:val="bottom"/>
            <w:shd w:val="clear" w:color="auto" w:fill="DDDDDD"/>
          </w:tcPr>
          <w:p>
            <w:pPr>
              <w:spacing w:after="0"/>
              <w:rPr>
                <w:sz w:val="19"/>
                <w:szCs w:val="19"/>
                <w:color w:val="auto"/>
              </w:rPr>
            </w:pPr>
          </w:p>
        </w:tc>
        <w:tc>
          <w:tcPr>
            <w:tcW w:w="900" w:type="dxa"/>
            <w:vAlign w:val="bottom"/>
            <w:shd w:val="clear" w:color="auto" w:fill="DDDDDD"/>
          </w:tcPr>
          <w:p>
            <w:pPr>
              <w:jc w:val="right"/>
              <w:ind w:right="694"/>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7"/>
              </w:rPr>
              <w:t>1,688</w:t>
            </w:r>
          </w:p>
        </w:tc>
        <w:tc>
          <w:tcPr>
            <w:tcW w:w="100" w:type="dxa"/>
            <w:vAlign w:val="bottom"/>
            <w:shd w:val="clear" w:color="auto" w:fill="DDDDDD"/>
          </w:tcPr>
          <w:p>
            <w:pPr>
              <w:spacing w:after="0"/>
              <w:rPr>
                <w:sz w:val="19"/>
                <w:szCs w:val="19"/>
                <w:color w:val="auto"/>
              </w:rPr>
            </w:pPr>
          </w:p>
        </w:tc>
        <w:tc>
          <w:tcPr>
            <w:tcW w:w="520" w:type="dxa"/>
            <w:vAlign w:val="bottom"/>
            <w:shd w:val="clear" w:color="auto" w:fill="DDDDDD"/>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1,196</w:t>
            </w:r>
          </w:p>
        </w:tc>
        <w:tc>
          <w:tcPr>
            <w:tcW w:w="0" w:type="dxa"/>
            <w:vAlign w:val="bottom"/>
          </w:tcPr>
          <w:p>
            <w:pPr>
              <w:spacing w:after="0"/>
              <w:rPr>
                <w:sz w:val="1"/>
                <w:szCs w:val="1"/>
                <w:color w:val="auto"/>
              </w:rPr>
            </w:pPr>
          </w:p>
        </w:tc>
      </w:tr>
      <w:tr>
        <w:trPr>
          <w:trHeight w:val="230"/>
        </w:trPr>
        <w:tc>
          <w:tcPr>
            <w:tcW w:w="5200" w:type="dxa"/>
            <w:vAlign w:val="bottom"/>
          </w:tcPr>
          <w:p>
            <w:pPr>
              <w:ind w:left="400"/>
              <w:spacing w:after="0" w:line="230" w:lineRule="exact"/>
              <w:rPr>
                <w:sz w:val="20"/>
                <w:szCs w:val="20"/>
                <w:color w:val="auto"/>
              </w:rPr>
            </w:pPr>
            <w:r>
              <w:rPr>
                <w:rFonts w:ascii="Arial" w:cs="Arial" w:eastAsia="Arial" w:hAnsi="Arial"/>
                <w:sz w:val="18"/>
                <w:szCs w:val="18"/>
                <w:color w:val="auto"/>
              </w:rPr>
              <w:t>Accrued pension liabilities—current</w:t>
            </w:r>
            <w:r>
              <w:rPr>
                <w:rFonts w:ascii="Arial" w:cs="Arial" w:eastAsia="Arial" w:hAnsi="Arial"/>
                <w:sz w:val="23"/>
                <w:szCs w:val="23"/>
                <w:color w:val="auto"/>
                <w:vertAlign w:val="superscript"/>
              </w:rPr>
              <w:t>(3)</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5200" w:type="dxa"/>
            <w:vAlign w:val="bottom"/>
            <w:shd w:val="clear" w:color="auto" w:fill="DDDDDD"/>
          </w:tcPr>
          <w:p>
            <w:pPr>
              <w:ind w:left="400"/>
              <w:spacing w:after="0" w:line="230" w:lineRule="exact"/>
              <w:rPr>
                <w:sz w:val="20"/>
                <w:szCs w:val="20"/>
                <w:color w:val="auto"/>
              </w:rPr>
            </w:pPr>
            <w:r>
              <w:rPr>
                <w:rFonts w:ascii="Arial" w:cs="Arial" w:eastAsia="Arial" w:hAnsi="Arial"/>
                <w:sz w:val="18"/>
                <w:szCs w:val="18"/>
                <w:color w:val="auto"/>
              </w:rPr>
              <w:t>Accrued pension liabilities—noncurrent</w:t>
            </w:r>
            <w:r>
              <w:rPr>
                <w:rFonts w:ascii="Arial" w:cs="Arial" w:eastAsia="Arial" w:hAnsi="Arial"/>
                <w:sz w:val="23"/>
                <w:szCs w:val="23"/>
                <w:color w:val="auto"/>
                <w:vertAlign w:val="superscript"/>
              </w:rPr>
              <w:t>(4)</w:t>
            </w:r>
          </w:p>
        </w:tc>
        <w:tc>
          <w:tcPr>
            <w:tcW w:w="320" w:type="dxa"/>
            <w:vAlign w:val="bottom"/>
            <w:tcBorders>
              <w:bottom w:val="single" w:sz="8" w:color="auto"/>
            </w:tcBorders>
            <w:shd w:val="clear" w:color="auto" w:fill="DDDDDD"/>
          </w:tcPr>
          <w:p>
            <w:pPr>
              <w:spacing w:after="0"/>
              <w:rPr>
                <w:sz w:val="19"/>
                <w:szCs w:val="19"/>
                <w:color w:val="auto"/>
              </w:rPr>
            </w:pPr>
          </w:p>
        </w:tc>
        <w:tc>
          <w:tcPr>
            <w:tcW w:w="11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(324)</w:t>
            </w:r>
          </w:p>
        </w:tc>
        <w:tc>
          <w:tcPr>
            <w:tcW w:w="120" w:type="dxa"/>
            <w:vAlign w:val="bottom"/>
            <w:shd w:val="clear" w:color="auto" w:fill="DDDDDD"/>
          </w:tcPr>
          <w:p>
            <w:pPr>
              <w:spacing w:after="0"/>
              <w:rPr>
                <w:sz w:val="19"/>
                <w:szCs w:val="19"/>
                <w:color w:val="auto"/>
              </w:rPr>
            </w:pPr>
          </w:p>
        </w:tc>
        <w:tc>
          <w:tcPr>
            <w:tcW w:w="420" w:type="dxa"/>
            <w:vAlign w:val="bottom"/>
            <w:tcBorders>
              <w:bottom w:val="single" w:sz="8" w:color="auto"/>
            </w:tcBorders>
            <w:shd w:val="clear" w:color="auto" w:fill="DDDDDD"/>
          </w:tcPr>
          <w:p>
            <w:pPr>
              <w:spacing w:after="0"/>
              <w:rPr>
                <w:sz w:val="19"/>
                <w:szCs w:val="19"/>
                <w:color w:val="auto"/>
              </w:rPr>
            </w:pPr>
          </w:p>
        </w:tc>
        <w:tc>
          <w:tcPr>
            <w:tcW w:w="10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(325)</w:t>
            </w:r>
          </w:p>
        </w:tc>
        <w:tc>
          <w:tcPr>
            <w:tcW w:w="100" w:type="dxa"/>
            <w:vAlign w:val="bottom"/>
            <w:shd w:val="clear" w:color="auto" w:fill="DDDDDD"/>
          </w:tcPr>
          <w:p>
            <w:pPr>
              <w:spacing w:after="0"/>
              <w:rPr>
                <w:sz w:val="19"/>
                <w:szCs w:val="19"/>
                <w:color w:val="auto"/>
              </w:rPr>
            </w:pPr>
          </w:p>
        </w:tc>
        <w:tc>
          <w:tcPr>
            <w:tcW w:w="900" w:type="dxa"/>
            <w:vAlign w:val="bottom"/>
            <w:tcBorders>
              <w:bottom w:val="single" w:sz="8" w:color="auto"/>
            </w:tcBorders>
            <w:shd w:val="clear" w:color="auto" w:fill="DDDDDD"/>
          </w:tcPr>
          <w:p>
            <w:pPr>
              <w:spacing w:after="0"/>
              <w:rPr>
                <w:sz w:val="19"/>
                <w:szCs w:val="19"/>
                <w:color w:val="auto"/>
              </w:rPr>
            </w:pPr>
          </w:p>
        </w:tc>
        <w:tc>
          <w:tcPr>
            <w:tcW w:w="5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(894)</w:t>
            </w:r>
          </w:p>
        </w:tc>
        <w:tc>
          <w:tcPr>
            <w:tcW w:w="100" w:type="dxa"/>
            <w:vAlign w:val="bottom"/>
            <w:shd w:val="clear" w:color="auto" w:fill="DDDDDD"/>
          </w:tcPr>
          <w:p>
            <w:pPr>
              <w:spacing w:after="0"/>
              <w:rPr>
                <w:sz w:val="19"/>
                <w:szCs w:val="19"/>
                <w:color w:val="auto"/>
              </w:rPr>
            </w:pPr>
          </w:p>
        </w:tc>
        <w:tc>
          <w:tcPr>
            <w:tcW w:w="520" w:type="dxa"/>
            <w:vAlign w:val="bottom"/>
            <w:tcBorders>
              <w:bottom w:val="single" w:sz="8" w:color="auto"/>
            </w:tcBorders>
            <w:shd w:val="clear" w:color="auto" w:fill="DDDDDD"/>
          </w:tcPr>
          <w:p>
            <w:pPr>
              <w:spacing w:after="0"/>
              <w:rPr>
                <w:sz w:val="19"/>
                <w:szCs w:val="19"/>
                <w:color w:val="auto"/>
              </w:rPr>
            </w:pPr>
          </w:p>
        </w:tc>
        <w:tc>
          <w:tcPr>
            <w:tcW w:w="9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Net amount recognized</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2,342</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1,712</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ind w:right="694"/>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jc w:val="both"/>
        <w:ind w:left="340" w:hanging="332"/>
        <w:spacing w:after="0" w:line="254" w:lineRule="auto"/>
        <w:tabs>
          <w:tab w:leader="none" w:pos="33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Actuarial losses incurred in 2020 related to our U.S. and non-U.S. plans are primarily the result of a decrease in the discount rate assumptions used to estimate the benefit obligations as of December 31, 2020 compared to December 31, 2019. Actuarial losses incurred in 2019 related to our U.S. and non-U.S. plans are primarily the result of a decrease in the discount rate assumptions used to estimate the benefit obligations as of December 31, 2019 compared to December 31, 2018.</w:t>
      </w:r>
    </w:p>
    <w:p>
      <w:pPr>
        <w:spacing w:after="0" w:line="95" w:lineRule="exact"/>
        <w:rPr>
          <w:rFonts w:ascii="Arial" w:cs="Arial" w:eastAsia="Arial" w:hAnsi="Arial"/>
          <w:sz w:val="18"/>
          <w:szCs w:val="18"/>
          <w:color w:val="auto"/>
        </w:rPr>
      </w:pPr>
    </w:p>
    <w:p>
      <w:pPr>
        <w:ind w:left="320" w:hanging="312"/>
        <w:spacing w:after="0"/>
        <w:tabs>
          <w:tab w:leader="none" w:pos="3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Included in Other assets on the Consolidated Balance Sheet</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Included in Accrued liabilities on the Consolidated Balance Sheet</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Included in Other liabilities on the Consolidated Balance Sheet</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95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98" w:name="page99"/>
    <w:bookmarkEnd w:id="98"/>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left="8220"/>
        <w:spacing w:after="0"/>
        <w:rPr>
          <w:sz w:val="20"/>
          <w:szCs w:val="20"/>
          <w:color w:val="auto"/>
        </w:rPr>
      </w:pPr>
      <w:r>
        <w:rPr>
          <w:rFonts w:ascii="Arial" w:cs="Arial" w:eastAsia="Arial" w:hAnsi="Arial"/>
          <w:sz w:val="14"/>
          <w:szCs w:val="14"/>
          <w:b w:val="1"/>
          <w:bCs w:val="1"/>
          <w:color w:val="auto"/>
        </w:rPr>
        <w:t>Other</w:t>
      </w:r>
    </w:p>
    <w:p>
      <w:pPr>
        <w:jc w:val="center"/>
        <w:ind w:left="8220"/>
        <w:spacing w:after="0" w:line="201" w:lineRule="auto"/>
        <w:rPr>
          <w:sz w:val="20"/>
          <w:szCs w:val="20"/>
          <w:color w:val="auto"/>
        </w:rPr>
      </w:pPr>
      <w:r>
        <w:rPr>
          <w:rFonts w:ascii="Arial" w:cs="Arial" w:eastAsia="Arial" w:hAnsi="Arial"/>
          <w:sz w:val="14"/>
          <w:szCs w:val="14"/>
          <w:b w:val="1"/>
          <w:bCs w:val="1"/>
          <w:color w:val="auto"/>
        </w:rPr>
        <w:t>Postretirement</w:t>
      </w:r>
    </w:p>
    <w:p>
      <w:pPr>
        <w:jc w:val="center"/>
        <w:ind w:left="8220"/>
        <w:spacing w:after="0"/>
        <w:rPr>
          <w:sz w:val="20"/>
          <w:szCs w:val="20"/>
          <w:color w:val="auto"/>
        </w:rPr>
      </w:pPr>
      <w:r>
        <w:rPr>
          <w:rFonts w:ascii="Arial" w:cs="Arial" w:eastAsia="Arial" w:hAnsi="Arial"/>
          <w:sz w:val="14"/>
          <w:szCs w:val="14"/>
          <w:b w:val="1"/>
          <w:bCs w:val="1"/>
          <w:color w:val="auto"/>
        </w:rPr>
        <w:t>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6350</wp:posOffset>
            </wp:positionV>
            <wp:extent cx="190309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1903095" cy="17145"/>
                    </a:xfrm>
                    <a:prstGeom prst="rect">
                      <a:avLst/>
                    </a:prstGeom>
                    <a:noFill/>
                  </pic:spPr>
                </pic:pic>
              </a:graphicData>
            </a:graphic>
          </wp:anchor>
        </w:drawing>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240" w:type="dxa"/>
            <w:vAlign w:val="bottom"/>
            <w:tcBorders>
              <w:bottom w:val="single" w:sz="8" w:color="DDDDDD"/>
            </w:tcBorders>
          </w:tcPr>
          <w:p>
            <w:pPr>
              <w:spacing w:after="0"/>
              <w:rPr>
                <w:sz w:val="17"/>
                <w:szCs w:val="17"/>
                <w:color w:val="auto"/>
              </w:rPr>
            </w:pPr>
          </w:p>
        </w:tc>
        <w:tc>
          <w:tcPr>
            <w:tcW w:w="94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DC202E"/>
            </w:tcBorders>
          </w:tcPr>
          <w:p>
            <w:pPr>
              <w:spacing w:after="0"/>
              <w:rPr>
                <w:sz w:val="17"/>
                <w:szCs w:val="17"/>
                <w:color w:val="auto"/>
              </w:rPr>
            </w:pPr>
          </w:p>
        </w:tc>
        <w:tc>
          <w:tcPr>
            <w:tcW w:w="120" w:type="dxa"/>
            <w:vAlign w:val="bottom"/>
            <w:tcBorders>
              <w:bottom w:val="single" w:sz="8" w:color="DDDDDD"/>
            </w:tcBorders>
          </w:tcPr>
          <w:p>
            <w:pPr>
              <w:spacing w:after="0"/>
              <w:rPr>
                <w:sz w:val="17"/>
                <w:szCs w:val="17"/>
                <w:color w:val="auto"/>
              </w:rPr>
            </w:pPr>
          </w:p>
        </w:tc>
        <w:tc>
          <w:tcPr>
            <w:tcW w:w="340" w:type="dxa"/>
            <w:vAlign w:val="bottom"/>
            <w:tcBorders>
              <w:bottom w:val="single" w:sz="8" w:color="DC202E"/>
            </w:tcBorders>
          </w:tcPr>
          <w:p>
            <w:pPr>
              <w:spacing w:after="0"/>
              <w:rPr>
                <w:sz w:val="17"/>
                <w:szCs w:val="17"/>
                <w:color w:val="auto"/>
              </w:rPr>
            </w:pPr>
          </w:p>
        </w:tc>
        <w:tc>
          <w:tcPr>
            <w:tcW w:w="1100" w:type="dxa"/>
            <w:vAlign w:val="bottom"/>
            <w:tcBorders>
              <w:bottom w:val="single" w:sz="8" w:color="DC202E"/>
            </w:tcBorders>
          </w:tcPr>
          <w:p>
            <w:pPr>
              <w:jc w:val="right"/>
              <w:ind w:right="47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6"/>
        </w:trPr>
        <w:tc>
          <w:tcPr>
            <w:tcW w:w="8240" w:type="dxa"/>
            <w:vAlign w:val="bottom"/>
            <w:shd w:val="clear" w:color="auto" w:fill="DDDDDD"/>
          </w:tcPr>
          <w:p>
            <w:pPr>
              <w:ind w:left="20"/>
              <w:spacing w:after="0"/>
              <w:rPr>
                <w:sz w:val="20"/>
                <w:szCs w:val="20"/>
                <w:color w:val="auto"/>
              </w:rPr>
            </w:pPr>
            <w:r>
              <w:rPr>
                <w:rFonts w:ascii="Arial" w:cs="Arial" w:eastAsia="Arial" w:hAnsi="Arial"/>
                <w:sz w:val="18"/>
                <w:szCs w:val="18"/>
                <w:color w:val="auto"/>
              </w:rPr>
              <w:t>Change in benefit obligation:</w:t>
            </w:r>
          </w:p>
        </w:tc>
        <w:tc>
          <w:tcPr>
            <w:tcW w:w="940" w:type="dxa"/>
            <w:vAlign w:val="bottom"/>
            <w:shd w:val="clear" w:color="auto" w:fill="DDDDDD"/>
          </w:tcPr>
          <w:p>
            <w:pPr>
              <w:spacing w:after="0"/>
              <w:rPr>
                <w:sz w:val="18"/>
                <w:szCs w:val="18"/>
                <w:color w:val="auto"/>
              </w:rPr>
            </w:pPr>
          </w:p>
        </w:tc>
        <w:tc>
          <w:tcPr>
            <w:tcW w:w="50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340" w:type="dxa"/>
            <w:vAlign w:val="bottom"/>
            <w:shd w:val="clear" w:color="auto" w:fill="DDDDDD"/>
          </w:tcPr>
          <w:p>
            <w:pPr>
              <w:spacing w:after="0"/>
              <w:rPr>
                <w:sz w:val="18"/>
                <w:szCs w:val="18"/>
                <w:color w:val="auto"/>
              </w:rPr>
            </w:pPr>
          </w:p>
        </w:tc>
        <w:tc>
          <w:tcPr>
            <w:tcW w:w="1100" w:type="dxa"/>
            <w:vAlign w:val="bottom"/>
            <w:shd w:val="clear" w:color="auto" w:fill="DDDDDD"/>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360"/>
              <w:spacing w:after="0"/>
              <w:rPr>
                <w:sz w:val="20"/>
                <w:szCs w:val="20"/>
                <w:color w:val="auto"/>
              </w:rPr>
            </w:pPr>
            <w:r>
              <w:rPr>
                <w:rFonts w:ascii="Arial" w:cs="Arial" w:eastAsia="Arial" w:hAnsi="Arial"/>
                <w:sz w:val="18"/>
                <w:szCs w:val="18"/>
                <w:color w:val="auto"/>
              </w:rPr>
              <w:t>Benefit obligation at beginning of year</w:t>
            </w:r>
          </w:p>
        </w:tc>
        <w:tc>
          <w:tcPr>
            <w:tcW w:w="940" w:type="dxa"/>
            <w:vAlign w:val="bottom"/>
          </w:tcPr>
          <w:p>
            <w:pPr>
              <w:jc w:val="right"/>
              <w:ind w:right="734"/>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325</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30"/>
        </w:trPr>
        <w:tc>
          <w:tcPr>
            <w:tcW w:w="8240" w:type="dxa"/>
            <w:vAlign w:val="bottom"/>
            <w:shd w:val="clear" w:color="auto" w:fill="DDDDDD"/>
          </w:tcPr>
          <w:p>
            <w:pPr>
              <w:ind w:left="360"/>
              <w:spacing w:after="0"/>
              <w:rPr>
                <w:sz w:val="20"/>
                <w:szCs w:val="20"/>
                <w:color w:val="auto"/>
              </w:rPr>
            </w:pPr>
            <w:r>
              <w:rPr>
                <w:rFonts w:ascii="Arial" w:cs="Arial" w:eastAsia="Arial" w:hAnsi="Arial"/>
                <w:sz w:val="18"/>
                <w:szCs w:val="18"/>
                <w:color w:val="auto"/>
              </w:rPr>
              <w:t>Service cost</w:t>
            </w:r>
          </w:p>
        </w:tc>
        <w:tc>
          <w:tcPr>
            <w:tcW w:w="940" w:type="dxa"/>
            <w:vAlign w:val="bottom"/>
            <w:shd w:val="clear" w:color="auto" w:fill="DDDDDD"/>
          </w:tcPr>
          <w:p>
            <w:pPr>
              <w:spacing w:after="0"/>
              <w:rPr>
                <w:sz w:val="19"/>
                <w:szCs w:val="19"/>
                <w:color w:val="auto"/>
              </w:rPr>
            </w:pPr>
          </w:p>
        </w:tc>
        <w:tc>
          <w:tcPr>
            <w:tcW w:w="620" w:type="dxa"/>
            <w:vAlign w:val="bottom"/>
            <w:gridSpan w:val="2"/>
            <w:shd w:val="clear" w:color="auto" w:fill="DDDDDD"/>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240" w:type="dxa"/>
            <w:vAlign w:val="bottom"/>
          </w:tcPr>
          <w:p>
            <w:pPr>
              <w:ind w:left="360"/>
              <w:spacing w:after="0"/>
              <w:rPr>
                <w:sz w:val="20"/>
                <w:szCs w:val="20"/>
                <w:color w:val="auto"/>
              </w:rPr>
            </w:pPr>
            <w:r>
              <w:rPr>
                <w:rFonts w:ascii="Arial" w:cs="Arial" w:eastAsia="Arial" w:hAnsi="Arial"/>
                <w:sz w:val="18"/>
                <w:szCs w:val="18"/>
                <w:color w:val="auto"/>
              </w:rPr>
              <w:t>Interest cost</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8240" w:type="dxa"/>
            <w:vAlign w:val="bottom"/>
            <w:shd w:val="clear" w:color="auto" w:fill="DDDDDD"/>
          </w:tcPr>
          <w:p>
            <w:pPr>
              <w:ind w:left="360"/>
              <w:spacing w:after="0"/>
              <w:rPr>
                <w:sz w:val="20"/>
                <w:szCs w:val="20"/>
                <w:color w:val="auto"/>
              </w:rPr>
            </w:pPr>
            <w:r>
              <w:rPr>
                <w:rFonts w:ascii="Arial" w:cs="Arial" w:eastAsia="Arial" w:hAnsi="Arial"/>
                <w:sz w:val="18"/>
                <w:szCs w:val="18"/>
                <w:color w:val="auto"/>
              </w:rPr>
              <w:t>Plan amendments</w:t>
            </w:r>
          </w:p>
        </w:tc>
        <w:tc>
          <w:tcPr>
            <w:tcW w:w="940" w:type="dxa"/>
            <w:vAlign w:val="bottom"/>
            <w:shd w:val="clear" w:color="auto" w:fill="DDDDDD"/>
          </w:tcPr>
          <w:p>
            <w:pPr>
              <w:spacing w:after="0"/>
              <w:rPr>
                <w:sz w:val="19"/>
                <w:szCs w:val="19"/>
                <w:color w:val="auto"/>
              </w:rPr>
            </w:pPr>
          </w:p>
        </w:tc>
        <w:tc>
          <w:tcPr>
            <w:tcW w:w="5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Arial" w:cs="Arial" w:eastAsia="Arial" w:hAnsi="Arial"/>
                <w:sz w:val="18"/>
                <w:szCs w:val="18"/>
                <w:color w:val="auto"/>
              </w:rPr>
              <w:t>Actuarial (gains) losses</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9"/>
        </w:trPr>
        <w:tc>
          <w:tcPr>
            <w:tcW w:w="8240" w:type="dxa"/>
            <w:vAlign w:val="bottom"/>
            <w:shd w:val="clear" w:color="auto" w:fill="DDDDDD"/>
          </w:tcPr>
          <w:p>
            <w:pPr>
              <w:ind w:left="360"/>
              <w:spacing w:after="0"/>
              <w:rPr>
                <w:sz w:val="20"/>
                <w:szCs w:val="20"/>
                <w:color w:val="auto"/>
              </w:rPr>
            </w:pPr>
            <w:r>
              <w:rPr>
                <w:rFonts w:ascii="Arial" w:cs="Arial" w:eastAsia="Arial" w:hAnsi="Arial"/>
                <w:sz w:val="18"/>
                <w:szCs w:val="18"/>
                <w:color w:val="auto"/>
              </w:rPr>
              <w:t>Benefits paid</w:t>
            </w:r>
          </w:p>
        </w:tc>
        <w:tc>
          <w:tcPr>
            <w:tcW w:w="940" w:type="dxa"/>
            <w:vAlign w:val="bottom"/>
            <w:tcBorders>
              <w:bottom w:val="single" w:sz="8" w:color="auto"/>
            </w:tcBorders>
            <w:shd w:val="clear" w:color="auto" w:fill="DDDDDD"/>
          </w:tcPr>
          <w:p>
            <w:pPr>
              <w:spacing w:after="0"/>
              <w:rPr>
                <w:sz w:val="19"/>
                <w:szCs w:val="19"/>
                <w:color w:val="auto"/>
              </w:rPr>
            </w:pPr>
          </w:p>
        </w:tc>
        <w:tc>
          <w:tcPr>
            <w:tcW w:w="5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DDDDDD"/>
          </w:tcPr>
          <w:p>
            <w:pPr>
              <w:spacing w:after="0"/>
              <w:rPr>
                <w:sz w:val="19"/>
                <w:szCs w:val="19"/>
                <w:color w:val="auto"/>
              </w:rPr>
            </w:pPr>
          </w:p>
        </w:tc>
        <w:tc>
          <w:tcPr>
            <w:tcW w:w="340" w:type="dxa"/>
            <w:vAlign w:val="bottom"/>
            <w:tcBorders>
              <w:bottom w:val="single" w:sz="8" w:color="auto"/>
            </w:tcBorders>
            <w:shd w:val="clear" w:color="auto" w:fill="DDDDDD"/>
          </w:tcPr>
          <w:p>
            <w:pPr>
              <w:spacing w:after="0"/>
              <w:rPr>
                <w:sz w:val="19"/>
                <w:szCs w:val="19"/>
                <w:color w:val="auto"/>
              </w:rPr>
            </w:pPr>
          </w:p>
        </w:tc>
        <w:tc>
          <w:tcPr>
            <w:tcW w:w="11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DDDDDD"/>
            </w:tcBorders>
          </w:tcPr>
          <w:p>
            <w:pPr>
              <w:ind w:left="360"/>
              <w:spacing w:after="0"/>
              <w:rPr>
                <w:sz w:val="20"/>
                <w:szCs w:val="20"/>
                <w:color w:val="auto"/>
              </w:rPr>
            </w:pPr>
            <w:r>
              <w:rPr>
                <w:rFonts w:ascii="Arial" w:cs="Arial" w:eastAsia="Arial" w:hAnsi="Arial"/>
                <w:sz w:val="18"/>
                <w:szCs w:val="18"/>
                <w:color w:val="auto"/>
              </w:rPr>
              <w:t>Benefit obligation at end of year</w:t>
            </w: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120" w:type="dxa"/>
            <w:vAlign w:val="bottom"/>
            <w:tcBorders>
              <w:bottom w:val="single" w:sz="8" w:color="DDDDDD"/>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09"/>
        </w:trPr>
        <w:tc>
          <w:tcPr>
            <w:tcW w:w="8240" w:type="dxa"/>
            <w:vAlign w:val="bottom"/>
            <w:shd w:val="clear" w:color="auto" w:fill="DDDDDD"/>
          </w:tcPr>
          <w:p>
            <w:pPr>
              <w:ind w:left="20"/>
              <w:spacing w:after="0"/>
              <w:rPr>
                <w:sz w:val="20"/>
                <w:szCs w:val="20"/>
                <w:color w:val="auto"/>
              </w:rPr>
            </w:pPr>
            <w:r>
              <w:rPr>
                <w:rFonts w:ascii="Arial" w:cs="Arial" w:eastAsia="Arial" w:hAnsi="Arial"/>
                <w:sz w:val="18"/>
                <w:szCs w:val="18"/>
                <w:color w:val="auto"/>
              </w:rPr>
              <w:t>Change in plan assets:</w:t>
            </w:r>
          </w:p>
        </w:tc>
        <w:tc>
          <w:tcPr>
            <w:tcW w:w="940" w:type="dxa"/>
            <w:vAlign w:val="bottom"/>
            <w:shd w:val="clear" w:color="auto" w:fill="DDDDDD"/>
          </w:tcPr>
          <w:p>
            <w:pPr>
              <w:spacing w:after="0"/>
              <w:rPr>
                <w:sz w:val="18"/>
                <w:szCs w:val="18"/>
                <w:color w:val="auto"/>
              </w:rPr>
            </w:pPr>
          </w:p>
        </w:tc>
        <w:tc>
          <w:tcPr>
            <w:tcW w:w="50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340" w:type="dxa"/>
            <w:vAlign w:val="bottom"/>
            <w:shd w:val="clear" w:color="auto" w:fill="DDDDDD"/>
          </w:tcPr>
          <w:p>
            <w:pPr>
              <w:spacing w:after="0"/>
              <w:rPr>
                <w:sz w:val="18"/>
                <w:szCs w:val="18"/>
                <w:color w:val="auto"/>
              </w:rPr>
            </w:pPr>
          </w:p>
        </w:tc>
        <w:tc>
          <w:tcPr>
            <w:tcW w:w="1100" w:type="dxa"/>
            <w:vAlign w:val="bottom"/>
            <w:shd w:val="clear" w:color="auto" w:fill="DDDDDD"/>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Arial" w:cs="Arial" w:eastAsia="Arial" w:hAnsi="Arial"/>
                <w:sz w:val="18"/>
                <w:szCs w:val="18"/>
                <w:color w:val="auto"/>
              </w:rPr>
              <w:t>Fair value of plan assets at beginning of year</w:t>
            </w:r>
          </w:p>
        </w:tc>
        <w:tc>
          <w:tcPr>
            <w:tcW w:w="94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240" w:type="dxa"/>
            <w:vAlign w:val="bottom"/>
            <w:shd w:val="clear" w:color="auto" w:fill="DDDDDD"/>
          </w:tcPr>
          <w:p>
            <w:pPr>
              <w:ind w:left="360"/>
              <w:spacing w:after="0"/>
              <w:rPr>
                <w:sz w:val="20"/>
                <w:szCs w:val="20"/>
                <w:color w:val="auto"/>
              </w:rPr>
            </w:pPr>
            <w:r>
              <w:rPr>
                <w:rFonts w:ascii="Arial" w:cs="Arial" w:eastAsia="Arial" w:hAnsi="Arial"/>
                <w:sz w:val="18"/>
                <w:szCs w:val="18"/>
                <w:color w:val="auto"/>
              </w:rPr>
              <w:t>Actual return on plan assets</w:t>
            </w:r>
          </w:p>
        </w:tc>
        <w:tc>
          <w:tcPr>
            <w:tcW w:w="940" w:type="dxa"/>
            <w:vAlign w:val="bottom"/>
            <w:shd w:val="clear" w:color="auto" w:fill="DDDDDD"/>
          </w:tcPr>
          <w:p>
            <w:pPr>
              <w:spacing w:after="0"/>
              <w:rPr>
                <w:sz w:val="19"/>
                <w:szCs w:val="19"/>
                <w:color w:val="auto"/>
              </w:rPr>
            </w:pPr>
          </w:p>
        </w:tc>
        <w:tc>
          <w:tcPr>
            <w:tcW w:w="620" w:type="dxa"/>
            <w:vAlign w:val="bottom"/>
            <w:gridSpan w:val="2"/>
            <w:shd w:val="clear" w:color="auto" w:fill="DDDDDD"/>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240" w:type="dxa"/>
            <w:vAlign w:val="bottom"/>
          </w:tcPr>
          <w:p>
            <w:pPr>
              <w:ind w:left="360"/>
              <w:spacing w:after="0"/>
              <w:rPr>
                <w:sz w:val="20"/>
                <w:szCs w:val="20"/>
                <w:color w:val="auto"/>
              </w:rPr>
            </w:pPr>
            <w:r>
              <w:rPr>
                <w:rFonts w:ascii="Arial" w:cs="Arial" w:eastAsia="Arial" w:hAnsi="Arial"/>
                <w:sz w:val="18"/>
                <w:szCs w:val="18"/>
                <w:color w:val="auto"/>
              </w:rPr>
              <w:t>Company contributions</w:t>
            </w:r>
          </w:p>
        </w:tc>
        <w:tc>
          <w:tcPr>
            <w:tcW w:w="94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40" w:type="dxa"/>
            <w:vAlign w:val="bottom"/>
            <w:shd w:val="clear" w:color="auto" w:fill="DDDDDD"/>
          </w:tcPr>
          <w:p>
            <w:pPr>
              <w:ind w:left="360"/>
              <w:spacing w:after="0"/>
              <w:rPr>
                <w:sz w:val="20"/>
                <w:szCs w:val="20"/>
                <w:color w:val="auto"/>
              </w:rPr>
            </w:pPr>
            <w:r>
              <w:rPr>
                <w:rFonts w:ascii="Arial" w:cs="Arial" w:eastAsia="Arial" w:hAnsi="Arial"/>
                <w:sz w:val="18"/>
                <w:szCs w:val="18"/>
                <w:color w:val="auto"/>
              </w:rPr>
              <w:t>Benefits paid</w:t>
            </w:r>
          </w:p>
        </w:tc>
        <w:tc>
          <w:tcPr>
            <w:tcW w:w="940" w:type="dxa"/>
            <w:vAlign w:val="bottom"/>
            <w:tcBorders>
              <w:bottom w:val="single" w:sz="8" w:color="auto"/>
            </w:tcBorders>
            <w:shd w:val="clear" w:color="auto" w:fill="DDDDDD"/>
          </w:tcPr>
          <w:p>
            <w:pPr>
              <w:spacing w:after="0"/>
              <w:rPr>
                <w:sz w:val="19"/>
                <w:szCs w:val="19"/>
                <w:color w:val="auto"/>
              </w:rPr>
            </w:pPr>
          </w:p>
        </w:tc>
        <w:tc>
          <w:tcPr>
            <w:tcW w:w="5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DDDDD"/>
          </w:tcPr>
          <w:p>
            <w:pPr>
              <w:spacing w:after="0"/>
              <w:rPr>
                <w:sz w:val="19"/>
                <w:szCs w:val="19"/>
                <w:color w:val="auto"/>
              </w:rPr>
            </w:pPr>
          </w:p>
        </w:tc>
        <w:tc>
          <w:tcPr>
            <w:tcW w:w="340" w:type="dxa"/>
            <w:vAlign w:val="bottom"/>
            <w:tcBorders>
              <w:bottom w:val="single" w:sz="8" w:color="auto"/>
            </w:tcBorders>
            <w:shd w:val="clear" w:color="auto" w:fill="DDDDDD"/>
          </w:tcPr>
          <w:p>
            <w:pPr>
              <w:spacing w:after="0"/>
              <w:rPr>
                <w:sz w:val="19"/>
                <w:szCs w:val="19"/>
                <w:color w:val="auto"/>
              </w:rPr>
            </w:pPr>
          </w:p>
        </w:tc>
        <w:tc>
          <w:tcPr>
            <w:tcW w:w="11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240" w:type="dxa"/>
            <w:vAlign w:val="bottom"/>
          </w:tcPr>
          <w:p>
            <w:pPr>
              <w:ind w:left="360"/>
              <w:spacing w:after="0"/>
              <w:rPr>
                <w:sz w:val="20"/>
                <w:szCs w:val="20"/>
                <w:color w:val="auto"/>
              </w:rPr>
            </w:pPr>
            <w:r>
              <w:rPr>
                <w:rFonts w:ascii="Arial" w:cs="Arial" w:eastAsia="Arial" w:hAnsi="Arial"/>
                <w:sz w:val="18"/>
                <w:szCs w:val="18"/>
                <w:color w:val="auto"/>
              </w:rPr>
              <w:t>Fair value of plan assets at end of year</w:t>
            </w:r>
          </w:p>
        </w:tc>
        <w:tc>
          <w:tcPr>
            <w:tcW w:w="94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8240" w:type="dxa"/>
            <w:vAlign w:val="bottom"/>
            <w:tcBorders>
              <w:top w:val="single" w:sz="8" w:color="DDDDDD"/>
              <w:bottom w:val="single" w:sz="8" w:color="DDDDDD"/>
            </w:tcBorders>
            <w:shd w:val="clear" w:color="auto" w:fill="DDDDDD"/>
          </w:tcPr>
          <w:p>
            <w:pPr>
              <w:ind w:left="20"/>
              <w:spacing w:after="0"/>
              <w:rPr>
                <w:sz w:val="20"/>
                <w:szCs w:val="20"/>
                <w:color w:val="auto"/>
              </w:rPr>
            </w:pPr>
            <w:r>
              <w:rPr>
                <w:rFonts w:ascii="Arial" w:cs="Arial" w:eastAsia="Arial" w:hAnsi="Arial"/>
                <w:sz w:val="18"/>
                <w:szCs w:val="18"/>
                <w:color w:val="auto"/>
              </w:rPr>
              <w:t>Funded status of plans</w:t>
            </w:r>
          </w:p>
        </w:tc>
        <w:tc>
          <w:tcPr>
            <w:tcW w:w="940" w:type="dxa"/>
            <w:vAlign w:val="bottom"/>
            <w:tcBorders>
              <w:top w:val="single" w:sz="8" w:color="auto"/>
              <w:bottom w:val="single" w:sz="8" w:color="auto"/>
            </w:tcBorders>
            <w:shd w:val="clear" w:color="auto" w:fill="DDDDDD"/>
          </w:tcPr>
          <w:p>
            <w:pPr>
              <w:jc w:val="right"/>
              <w:ind w:right="734"/>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(229)</w:t>
            </w:r>
          </w:p>
        </w:tc>
        <w:tc>
          <w:tcPr>
            <w:tcW w:w="120" w:type="dxa"/>
            <w:vAlign w:val="bottom"/>
            <w:tcBorders>
              <w:top w:val="single" w:sz="8" w:color="DDDDDD"/>
              <w:bottom w:val="single" w:sz="8" w:color="DDDDDD"/>
            </w:tcBorders>
            <w:shd w:val="clear" w:color="auto" w:fill="DDDDDD"/>
          </w:tcPr>
          <w:p>
            <w:pPr>
              <w:spacing w:after="0"/>
              <w:rPr>
                <w:sz w:val="21"/>
                <w:szCs w:val="21"/>
                <w:color w:val="auto"/>
              </w:rPr>
            </w:pPr>
          </w:p>
        </w:tc>
        <w:tc>
          <w:tcPr>
            <w:tcW w:w="340" w:type="dxa"/>
            <w:vAlign w:val="bottom"/>
            <w:tcBorders>
              <w:top w:val="single" w:sz="8" w:color="auto"/>
              <w:bottom w:val="single" w:sz="8" w:color="auto"/>
            </w:tcBorders>
            <w:shd w:val="clear" w:color="auto" w:fill="DDDDDD"/>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0"/>
        </w:trPr>
        <w:tc>
          <w:tcPr>
            <w:tcW w:w="8240" w:type="dxa"/>
            <w:vAlign w:val="bottom"/>
            <w:tcBorders>
              <w:top w:val="single" w:sz="8" w:color="DDDDDD"/>
              <w:bottom w:val="single" w:sz="8" w:color="DDDDDD"/>
            </w:tcBorders>
            <w:vMerge w:val="restart"/>
          </w:tcPr>
          <w:p>
            <w:pPr>
              <w:ind w:left="20"/>
              <w:spacing w:after="0"/>
              <w:rPr>
                <w:sz w:val="20"/>
                <w:szCs w:val="20"/>
                <w:color w:val="auto"/>
              </w:rPr>
            </w:pPr>
            <w:r>
              <w:rPr>
                <w:rFonts w:ascii="Arial" w:cs="Arial" w:eastAsia="Arial" w:hAnsi="Arial"/>
                <w:sz w:val="18"/>
                <w:szCs w:val="18"/>
                <w:color w:val="auto"/>
              </w:rPr>
              <w:t>Amounts recognized in Consolidated Balance Sheet consist of:</w:t>
            </w:r>
          </w:p>
        </w:tc>
        <w:tc>
          <w:tcPr>
            <w:tcW w:w="940" w:type="dxa"/>
            <w:vAlign w:val="bottom"/>
            <w:tcBorders>
              <w:top w:val="single" w:sz="8" w:color="DDDDDD"/>
              <w:bottom w:val="single" w:sz="8" w:color="auto"/>
            </w:tcBorders>
          </w:tcPr>
          <w:p>
            <w:pPr>
              <w:spacing w:after="0" w:line="20" w:lineRule="exact"/>
              <w:rPr>
                <w:sz w:val="1"/>
                <w:szCs w:val="1"/>
                <w:color w:val="auto"/>
              </w:rPr>
            </w:pPr>
          </w:p>
        </w:tc>
        <w:tc>
          <w:tcPr>
            <w:tcW w:w="500" w:type="dxa"/>
            <w:vAlign w:val="bottom"/>
            <w:tcBorders>
              <w:top w:val="single" w:sz="8" w:color="DDDDDD"/>
              <w:bottom w:val="single" w:sz="8" w:color="auto"/>
            </w:tcBorders>
          </w:tcPr>
          <w:p>
            <w:pPr>
              <w:spacing w:after="0" w:line="20" w:lineRule="exact"/>
              <w:rPr>
                <w:sz w:val="1"/>
                <w:szCs w:val="1"/>
                <w:color w:val="auto"/>
              </w:rPr>
            </w:pPr>
          </w:p>
        </w:tc>
        <w:tc>
          <w:tcPr>
            <w:tcW w:w="120" w:type="dxa"/>
            <w:vAlign w:val="bottom"/>
            <w:tcBorders>
              <w:top w:val="single" w:sz="8" w:color="DDDDDD"/>
            </w:tcBorders>
          </w:tcPr>
          <w:p>
            <w:pPr>
              <w:spacing w:after="0" w:line="20" w:lineRule="exact"/>
              <w:rPr>
                <w:sz w:val="1"/>
                <w:szCs w:val="1"/>
                <w:color w:val="auto"/>
              </w:rPr>
            </w:pPr>
          </w:p>
        </w:tc>
        <w:tc>
          <w:tcPr>
            <w:tcW w:w="340" w:type="dxa"/>
            <w:vAlign w:val="bottom"/>
            <w:tcBorders>
              <w:top w:val="single" w:sz="8" w:color="DDDDDD"/>
              <w:bottom w:val="single" w:sz="8" w:color="auto"/>
            </w:tcBorders>
          </w:tcPr>
          <w:p>
            <w:pPr>
              <w:spacing w:after="0" w:line="20" w:lineRule="exact"/>
              <w:rPr>
                <w:sz w:val="1"/>
                <w:szCs w:val="1"/>
                <w:color w:val="auto"/>
              </w:rPr>
            </w:pPr>
          </w:p>
        </w:tc>
        <w:tc>
          <w:tcPr>
            <w:tcW w:w="1100" w:type="dxa"/>
            <w:vAlign w:val="bottom"/>
            <w:tcBorders>
              <w:top w:val="single" w:sz="8" w:color="DDDDD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40" w:type="dxa"/>
            <w:vAlign w:val="bottom"/>
            <w:vMerge w:val="continue"/>
          </w:tcPr>
          <w:p>
            <w:pPr>
              <w:spacing w:after="0"/>
              <w:rPr>
                <w:sz w:val="15"/>
                <w:szCs w:val="15"/>
                <w:color w:val="auto"/>
              </w:rPr>
            </w:pPr>
          </w:p>
        </w:tc>
        <w:tc>
          <w:tcPr>
            <w:tcW w:w="9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DDDDDD"/>
          </w:tcPr>
          <w:p>
            <w:pPr>
              <w:ind w:left="360"/>
              <w:spacing w:after="0"/>
              <w:rPr>
                <w:sz w:val="20"/>
                <w:szCs w:val="20"/>
                <w:color w:val="auto"/>
              </w:rPr>
            </w:pPr>
            <w:r>
              <w:rPr>
                <w:rFonts w:ascii="Arial" w:cs="Arial" w:eastAsia="Arial" w:hAnsi="Arial"/>
                <w:sz w:val="18"/>
                <w:szCs w:val="18"/>
                <w:color w:val="auto"/>
              </w:rPr>
              <w:t>Accrued liabilities</w:t>
            </w:r>
          </w:p>
        </w:tc>
        <w:tc>
          <w:tcPr>
            <w:tcW w:w="940" w:type="dxa"/>
            <w:vAlign w:val="bottom"/>
            <w:shd w:val="clear" w:color="auto" w:fill="DDDDDD"/>
          </w:tcPr>
          <w:p>
            <w:pPr>
              <w:jc w:val="right"/>
              <w:ind w:right="734"/>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DDDDDD"/>
          </w:tcPr>
          <w:p>
            <w:pPr>
              <w:spacing w:after="0"/>
              <w:rPr>
                <w:sz w:val="19"/>
                <w:szCs w:val="19"/>
                <w:color w:val="auto"/>
              </w:rPr>
            </w:pPr>
          </w:p>
        </w:tc>
        <w:tc>
          <w:tcPr>
            <w:tcW w:w="3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DDDDDD"/>
            </w:tcBorders>
          </w:tcPr>
          <w:p>
            <w:pPr>
              <w:ind w:left="400"/>
              <w:spacing w:after="0" w:line="230" w:lineRule="exact"/>
              <w:rPr>
                <w:sz w:val="20"/>
                <w:szCs w:val="20"/>
                <w:color w:val="auto"/>
              </w:rPr>
            </w:pPr>
            <w:r>
              <w:rPr>
                <w:rFonts w:ascii="Arial" w:cs="Arial" w:eastAsia="Arial" w:hAnsi="Arial"/>
                <w:sz w:val="18"/>
                <w:szCs w:val="18"/>
                <w:color w:val="auto"/>
              </w:rPr>
              <w:t>Postretirement benefit obligations other than pensions</w:t>
            </w:r>
            <w:r>
              <w:rPr>
                <w:rFonts w:ascii="Arial" w:cs="Arial" w:eastAsia="Arial" w:hAnsi="Arial"/>
                <w:sz w:val="23"/>
                <w:szCs w:val="23"/>
                <w:color w:val="auto"/>
                <w:vertAlign w:val="superscript"/>
              </w:rPr>
              <w:t>(1)</w:t>
            </w: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Borders>
              <w:bottom w:val="single" w:sz="8" w:color="DDDDDD"/>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8"/>
                <w:szCs w:val="18"/>
                <w:color w:val="auto"/>
              </w:rPr>
              <w:t>Net amount recognized</w:t>
            </w:r>
          </w:p>
        </w:tc>
        <w:tc>
          <w:tcPr>
            <w:tcW w:w="940" w:type="dxa"/>
            <w:vAlign w:val="bottom"/>
            <w:tcBorders>
              <w:bottom w:val="single" w:sz="8" w:color="auto"/>
            </w:tcBorders>
            <w:shd w:val="clear" w:color="auto" w:fill="DDDDDD"/>
          </w:tcPr>
          <w:p>
            <w:pPr>
              <w:jc w:val="right"/>
              <w:ind w:right="734"/>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(229)</w:t>
            </w:r>
          </w:p>
        </w:tc>
        <w:tc>
          <w:tcPr>
            <w:tcW w:w="120" w:type="dxa"/>
            <w:vAlign w:val="bottom"/>
            <w:tcBorders>
              <w:bottom w:val="single" w:sz="8" w:color="DDDDDD"/>
            </w:tcBorders>
            <w:shd w:val="clear" w:color="auto" w:fill="DDDDDD"/>
          </w:tcPr>
          <w:p>
            <w:pPr>
              <w:spacing w:after="0"/>
              <w:rPr>
                <w:sz w:val="21"/>
                <w:szCs w:val="21"/>
                <w:color w:val="auto"/>
              </w:rPr>
            </w:pPr>
          </w:p>
        </w:tc>
        <w:tc>
          <w:tcPr>
            <w:tcW w:w="340" w:type="dxa"/>
            <w:vAlign w:val="bottom"/>
            <w:tcBorders>
              <w:bottom w:val="single" w:sz="8" w:color="auto"/>
            </w:tcBorders>
            <w:shd w:val="clear" w:color="auto" w:fill="DDDDDD"/>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0"/>
        </w:trPr>
        <w:tc>
          <w:tcPr>
            <w:tcW w:w="8240" w:type="dxa"/>
            <w:vAlign w:val="bottom"/>
            <w:tcBorders>
              <w:top w:val="single" w:sz="8" w:color="DDDDDD"/>
            </w:tcBorders>
          </w:tcPr>
          <w:p>
            <w:pPr>
              <w:spacing w:after="0" w:line="20" w:lineRule="exact"/>
              <w:rPr>
                <w:sz w:val="1"/>
                <w:szCs w:val="1"/>
                <w:color w:val="auto"/>
              </w:rPr>
            </w:pPr>
          </w:p>
        </w:tc>
        <w:tc>
          <w:tcPr>
            <w:tcW w:w="940" w:type="dxa"/>
            <w:vAlign w:val="bottom"/>
            <w:tcBorders>
              <w:top w:val="single" w:sz="8" w:color="DDDDDD"/>
              <w:bottom w:val="single" w:sz="8" w:color="auto"/>
            </w:tcBorders>
          </w:tcPr>
          <w:p>
            <w:pPr>
              <w:spacing w:after="0" w:line="20" w:lineRule="exact"/>
              <w:rPr>
                <w:sz w:val="1"/>
                <w:szCs w:val="1"/>
                <w:color w:val="auto"/>
              </w:rPr>
            </w:pPr>
          </w:p>
        </w:tc>
        <w:tc>
          <w:tcPr>
            <w:tcW w:w="500" w:type="dxa"/>
            <w:vAlign w:val="bottom"/>
            <w:tcBorders>
              <w:top w:val="single" w:sz="8" w:color="DDDDDD"/>
              <w:bottom w:val="single" w:sz="8" w:color="auto"/>
            </w:tcBorders>
          </w:tcPr>
          <w:p>
            <w:pPr>
              <w:spacing w:after="0" w:line="20" w:lineRule="exact"/>
              <w:rPr>
                <w:sz w:val="1"/>
                <w:szCs w:val="1"/>
                <w:color w:val="auto"/>
              </w:rPr>
            </w:pPr>
          </w:p>
        </w:tc>
        <w:tc>
          <w:tcPr>
            <w:tcW w:w="120" w:type="dxa"/>
            <w:vAlign w:val="bottom"/>
            <w:tcBorders>
              <w:top w:val="single" w:sz="8" w:color="DDDDDD"/>
            </w:tcBorders>
          </w:tcPr>
          <w:p>
            <w:pPr>
              <w:spacing w:after="0" w:line="20" w:lineRule="exact"/>
              <w:rPr>
                <w:sz w:val="1"/>
                <w:szCs w:val="1"/>
                <w:color w:val="auto"/>
              </w:rPr>
            </w:pPr>
          </w:p>
        </w:tc>
        <w:tc>
          <w:tcPr>
            <w:tcW w:w="340" w:type="dxa"/>
            <w:vAlign w:val="bottom"/>
            <w:tcBorders>
              <w:top w:val="single" w:sz="8" w:color="DDDDDD"/>
              <w:bottom w:val="single" w:sz="8" w:color="auto"/>
            </w:tcBorders>
          </w:tcPr>
          <w:p>
            <w:pPr>
              <w:spacing w:after="0" w:line="20" w:lineRule="exact"/>
              <w:rPr>
                <w:sz w:val="1"/>
                <w:szCs w:val="1"/>
                <w:color w:val="auto"/>
              </w:rPr>
            </w:pPr>
          </w:p>
        </w:tc>
        <w:tc>
          <w:tcPr>
            <w:tcW w:w="1100" w:type="dxa"/>
            <w:vAlign w:val="bottom"/>
            <w:tcBorders>
              <w:top w:val="single" w:sz="8" w:color="DDDDD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(1) Excludes non-U.S. plan of $40 million and $41 million as of December 31, 2020 and 2019.</w:t>
      </w:r>
    </w:p>
    <w:p>
      <w:pPr>
        <w:spacing w:after="0" w:line="33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Amounts recognized in Accumulated other comprehensive (income) loss associated with the Company's significant pension and other postretirement benefit plans at December 31, 2020 and 2019 are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00" w:type="dxa"/>
            <w:vAlign w:val="bottom"/>
          </w:tcPr>
          <w:p>
            <w:pPr>
              <w:spacing w:after="0"/>
              <w:rPr>
                <w:sz w:val="17"/>
                <w:szCs w:val="17"/>
                <w:color w:val="auto"/>
              </w:rPr>
            </w:pPr>
          </w:p>
        </w:tc>
        <w:tc>
          <w:tcPr>
            <w:tcW w:w="920" w:type="dxa"/>
            <w:vAlign w:val="bottom"/>
            <w:tcBorders>
              <w:bottom w:val="single" w:sz="8" w:color="DC202E"/>
            </w:tcBorders>
          </w:tcPr>
          <w:p>
            <w:pPr>
              <w:spacing w:after="0"/>
              <w:rPr>
                <w:sz w:val="17"/>
                <w:szCs w:val="17"/>
                <w:color w:val="auto"/>
              </w:rPr>
            </w:pPr>
          </w:p>
        </w:tc>
        <w:tc>
          <w:tcPr>
            <w:tcW w:w="500" w:type="dxa"/>
            <w:vAlign w:val="bottom"/>
            <w:tcBorders>
              <w:bottom w:val="single" w:sz="8" w:color="DC202E"/>
            </w:tcBorders>
          </w:tcPr>
          <w:p>
            <w:pPr>
              <w:spacing w:after="0"/>
              <w:rPr>
                <w:sz w:val="17"/>
                <w:szCs w:val="17"/>
                <w:color w:val="auto"/>
              </w:rPr>
            </w:pPr>
          </w:p>
        </w:tc>
        <w:tc>
          <w:tcPr>
            <w:tcW w:w="120" w:type="dxa"/>
            <w:vAlign w:val="bottom"/>
            <w:tcBorders>
              <w:bottom w:val="single" w:sz="8" w:color="DC202E"/>
            </w:tcBorders>
          </w:tcPr>
          <w:p>
            <w:pPr>
              <w:spacing w:after="0"/>
              <w:rPr>
                <w:sz w:val="17"/>
                <w:szCs w:val="17"/>
                <w:color w:val="auto"/>
              </w:rPr>
            </w:pPr>
          </w:p>
        </w:tc>
        <w:tc>
          <w:tcPr>
            <w:tcW w:w="880" w:type="dxa"/>
            <w:vAlign w:val="bottom"/>
            <w:tcBorders>
              <w:bottom w:val="single" w:sz="8" w:color="DC202E"/>
            </w:tcBorders>
          </w:tcPr>
          <w:p>
            <w:pPr>
              <w:spacing w:after="0"/>
              <w:rPr>
                <w:sz w:val="17"/>
                <w:szCs w:val="17"/>
                <w:color w:val="auto"/>
              </w:rPr>
            </w:pPr>
          </w:p>
        </w:tc>
        <w:tc>
          <w:tcPr>
            <w:tcW w:w="1580" w:type="dxa"/>
            <w:vAlign w:val="bottom"/>
            <w:tcBorders>
              <w:bottom w:val="single" w:sz="8" w:color="DC202E"/>
            </w:tcBorders>
            <w:gridSpan w:val="4"/>
          </w:tcPr>
          <w:p>
            <w:pPr>
              <w:jc w:val="right"/>
              <w:ind w:right="328"/>
              <w:spacing w:after="0"/>
              <w:rPr>
                <w:sz w:val="20"/>
                <w:szCs w:val="20"/>
                <w:color w:val="auto"/>
              </w:rPr>
            </w:pPr>
            <w:r>
              <w:rPr>
                <w:rFonts w:ascii="Arial" w:cs="Arial" w:eastAsia="Arial" w:hAnsi="Arial"/>
                <w:sz w:val="14"/>
                <w:szCs w:val="14"/>
                <w:b w:val="1"/>
                <w:bCs w:val="1"/>
                <w:color w:val="auto"/>
              </w:rPr>
              <w:t>Pension Benefits</w:t>
            </w:r>
          </w:p>
        </w:tc>
        <w:tc>
          <w:tcPr>
            <w:tcW w:w="480" w:type="dxa"/>
            <w:vAlign w:val="bottom"/>
            <w:tcBorders>
              <w:bottom w:val="single" w:sz="8" w:color="DC202E"/>
            </w:tcBorders>
          </w:tcPr>
          <w:p>
            <w:pPr>
              <w:spacing w:after="0"/>
              <w:rPr>
                <w:sz w:val="17"/>
                <w:szCs w:val="17"/>
                <w:color w:val="auto"/>
              </w:rPr>
            </w:pPr>
          </w:p>
        </w:tc>
        <w:tc>
          <w:tcPr>
            <w:tcW w:w="20" w:type="dxa"/>
            <w:vAlign w:val="bottom"/>
            <w:tcBorders>
              <w:bottom w:val="single" w:sz="8" w:color="DC202E"/>
            </w:tcBorders>
          </w:tcPr>
          <w:p>
            <w:pPr>
              <w:spacing w:after="0"/>
              <w:rPr>
                <w:sz w:val="17"/>
                <w:szCs w:val="17"/>
                <w:color w:val="auto"/>
              </w:rPr>
            </w:pPr>
          </w:p>
        </w:tc>
        <w:tc>
          <w:tcPr>
            <w:tcW w:w="100" w:type="dxa"/>
            <w:vAlign w:val="bottom"/>
            <w:tcBorders>
              <w:bottom w:val="single" w:sz="8" w:color="DC202E"/>
            </w:tcBorders>
          </w:tcPr>
          <w:p>
            <w:pPr>
              <w:spacing w:after="0"/>
              <w:rPr>
                <w:sz w:val="17"/>
                <w:szCs w:val="17"/>
                <w:color w:val="auto"/>
              </w:rPr>
            </w:pPr>
          </w:p>
        </w:tc>
        <w:tc>
          <w:tcPr>
            <w:tcW w:w="980" w:type="dxa"/>
            <w:vAlign w:val="bottom"/>
            <w:tcBorders>
              <w:bottom w:val="single" w:sz="8" w:color="DC202E"/>
            </w:tcBorders>
          </w:tcPr>
          <w:p>
            <w:pPr>
              <w:spacing w:after="0"/>
              <w:rPr>
                <w:sz w:val="17"/>
                <w:szCs w:val="17"/>
                <w:color w:val="auto"/>
              </w:rPr>
            </w:pPr>
          </w:p>
        </w:tc>
        <w:tc>
          <w:tcPr>
            <w:tcW w:w="460" w:type="dxa"/>
            <w:vAlign w:val="bottom"/>
            <w:tcBorders>
              <w:bottom w:val="single" w:sz="8" w:color="DC202E"/>
            </w:tcBorders>
          </w:tcPr>
          <w:p>
            <w:pPr>
              <w:spacing w:after="0"/>
              <w:rPr>
                <w:sz w:val="17"/>
                <w:szCs w:val="17"/>
                <w:color w:val="auto"/>
              </w:rPr>
            </w:pPr>
          </w:p>
        </w:tc>
      </w:tr>
      <w:tr>
        <w:trPr>
          <w:trHeight w:val="196"/>
        </w:trPr>
        <w:tc>
          <w:tcPr>
            <w:tcW w:w="5200" w:type="dxa"/>
            <w:vAlign w:val="bottom"/>
          </w:tcPr>
          <w:p>
            <w:pPr>
              <w:spacing w:after="0"/>
              <w:rPr>
                <w:sz w:val="17"/>
                <w:szCs w:val="17"/>
                <w:color w:val="auto"/>
              </w:rPr>
            </w:pPr>
          </w:p>
        </w:tc>
        <w:tc>
          <w:tcPr>
            <w:tcW w:w="920" w:type="dxa"/>
            <w:vAlign w:val="bottom"/>
            <w:tcBorders>
              <w:bottom w:val="single" w:sz="8" w:color="DC202E"/>
            </w:tcBorders>
          </w:tcPr>
          <w:p>
            <w:pPr>
              <w:spacing w:after="0"/>
              <w:rPr>
                <w:sz w:val="17"/>
                <w:szCs w:val="17"/>
                <w:color w:val="auto"/>
              </w:rPr>
            </w:pPr>
          </w:p>
        </w:tc>
        <w:tc>
          <w:tcPr>
            <w:tcW w:w="1500" w:type="dxa"/>
            <w:vAlign w:val="bottom"/>
            <w:tcBorders>
              <w:bottom w:val="single" w:sz="8" w:color="DC202E"/>
            </w:tcBorders>
            <w:gridSpan w:val="3"/>
          </w:tcPr>
          <w:p>
            <w:pPr>
              <w:jc w:val="right"/>
              <w:ind w:right="516"/>
              <w:spacing w:after="0"/>
              <w:rPr>
                <w:sz w:val="20"/>
                <w:szCs w:val="20"/>
                <w:color w:val="auto"/>
              </w:rPr>
            </w:pPr>
            <w:r>
              <w:rPr>
                <w:rFonts w:ascii="Arial" w:cs="Arial" w:eastAsia="Arial" w:hAnsi="Arial"/>
                <w:sz w:val="14"/>
                <w:szCs w:val="14"/>
                <w:b w:val="1"/>
                <w:bCs w:val="1"/>
                <w:color w:val="auto"/>
              </w:rPr>
              <w:t>U.S. Plans</w:t>
            </w:r>
          </w:p>
        </w:tc>
        <w:tc>
          <w:tcPr>
            <w:tcW w:w="540" w:type="dxa"/>
            <w:vAlign w:val="bottom"/>
            <w:tcBorders>
              <w:bottom w:val="single" w:sz="8" w:color="DC202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Borders>
              <w:bottom w:val="single" w:sz="8" w:color="DC202E"/>
            </w:tcBorders>
          </w:tcPr>
          <w:p>
            <w:pPr>
              <w:spacing w:after="0"/>
              <w:rPr>
                <w:sz w:val="17"/>
                <w:szCs w:val="17"/>
                <w:color w:val="auto"/>
              </w:rPr>
            </w:pPr>
          </w:p>
        </w:tc>
        <w:tc>
          <w:tcPr>
            <w:tcW w:w="1580" w:type="dxa"/>
            <w:vAlign w:val="bottom"/>
            <w:tcBorders>
              <w:bottom w:val="single" w:sz="8" w:color="DC202E"/>
            </w:tcBorders>
            <w:gridSpan w:val="4"/>
          </w:tcPr>
          <w:p>
            <w:pPr>
              <w:jc w:val="right"/>
              <w:ind w:right="416"/>
              <w:spacing w:after="0"/>
              <w:rPr>
                <w:sz w:val="20"/>
                <w:szCs w:val="20"/>
                <w:color w:val="auto"/>
              </w:rPr>
            </w:pPr>
            <w:r>
              <w:rPr>
                <w:rFonts w:ascii="Arial" w:cs="Arial" w:eastAsia="Arial" w:hAnsi="Arial"/>
                <w:sz w:val="14"/>
                <w:szCs w:val="14"/>
                <w:b w:val="1"/>
                <w:bCs w:val="1"/>
                <w:color w:val="auto"/>
              </w:rPr>
              <w:t>Non-U.S. Plans</w:t>
            </w:r>
          </w:p>
        </w:tc>
        <w:tc>
          <w:tcPr>
            <w:tcW w:w="460" w:type="dxa"/>
            <w:vAlign w:val="bottom"/>
            <w:tcBorders>
              <w:bottom w:val="single" w:sz="8" w:color="DC202E"/>
            </w:tcBorders>
          </w:tcPr>
          <w:p>
            <w:pPr>
              <w:spacing w:after="0"/>
              <w:rPr>
                <w:sz w:val="17"/>
                <w:szCs w:val="17"/>
                <w:color w:val="auto"/>
              </w:rPr>
            </w:pPr>
          </w:p>
        </w:tc>
      </w:tr>
      <w:tr>
        <w:trPr>
          <w:trHeight w:val="250"/>
        </w:trPr>
        <w:tc>
          <w:tcPr>
            <w:tcW w:w="5200" w:type="dxa"/>
            <w:vAlign w:val="bottom"/>
            <w:tcBorders>
              <w:bottom w:val="single" w:sz="8" w:color="DDDDDD"/>
            </w:tcBorders>
          </w:tcPr>
          <w:p>
            <w:pPr>
              <w:spacing w:after="0"/>
              <w:rPr>
                <w:sz w:val="21"/>
                <w:szCs w:val="21"/>
                <w:color w:val="auto"/>
              </w:rPr>
            </w:pPr>
          </w:p>
        </w:tc>
        <w:tc>
          <w:tcPr>
            <w:tcW w:w="92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DC202E"/>
            </w:tcBorders>
          </w:tcPr>
          <w:p>
            <w:pPr>
              <w:spacing w:after="0"/>
              <w:rPr>
                <w:sz w:val="21"/>
                <w:szCs w:val="21"/>
                <w:color w:val="auto"/>
              </w:rPr>
            </w:pPr>
          </w:p>
        </w:tc>
        <w:tc>
          <w:tcPr>
            <w:tcW w:w="120" w:type="dxa"/>
            <w:vAlign w:val="bottom"/>
            <w:tcBorders>
              <w:bottom w:val="single" w:sz="8" w:color="DDDDDD"/>
            </w:tcBorders>
          </w:tcPr>
          <w:p>
            <w:pPr>
              <w:spacing w:after="0"/>
              <w:rPr>
                <w:sz w:val="21"/>
                <w:szCs w:val="21"/>
                <w:color w:val="auto"/>
              </w:rPr>
            </w:pPr>
          </w:p>
        </w:tc>
        <w:tc>
          <w:tcPr>
            <w:tcW w:w="88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DC202E"/>
            </w:tcBorders>
          </w:tcPr>
          <w:p>
            <w:pPr>
              <w:spacing w:after="0"/>
              <w:rPr>
                <w:sz w:val="21"/>
                <w:szCs w:val="21"/>
                <w:color w:val="auto"/>
              </w:rPr>
            </w:pPr>
          </w:p>
        </w:tc>
        <w:tc>
          <w:tcPr>
            <w:tcW w:w="100" w:type="dxa"/>
            <w:vAlign w:val="bottom"/>
            <w:tcBorders>
              <w:bottom w:val="single" w:sz="8" w:color="DDDDDD"/>
            </w:tcBorders>
            <w:gridSpan w:val="2"/>
          </w:tcPr>
          <w:p>
            <w:pPr>
              <w:spacing w:after="0"/>
              <w:rPr>
                <w:sz w:val="21"/>
                <w:szCs w:val="21"/>
                <w:color w:val="auto"/>
              </w:rPr>
            </w:pPr>
          </w:p>
        </w:tc>
        <w:tc>
          <w:tcPr>
            <w:tcW w:w="94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DC202E"/>
            </w:tcBorders>
          </w:tcPr>
          <w:p>
            <w:pPr>
              <w:spacing w:after="0"/>
              <w:rPr>
                <w:sz w:val="21"/>
                <w:szCs w:val="21"/>
                <w:color w:val="auto"/>
              </w:rPr>
            </w:pPr>
          </w:p>
        </w:tc>
        <w:tc>
          <w:tcPr>
            <w:tcW w:w="20" w:type="dxa"/>
            <w:vAlign w:val="bottom"/>
            <w:tcBorders>
              <w:bottom w:val="single" w:sz="8" w:color="DC202E"/>
            </w:tcBorders>
          </w:tcPr>
          <w:p>
            <w:pPr>
              <w:spacing w:after="0"/>
              <w:rPr>
                <w:sz w:val="21"/>
                <w:szCs w:val="21"/>
                <w:color w:val="auto"/>
              </w:rPr>
            </w:pPr>
          </w:p>
        </w:tc>
        <w:tc>
          <w:tcPr>
            <w:tcW w:w="100" w:type="dxa"/>
            <w:vAlign w:val="bottom"/>
            <w:tcBorders>
              <w:bottom w:val="single" w:sz="8" w:color="DDDDDD"/>
            </w:tcBorders>
          </w:tcPr>
          <w:p>
            <w:pPr>
              <w:spacing w:after="0"/>
              <w:rPr>
                <w:sz w:val="21"/>
                <w:szCs w:val="21"/>
                <w:color w:val="auto"/>
              </w:rPr>
            </w:pPr>
          </w:p>
        </w:tc>
        <w:tc>
          <w:tcPr>
            <w:tcW w:w="980" w:type="dxa"/>
            <w:vAlign w:val="bottom"/>
            <w:tcBorders>
              <w:bottom w:val="single" w:sz="8" w:color="DC202E"/>
            </w:tcBorders>
          </w:tcPr>
          <w:p>
            <w:pPr>
              <w:jc w:val="right"/>
              <w:ind w:right="16"/>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DC202E"/>
            </w:tcBorders>
          </w:tcPr>
          <w:p>
            <w:pPr>
              <w:spacing w:after="0"/>
              <w:rPr>
                <w:sz w:val="21"/>
                <w:szCs w:val="21"/>
                <w:color w:val="auto"/>
              </w:rPr>
            </w:pPr>
          </w:p>
        </w:tc>
      </w:tr>
      <w:tr>
        <w:trPr>
          <w:trHeight w:val="230"/>
        </w:trPr>
        <w:tc>
          <w:tcPr>
            <w:tcW w:w="5200" w:type="dxa"/>
            <w:vAlign w:val="bottom"/>
            <w:shd w:val="clear" w:color="auto" w:fill="DDDDDD"/>
          </w:tcPr>
          <w:p>
            <w:pPr>
              <w:ind w:left="20"/>
              <w:spacing w:after="0"/>
              <w:rPr>
                <w:sz w:val="20"/>
                <w:szCs w:val="20"/>
                <w:color w:val="auto"/>
              </w:rPr>
            </w:pPr>
            <w:r>
              <w:rPr>
                <w:rFonts w:ascii="Arial" w:cs="Arial" w:eastAsia="Arial" w:hAnsi="Arial"/>
                <w:sz w:val="18"/>
                <w:szCs w:val="18"/>
                <w:color w:val="auto"/>
              </w:rPr>
              <w:t>Prior service (credit) cost</w:t>
            </w:r>
          </w:p>
        </w:tc>
        <w:tc>
          <w:tcPr>
            <w:tcW w:w="920" w:type="dxa"/>
            <w:vAlign w:val="bottom"/>
            <w:shd w:val="clear" w:color="auto" w:fill="DDDDDD"/>
          </w:tcPr>
          <w:p>
            <w:pPr>
              <w:jc w:val="right"/>
              <w:ind w:right="716"/>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DDDDDD"/>
          </w:tcPr>
          <w:p>
            <w:pPr>
              <w:jc w:val="center"/>
              <w:spacing w:after="0"/>
              <w:rPr>
                <w:sz w:val="20"/>
                <w:szCs w:val="20"/>
                <w:color w:val="auto"/>
              </w:rPr>
            </w:pPr>
            <w:r>
              <w:rPr>
                <w:rFonts w:ascii="Arial" w:cs="Arial" w:eastAsia="Arial" w:hAnsi="Arial"/>
                <w:sz w:val="18"/>
                <w:szCs w:val="18"/>
                <w:color w:val="auto"/>
                <w:w w:val="99"/>
              </w:rPr>
              <w:t>(134)</w:t>
            </w:r>
          </w:p>
        </w:tc>
        <w:tc>
          <w:tcPr>
            <w:tcW w:w="120" w:type="dxa"/>
            <w:vAlign w:val="bottom"/>
            <w:shd w:val="clear" w:color="auto" w:fill="DDDDDD"/>
          </w:tcPr>
          <w:p>
            <w:pPr>
              <w:spacing w:after="0"/>
              <w:rPr>
                <w:sz w:val="19"/>
                <w:szCs w:val="19"/>
                <w:color w:val="auto"/>
              </w:rPr>
            </w:pPr>
          </w:p>
        </w:tc>
        <w:tc>
          <w:tcPr>
            <w:tcW w:w="880" w:type="dxa"/>
            <w:vAlign w:val="bottom"/>
            <w:shd w:val="clear" w:color="auto" w:fill="DDDDDD"/>
          </w:tcPr>
          <w:p>
            <w:pPr>
              <w:jc w:val="right"/>
              <w:ind w:right="696"/>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DDDDDD"/>
          </w:tcPr>
          <w:p>
            <w:pPr>
              <w:jc w:val="center"/>
              <w:spacing w:after="0"/>
              <w:rPr>
                <w:sz w:val="20"/>
                <w:szCs w:val="20"/>
                <w:color w:val="auto"/>
              </w:rPr>
            </w:pPr>
            <w:r>
              <w:rPr>
                <w:rFonts w:ascii="Arial" w:cs="Arial" w:eastAsia="Arial" w:hAnsi="Arial"/>
                <w:sz w:val="18"/>
                <w:szCs w:val="18"/>
                <w:color w:val="auto"/>
                <w:w w:val="99"/>
              </w:rPr>
              <w:t>(176)</w:t>
            </w:r>
          </w:p>
        </w:tc>
        <w:tc>
          <w:tcPr>
            <w:tcW w:w="1040" w:type="dxa"/>
            <w:vAlign w:val="bottom"/>
            <w:gridSpan w:val="3"/>
            <w:shd w:val="clear" w:color="auto" w:fill="DDDDDD"/>
          </w:tcPr>
          <w:p>
            <w:pPr>
              <w:jc w:val="right"/>
              <w:ind w:right="748"/>
              <w:spacing w:after="0"/>
              <w:rPr>
                <w:sz w:val="20"/>
                <w:szCs w:val="20"/>
                <w:color w:val="auto"/>
              </w:rPr>
            </w:pPr>
            <w:r>
              <w:rPr>
                <w:rFonts w:ascii="Arial" w:cs="Arial" w:eastAsia="Arial" w:hAnsi="Arial"/>
                <w:sz w:val="18"/>
                <w:szCs w:val="18"/>
                <w:color w:val="auto"/>
              </w:rPr>
              <w:t>$</w:t>
            </w:r>
          </w:p>
        </w:tc>
        <w:tc>
          <w:tcPr>
            <w:tcW w:w="4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23</w:t>
            </w:r>
          </w:p>
        </w:tc>
        <w:tc>
          <w:tcPr>
            <w:tcW w:w="2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980" w:type="dxa"/>
            <w:vAlign w:val="bottom"/>
            <w:shd w:val="clear" w:color="auto" w:fill="DDDDDD"/>
          </w:tcPr>
          <w:p>
            <w:pPr>
              <w:jc w:val="right"/>
              <w:ind w:right="776"/>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5200" w:type="dxa"/>
            <w:vAlign w:val="bottom"/>
            <w:tcBorders>
              <w:bottom w:val="single" w:sz="8" w:color="DDDDDD"/>
            </w:tcBorders>
          </w:tcPr>
          <w:p>
            <w:pPr>
              <w:ind w:left="20"/>
              <w:spacing w:after="0"/>
              <w:rPr>
                <w:sz w:val="20"/>
                <w:szCs w:val="20"/>
                <w:color w:val="auto"/>
              </w:rPr>
            </w:pPr>
            <w:r>
              <w:rPr>
                <w:rFonts w:ascii="Arial" w:cs="Arial" w:eastAsia="Arial" w:hAnsi="Arial"/>
                <w:sz w:val="18"/>
                <w:szCs w:val="18"/>
                <w:color w:val="auto"/>
              </w:rPr>
              <w:t>Net actuarial (gain) loss</w:t>
            </w: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505</w:t>
            </w:r>
          </w:p>
        </w:tc>
        <w:tc>
          <w:tcPr>
            <w:tcW w:w="120" w:type="dxa"/>
            <w:vAlign w:val="bottom"/>
            <w:tcBorders>
              <w:bottom w:val="single" w:sz="8" w:color="DDDDDD"/>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544</w:t>
            </w:r>
          </w:p>
        </w:tc>
        <w:tc>
          <w:tcPr>
            <w:tcW w:w="80" w:type="dxa"/>
            <w:vAlign w:val="bottom"/>
            <w:tcBorders>
              <w:bottom w:val="single" w:sz="8" w:color="DDDDDD"/>
            </w:tcBorders>
          </w:tcPr>
          <w:p>
            <w:pPr>
              <w:spacing w:after="0"/>
              <w:rPr>
                <w:sz w:val="19"/>
                <w:szCs w:val="19"/>
                <w:color w:val="auto"/>
              </w:rPr>
            </w:pPr>
          </w:p>
        </w:tc>
        <w:tc>
          <w:tcPr>
            <w:tcW w:w="20" w:type="dxa"/>
            <w:vAlign w:val="bottom"/>
            <w:tcBorders>
              <w:bottom w:val="single" w:sz="8" w:color="DDDDDD"/>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DDDDDD"/>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w:t>
            </w:r>
          </w:p>
        </w:tc>
      </w:tr>
      <w:tr>
        <w:trPr>
          <w:trHeight w:val="243"/>
        </w:trPr>
        <w:tc>
          <w:tcPr>
            <w:tcW w:w="5200" w:type="dxa"/>
            <w:vAlign w:val="bottom"/>
            <w:shd w:val="clear" w:color="auto" w:fill="DDDDDD"/>
          </w:tcPr>
          <w:p>
            <w:pPr>
              <w:ind w:left="20"/>
              <w:spacing w:after="0"/>
              <w:rPr>
                <w:sz w:val="20"/>
                <w:szCs w:val="20"/>
                <w:color w:val="auto"/>
              </w:rPr>
            </w:pPr>
            <w:r>
              <w:rPr>
                <w:rFonts w:ascii="Arial" w:cs="Arial" w:eastAsia="Arial" w:hAnsi="Arial"/>
                <w:sz w:val="18"/>
                <w:szCs w:val="18"/>
                <w:color w:val="auto"/>
              </w:rPr>
              <w:t>Net amount recognized</w:t>
            </w:r>
          </w:p>
        </w:tc>
        <w:tc>
          <w:tcPr>
            <w:tcW w:w="920" w:type="dxa"/>
            <w:vAlign w:val="bottom"/>
            <w:shd w:val="clear" w:color="auto" w:fill="DDDDDD"/>
          </w:tcPr>
          <w:p>
            <w:pPr>
              <w:jc w:val="right"/>
              <w:ind w:right="716"/>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DDDDDD"/>
          </w:tcPr>
          <w:p>
            <w:pPr>
              <w:jc w:val="center"/>
              <w:spacing w:after="0"/>
              <w:rPr>
                <w:sz w:val="20"/>
                <w:szCs w:val="20"/>
                <w:color w:val="auto"/>
              </w:rPr>
            </w:pPr>
            <w:r>
              <w:rPr>
                <w:rFonts w:ascii="Arial" w:cs="Arial" w:eastAsia="Arial" w:hAnsi="Arial"/>
                <w:sz w:val="18"/>
                <w:szCs w:val="18"/>
                <w:color w:val="auto"/>
                <w:w w:val="99"/>
              </w:rPr>
              <w:t>371</w:t>
            </w:r>
          </w:p>
        </w:tc>
        <w:tc>
          <w:tcPr>
            <w:tcW w:w="120" w:type="dxa"/>
            <w:vAlign w:val="bottom"/>
            <w:shd w:val="clear" w:color="auto" w:fill="DDDDDD"/>
          </w:tcPr>
          <w:p>
            <w:pPr>
              <w:spacing w:after="0"/>
              <w:rPr>
                <w:sz w:val="21"/>
                <w:szCs w:val="21"/>
                <w:color w:val="auto"/>
              </w:rPr>
            </w:pPr>
          </w:p>
        </w:tc>
        <w:tc>
          <w:tcPr>
            <w:tcW w:w="880" w:type="dxa"/>
            <w:vAlign w:val="bottom"/>
            <w:shd w:val="clear" w:color="auto" w:fill="DDDDDD"/>
          </w:tcPr>
          <w:p>
            <w:pPr>
              <w:jc w:val="right"/>
              <w:ind w:right="696"/>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DDDDDD"/>
          </w:tcPr>
          <w:p>
            <w:pPr>
              <w:jc w:val="center"/>
              <w:spacing w:after="0"/>
              <w:rPr>
                <w:sz w:val="20"/>
                <w:szCs w:val="20"/>
                <w:color w:val="auto"/>
              </w:rPr>
            </w:pPr>
            <w:r>
              <w:rPr>
                <w:rFonts w:ascii="Arial" w:cs="Arial" w:eastAsia="Arial" w:hAnsi="Arial"/>
                <w:sz w:val="18"/>
                <w:szCs w:val="18"/>
                <w:color w:val="auto"/>
                <w:w w:val="99"/>
              </w:rPr>
              <w:t>368</w:t>
            </w:r>
          </w:p>
        </w:tc>
        <w:tc>
          <w:tcPr>
            <w:tcW w:w="1040" w:type="dxa"/>
            <w:vAlign w:val="bottom"/>
            <w:gridSpan w:val="3"/>
            <w:shd w:val="clear" w:color="auto" w:fill="DDDDDD"/>
          </w:tcPr>
          <w:p>
            <w:pPr>
              <w:jc w:val="right"/>
              <w:ind w:right="748"/>
              <w:spacing w:after="0"/>
              <w:rPr>
                <w:sz w:val="20"/>
                <w:szCs w:val="20"/>
                <w:color w:val="auto"/>
              </w:rPr>
            </w:pPr>
            <w:r>
              <w:rPr>
                <w:rFonts w:ascii="Arial" w:cs="Arial" w:eastAsia="Arial" w:hAnsi="Arial"/>
                <w:sz w:val="18"/>
                <w:szCs w:val="18"/>
                <w:color w:val="auto"/>
              </w:rPr>
              <w:t>$</w:t>
            </w:r>
          </w:p>
        </w:tc>
        <w:tc>
          <w:tcPr>
            <w:tcW w:w="4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652</w:t>
            </w:r>
          </w:p>
        </w:tc>
        <w:tc>
          <w:tcPr>
            <w:tcW w:w="20" w:type="dxa"/>
            <w:vAlign w:val="bottom"/>
            <w:shd w:val="clear" w:color="auto" w:fill="DDDDDD"/>
          </w:tcPr>
          <w:p>
            <w:pPr>
              <w:spacing w:after="0"/>
              <w:rPr>
                <w:sz w:val="21"/>
                <w:szCs w:val="21"/>
                <w:color w:val="auto"/>
              </w:rPr>
            </w:pPr>
          </w:p>
        </w:tc>
        <w:tc>
          <w:tcPr>
            <w:tcW w:w="100" w:type="dxa"/>
            <w:vAlign w:val="bottom"/>
            <w:shd w:val="clear" w:color="auto" w:fill="DDDDDD"/>
          </w:tcPr>
          <w:p>
            <w:pPr>
              <w:spacing w:after="0"/>
              <w:rPr>
                <w:sz w:val="21"/>
                <w:szCs w:val="21"/>
                <w:color w:val="auto"/>
              </w:rPr>
            </w:pPr>
          </w:p>
        </w:tc>
        <w:tc>
          <w:tcPr>
            <w:tcW w:w="980" w:type="dxa"/>
            <w:vAlign w:val="bottom"/>
            <w:shd w:val="clear" w:color="auto" w:fill="DDDDDD"/>
          </w:tcPr>
          <w:p>
            <w:pPr>
              <w:jc w:val="right"/>
              <w:ind w:right="776"/>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722</w:t>
            </w:r>
          </w:p>
        </w:tc>
      </w:tr>
      <w:tr>
        <w:trPr>
          <w:trHeight w:val="20"/>
        </w:trPr>
        <w:tc>
          <w:tcPr>
            <w:tcW w:w="5200" w:type="dxa"/>
            <w:vAlign w:val="bottom"/>
            <w:tcBorders>
              <w:top w:val="single" w:sz="8" w:color="DDDDDD"/>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DDDDD"/>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20" w:type="dxa"/>
            <w:vAlign w:val="bottom"/>
            <w:tcBorders>
              <w:top w:val="single" w:sz="8" w:color="DDDDDD"/>
            </w:tcBorders>
          </w:tcPr>
          <w:p>
            <w:pPr>
              <w:spacing w:after="0" w:line="20" w:lineRule="exact"/>
              <w:rPr>
                <w:sz w:val="1"/>
                <w:szCs w:val="1"/>
                <w:color w:val="auto"/>
              </w:rPr>
            </w:pPr>
          </w:p>
        </w:tc>
        <w:tc>
          <w:tcPr>
            <w:tcW w:w="14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r>
      <w:tr>
        <w:trPr>
          <w:trHeight w:val="710"/>
        </w:trPr>
        <w:tc>
          <w:tcPr>
            <w:tcW w:w="5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DC202E"/>
            </w:tcBorders>
          </w:tcPr>
          <w:p>
            <w:pPr>
              <w:spacing w:after="0"/>
              <w:rPr>
                <w:sz w:val="24"/>
                <w:szCs w:val="24"/>
                <w:color w:val="auto"/>
              </w:rPr>
            </w:pPr>
          </w:p>
        </w:tc>
        <w:tc>
          <w:tcPr>
            <w:tcW w:w="2520" w:type="dxa"/>
            <w:vAlign w:val="bottom"/>
            <w:tcBorders>
              <w:bottom w:val="single" w:sz="8" w:color="DC202E"/>
            </w:tcBorders>
            <w:gridSpan w:val="5"/>
          </w:tcPr>
          <w:p>
            <w:pPr>
              <w:jc w:val="right"/>
              <w:spacing w:after="0"/>
              <w:rPr>
                <w:sz w:val="20"/>
                <w:szCs w:val="20"/>
                <w:color w:val="auto"/>
              </w:rPr>
            </w:pPr>
            <w:r>
              <w:rPr>
                <w:rFonts w:ascii="Arial" w:cs="Arial" w:eastAsia="Arial" w:hAnsi="Arial"/>
                <w:sz w:val="14"/>
                <w:szCs w:val="14"/>
                <w:b w:val="1"/>
                <w:bCs w:val="1"/>
                <w:color w:val="auto"/>
              </w:rPr>
              <w:t>Other Postretirement Benefits</w:t>
            </w:r>
          </w:p>
        </w:tc>
        <w:tc>
          <w:tcPr>
            <w:tcW w:w="460" w:type="dxa"/>
            <w:vAlign w:val="bottom"/>
            <w:tcBorders>
              <w:bottom w:val="single" w:sz="8" w:color="DC202E"/>
            </w:tcBorders>
          </w:tcPr>
          <w:p>
            <w:pPr>
              <w:spacing w:after="0"/>
              <w:rPr>
                <w:sz w:val="24"/>
                <w:szCs w:val="24"/>
                <w:color w:val="auto"/>
              </w:rPr>
            </w:pPr>
          </w:p>
        </w:tc>
      </w:tr>
      <w:tr>
        <w:trPr>
          <w:trHeight w:val="250"/>
        </w:trPr>
        <w:tc>
          <w:tcPr>
            <w:tcW w:w="5200" w:type="dxa"/>
            <w:vAlign w:val="bottom"/>
            <w:tcBorders>
              <w:bottom w:val="single" w:sz="8" w:color="DDDDDD"/>
            </w:tcBorders>
          </w:tcPr>
          <w:p>
            <w:pPr>
              <w:spacing w:after="0"/>
              <w:rPr>
                <w:sz w:val="21"/>
                <w:szCs w:val="21"/>
                <w:color w:val="auto"/>
              </w:rPr>
            </w:pPr>
          </w:p>
        </w:tc>
        <w:tc>
          <w:tcPr>
            <w:tcW w:w="920" w:type="dxa"/>
            <w:vAlign w:val="bottom"/>
            <w:tcBorders>
              <w:bottom w:val="single" w:sz="8" w:color="DDDDDD"/>
            </w:tcBorders>
          </w:tcPr>
          <w:p>
            <w:pPr>
              <w:spacing w:after="0"/>
              <w:rPr>
                <w:sz w:val="21"/>
                <w:szCs w:val="21"/>
                <w:color w:val="auto"/>
              </w:rPr>
            </w:pPr>
          </w:p>
        </w:tc>
        <w:tc>
          <w:tcPr>
            <w:tcW w:w="500" w:type="dxa"/>
            <w:vAlign w:val="bottom"/>
            <w:tcBorders>
              <w:bottom w:val="single" w:sz="8" w:color="DDDDDD"/>
            </w:tcBorders>
          </w:tcPr>
          <w:p>
            <w:pPr>
              <w:spacing w:after="0"/>
              <w:rPr>
                <w:sz w:val="21"/>
                <w:szCs w:val="21"/>
                <w:color w:val="auto"/>
              </w:rPr>
            </w:pPr>
          </w:p>
        </w:tc>
        <w:tc>
          <w:tcPr>
            <w:tcW w:w="120" w:type="dxa"/>
            <w:vAlign w:val="bottom"/>
            <w:tcBorders>
              <w:bottom w:val="single" w:sz="8" w:color="DDDDDD"/>
            </w:tcBorders>
          </w:tcPr>
          <w:p>
            <w:pPr>
              <w:spacing w:after="0"/>
              <w:rPr>
                <w:sz w:val="21"/>
                <w:szCs w:val="21"/>
                <w:color w:val="auto"/>
              </w:rPr>
            </w:pPr>
          </w:p>
        </w:tc>
        <w:tc>
          <w:tcPr>
            <w:tcW w:w="880" w:type="dxa"/>
            <w:vAlign w:val="bottom"/>
            <w:tcBorders>
              <w:bottom w:val="single" w:sz="8" w:color="DDDDDD"/>
            </w:tcBorders>
          </w:tcPr>
          <w:p>
            <w:pPr>
              <w:spacing w:after="0"/>
              <w:rPr>
                <w:sz w:val="21"/>
                <w:szCs w:val="21"/>
                <w:color w:val="auto"/>
              </w:rPr>
            </w:pPr>
          </w:p>
        </w:tc>
        <w:tc>
          <w:tcPr>
            <w:tcW w:w="540" w:type="dxa"/>
            <w:vAlign w:val="bottom"/>
            <w:tcBorders>
              <w:bottom w:val="single" w:sz="8" w:color="DDDDDD"/>
            </w:tcBorders>
          </w:tcPr>
          <w:p>
            <w:pPr>
              <w:spacing w:after="0"/>
              <w:rPr>
                <w:sz w:val="21"/>
                <w:szCs w:val="21"/>
                <w:color w:val="auto"/>
              </w:rPr>
            </w:pPr>
          </w:p>
        </w:tc>
        <w:tc>
          <w:tcPr>
            <w:tcW w:w="80" w:type="dxa"/>
            <w:vAlign w:val="bottom"/>
            <w:tcBorders>
              <w:bottom w:val="single" w:sz="8" w:color="DDDDDD"/>
            </w:tcBorders>
          </w:tcPr>
          <w:p>
            <w:pPr>
              <w:spacing w:after="0"/>
              <w:rPr>
                <w:sz w:val="21"/>
                <w:szCs w:val="21"/>
                <w:color w:val="auto"/>
              </w:rPr>
            </w:pPr>
          </w:p>
        </w:tc>
        <w:tc>
          <w:tcPr>
            <w:tcW w:w="960" w:type="dxa"/>
            <w:vAlign w:val="bottom"/>
            <w:tcBorders>
              <w:bottom w:val="single" w:sz="8" w:color="DC202E"/>
            </w:tcBorders>
            <w:gridSpan w:val="2"/>
          </w:tcPr>
          <w:p>
            <w:pPr>
              <w:jc w:val="right"/>
              <w:ind w:right="8"/>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DC202E"/>
            </w:tcBorders>
          </w:tcPr>
          <w:p>
            <w:pPr>
              <w:spacing w:after="0"/>
              <w:rPr>
                <w:sz w:val="21"/>
                <w:szCs w:val="21"/>
                <w:color w:val="auto"/>
              </w:rPr>
            </w:pPr>
          </w:p>
        </w:tc>
        <w:tc>
          <w:tcPr>
            <w:tcW w:w="20" w:type="dxa"/>
            <w:vAlign w:val="bottom"/>
            <w:tcBorders>
              <w:bottom w:val="single" w:sz="8" w:color="DDDDDD"/>
            </w:tcBorders>
          </w:tcPr>
          <w:p>
            <w:pPr>
              <w:spacing w:after="0"/>
              <w:rPr>
                <w:sz w:val="21"/>
                <w:szCs w:val="21"/>
                <w:color w:val="auto"/>
              </w:rPr>
            </w:pPr>
          </w:p>
        </w:tc>
        <w:tc>
          <w:tcPr>
            <w:tcW w:w="100" w:type="dxa"/>
            <w:vAlign w:val="bottom"/>
            <w:tcBorders>
              <w:bottom w:val="single" w:sz="8" w:color="DDDDDD"/>
            </w:tcBorders>
          </w:tcPr>
          <w:p>
            <w:pPr>
              <w:spacing w:after="0"/>
              <w:rPr>
                <w:sz w:val="21"/>
                <w:szCs w:val="21"/>
                <w:color w:val="auto"/>
              </w:rPr>
            </w:pPr>
          </w:p>
        </w:tc>
        <w:tc>
          <w:tcPr>
            <w:tcW w:w="980" w:type="dxa"/>
            <w:vAlign w:val="bottom"/>
            <w:tcBorders>
              <w:bottom w:val="single" w:sz="8" w:color="DC202E"/>
            </w:tcBorders>
          </w:tcPr>
          <w:p>
            <w:pPr>
              <w:jc w:val="right"/>
              <w:ind w:right="16"/>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DC202E"/>
            </w:tcBorders>
          </w:tcPr>
          <w:p>
            <w:pPr>
              <w:spacing w:after="0"/>
              <w:rPr>
                <w:sz w:val="21"/>
                <w:szCs w:val="21"/>
                <w:color w:val="auto"/>
              </w:rPr>
            </w:pPr>
          </w:p>
        </w:tc>
      </w:tr>
      <w:tr>
        <w:trPr>
          <w:trHeight w:val="230"/>
        </w:trPr>
        <w:tc>
          <w:tcPr>
            <w:tcW w:w="5200" w:type="dxa"/>
            <w:vAlign w:val="bottom"/>
            <w:shd w:val="clear" w:color="auto" w:fill="DDDDDD"/>
          </w:tcPr>
          <w:p>
            <w:pPr>
              <w:ind w:left="20"/>
              <w:spacing w:after="0"/>
              <w:rPr>
                <w:sz w:val="20"/>
                <w:szCs w:val="20"/>
                <w:color w:val="auto"/>
              </w:rPr>
            </w:pPr>
            <w:r>
              <w:rPr>
                <w:rFonts w:ascii="Arial" w:cs="Arial" w:eastAsia="Arial" w:hAnsi="Arial"/>
                <w:sz w:val="18"/>
                <w:szCs w:val="18"/>
                <w:color w:val="auto"/>
              </w:rPr>
              <w:t>Prior service (credit) cost</w:t>
            </w:r>
          </w:p>
        </w:tc>
        <w:tc>
          <w:tcPr>
            <w:tcW w:w="920" w:type="dxa"/>
            <w:vAlign w:val="bottom"/>
            <w:shd w:val="clear" w:color="auto" w:fill="DDDDDD"/>
          </w:tcPr>
          <w:p>
            <w:pPr>
              <w:spacing w:after="0"/>
              <w:rPr>
                <w:sz w:val="19"/>
                <w:szCs w:val="19"/>
                <w:color w:val="auto"/>
              </w:rPr>
            </w:pPr>
          </w:p>
        </w:tc>
        <w:tc>
          <w:tcPr>
            <w:tcW w:w="50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880" w:type="dxa"/>
            <w:vAlign w:val="bottom"/>
            <w:shd w:val="clear" w:color="auto" w:fill="DDDDDD"/>
          </w:tcPr>
          <w:p>
            <w:pPr>
              <w:spacing w:after="0"/>
              <w:rPr>
                <w:sz w:val="19"/>
                <w:szCs w:val="19"/>
                <w:color w:val="auto"/>
              </w:rPr>
            </w:pPr>
          </w:p>
        </w:tc>
        <w:tc>
          <w:tcPr>
            <w:tcW w:w="540" w:type="dxa"/>
            <w:vAlign w:val="bottom"/>
            <w:shd w:val="clear" w:color="auto" w:fill="DDDDDD"/>
          </w:tcPr>
          <w:p>
            <w:pPr>
              <w:spacing w:after="0"/>
              <w:rPr>
                <w:sz w:val="19"/>
                <w:szCs w:val="19"/>
                <w:color w:val="auto"/>
              </w:rPr>
            </w:pPr>
          </w:p>
        </w:tc>
        <w:tc>
          <w:tcPr>
            <w:tcW w:w="1040" w:type="dxa"/>
            <w:vAlign w:val="bottom"/>
            <w:gridSpan w:val="3"/>
            <w:shd w:val="clear" w:color="auto" w:fill="DDDDDD"/>
          </w:tcPr>
          <w:p>
            <w:pPr>
              <w:jc w:val="right"/>
              <w:ind w:right="768"/>
              <w:spacing w:after="0"/>
              <w:rPr>
                <w:sz w:val="20"/>
                <w:szCs w:val="20"/>
                <w:color w:val="auto"/>
              </w:rPr>
            </w:pPr>
            <w:r>
              <w:rPr>
                <w:rFonts w:ascii="Arial" w:cs="Arial" w:eastAsia="Arial" w:hAnsi="Arial"/>
                <w:sz w:val="18"/>
                <w:szCs w:val="18"/>
                <w:color w:val="auto"/>
              </w:rPr>
              <w:t>$</w:t>
            </w:r>
          </w:p>
        </w:tc>
        <w:tc>
          <w:tcPr>
            <w:tcW w:w="4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(165)</w:t>
            </w:r>
          </w:p>
        </w:tc>
        <w:tc>
          <w:tcPr>
            <w:tcW w:w="2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980" w:type="dxa"/>
            <w:vAlign w:val="bottom"/>
            <w:shd w:val="clear" w:color="auto" w:fill="DDDDDD"/>
          </w:tcPr>
          <w:p>
            <w:pPr>
              <w:jc w:val="right"/>
              <w:ind w:right="776"/>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9"/>
              </w:rPr>
              <w:t>(166)</w:t>
            </w:r>
          </w:p>
        </w:tc>
      </w:tr>
      <w:tr>
        <w:trPr>
          <w:trHeight w:val="229"/>
        </w:trPr>
        <w:tc>
          <w:tcPr>
            <w:tcW w:w="5200" w:type="dxa"/>
            <w:vAlign w:val="bottom"/>
            <w:tcBorders>
              <w:bottom w:val="single" w:sz="8" w:color="DDDDDD"/>
            </w:tcBorders>
          </w:tcPr>
          <w:p>
            <w:pPr>
              <w:ind w:left="20"/>
              <w:spacing w:after="0"/>
              <w:rPr>
                <w:sz w:val="20"/>
                <w:szCs w:val="20"/>
                <w:color w:val="auto"/>
              </w:rPr>
            </w:pPr>
            <w:r>
              <w:rPr>
                <w:rFonts w:ascii="Arial" w:cs="Arial" w:eastAsia="Arial" w:hAnsi="Arial"/>
                <w:sz w:val="18"/>
                <w:szCs w:val="18"/>
                <w:color w:val="auto"/>
              </w:rPr>
              <w:t>Net actuarial (gain) loss</w:t>
            </w:r>
          </w:p>
        </w:tc>
        <w:tc>
          <w:tcPr>
            <w:tcW w:w="920" w:type="dxa"/>
            <w:vAlign w:val="bottom"/>
            <w:tcBorders>
              <w:bottom w:val="single" w:sz="8" w:color="DDDDDD"/>
            </w:tcBorders>
          </w:tcPr>
          <w:p>
            <w:pPr>
              <w:spacing w:after="0"/>
              <w:rPr>
                <w:sz w:val="19"/>
                <w:szCs w:val="19"/>
                <w:color w:val="auto"/>
              </w:rPr>
            </w:pPr>
          </w:p>
        </w:tc>
        <w:tc>
          <w:tcPr>
            <w:tcW w:w="500" w:type="dxa"/>
            <w:vAlign w:val="bottom"/>
            <w:tcBorders>
              <w:bottom w:val="single" w:sz="8" w:color="DDDDDD"/>
            </w:tcBorders>
          </w:tcPr>
          <w:p>
            <w:pPr>
              <w:spacing w:after="0"/>
              <w:rPr>
                <w:sz w:val="19"/>
                <w:szCs w:val="19"/>
                <w:color w:val="auto"/>
              </w:rPr>
            </w:pPr>
          </w:p>
        </w:tc>
        <w:tc>
          <w:tcPr>
            <w:tcW w:w="120" w:type="dxa"/>
            <w:vAlign w:val="bottom"/>
            <w:tcBorders>
              <w:bottom w:val="single" w:sz="8" w:color="DDDDDD"/>
            </w:tcBorders>
          </w:tcPr>
          <w:p>
            <w:pPr>
              <w:spacing w:after="0"/>
              <w:rPr>
                <w:sz w:val="19"/>
                <w:szCs w:val="19"/>
                <w:color w:val="auto"/>
              </w:rPr>
            </w:pPr>
          </w:p>
        </w:tc>
        <w:tc>
          <w:tcPr>
            <w:tcW w:w="880" w:type="dxa"/>
            <w:vAlign w:val="bottom"/>
            <w:tcBorders>
              <w:bottom w:val="single" w:sz="8" w:color="DDDDDD"/>
            </w:tcBorders>
          </w:tcPr>
          <w:p>
            <w:pPr>
              <w:spacing w:after="0"/>
              <w:rPr>
                <w:sz w:val="19"/>
                <w:szCs w:val="19"/>
                <w:color w:val="auto"/>
              </w:rPr>
            </w:pPr>
          </w:p>
        </w:tc>
        <w:tc>
          <w:tcPr>
            <w:tcW w:w="540" w:type="dxa"/>
            <w:vAlign w:val="bottom"/>
            <w:tcBorders>
              <w:bottom w:val="single" w:sz="8" w:color="DDDDDD"/>
            </w:tcBorders>
          </w:tcPr>
          <w:p>
            <w:pPr>
              <w:spacing w:after="0"/>
              <w:rPr>
                <w:sz w:val="19"/>
                <w:szCs w:val="19"/>
                <w:color w:val="auto"/>
              </w:rPr>
            </w:pPr>
          </w:p>
        </w:tc>
        <w:tc>
          <w:tcPr>
            <w:tcW w:w="80" w:type="dxa"/>
            <w:vAlign w:val="bottom"/>
            <w:tcBorders>
              <w:bottom w:val="single" w:sz="8" w:color="DDDDDD"/>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0" w:type="dxa"/>
            <w:vAlign w:val="bottom"/>
            <w:tcBorders>
              <w:bottom w:val="single" w:sz="8" w:color="DDDDDD"/>
            </w:tcBorders>
          </w:tcPr>
          <w:p>
            <w:pPr>
              <w:spacing w:after="0"/>
              <w:rPr>
                <w:sz w:val="19"/>
                <w:szCs w:val="19"/>
                <w:color w:val="auto"/>
              </w:rPr>
            </w:pPr>
          </w:p>
        </w:tc>
        <w:tc>
          <w:tcPr>
            <w:tcW w:w="100" w:type="dxa"/>
            <w:vAlign w:val="bottom"/>
            <w:tcBorders>
              <w:bottom w:val="single" w:sz="8" w:color="DDDDDD"/>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5200" w:type="dxa"/>
            <w:vAlign w:val="bottom"/>
            <w:shd w:val="clear" w:color="auto" w:fill="DDDDDD"/>
          </w:tcPr>
          <w:p>
            <w:pPr>
              <w:ind w:left="20"/>
              <w:spacing w:after="0"/>
              <w:rPr>
                <w:sz w:val="20"/>
                <w:szCs w:val="20"/>
                <w:color w:val="auto"/>
              </w:rPr>
            </w:pPr>
            <w:r>
              <w:rPr>
                <w:rFonts w:ascii="Arial" w:cs="Arial" w:eastAsia="Arial" w:hAnsi="Arial"/>
                <w:sz w:val="18"/>
                <w:szCs w:val="18"/>
                <w:color w:val="auto"/>
              </w:rPr>
              <w:t>Net amount recognized</w:t>
            </w:r>
          </w:p>
        </w:tc>
        <w:tc>
          <w:tcPr>
            <w:tcW w:w="920" w:type="dxa"/>
            <w:vAlign w:val="bottom"/>
            <w:shd w:val="clear" w:color="auto" w:fill="DDDDDD"/>
          </w:tcPr>
          <w:p>
            <w:pPr>
              <w:spacing w:after="0"/>
              <w:rPr>
                <w:sz w:val="21"/>
                <w:szCs w:val="21"/>
                <w:color w:val="auto"/>
              </w:rPr>
            </w:pPr>
          </w:p>
        </w:tc>
        <w:tc>
          <w:tcPr>
            <w:tcW w:w="500" w:type="dxa"/>
            <w:vAlign w:val="bottom"/>
            <w:shd w:val="clear" w:color="auto" w:fill="DDDDDD"/>
          </w:tcPr>
          <w:p>
            <w:pPr>
              <w:spacing w:after="0"/>
              <w:rPr>
                <w:sz w:val="21"/>
                <w:szCs w:val="21"/>
                <w:color w:val="auto"/>
              </w:rPr>
            </w:pPr>
          </w:p>
        </w:tc>
        <w:tc>
          <w:tcPr>
            <w:tcW w:w="120" w:type="dxa"/>
            <w:vAlign w:val="bottom"/>
            <w:shd w:val="clear" w:color="auto" w:fill="DDDDDD"/>
          </w:tcPr>
          <w:p>
            <w:pPr>
              <w:spacing w:after="0"/>
              <w:rPr>
                <w:sz w:val="21"/>
                <w:szCs w:val="21"/>
                <w:color w:val="auto"/>
              </w:rPr>
            </w:pPr>
          </w:p>
        </w:tc>
        <w:tc>
          <w:tcPr>
            <w:tcW w:w="880" w:type="dxa"/>
            <w:vAlign w:val="bottom"/>
            <w:shd w:val="clear" w:color="auto" w:fill="DDDDDD"/>
          </w:tcPr>
          <w:p>
            <w:pPr>
              <w:spacing w:after="0"/>
              <w:rPr>
                <w:sz w:val="21"/>
                <w:szCs w:val="21"/>
                <w:color w:val="auto"/>
              </w:rPr>
            </w:pPr>
          </w:p>
        </w:tc>
        <w:tc>
          <w:tcPr>
            <w:tcW w:w="540" w:type="dxa"/>
            <w:vAlign w:val="bottom"/>
            <w:shd w:val="clear" w:color="auto" w:fill="DDDDDD"/>
          </w:tcPr>
          <w:p>
            <w:pPr>
              <w:spacing w:after="0"/>
              <w:rPr>
                <w:sz w:val="21"/>
                <w:szCs w:val="21"/>
                <w:color w:val="auto"/>
              </w:rPr>
            </w:pPr>
          </w:p>
        </w:tc>
        <w:tc>
          <w:tcPr>
            <w:tcW w:w="1040" w:type="dxa"/>
            <w:vAlign w:val="bottom"/>
            <w:gridSpan w:val="3"/>
            <w:shd w:val="clear" w:color="auto" w:fill="DDDDDD"/>
          </w:tcPr>
          <w:p>
            <w:pPr>
              <w:jc w:val="right"/>
              <w:ind w:right="768"/>
              <w:spacing w:after="0"/>
              <w:rPr>
                <w:sz w:val="20"/>
                <w:szCs w:val="20"/>
                <w:color w:val="auto"/>
              </w:rPr>
            </w:pPr>
            <w:r>
              <w:rPr>
                <w:rFonts w:ascii="Arial" w:cs="Arial" w:eastAsia="Arial" w:hAnsi="Arial"/>
                <w:sz w:val="18"/>
                <w:szCs w:val="18"/>
                <w:color w:val="auto"/>
              </w:rPr>
              <w:t>$</w:t>
            </w:r>
          </w:p>
        </w:tc>
        <w:tc>
          <w:tcPr>
            <w:tcW w:w="4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(193)</w:t>
            </w:r>
          </w:p>
        </w:tc>
        <w:tc>
          <w:tcPr>
            <w:tcW w:w="20" w:type="dxa"/>
            <w:vAlign w:val="bottom"/>
            <w:shd w:val="clear" w:color="auto" w:fill="DDDDDD"/>
          </w:tcPr>
          <w:p>
            <w:pPr>
              <w:spacing w:after="0"/>
              <w:rPr>
                <w:sz w:val="21"/>
                <w:szCs w:val="21"/>
                <w:color w:val="auto"/>
              </w:rPr>
            </w:pPr>
          </w:p>
        </w:tc>
        <w:tc>
          <w:tcPr>
            <w:tcW w:w="100" w:type="dxa"/>
            <w:vAlign w:val="bottom"/>
            <w:shd w:val="clear" w:color="auto" w:fill="DDDDDD"/>
          </w:tcPr>
          <w:p>
            <w:pPr>
              <w:spacing w:after="0"/>
              <w:rPr>
                <w:sz w:val="21"/>
                <w:szCs w:val="21"/>
                <w:color w:val="auto"/>
              </w:rPr>
            </w:pPr>
          </w:p>
        </w:tc>
        <w:tc>
          <w:tcPr>
            <w:tcW w:w="980" w:type="dxa"/>
            <w:vAlign w:val="bottom"/>
            <w:shd w:val="clear" w:color="auto" w:fill="DDDDDD"/>
          </w:tcPr>
          <w:p>
            <w:pPr>
              <w:jc w:val="right"/>
              <w:ind w:right="776"/>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9"/>
              </w:rPr>
              <w:t>(186)</w:t>
            </w:r>
          </w:p>
        </w:tc>
      </w:tr>
      <w:tr>
        <w:trPr>
          <w:trHeight w:val="20"/>
        </w:trPr>
        <w:tc>
          <w:tcPr>
            <w:tcW w:w="5200" w:type="dxa"/>
            <w:vAlign w:val="bottom"/>
            <w:tcBorders>
              <w:top w:val="single" w:sz="8" w:color="DDDDDD"/>
            </w:tcBorders>
          </w:tcPr>
          <w:p>
            <w:pPr>
              <w:spacing w:after="0" w:line="20" w:lineRule="exact"/>
              <w:rPr>
                <w:sz w:val="1"/>
                <w:szCs w:val="1"/>
                <w:color w:val="auto"/>
              </w:rPr>
            </w:pPr>
          </w:p>
        </w:tc>
        <w:tc>
          <w:tcPr>
            <w:tcW w:w="920" w:type="dxa"/>
            <w:vAlign w:val="bottom"/>
            <w:tcBorders>
              <w:top w:val="single" w:sz="8" w:color="DDDDDD"/>
            </w:tcBorders>
          </w:tcPr>
          <w:p>
            <w:pPr>
              <w:spacing w:after="0" w:line="20" w:lineRule="exact"/>
              <w:rPr>
                <w:sz w:val="1"/>
                <w:szCs w:val="1"/>
                <w:color w:val="auto"/>
              </w:rPr>
            </w:pPr>
          </w:p>
        </w:tc>
        <w:tc>
          <w:tcPr>
            <w:tcW w:w="500" w:type="dxa"/>
            <w:vAlign w:val="bottom"/>
            <w:tcBorders>
              <w:top w:val="single" w:sz="8" w:color="DDDDDD"/>
            </w:tcBorders>
          </w:tcPr>
          <w:p>
            <w:pPr>
              <w:spacing w:after="0" w:line="20" w:lineRule="exact"/>
              <w:rPr>
                <w:sz w:val="1"/>
                <w:szCs w:val="1"/>
                <w:color w:val="auto"/>
              </w:rPr>
            </w:pPr>
          </w:p>
        </w:tc>
        <w:tc>
          <w:tcPr>
            <w:tcW w:w="120" w:type="dxa"/>
            <w:vAlign w:val="bottom"/>
            <w:tcBorders>
              <w:top w:val="single" w:sz="8" w:color="DDDDDD"/>
            </w:tcBorders>
          </w:tcPr>
          <w:p>
            <w:pPr>
              <w:spacing w:after="0" w:line="20" w:lineRule="exact"/>
              <w:rPr>
                <w:sz w:val="1"/>
                <w:szCs w:val="1"/>
                <w:color w:val="auto"/>
              </w:rPr>
            </w:pPr>
          </w:p>
        </w:tc>
        <w:tc>
          <w:tcPr>
            <w:tcW w:w="880" w:type="dxa"/>
            <w:vAlign w:val="bottom"/>
            <w:tcBorders>
              <w:top w:val="single" w:sz="8" w:color="DDDDDD"/>
            </w:tcBorders>
          </w:tcPr>
          <w:p>
            <w:pPr>
              <w:spacing w:after="0" w:line="20" w:lineRule="exact"/>
              <w:rPr>
                <w:sz w:val="1"/>
                <w:szCs w:val="1"/>
                <w:color w:val="auto"/>
              </w:rPr>
            </w:pPr>
          </w:p>
        </w:tc>
        <w:tc>
          <w:tcPr>
            <w:tcW w:w="540" w:type="dxa"/>
            <w:vAlign w:val="bottom"/>
            <w:tcBorders>
              <w:top w:val="single" w:sz="8" w:color="DDDDDD"/>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DDDDDD"/>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96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99" w:name="page100"/>
    <w:bookmarkEnd w:id="99"/>
    <w:p>
      <w:pPr>
        <w:jc w:val="center"/>
        <w:ind w:right="-19"/>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periodic benefit (income) cost and other amounts recognized in Other comprehensive (income) loss for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Company's significant pension and other postretirement benefit plans include the following components: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080" w:type="dxa"/>
            <w:vAlign w:val="bottom"/>
          </w:tcPr>
          <w:p>
            <w:pPr>
              <w:spacing w:after="0"/>
              <w:rPr>
                <w:sz w:val="17"/>
                <w:szCs w:val="17"/>
                <w:color w:val="auto"/>
              </w:rPr>
            </w:pPr>
          </w:p>
        </w:tc>
        <w:tc>
          <w:tcPr>
            <w:tcW w:w="20" w:type="dxa"/>
            <w:vAlign w:val="bottom"/>
            <w:tcBorders>
              <w:bottom w:val="single" w:sz="8" w:color="DC202E"/>
            </w:tcBorders>
          </w:tcPr>
          <w:p>
            <w:pPr>
              <w:spacing w:after="0"/>
              <w:rPr>
                <w:sz w:val="17"/>
                <w:szCs w:val="17"/>
                <w:color w:val="auto"/>
              </w:rPr>
            </w:pPr>
          </w:p>
        </w:tc>
        <w:tc>
          <w:tcPr>
            <w:tcW w:w="280" w:type="dxa"/>
            <w:vAlign w:val="bottom"/>
            <w:tcBorders>
              <w:bottom w:val="single" w:sz="8" w:color="DC202E"/>
            </w:tcBorders>
          </w:tcPr>
          <w:p>
            <w:pPr>
              <w:spacing w:after="0"/>
              <w:rPr>
                <w:sz w:val="17"/>
                <w:szCs w:val="17"/>
                <w:color w:val="auto"/>
              </w:rPr>
            </w:pPr>
          </w:p>
        </w:tc>
        <w:tc>
          <w:tcPr>
            <w:tcW w:w="940" w:type="dxa"/>
            <w:vAlign w:val="bottom"/>
            <w:tcBorders>
              <w:bottom w:val="single" w:sz="8" w:color="DC202E"/>
            </w:tcBorders>
          </w:tcPr>
          <w:p>
            <w:pPr>
              <w:spacing w:after="0"/>
              <w:rPr>
                <w:sz w:val="17"/>
                <w:szCs w:val="17"/>
                <w:color w:val="auto"/>
              </w:rPr>
            </w:pPr>
          </w:p>
        </w:tc>
        <w:tc>
          <w:tcPr>
            <w:tcW w:w="40" w:type="dxa"/>
            <w:vAlign w:val="bottom"/>
            <w:tcBorders>
              <w:bottom w:val="single" w:sz="8" w:color="DC202E"/>
            </w:tcBorders>
          </w:tcPr>
          <w:p>
            <w:pPr>
              <w:spacing w:after="0"/>
              <w:rPr>
                <w:sz w:val="17"/>
                <w:szCs w:val="17"/>
                <w:color w:val="auto"/>
              </w:rPr>
            </w:pPr>
          </w:p>
        </w:tc>
        <w:tc>
          <w:tcPr>
            <w:tcW w:w="80" w:type="dxa"/>
            <w:vAlign w:val="bottom"/>
            <w:tcBorders>
              <w:bottom w:val="single" w:sz="8" w:color="DC202E"/>
            </w:tcBorders>
          </w:tcPr>
          <w:p>
            <w:pPr>
              <w:spacing w:after="0"/>
              <w:rPr>
                <w:sz w:val="17"/>
                <w:szCs w:val="17"/>
                <w:color w:val="auto"/>
              </w:rPr>
            </w:pPr>
          </w:p>
        </w:tc>
        <w:tc>
          <w:tcPr>
            <w:tcW w:w="20" w:type="dxa"/>
            <w:vAlign w:val="bottom"/>
            <w:tcBorders>
              <w:bottom w:val="single" w:sz="8" w:color="DC202E"/>
            </w:tcBorders>
          </w:tcPr>
          <w:p>
            <w:pPr>
              <w:spacing w:after="0"/>
              <w:rPr>
                <w:sz w:val="17"/>
                <w:szCs w:val="17"/>
                <w:color w:val="auto"/>
              </w:rPr>
            </w:pPr>
          </w:p>
        </w:tc>
        <w:tc>
          <w:tcPr>
            <w:tcW w:w="200" w:type="dxa"/>
            <w:vAlign w:val="bottom"/>
            <w:tcBorders>
              <w:bottom w:val="single" w:sz="8" w:color="DC202E"/>
            </w:tcBorders>
          </w:tcPr>
          <w:p>
            <w:pPr>
              <w:spacing w:after="0"/>
              <w:rPr>
                <w:sz w:val="17"/>
                <w:szCs w:val="17"/>
                <w:color w:val="auto"/>
              </w:rPr>
            </w:pPr>
          </w:p>
        </w:tc>
        <w:tc>
          <w:tcPr>
            <w:tcW w:w="1040" w:type="dxa"/>
            <w:vAlign w:val="bottom"/>
            <w:tcBorders>
              <w:bottom w:val="single" w:sz="8" w:color="DC202E"/>
            </w:tcBorders>
          </w:tcPr>
          <w:p>
            <w:pPr>
              <w:spacing w:after="0"/>
              <w:rPr>
                <w:sz w:val="17"/>
                <w:szCs w:val="17"/>
                <w:color w:val="auto"/>
              </w:rPr>
            </w:pPr>
          </w:p>
        </w:tc>
        <w:tc>
          <w:tcPr>
            <w:tcW w:w="20" w:type="dxa"/>
            <w:vAlign w:val="bottom"/>
            <w:tcBorders>
              <w:bottom w:val="single" w:sz="8" w:color="DC202E"/>
            </w:tcBorders>
          </w:tcPr>
          <w:p>
            <w:pPr>
              <w:spacing w:after="0"/>
              <w:rPr>
                <w:sz w:val="17"/>
                <w:szCs w:val="17"/>
                <w:color w:val="auto"/>
              </w:rPr>
            </w:pPr>
          </w:p>
        </w:tc>
        <w:tc>
          <w:tcPr>
            <w:tcW w:w="100" w:type="dxa"/>
            <w:vAlign w:val="bottom"/>
            <w:tcBorders>
              <w:bottom w:val="single" w:sz="8" w:color="DC202E"/>
            </w:tcBorders>
          </w:tcPr>
          <w:p>
            <w:pPr>
              <w:spacing w:after="0"/>
              <w:rPr>
                <w:sz w:val="17"/>
                <w:szCs w:val="17"/>
                <w:color w:val="auto"/>
              </w:rPr>
            </w:pPr>
          </w:p>
        </w:tc>
        <w:tc>
          <w:tcPr>
            <w:tcW w:w="300" w:type="dxa"/>
            <w:vAlign w:val="bottom"/>
            <w:tcBorders>
              <w:bottom w:val="single" w:sz="8" w:color="DC202E"/>
            </w:tcBorders>
          </w:tcPr>
          <w:p>
            <w:pPr>
              <w:spacing w:after="0"/>
              <w:rPr>
                <w:sz w:val="17"/>
                <w:szCs w:val="17"/>
                <w:color w:val="auto"/>
              </w:rPr>
            </w:pPr>
          </w:p>
        </w:tc>
        <w:tc>
          <w:tcPr>
            <w:tcW w:w="1860" w:type="dxa"/>
            <w:vAlign w:val="bottom"/>
            <w:tcBorders>
              <w:bottom w:val="single" w:sz="8" w:color="DC202E"/>
            </w:tcBorders>
            <w:gridSpan w:val="3"/>
          </w:tcPr>
          <w:p>
            <w:pPr>
              <w:jc w:val="right"/>
              <w:ind w:right="195"/>
              <w:spacing w:after="0"/>
              <w:rPr>
                <w:sz w:val="20"/>
                <w:szCs w:val="20"/>
                <w:color w:val="auto"/>
              </w:rPr>
            </w:pPr>
            <w:r>
              <w:rPr>
                <w:rFonts w:ascii="Arial" w:cs="Arial" w:eastAsia="Arial" w:hAnsi="Arial"/>
                <w:sz w:val="14"/>
                <w:szCs w:val="14"/>
                <w:b w:val="1"/>
                <w:bCs w:val="1"/>
                <w:color w:val="auto"/>
              </w:rPr>
              <w:t>Pension Benefits</w:t>
            </w:r>
          </w:p>
        </w:tc>
        <w:tc>
          <w:tcPr>
            <w:tcW w:w="460" w:type="dxa"/>
            <w:vAlign w:val="bottom"/>
            <w:tcBorders>
              <w:bottom w:val="single" w:sz="8" w:color="DC202E"/>
            </w:tcBorders>
          </w:tcPr>
          <w:p>
            <w:pPr>
              <w:spacing w:after="0"/>
              <w:rPr>
                <w:sz w:val="17"/>
                <w:szCs w:val="17"/>
                <w:color w:val="auto"/>
              </w:rPr>
            </w:pPr>
          </w:p>
        </w:tc>
        <w:tc>
          <w:tcPr>
            <w:tcW w:w="120" w:type="dxa"/>
            <w:vAlign w:val="bottom"/>
            <w:tcBorders>
              <w:bottom w:val="single" w:sz="8" w:color="DC202E"/>
            </w:tcBorders>
          </w:tcPr>
          <w:p>
            <w:pPr>
              <w:spacing w:after="0"/>
              <w:rPr>
                <w:sz w:val="17"/>
                <w:szCs w:val="17"/>
                <w:color w:val="auto"/>
              </w:rPr>
            </w:pPr>
          </w:p>
        </w:tc>
        <w:tc>
          <w:tcPr>
            <w:tcW w:w="280" w:type="dxa"/>
            <w:vAlign w:val="bottom"/>
            <w:tcBorders>
              <w:bottom w:val="single" w:sz="8" w:color="DC202E"/>
            </w:tcBorders>
          </w:tcPr>
          <w:p>
            <w:pPr>
              <w:spacing w:after="0"/>
              <w:rPr>
                <w:sz w:val="17"/>
                <w:szCs w:val="17"/>
                <w:color w:val="auto"/>
              </w:rPr>
            </w:pPr>
          </w:p>
        </w:tc>
        <w:tc>
          <w:tcPr>
            <w:tcW w:w="960" w:type="dxa"/>
            <w:vAlign w:val="bottom"/>
            <w:tcBorders>
              <w:bottom w:val="single" w:sz="8" w:color="DC202E"/>
            </w:tcBorders>
          </w:tcPr>
          <w:p>
            <w:pPr>
              <w:spacing w:after="0"/>
              <w:rPr>
                <w:sz w:val="17"/>
                <w:szCs w:val="17"/>
                <w:color w:val="auto"/>
              </w:rPr>
            </w:pPr>
          </w:p>
        </w:tc>
        <w:tc>
          <w:tcPr>
            <w:tcW w:w="120" w:type="dxa"/>
            <w:vAlign w:val="bottom"/>
            <w:tcBorders>
              <w:bottom w:val="single" w:sz="8" w:color="DC202E"/>
            </w:tcBorders>
          </w:tcPr>
          <w:p>
            <w:pPr>
              <w:spacing w:after="0"/>
              <w:rPr>
                <w:sz w:val="17"/>
                <w:szCs w:val="17"/>
                <w:color w:val="auto"/>
              </w:rPr>
            </w:pPr>
          </w:p>
        </w:tc>
        <w:tc>
          <w:tcPr>
            <w:tcW w:w="280" w:type="dxa"/>
            <w:vAlign w:val="bottom"/>
            <w:tcBorders>
              <w:bottom w:val="single" w:sz="8" w:color="DC202E"/>
            </w:tcBorders>
          </w:tcPr>
          <w:p>
            <w:pPr>
              <w:spacing w:after="0"/>
              <w:rPr>
                <w:sz w:val="17"/>
                <w:szCs w:val="17"/>
                <w:color w:val="auto"/>
              </w:rPr>
            </w:pPr>
          </w:p>
        </w:tc>
        <w:tc>
          <w:tcPr>
            <w:tcW w:w="980" w:type="dxa"/>
            <w:vAlign w:val="bottom"/>
            <w:tcBorders>
              <w:bottom w:val="single" w:sz="8" w:color="DC202E"/>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80" w:type="dxa"/>
            <w:vAlign w:val="bottom"/>
          </w:tcPr>
          <w:p>
            <w:pPr>
              <w:spacing w:after="0"/>
              <w:rPr>
                <w:sz w:val="17"/>
                <w:szCs w:val="17"/>
                <w:color w:val="auto"/>
              </w:rPr>
            </w:pPr>
          </w:p>
        </w:tc>
        <w:tc>
          <w:tcPr>
            <w:tcW w:w="20" w:type="dxa"/>
            <w:vAlign w:val="bottom"/>
            <w:tcBorders>
              <w:bottom w:val="single" w:sz="8" w:color="DC202E"/>
            </w:tcBorders>
          </w:tcPr>
          <w:p>
            <w:pPr>
              <w:spacing w:after="0"/>
              <w:rPr>
                <w:sz w:val="17"/>
                <w:szCs w:val="17"/>
                <w:color w:val="auto"/>
              </w:rPr>
            </w:pPr>
          </w:p>
        </w:tc>
        <w:tc>
          <w:tcPr>
            <w:tcW w:w="280" w:type="dxa"/>
            <w:vAlign w:val="bottom"/>
            <w:tcBorders>
              <w:bottom w:val="single" w:sz="8" w:color="DC202E"/>
            </w:tcBorders>
          </w:tcPr>
          <w:p>
            <w:pPr>
              <w:spacing w:after="0"/>
              <w:rPr>
                <w:sz w:val="17"/>
                <w:szCs w:val="17"/>
                <w:color w:val="auto"/>
              </w:rPr>
            </w:pPr>
          </w:p>
        </w:tc>
        <w:tc>
          <w:tcPr>
            <w:tcW w:w="940" w:type="dxa"/>
            <w:vAlign w:val="bottom"/>
            <w:tcBorders>
              <w:bottom w:val="single" w:sz="8" w:color="DC202E"/>
            </w:tcBorders>
          </w:tcPr>
          <w:p>
            <w:pPr>
              <w:spacing w:after="0"/>
              <w:rPr>
                <w:sz w:val="17"/>
                <w:szCs w:val="17"/>
                <w:color w:val="auto"/>
              </w:rPr>
            </w:pPr>
          </w:p>
        </w:tc>
        <w:tc>
          <w:tcPr>
            <w:tcW w:w="40" w:type="dxa"/>
            <w:vAlign w:val="bottom"/>
            <w:tcBorders>
              <w:bottom w:val="single" w:sz="8" w:color="DC202E"/>
            </w:tcBorders>
          </w:tcPr>
          <w:p>
            <w:pPr>
              <w:spacing w:after="0"/>
              <w:rPr>
                <w:sz w:val="17"/>
                <w:szCs w:val="17"/>
                <w:color w:val="auto"/>
              </w:rPr>
            </w:pPr>
          </w:p>
        </w:tc>
        <w:tc>
          <w:tcPr>
            <w:tcW w:w="80" w:type="dxa"/>
            <w:vAlign w:val="bottom"/>
            <w:tcBorders>
              <w:bottom w:val="single" w:sz="8" w:color="DC202E"/>
            </w:tcBorders>
          </w:tcPr>
          <w:p>
            <w:pPr>
              <w:spacing w:after="0"/>
              <w:rPr>
                <w:sz w:val="17"/>
                <w:szCs w:val="17"/>
                <w:color w:val="auto"/>
              </w:rPr>
            </w:pPr>
          </w:p>
        </w:tc>
        <w:tc>
          <w:tcPr>
            <w:tcW w:w="20" w:type="dxa"/>
            <w:vAlign w:val="bottom"/>
            <w:tcBorders>
              <w:bottom w:val="single" w:sz="8" w:color="DC202E"/>
            </w:tcBorders>
          </w:tcPr>
          <w:p>
            <w:pPr>
              <w:spacing w:after="0"/>
              <w:rPr>
                <w:sz w:val="17"/>
                <w:szCs w:val="17"/>
                <w:color w:val="auto"/>
              </w:rPr>
            </w:pPr>
          </w:p>
        </w:tc>
        <w:tc>
          <w:tcPr>
            <w:tcW w:w="200" w:type="dxa"/>
            <w:vAlign w:val="bottom"/>
            <w:tcBorders>
              <w:bottom w:val="single" w:sz="8" w:color="DC202E"/>
            </w:tcBorders>
          </w:tcPr>
          <w:p>
            <w:pPr>
              <w:spacing w:after="0"/>
              <w:rPr>
                <w:sz w:val="17"/>
                <w:szCs w:val="17"/>
                <w:color w:val="auto"/>
              </w:rPr>
            </w:pPr>
          </w:p>
        </w:tc>
        <w:tc>
          <w:tcPr>
            <w:tcW w:w="1160" w:type="dxa"/>
            <w:vAlign w:val="bottom"/>
            <w:tcBorders>
              <w:bottom w:val="single" w:sz="8" w:color="DC202E"/>
            </w:tcBorders>
            <w:gridSpan w:val="3"/>
          </w:tcPr>
          <w:p>
            <w:pPr>
              <w:jc w:val="center"/>
              <w:ind w:right="340"/>
              <w:spacing w:after="0"/>
              <w:rPr>
                <w:sz w:val="20"/>
                <w:szCs w:val="20"/>
                <w:color w:val="auto"/>
              </w:rPr>
            </w:pPr>
            <w:r>
              <w:rPr>
                <w:rFonts w:ascii="Arial" w:cs="Arial" w:eastAsia="Arial" w:hAnsi="Arial"/>
                <w:sz w:val="14"/>
                <w:szCs w:val="14"/>
                <w:b w:val="1"/>
                <w:bCs w:val="1"/>
                <w:color w:val="auto"/>
              </w:rPr>
              <w:t>U.S. Plans</w:t>
            </w:r>
          </w:p>
        </w:tc>
        <w:tc>
          <w:tcPr>
            <w:tcW w:w="300" w:type="dxa"/>
            <w:vAlign w:val="bottom"/>
            <w:tcBorders>
              <w:bottom w:val="single" w:sz="8" w:color="DC202E"/>
            </w:tcBorders>
          </w:tcPr>
          <w:p>
            <w:pPr>
              <w:spacing w:after="0"/>
              <w:rPr>
                <w:sz w:val="17"/>
                <w:szCs w:val="17"/>
                <w:color w:val="auto"/>
              </w:rPr>
            </w:pPr>
          </w:p>
        </w:tc>
        <w:tc>
          <w:tcPr>
            <w:tcW w:w="960" w:type="dxa"/>
            <w:vAlign w:val="bottom"/>
            <w:tcBorders>
              <w:bottom w:val="single" w:sz="8" w:color="DC202E"/>
            </w:tcBorders>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Borders>
              <w:bottom w:val="single" w:sz="8" w:color="DC202E"/>
            </w:tcBorders>
          </w:tcPr>
          <w:p>
            <w:pPr>
              <w:spacing w:after="0"/>
              <w:rPr>
                <w:sz w:val="17"/>
                <w:szCs w:val="17"/>
                <w:color w:val="auto"/>
              </w:rPr>
            </w:pPr>
          </w:p>
        </w:tc>
        <w:tc>
          <w:tcPr>
            <w:tcW w:w="460" w:type="dxa"/>
            <w:vAlign w:val="bottom"/>
            <w:tcBorders>
              <w:bottom w:val="single" w:sz="8" w:color="DC202E"/>
            </w:tcBorders>
          </w:tcPr>
          <w:p>
            <w:pPr>
              <w:spacing w:after="0"/>
              <w:rPr>
                <w:sz w:val="17"/>
                <w:szCs w:val="17"/>
                <w:color w:val="auto"/>
              </w:rPr>
            </w:pPr>
          </w:p>
        </w:tc>
        <w:tc>
          <w:tcPr>
            <w:tcW w:w="120" w:type="dxa"/>
            <w:vAlign w:val="bottom"/>
            <w:tcBorders>
              <w:bottom w:val="single" w:sz="8" w:color="DC202E"/>
            </w:tcBorders>
          </w:tcPr>
          <w:p>
            <w:pPr>
              <w:spacing w:after="0"/>
              <w:rPr>
                <w:sz w:val="17"/>
                <w:szCs w:val="17"/>
                <w:color w:val="auto"/>
              </w:rPr>
            </w:pPr>
          </w:p>
        </w:tc>
        <w:tc>
          <w:tcPr>
            <w:tcW w:w="1360" w:type="dxa"/>
            <w:vAlign w:val="bottom"/>
            <w:tcBorders>
              <w:bottom w:val="single" w:sz="8" w:color="DC202E"/>
            </w:tcBorders>
            <w:gridSpan w:val="3"/>
          </w:tcPr>
          <w:p>
            <w:pPr>
              <w:jc w:val="center"/>
              <w:ind w:right="120"/>
              <w:spacing w:after="0"/>
              <w:rPr>
                <w:sz w:val="20"/>
                <w:szCs w:val="20"/>
                <w:color w:val="auto"/>
              </w:rPr>
            </w:pPr>
            <w:r>
              <w:rPr>
                <w:rFonts w:ascii="Arial" w:cs="Arial" w:eastAsia="Arial" w:hAnsi="Arial"/>
                <w:sz w:val="14"/>
                <w:szCs w:val="14"/>
                <w:b w:val="1"/>
                <w:bCs w:val="1"/>
                <w:color w:val="auto"/>
              </w:rPr>
              <w:t>Non-U.S. Plans</w:t>
            </w:r>
          </w:p>
        </w:tc>
        <w:tc>
          <w:tcPr>
            <w:tcW w:w="280" w:type="dxa"/>
            <w:vAlign w:val="bottom"/>
            <w:tcBorders>
              <w:bottom w:val="single" w:sz="8" w:color="DC202E"/>
            </w:tcBorders>
          </w:tcPr>
          <w:p>
            <w:pPr>
              <w:spacing w:after="0"/>
              <w:rPr>
                <w:sz w:val="17"/>
                <w:szCs w:val="17"/>
                <w:color w:val="auto"/>
              </w:rPr>
            </w:pPr>
          </w:p>
        </w:tc>
        <w:tc>
          <w:tcPr>
            <w:tcW w:w="980" w:type="dxa"/>
            <w:vAlign w:val="bottom"/>
            <w:tcBorders>
              <w:bottom w:val="single" w:sz="8" w:color="DC202E"/>
            </w:tcBorders>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3080" w:type="dxa"/>
            <w:vAlign w:val="bottom"/>
            <w:tcBorders>
              <w:bottom w:val="single" w:sz="8" w:color="DC202E"/>
            </w:tcBorders>
          </w:tcPr>
          <w:p>
            <w:pPr>
              <w:ind w:left="20"/>
              <w:spacing w:after="0"/>
              <w:rPr>
                <w:sz w:val="20"/>
                <w:szCs w:val="20"/>
                <w:color w:val="auto"/>
              </w:rPr>
            </w:pPr>
            <w:r>
              <w:rPr>
                <w:rFonts w:ascii="Arial" w:cs="Arial" w:eastAsia="Arial" w:hAnsi="Arial"/>
                <w:sz w:val="14"/>
                <w:szCs w:val="14"/>
                <w:b w:val="1"/>
                <w:bCs w:val="1"/>
                <w:color w:val="auto"/>
              </w:rPr>
              <w:t>Net Periodic Benefit Cost</w:t>
            </w:r>
          </w:p>
        </w:tc>
        <w:tc>
          <w:tcPr>
            <w:tcW w:w="20" w:type="dxa"/>
            <w:vAlign w:val="bottom"/>
            <w:tcBorders>
              <w:bottom w:val="single" w:sz="8" w:color="DC202E"/>
            </w:tcBorders>
          </w:tcPr>
          <w:p>
            <w:pPr>
              <w:spacing w:after="0"/>
              <w:rPr>
                <w:sz w:val="24"/>
                <w:szCs w:val="24"/>
                <w:color w:val="auto"/>
              </w:rPr>
            </w:pPr>
          </w:p>
        </w:tc>
        <w:tc>
          <w:tcPr>
            <w:tcW w:w="280" w:type="dxa"/>
            <w:vAlign w:val="bottom"/>
            <w:tcBorders>
              <w:bottom w:val="single" w:sz="8" w:color="DC202E"/>
            </w:tcBorders>
          </w:tcPr>
          <w:p>
            <w:pPr>
              <w:spacing w:after="0"/>
              <w:rPr>
                <w:sz w:val="24"/>
                <w:szCs w:val="24"/>
                <w:color w:val="auto"/>
              </w:rPr>
            </w:pPr>
          </w:p>
        </w:tc>
        <w:tc>
          <w:tcPr>
            <w:tcW w:w="940" w:type="dxa"/>
            <w:vAlign w:val="bottom"/>
            <w:tcBorders>
              <w:bottom w:val="single" w:sz="8" w:color="DC202E"/>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DDDDDD"/>
            </w:tcBorders>
          </w:tcPr>
          <w:p>
            <w:pPr>
              <w:spacing w:after="0"/>
              <w:rPr>
                <w:sz w:val="24"/>
                <w:szCs w:val="24"/>
                <w:color w:val="auto"/>
              </w:rPr>
            </w:pPr>
          </w:p>
        </w:tc>
        <w:tc>
          <w:tcPr>
            <w:tcW w:w="80" w:type="dxa"/>
            <w:vAlign w:val="bottom"/>
            <w:tcBorders>
              <w:bottom w:val="single" w:sz="8" w:color="DDDDDD"/>
            </w:tcBorders>
          </w:tcPr>
          <w:p>
            <w:pPr>
              <w:spacing w:after="0"/>
              <w:rPr>
                <w:sz w:val="24"/>
                <w:szCs w:val="24"/>
                <w:color w:val="auto"/>
              </w:rPr>
            </w:pPr>
          </w:p>
        </w:tc>
        <w:tc>
          <w:tcPr>
            <w:tcW w:w="20" w:type="dxa"/>
            <w:vAlign w:val="bottom"/>
            <w:tcBorders>
              <w:bottom w:val="single" w:sz="8" w:color="DC202E"/>
            </w:tcBorders>
          </w:tcPr>
          <w:p>
            <w:pPr>
              <w:spacing w:after="0"/>
              <w:rPr>
                <w:sz w:val="24"/>
                <w:szCs w:val="24"/>
                <w:color w:val="auto"/>
              </w:rPr>
            </w:pPr>
          </w:p>
        </w:tc>
        <w:tc>
          <w:tcPr>
            <w:tcW w:w="200" w:type="dxa"/>
            <w:vAlign w:val="bottom"/>
            <w:tcBorders>
              <w:bottom w:val="single" w:sz="8" w:color="DC202E"/>
            </w:tcBorders>
          </w:tcPr>
          <w:p>
            <w:pPr>
              <w:spacing w:after="0"/>
              <w:rPr>
                <w:sz w:val="24"/>
                <w:szCs w:val="24"/>
                <w:color w:val="auto"/>
              </w:rPr>
            </w:pPr>
          </w:p>
        </w:tc>
        <w:tc>
          <w:tcPr>
            <w:tcW w:w="1040" w:type="dxa"/>
            <w:vAlign w:val="bottom"/>
            <w:tcBorders>
              <w:bottom w:val="single" w:sz="8" w:color="DC202E"/>
            </w:tcBorders>
          </w:tcPr>
          <w:p>
            <w:pPr>
              <w:jc w:val="center"/>
              <w:ind w:right="114"/>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DDDDDD"/>
            </w:tcBorders>
          </w:tcPr>
          <w:p>
            <w:pPr>
              <w:spacing w:after="0"/>
              <w:rPr>
                <w:sz w:val="24"/>
                <w:szCs w:val="24"/>
                <w:color w:val="auto"/>
              </w:rPr>
            </w:pPr>
          </w:p>
        </w:tc>
        <w:tc>
          <w:tcPr>
            <w:tcW w:w="100" w:type="dxa"/>
            <w:vAlign w:val="bottom"/>
            <w:tcBorders>
              <w:bottom w:val="single" w:sz="8" w:color="DDDDDD"/>
            </w:tcBorders>
          </w:tcPr>
          <w:p>
            <w:pPr>
              <w:spacing w:after="0"/>
              <w:rPr>
                <w:sz w:val="24"/>
                <w:szCs w:val="24"/>
                <w:color w:val="auto"/>
              </w:rPr>
            </w:pPr>
          </w:p>
        </w:tc>
        <w:tc>
          <w:tcPr>
            <w:tcW w:w="300" w:type="dxa"/>
            <w:vAlign w:val="bottom"/>
            <w:tcBorders>
              <w:bottom w:val="single" w:sz="8" w:color="DC202E"/>
            </w:tcBorders>
          </w:tcPr>
          <w:p>
            <w:pPr>
              <w:spacing w:after="0"/>
              <w:rPr>
                <w:sz w:val="24"/>
                <w:szCs w:val="24"/>
                <w:color w:val="auto"/>
              </w:rPr>
            </w:pPr>
          </w:p>
        </w:tc>
        <w:tc>
          <w:tcPr>
            <w:tcW w:w="960" w:type="dxa"/>
            <w:vAlign w:val="bottom"/>
            <w:tcBorders>
              <w:bottom w:val="single" w:sz="8" w:color="DC202E"/>
            </w:tcBorders>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DDDDDD"/>
            </w:tcBorders>
          </w:tcPr>
          <w:p>
            <w:pPr>
              <w:spacing w:after="0"/>
              <w:rPr>
                <w:sz w:val="24"/>
                <w:szCs w:val="24"/>
                <w:color w:val="auto"/>
              </w:rPr>
            </w:pPr>
          </w:p>
        </w:tc>
        <w:tc>
          <w:tcPr>
            <w:tcW w:w="80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DC202E"/>
            </w:tcBorders>
          </w:tcPr>
          <w:p>
            <w:pPr>
              <w:spacing w:after="0"/>
              <w:rPr>
                <w:sz w:val="24"/>
                <w:szCs w:val="24"/>
                <w:color w:val="auto"/>
              </w:rPr>
            </w:pPr>
          </w:p>
        </w:tc>
        <w:tc>
          <w:tcPr>
            <w:tcW w:w="120" w:type="dxa"/>
            <w:vAlign w:val="bottom"/>
            <w:tcBorders>
              <w:bottom w:val="single" w:sz="8" w:color="DDDDDD"/>
            </w:tcBorders>
          </w:tcPr>
          <w:p>
            <w:pPr>
              <w:spacing w:after="0"/>
              <w:rPr>
                <w:sz w:val="24"/>
                <w:szCs w:val="24"/>
                <w:color w:val="auto"/>
              </w:rPr>
            </w:pPr>
          </w:p>
        </w:tc>
        <w:tc>
          <w:tcPr>
            <w:tcW w:w="280" w:type="dxa"/>
            <w:vAlign w:val="bottom"/>
            <w:tcBorders>
              <w:bottom w:val="single" w:sz="8" w:color="DC202E"/>
            </w:tcBorders>
          </w:tcPr>
          <w:p>
            <w:pPr>
              <w:spacing w:after="0"/>
              <w:rPr>
                <w:sz w:val="24"/>
                <w:szCs w:val="24"/>
                <w:color w:val="auto"/>
              </w:rPr>
            </w:pPr>
          </w:p>
        </w:tc>
        <w:tc>
          <w:tcPr>
            <w:tcW w:w="960" w:type="dxa"/>
            <w:vAlign w:val="bottom"/>
            <w:tcBorders>
              <w:bottom w:val="single" w:sz="8" w:color="DC202E"/>
            </w:tcBorders>
          </w:tcPr>
          <w:p>
            <w:pPr>
              <w:jc w:val="center"/>
              <w:ind w:right="19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DDDDDD"/>
            </w:tcBorders>
          </w:tcPr>
          <w:p>
            <w:pPr>
              <w:spacing w:after="0"/>
              <w:rPr>
                <w:sz w:val="24"/>
                <w:szCs w:val="24"/>
                <w:color w:val="auto"/>
              </w:rPr>
            </w:pPr>
          </w:p>
        </w:tc>
        <w:tc>
          <w:tcPr>
            <w:tcW w:w="280" w:type="dxa"/>
            <w:vAlign w:val="bottom"/>
            <w:tcBorders>
              <w:bottom w:val="single" w:sz="8" w:color="DC202E"/>
            </w:tcBorders>
          </w:tcPr>
          <w:p>
            <w:pPr>
              <w:spacing w:after="0"/>
              <w:rPr>
                <w:sz w:val="24"/>
                <w:szCs w:val="24"/>
                <w:color w:val="auto"/>
              </w:rPr>
            </w:pPr>
          </w:p>
        </w:tc>
        <w:tc>
          <w:tcPr>
            <w:tcW w:w="980" w:type="dxa"/>
            <w:vAlign w:val="bottom"/>
            <w:tcBorders>
              <w:bottom w:val="single" w:sz="8" w:color="DC202E"/>
            </w:tcBorders>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9"/>
        </w:trPr>
        <w:tc>
          <w:tcPr>
            <w:tcW w:w="3080" w:type="dxa"/>
            <w:vAlign w:val="bottom"/>
            <w:shd w:val="clear" w:color="auto" w:fill="DDDDDD"/>
          </w:tcPr>
          <w:p>
            <w:pPr>
              <w:ind w:left="20"/>
              <w:spacing w:after="0"/>
              <w:rPr>
                <w:sz w:val="20"/>
                <w:szCs w:val="20"/>
                <w:color w:val="auto"/>
              </w:rPr>
            </w:pPr>
            <w:r>
              <w:rPr>
                <w:rFonts w:ascii="Arial" w:cs="Arial" w:eastAsia="Arial" w:hAnsi="Arial"/>
                <w:sz w:val="18"/>
                <w:szCs w:val="18"/>
                <w:color w:val="auto"/>
              </w:rPr>
              <w:t>Service cost</w:t>
            </w:r>
          </w:p>
        </w:tc>
        <w:tc>
          <w:tcPr>
            <w:tcW w:w="300" w:type="dxa"/>
            <w:vAlign w:val="bottom"/>
            <w:gridSpan w:val="2"/>
            <w:shd w:val="clear" w:color="auto" w:fill="DDDDDD"/>
          </w:tcPr>
          <w:p>
            <w:pPr>
              <w:jc w:val="right"/>
              <w:ind w:right="18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99</w:t>
            </w:r>
          </w:p>
        </w:tc>
        <w:tc>
          <w:tcPr>
            <w:tcW w:w="40" w:type="dxa"/>
            <w:vAlign w:val="bottom"/>
            <w:shd w:val="clear" w:color="auto" w:fill="DDDDDD"/>
          </w:tcPr>
          <w:p>
            <w:pPr>
              <w:spacing w:after="0"/>
              <w:rPr>
                <w:sz w:val="19"/>
                <w:szCs w:val="19"/>
                <w:color w:val="auto"/>
              </w:rPr>
            </w:pPr>
          </w:p>
        </w:tc>
        <w:tc>
          <w:tcPr>
            <w:tcW w:w="80" w:type="dxa"/>
            <w:vAlign w:val="bottom"/>
            <w:shd w:val="clear" w:color="auto" w:fill="DDDDDD"/>
          </w:tcPr>
          <w:p>
            <w:pPr>
              <w:spacing w:after="0"/>
              <w:rPr>
                <w:sz w:val="19"/>
                <w:szCs w:val="19"/>
                <w:color w:val="auto"/>
              </w:rPr>
            </w:pPr>
          </w:p>
        </w:tc>
        <w:tc>
          <w:tcPr>
            <w:tcW w:w="220" w:type="dxa"/>
            <w:vAlign w:val="bottom"/>
            <w:gridSpan w:val="2"/>
            <w:shd w:val="clear" w:color="auto" w:fill="DDDDDD"/>
          </w:tcPr>
          <w:p>
            <w:pPr>
              <w:jc w:val="right"/>
              <w:ind w:right="10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82</w:t>
            </w:r>
          </w:p>
        </w:tc>
        <w:tc>
          <w:tcPr>
            <w:tcW w:w="2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300" w:type="dxa"/>
            <w:vAlign w:val="bottom"/>
            <w:shd w:val="clear" w:color="auto" w:fill="DDDDDD"/>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DDDDDD"/>
          </w:tcPr>
          <w:p>
            <w:pPr>
              <w:spacing w:after="0"/>
              <w:rPr>
                <w:sz w:val="19"/>
                <w:szCs w:val="19"/>
                <w:color w:val="auto"/>
              </w:rPr>
            </w:pPr>
          </w:p>
        </w:tc>
        <w:tc>
          <w:tcPr>
            <w:tcW w:w="800" w:type="dxa"/>
            <w:vAlign w:val="bottom"/>
            <w:shd w:val="clear" w:color="auto" w:fill="DDDDDD"/>
          </w:tcPr>
          <w:p>
            <w:pPr>
              <w:jc w:val="right"/>
              <w:ind w:right="595"/>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DDDDDD"/>
          </w:tcPr>
          <w:p>
            <w:pPr>
              <w:spacing w:after="0"/>
              <w:rPr>
                <w:sz w:val="19"/>
                <w:szCs w:val="19"/>
                <w:color w:val="auto"/>
              </w:rPr>
            </w:pPr>
          </w:p>
        </w:tc>
        <w:tc>
          <w:tcPr>
            <w:tcW w:w="280" w:type="dxa"/>
            <w:vAlign w:val="bottom"/>
            <w:shd w:val="clear" w:color="auto" w:fill="DDDDDD"/>
          </w:tcPr>
          <w:p>
            <w:pPr>
              <w:jc w:val="right"/>
              <w:ind w:right="75"/>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DDDDDD"/>
          </w:tcPr>
          <w:p>
            <w:pPr>
              <w:spacing w:after="0"/>
              <w:rPr>
                <w:sz w:val="19"/>
                <w:szCs w:val="19"/>
                <w:color w:val="auto"/>
              </w:rPr>
            </w:pPr>
          </w:p>
        </w:tc>
        <w:tc>
          <w:tcPr>
            <w:tcW w:w="280" w:type="dxa"/>
            <w:vAlign w:val="bottom"/>
            <w:shd w:val="clear" w:color="auto" w:fill="DDDDDD"/>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308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573</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29"/>
        </w:trPr>
        <w:tc>
          <w:tcPr>
            <w:tcW w:w="3080" w:type="dxa"/>
            <w:vAlign w:val="bottom"/>
            <w:shd w:val="clear" w:color="auto" w:fill="DDDDDD"/>
          </w:tcPr>
          <w:p>
            <w:pPr>
              <w:ind w:left="20"/>
              <w:spacing w:after="0"/>
              <w:rPr>
                <w:sz w:val="20"/>
                <w:szCs w:val="20"/>
                <w:color w:val="auto"/>
              </w:rPr>
            </w:pPr>
            <w:r>
              <w:rPr>
                <w:rFonts w:ascii="Arial" w:cs="Arial" w:eastAsia="Arial" w:hAnsi="Arial"/>
                <w:sz w:val="18"/>
                <w:szCs w:val="18"/>
                <w:color w:val="auto"/>
              </w:rPr>
              <w:t>Expected return on plan assets</w:t>
            </w:r>
          </w:p>
        </w:tc>
        <w:tc>
          <w:tcPr>
            <w:tcW w:w="20" w:type="dxa"/>
            <w:vAlign w:val="bottom"/>
            <w:shd w:val="clear" w:color="auto" w:fill="DDDDDD"/>
          </w:tcPr>
          <w:p>
            <w:pPr>
              <w:spacing w:after="0"/>
              <w:rPr>
                <w:sz w:val="19"/>
                <w:szCs w:val="19"/>
                <w:color w:val="auto"/>
              </w:rPr>
            </w:pPr>
          </w:p>
        </w:tc>
        <w:tc>
          <w:tcPr>
            <w:tcW w:w="280" w:type="dxa"/>
            <w:vAlign w:val="bottom"/>
            <w:shd w:val="clear" w:color="auto" w:fill="DDDDDD"/>
          </w:tcPr>
          <w:p>
            <w:pPr>
              <w:spacing w:after="0"/>
              <w:rPr>
                <w:sz w:val="19"/>
                <w:szCs w:val="19"/>
                <w:color w:val="auto"/>
              </w:rPr>
            </w:pPr>
          </w:p>
        </w:tc>
        <w:tc>
          <w:tcPr>
            <w:tcW w:w="9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(1,135)</w:t>
            </w:r>
          </w:p>
        </w:tc>
        <w:tc>
          <w:tcPr>
            <w:tcW w:w="40" w:type="dxa"/>
            <w:vAlign w:val="bottom"/>
            <w:shd w:val="clear" w:color="auto" w:fill="DDDDDD"/>
          </w:tcPr>
          <w:p>
            <w:pPr>
              <w:spacing w:after="0"/>
              <w:rPr>
                <w:sz w:val="19"/>
                <w:szCs w:val="19"/>
                <w:color w:val="auto"/>
              </w:rPr>
            </w:pPr>
          </w:p>
        </w:tc>
        <w:tc>
          <w:tcPr>
            <w:tcW w:w="8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00" w:type="dxa"/>
            <w:vAlign w:val="bottom"/>
            <w:shd w:val="clear" w:color="auto" w:fill="DDDDDD"/>
          </w:tcPr>
          <w:p>
            <w:pPr>
              <w:spacing w:after="0"/>
              <w:rPr>
                <w:sz w:val="19"/>
                <w:szCs w:val="19"/>
                <w:color w:val="auto"/>
              </w:rPr>
            </w:pPr>
          </w:p>
        </w:tc>
        <w:tc>
          <w:tcPr>
            <w:tcW w:w="10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(1,117)</w:t>
            </w:r>
          </w:p>
        </w:tc>
        <w:tc>
          <w:tcPr>
            <w:tcW w:w="2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300" w:type="dxa"/>
            <w:vAlign w:val="bottom"/>
            <w:shd w:val="clear" w:color="auto" w:fill="DDDDDD"/>
          </w:tcPr>
          <w:p>
            <w:pPr>
              <w:spacing w:after="0"/>
              <w:rPr>
                <w:sz w:val="19"/>
                <w:szCs w:val="19"/>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(1,426)</w:t>
            </w:r>
          </w:p>
        </w:tc>
        <w:tc>
          <w:tcPr>
            <w:tcW w:w="100" w:type="dxa"/>
            <w:vAlign w:val="bottom"/>
            <w:shd w:val="clear" w:color="auto" w:fill="DDDDDD"/>
          </w:tcPr>
          <w:p>
            <w:pPr>
              <w:spacing w:after="0"/>
              <w:rPr>
                <w:sz w:val="19"/>
                <w:szCs w:val="19"/>
                <w:color w:val="auto"/>
              </w:rPr>
            </w:pPr>
          </w:p>
        </w:tc>
        <w:tc>
          <w:tcPr>
            <w:tcW w:w="800" w:type="dxa"/>
            <w:vAlign w:val="bottom"/>
            <w:shd w:val="clear" w:color="auto" w:fill="DDDDDD"/>
          </w:tcPr>
          <w:p>
            <w:pPr>
              <w:spacing w:after="0"/>
              <w:rPr>
                <w:sz w:val="19"/>
                <w:szCs w:val="19"/>
                <w:color w:val="auto"/>
              </w:rPr>
            </w:pPr>
          </w:p>
        </w:tc>
        <w:tc>
          <w:tcPr>
            <w:tcW w:w="46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9"/>
              </w:rPr>
              <w:t>(336)</w:t>
            </w:r>
          </w:p>
        </w:tc>
        <w:tc>
          <w:tcPr>
            <w:tcW w:w="120" w:type="dxa"/>
            <w:vAlign w:val="bottom"/>
            <w:shd w:val="clear" w:color="auto" w:fill="DDDDDD"/>
          </w:tcPr>
          <w:p>
            <w:pPr>
              <w:spacing w:after="0"/>
              <w:rPr>
                <w:sz w:val="19"/>
                <w:szCs w:val="19"/>
                <w:color w:val="auto"/>
              </w:rPr>
            </w:pPr>
          </w:p>
        </w:tc>
        <w:tc>
          <w:tcPr>
            <w:tcW w:w="280" w:type="dxa"/>
            <w:vAlign w:val="bottom"/>
            <w:shd w:val="clear" w:color="auto" w:fill="DDDDDD"/>
          </w:tcPr>
          <w:p>
            <w:pPr>
              <w:spacing w:after="0"/>
              <w:rPr>
                <w:sz w:val="19"/>
                <w:szCs w:val="19"/>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(331)</w:t>
            </w:r>
          </w:p>
        </w:tc>
        <w:tc>
          <w:tcPr>
            <w:tcW w:w="120" w:type="dxa"/>
            <w:vAlign w:val="bottom"/>
            <w:shd w:val="clear" w:color="auto" w:fill="DDDDDD"/>
          </w:tcPr>
          <w:p>
            <w:pPr>
              <w:spacing w:after="0"/>
              <w:rPr>
                <w:sz w:val="19"/>
                <w:szCs w:val="19"/>
                <w:color w:val="auto"/>
              </w:rPr>
            </w:pPr>
          </w:p>
        </w:tc>
        <w:tc>
          <w:tcPr>
            <w:tcW w:w="280" w:type="dxa"/>
            <w:vAlign w:val="bottom"/>
            <w:shd w:val="clear" w:color="auto" w:fill="DDDDDD"/>
          </w:tcPr>
          <w:p>
            <w:pPr>
              <w:spacing w:after="0"/>
              <w:rPr>
                <w:sz w:val="19"/>
                <w:szCs w:val="19"/>
                <w:color w:val="auto"/>
              </w:rPr>
            </w:pPr>
          </w:p>
        </w:tc>
        <w:tc>
          <w:tcPr>
            <w:tcW w:w="9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188"/>
        </w:trPr>
        <w:tc>
          <w:tcPr>
            <w:tcW w:w="3080" w:type="dxa"/>
            <w:vAlign w:val="bottom"/>
          </w:tcPr>
          <w:p>
            <w:pPr>
              <w:ind w:left="20"/>
              <w:spacing w:after="0" w:line="189" w:lineRule="exact"/>
              <w:rPr>
                <w:sz w:val="20"/>
                <w:szCs w:val="20"/>
                <w:color w:val="auto"/>
              </w:rPr>
            </w:pPr>
            <w:r>
              <w:rPr>
                <w:rFonts w:ascii="Arial" w:cs="Arial" w:eastAsia="Arial" w:hAnsi="Arial"/>
                <w:sz w:val="18"/>
                <w:szCs w:val="18"/>
                <w:color w:val="auto"/>
              </w:rPr>
              <w:t>Amortization of prior service (credit)</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080" w:type="dxa"/>
            <w:vAlign w:val="bottom"/>
          </w:tcPr>
          <w:p>
            <w:pPr>
              <w:ind w:left="20"/>
              <w:spacing w:after="0"/>
              <w:rPr>
                <w:sz w:val="20"/>
                <w:szCs w:val="20"/>
                <w:color w:val="auto"/>
              </w:rPr>
            </w:pPr>
            <w:r>
              <w:rPr>
                <w:rFonts w:ascii="Arial" w:cs="Arial" w:eastAsia="Arial" w:hAnsi="Arial"/>
                <w:sz w:val="18"/>
                <w:szCs w:val="18"/>
                <w:color w:val="auto"/>
              </w:rPr>
              <w:t>cost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3080" w:type="dxa"/>
            <w:vAlign w:val="bottom"/>
            <w:shd w:val="clear" w:color="auto" w:fill="DDDDDD"/>
          </w:tcPr>
          <w:p>
            <w:pPr>
              <w:ind w:left="20"/>
              <w:spacing w:after="0"/>
              <w:rPr>
                <w:sz w:val="20"/>
                <w:szCs w:val="20"/>
                <w:color w:val="auto"/>
              </w:rPr>
            </w:pPr>
            <w:r>
              <w:rPr>
                <w:rFonts w:ascii="Arial" w:cs="Arial" w:eastAsia="Arial" w:hAnsi="Arial"/>
                <w:sz w:val="18"/>
                <w:szCs w:val="18"/>
                <w:color w:val="auto"/>
              </w:rPr>
              <w:t>Recognition of actuarial losses</w:t>
            </w:r>
          </w:p>
        </w:tc>
        <w:tc>
          <w:tcPr>
            <w:tcW w:w="20" w:type="dxa"/>
            <w:vAlign w:val="bottom"/>
            <w:shd w:val="clear" w:color="auto" w:fill="DDDDDD"/>
          </w:tcPr>
          <w:p>
            <w:pPr>
              <w:spacing w:after="0"/>
              <w:rPr>
                <w:sz w:val="19"/>
                <w:szCs w:val="19"/>
                <w:color w:val="auto"/>
              </w:rPr>
            </w:pPr>
          </w:p>
        </w:tc>
        <w:tc>
          <w:tcPr>
            <w:tcW w:w="280" w:type="dxa"/>
            <w:vAlign w:val="bottom"/>
            <w:shd w:val="clear" w:color="auto" w:fill="DDDDDD"/>
          </w:tcPr>
          <w:p>
            <w:pPr>
              <w:spacing w:after="0"/>
              <w:rPr>
                <w:sz w:val="19"/>
                <w:szCs w:val="19"/>
                <w:color w:val="auto"/>
              </w:rPr>
            </w:pPr>
          </w:p>
        </w:tc>
        <w:tc>
          <w:tcPr>
            <w:tcW w:w="9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26</w:t>
            </w:r>
          </w:p>
        </w:tc>
        <w:tc>
          <w:tcPr>
            <w:tcW w:w="40" w:type="dxa"/>
            <w:vAlign w:val="bottom"/>
            <w:shd w:val="clear" w:color="auto" w:fill="DDDDDD"/>
          </w:tcPr>
          <w:p>
            <w:pPr>
              <w:spacing w:after="0"/>
              <w:rPr>
                <w:sz w:val="19"/>
                <w:szCs w:val="19"/>
                <w:color w:val="auto"/>
              </w:rPr>
            </w:pPr>
          </w:p>
        </w:tc>
        <w:tc>
          <w:tcPr>
            <w:tcW w:w="8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00" w:type="dxa"/>
            <w:vAlign w:val="bottom"/>
            <w:shd w:val="clear" w:color="auto" w:fill="DDDDDD"/>
          </w:tcPr>
          <w:p>
            <w:pPr>
              <w:spacing w:after="0"/>
              <w:rPr>
                <w:sz w:val="19"/>
                <w:szCs w:val="19"/>
                <w:color w:val="auto"/>
              </w:rPr>
            </w:pPr>
          </w:p>
        </w:tc>
        <w:tc>
          <w:tcPr>
            <w:tcW w:w="10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35</w:t>
            </w:r>
          </w:p>
        </w:tc>
        <w:tc>
          <w:tcPr>
            <w:tcW w:w="2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300" w:type="dxa"/>
            <w:vAlign w:val="bottom"/>
            <w:shd w:val="clear" w:color="auto" w:fill="DDDDDD"/>
          </w:tcPr>
          <w:p>
            <w:pPr>
              <w:spacing w:after="0"/>
              <w:rPr>
                <w:sz w:val="19"/>
                <w:szCs w:val="19"/>
                <w:color w:val="auto"/>
              </w:rPr>
            </w:pPr>
          </w:p>
        </w:tc>
        <w:tc>
          <w:tcPr>
            <w:tcW w:w="1060" w:type="dxa"/>
            <w:vAlign w:val="bottom"/>
            <w:gridSpan w:val="2"/>
            <w:shd w:val="clear" w:color="auto" w:fill="DDDDDD"/>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shd w:val="clear" w:color="auto" w:fill="DDDDDD"/>
          </w:tcPr>
          <w:p>
            <w:pPr>
              <w:spacing w:after="0"/>
              <w:rPr>
                <w:sz w:val="19"/>
                <w:szCs w:val="19"/>
                <w:color w:val="auto"/>
              </w:rPr>
            </w:pPr>
          </w:p>
        </w:tc>
        <w:tc>
          <w:tcPr>
            <w:tcW w:w="4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DDDDDD"/>
          </w:tcPr>
          <w:p>
            <w:pPr>
              <w:spacing w:after="0"/>
              <w:rPr>
                <w:sz w:val="19"/>
                <w:szCs w:val="19"/>
                <w:color w:val="auto"/>
              </w:rPr>
            </w:pPr>
          </w:p>
        </w:tc>
        <w:tc>
          <w:tcPr>
            <w:tcW w:w="280" w:type="dxa"/>
            <w:vAlign w:val="bottom"/>
            <w:shd w:val="clear" w:color="auto" w:fill="DDDDDD"/>
          </w:tcPr>
          <w:p>
            <w:pPr>
              <w:spacing w:after="0"/>
              <w:rPr>
                <w:sz w:val="19"/>
                <w:szCs w:val="19"/>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DDDDDD"/>
          </w:tcPr>
          <w:p>
            <w:pPr>
              <w:spacing w:after="0"/>
              <w:rPr>
                <w:sz w:val="19"/>
                <w:szCs w:val="19"/>
                <w:color w:val="auto"/>
              </w:rPr>
            </w:pPr>
          </w:p>
        </w:tc>
        <w:tc>
          <w:tcPr>
            <w:tcW w:w="280" w:type="dxa"/>
            <w:vAlign w:val="bottom"/>
            <w:shd w:val="clear" w:color="auto" w:fill="DDDDDD"/>
          </w:tcPr>
          <w:p>
            <w:pPr>
              <w:spacing w:after="0"/>
              <w:rPr>
                <w:sz w:val="19"/>
                <w:szCs w:val="19"/>
                <w:color w:val="auto"/>
              </w:rPr>
            </w:pPr>
          </w:p>
        </w:tc>
        <w:tc>
          <w:tcPr>
            <w:tcW w:w="9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3080" w:type="dxa"/>
            <w:vAlign w:val="bottom"/>
          </w:tcPr>
          <w:p>
            <w:pPr>
              <w:ind w:left="20"/>
              <w:spacing w:after="0"/>
              <w:rPr>
                <w:sz w:val="20"/>
                <w:szCs w:val="20"/>
                <w:color w:val="auto"/>
              </w:rPr>
            </w:pPr>
            <w:r>
              <w:rPr>
                <w:rFonts w:ascii="Arial" w:cs="Arial" w:eastAsia="Arial" w:hAnsi="Arial"/>
                <w:sz w:val="18"/>
                <w:szCs w:val="18"/>
                <w:color w:val="auto"/>
              </w:rPr>
              <w:t>Settlements and curtailments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9"/>
                <w:szCs w:val="19"/>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8"/>
        </w:trPr>
        <w:tc>
          <w:tcPr>
            <w:tcW w:w="3080" w:type="dxa"/>
            <w:vAlign w:val="bottom"/>
            <w:tcBorders>
              <w:top w:val="single" w:sz="8" w:color="DDDDDD"/>
              <w:bottom w:val="single" w:sz="8" w:color="DDDDDD"/>
            </w:tcBorders>
            <w:shd w:val="clear" w:color="auto" w:fill="DDDDDD"/>
          </w:tcPr>
          <w:p>
            <w:pPr>
              <w:ind w:left="20"/>
              <w:spacing w:after="0"/>
              <w:rPr>
                <w:sz w:val="20"/>
                <w:szCs w:val="20"/>
                <w:color w:val="auto"/>
              </w:rPr>
            </w:pPr>
            <w:r>
              <w:rPr>
                <w:rFonts w:ascii="Arial" w:cs="Arial" w:eastAsia="Arial" w:hAnsi="Arial"/>
                <w:sz w:val="18"/>
                <w:szCs w:val="18"/>
                <w:color w:val="auto"/>
              </w:rPr>
              <w:t>Net periodic benefit (income) cost</w:t>
            </w:r>
          </w:p>
        </w:tc>
        <w:tc>
          <w:tcPr>
            <w:tcW w:w="300" w:type="dxa"/>
            <w:vAlign w:val="bottom"/>
            <w:tcBorders>
              <w:top w:val="single" w:sz="8" w:color="auto"/>
              <w:bottom w:val="single" w:sz="8" w:color="auto"/>
            </w:tcBorders>
            <w:gridSpan w:val="2"/>
            <w:shd w:val="clear" w:color="auto" w:fill="DDDDDD"/>
          </w:tcPr>
          <w:p>
            <w:pPr>
              <w:jc w:val="right"/>
              <w:ind w:right="18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(587)</w:t>
            </w:r>
          </w:p>
        </w:tc>
        <w:tc>
          <w:tcPr>
            <w:tcW w:w="40" w:type="dxa"/>
            <w:vAlign w:val="bottom"/>
            <w:tcBorders>
              <w:top w:val="single" w:sz="8" w:color="DDDDDD"/>
              <w:bottom w:val="single" w:sz="8" w:color="DDDDDD"/>
            </w:tcBorders>
            <w:shd w:val="clear" w:color="auto" w:fill="DDDDDD"/>
          </w:tcPr>
          <w:p>
            <w:pPr>
              <w:spacing w:after="0"/>
              <w:rPr>
                <w:sz w:val="21"/>
                <w:szCs w:val="21"/>
                <w:color w:val="auto"/>
              </w:rPr>
            </w:pPr>
          </w:p>
        </w:tc>
        <w:tc>
          <w:tcPr>
            <w:tcW w:w="80" w:type="dxa"/>
            <w:vAlign w:val="bottom"/>
            <w:tcBorders>
              <w:top w:val="single" w:sz="8" w:color="DDDDDD"/>
              <w:bottom w:val="single" w:sz="8" w:color="DDDDDD"/>
            </w:tcBorders>
            <w:shd w:val="clear" w:color="auto" w:fill="DDDDDD"/>
          </w:tcPr>
          <w:p>
            <w:pPr>
              <w:spacing w:after="0"/>
              <w:rPr>
                <w:sz w:val="21"/>
                <w:szCs w:val="21"/>
                <w:color w:val="auto"/>
              </w:rPr>
            </w:pPr>
          </w:p>
        </w:tc>
        <w:tc>
          <w:tcPr>
            <w:tcW w:w="220" w:type="dxa"/>
            <w:vAlign w:val="bottom"/>
            <w:tcBorders>
              <w:top w:val="single" w:sz="8" w:color="auto"/>
              <w:bottom w:val="single" w:sz="8" w:color="auto"/>
            </w:tcBorders>
            <w:gridSpan w:val="2"/>
            <w:shd w:val="clear" w:color="auto" w:fill="DDDDDD"/>
          </w:tcPr>
          <w:p>
            <w:pPr>
              <w:jc w:val="right"/>
              <w:ind w:right="10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(425)</w:t>
            </w:r>
          </w:p>
        </w:tc>
        <w:tc>
          <w:tcPr>
            <w:tcW w:w="20" w:type="dxa"/>
            <w:vAlign w:val="bottom"/>
            <w:tcBorders>
              <w:top w:val="single" w:sz="8" w:color="DDDDDD"/>
              <w:bottom w:val="single" w:sz="8" w:color="DDDDDD"/>
            </w:tcBorders>
            <w:shd w:val="clear" w:color="auto" w:fill="DDDDDD"/>
          </w:tcPr>
          <w:p>
            <w:pPr>
              <w:spacing w:after="0"/>
              <w:rPr>
                <w:sz w:val="21"/>
                <w:szCs w:val="21"/>
                <w:color w:val="auto"/>
              </w:rPr>
            </w:pPr>
          </w:p>
        </w:tc>
        <w:tc>
          <w:tcPr>
            <w:tcW w:w="100" w:type="dxa"/>
            <w:vAlign w:val="bottom"/>
            <w:tcBorders>
              <w:top w:val="single" w:sz="8" w:color="DDDDDD"/>
              <w:bottom w:val="single" w:sz="8" w:color="DDDDDD"/>
            </w:tcBorders>
            <w:shd w:val="clear" w:color="auto" w:fill="DDDDDD"/>
          </w:tcPr>
          <w:p>
            <w:pPr>
              <w:spacing w:after="0"/>
              <w:rPr>
                <w:sz w:val="21"/>
                <w:szCs w:val="21"/>
                <w:color w:val="auto"/>
              </w:rPr>
            </w:pPr>
          </w:p>
        </w:tc>
        <w:tc>
          <w:tcPr>
            <w:tcW w:w="300" w:type="dxa"/>
            <w:vAlign w:val="bottom"/>
            <w:tcBorders>
              <w:top w:val="single" w:sz="8" w:color="auto"/>
              <w:bottom w:val="single" w:sz="8" w:color="auto"/>
            </w:tcBorders>
            <w:shd w:val="clear" w:color="auto" w:fill="DDDDDD"/>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(756)</w:t>
            </w:r>
          </w:p>
        </w:tc>
        <w:tc>
          <w:tcPr>
            <w:tcW w:w="100" w:type="dxa"/>
            <w:vAlign w:val="bottom"/>
            <w:tcBorders>
              <w:top w:val="single" w:sz="8" w:color="DDDDDD"/>
              <w:bottom w:val="single" w:sz="8" w:color="DDDDDD"/>
            </w:tcBorders>
            <w:shd w:val="clear" w:color="auto" w:fill="DDDDDD"/>
          </w:tcPr>
          <w:p>
            <w:pPr>
              <w:spacing w:after="0"/>
              <w:rPr>
                <w:sz w:val="21"/>
                <w:szCs w:val="21"/>
                <w:color w:val="auto"/>
              </w:rPr>
            </w:pPr>
          </w:p>
        </w:tc>
        <w:tc>
          <w:tcPr>
            <w:tcW w:w="800" w:type="dxa"/>
            <w:vAlign w:val="bottom"/>
            <w:tcBorders>
              <w:top w:val="single" w:sz="8" w:color="auto"/>
              <w:bottom w:val="single" w:sz="8" w:color="auto"/>
            </w:tcBorders>
            <w:shd w:val="clear" w:color="auto" w:fill="DDDDDD"/>
          </w:tcPr>
          <w:p>
            <w:pPr>
              <w:jc w:val="right"/>
              <w:ind w:right="595"/>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w w:val="99"/>
              </w:rPr>
              <w:t>(189)</w:t>
            </w:r>
          </w:p>
        </w:tc>
        <w:tc>
          <w:tcPr>
            <w:tcW w:w="120" w:type="dxa"/>
            <w:vAlign w:val="bottom"/>
            <w:tcBorders>
              <w:top w:val="single" w:sz="8" w:color="DDDDDD"/>
              <w:bottom w:val="single" w:sz="8" w:color="DDDDDD"/>
            </w:tcBorders>
            <w:shd w:val="clear" w:color="auto" w:fill="DDDDDD"/>
          </w:tcPr>
          <w:p>
            <w:pPr>
              <w:spacing w:after="0"/>
              <w:rPr>
                <w:sz w:val="21"/>
                <w:szCs w:val="21"/>
                <w:color w:val="auto"/>
              </w:rPr>
            </w:pPr>
          </w:p>
        </w:tc>
        <w:tc>
          <w:tcPr>
            <w:tcW w:w="280" w:type="dxa"/>
            <w:vAlign w:val="bottom"/>
            <w:tcBorders>
              <w:top w:val="single" w:sz="8" w:color="auto"/>
              <w:bottom w:val="single" w:sz="8" w:color="auto"/>
            </w:tcBorders>
            <w:shd w:val="clear" w:color="auto" w:fill="DDDDDD"/>
          </w:tcPr>
          <w:p>
            <w:pPr>
              <w:jc w:val="right"/>
              <w:ind w:right="75"/>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(79)</w:t>
            </w:r>
          </w:p>
        </w:tc>
        <w:tc>
          <w:tcPr>
            <w:tcW w:w="120" w:type="dxa"/>
            <w:vAlign w:val="bottom"/>
            <w:tcBorders>
              <w:top w:val="single" w:sz="8" w:color="DDDDDD"/>
              <w:bottom w:val="single" w:sz="8" w:color="DDDDDD"/>
            </w:tcBorders>
            <w:shd w:val="clear" w:color="auto" w:fill="DDDDDD"/>
          </w:tcPr>
          <w:p>
            <w:pPr>
              <w:spacing w:after="0"/>
              <w:rPr>
                <w:sz w:val="21"/>
                <w:szCs w:val="21"/>
                <w:color w:val="auto"/>
              </w:rPr>
            </w:pPr>
          </w:p>
        </w:tc>
        <w:tc>
          <w:tcPr>
            <w:tcW w:w="280" w:type="dxa"/>
            <w:vAlign w:val="bottom"/>
            <w:tcBorders>
              <w:top w:val="single" w:sz="8" w:color="auto"/>
              <w:bottom w:val="single" w:sz="8" w:color="auto"/>
            </w:tcBorders>
            <w:shd w:val="clear" w:color="auto" w:fill="DDDDDD"/>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0"/>
        </w:trPr>
        <w:tc>
          <w:tcPr>
            <w:tcW w:w="3080" w:type="dxa"/>
            <w:vAlign w:val="bottom"/>
            <w:tcBorders>
              <w:top w:val="single" w:sz="8" w:color="DDDDDD"/>
            </w:tcBorders>
          </w:tcPr>
          <w:p>
            <w:pPr>
              <w:spacing w:after="0" w:line="20" w:lineRule="exact"/>
              <w:rPr>
                <w:sz w:val="1"/>
                <w:szCs w:val="1"/>
                <w:color w:val="auto"/>
              </w:rPr>
            </w:pPr>
          </w:p>
        </w:tc>
        <w:tc>
          <w:tcPr>
            <w:tcW w:w="20" w:type="dxa"/>
            <w:vAlign w:val="bottom"/>
            <w:tcBorders>
              <w:top w:val="single" w:sz="8" w:color="DDDDDD"/>
              <w:bottom w:val="single" w:sz="8" w:color="auto"/>
            </w:tcBorders>
          </w:tcPr>
          <w:p>
            <w:pPr>
              <w:spacing w:after="0" w:line="20" w:lineRule="exact"/>
              <w:rPr>
                <w:sz w:val="1"/>
                <w:szCs w:val="1"/>
                <w:color w:val="auto"/>
              </w:rPr>
            </w:pPr>
          </w:p>
        </w:tc>
        <w:tc>
          <w:tcPr>
            <w:tcW w:w="280" w:type="dxa"/>
            <w:vAlign w:val="bottom"/>
            <w:tcBorders>
              <w:top w:val="single" w:sz="8" w:color="DDDDDD"/>
              <w:bottom w:val="single" w:sz="8" w:color="auto"/>
            </w:tcBorders>
          </w:tcPr>
          <w:p>
            <w:pPr>
              <w:spacing w:after="0" w:line="20" w:lineRule="exact"/>
              <w:rPr>
                <w:sz w:val="1"/>
                <w:szCs w:val="1"/>
                <w:color w:val="auto"/>
              </w:rPr>
            </w:pPr>
          </w:p>
        </w:tc>
        <w:tc>
          <w:tcPr>
            <w:tcW w:w="940" w:type="dxa"/>
            <w:vAlign w:val="bottom"/>
            <w:tcBorders>
              <w:top w:val="single" w:sz="8" w:color="DDDDDD"/>
              <w:bottom w:val="single" w:sz="8" w:color="auto"/>
            </w:tcBorders>
          </w:tcPr>
          <w:p>
            <w:pPr>
              <w:spacing w:after="0" w:line="20" w:lineRule="exact"/>
              <w:rPr>
                <w:sz w:val="1"/>
                <w:szCs w:val="1"/>
                <w:color w:val="auto"/>
              </w:rPr>
            </w:pPr>
          </w:p>
        </w:tc>
        <w:tc>
          <w:tcPr>
            <w:tcW w:w="40" w:type="dxa"/>
            <w:vAlign w:val="bottom"/>
            <w:tcBorders>
              <w:top w:val="single" w:sz="8" w:color="DDDDDD"/>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20" w:type="dxa"/>
            <w:vAlign w:val="bottom"/>
            <w:tcBorders>
              <w:top w:val="single" w:sz="8" w:color="DDDDDD"/>
              <w:bottom w:val="single" w:sz="8" w:color="auto"/>
            </w:tcBorders>
          </w:tcPr>
          <w:p>
            <w:pPr>
              <w:spacing w:after="0" w:line="20" w:lineRule="exact"/>
              <w:rPr>
                <w:sz w:val="1"/>
                <w:szCs w:val="1"/>
                <w:color w:val="auto"/>
              </w:rPr>
            </w:pPr>
          </w:p>
        </w:tc>
        <w:tc>
          <w:tcPr>
            <w:tcW w:w="200" w:type="dxa"/>
            <w:vAlign w:val="bottom"/>
            <w:tcBorders>
              <w:top w:val="single" w:sz="8" w:color="DDDDDD"/>
              <w:bottom w:val="single" w:sz="8" w:color="auto"/>
            </w:tcBorders>
          </w:tcPr>
          <w:p>
            <w:pPr>
              <w:spacing w:after="0" w:line="20" w:lineRule="exact"/>
              <w:rPr>
                <w:sz w:val="1"/>
                <w:szCs w:val="1"/>
                <w:color w:val="auto"/>
              </w:rPr>
            </w:pPr>
          </w:p>
        </w:tc>
        <w:tc>
          <w:tcPr>
            <w:tcW w:w="1040" w:type="dxa"/>
            <w:vAlign w:val="bottom"/>
            <w:tcBorders>
              <w:top w:val="single" w:sz="8" w:color="DDDDDD"/>
              <w:bottom w:val="single" w:sz="8" w:color="auto"/>
            </w:tcBorders>
          </w:tcPr>
          <w:p>
            <w:pPr>
              <w:spacing w:after="0" w:line="20" w:lineRule="exact"/>
              <w:rPr>
                <w:sz w:val="1"/>
                <w:szCs w:val="1"/>
                <w:color w:val="auto"/>
              </w:rPr>
            </w:pPr>
          </w:p>
        </w:tc>
        <w:tc>
          <w:tcPr>
            <w:tcW w:w="20" w:type="dxa"/>
            <w:vAlign w:val="bottom"/>
            <w:tcBorders>
              <w:top w:val="single" w:sz="8" w:color="DDDDDD"/>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300" w:type="dxa"/>
            <w:vAlign w:val="bottom"/>
            <w:tcBorders>
              <w:top w:val="single" w:sz="8" w:color="DDDDDD"/>
              <w:bottom w:val="single" w:sz="8" w:color="auto"/>
            </w:tcBorders>
          </w:tcPr>
          <w:p>
            <w:pPr>
              <w:spacing w:after="0" w:line="20" w:lineRule="exact"/>
              <w:rPr>
                <w:sz w:val="1"/>
                <w:szCs w:val="1"/>
                <w:color w:val="auto"/>
              </w:rPr>
            </w:pPr>
          </w:p>
        </w:tc>
        <w:tc>
          <w:tcPr>
            <w:tcW w:w="960" w:type="dxa"/>
            <w:vAlign w:val="bottom"/>
            <w:tcBorders>
              <w:top w:val="single" w:sz="8" w:color="DDDDDD"/>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800" w:type="dxa"/>
            <w:vAlign w:val="bottom"/>
            <w:tcBorders>
              <w:top w:val="single" w:sz="8" w:color="DDDDDD"/>
              <w:bottom w:val="single" w:sz="8" w:color="auto"/>
            </w:tcBorders>
          </w:tcPr>
          <w:p>
            <w:pPr>
              <w:spacing w:after="0" w:line="20" w:lineRule="exact"/>
              <w:rPr>
                <w:sz w:val="1"/>
                <w:szCs w:val="1"/>
                <w:color w:val="auto"/>
              </w:rPr>
            </w:pPr>
          </w:p>
        </w:tc>
        <w:tc>
          <w:tcPr>
            <w:tcW w:w="460" w:type="dxa"/>
            <w:vAlign w:val="bottom"/>
            <w:tcBorders>
              <w:top w:val="single" w:sz="8" w:color="DDDDDD"/>
              <w:bottom w:val="single" w:sz="8" w:color="auto"/>
            </w:tcBorders>
          </w:tcPr>
          <w:p>
            <w:pPr>
              <w:spacing w:after="0" w:line="20" w:lineRule="exact"/>
              <w:rPr>
                <w:sz w:val="1"/>
                <w:szCs w:val="1"/>
                <w:color w:val="auto"/>
              </w:rPr>
            </w:pPr>
          </w:p>
        </w:tc>
        <w:tc>
          <w:tcPr>
            <w:tcW w:w="120" w:type="dxa"/>
            <w:vAlign w:val="bottom"/>
            <w:tcBorders>
              <w:top w:val="single" w:sz="8" w:color="DDDDDD"/>
            </w:tcBorders>
          </w:tcPr>
          <w:p>
            <w:pPr>
              <w:spacing w:after="0" w:line="20" w:lineRule="exact"/>
              <w:rPr>
                <w:sz w:val="1"/>
                <w:szCs w:val="1"/>
                <w:color w:val="auto"/>
              </w:rPr>
            </w:pPr>
          </w:p>
        </w:tc>
        <w:tc>
          <w:tcPr>
            <w:tcW w:w="1240" w:type="dxa"/>
            <w:vAlign w:val="bottom"/>
            <w:tcBorders>
              <w:top w:val="single" w:sz="8" w:color="DDDDDD"/>
              <w:bottom w:val="single" w:sz="8" w:color="auto"/>
            </w:tcBorders>
            <w:gridSpan w:val="2"/>
          </w:tcPr>
          <w:p>
            <w:pPr>
              <w:spacing w:after="0" w:line="20" w:lineRule="exact"/>
              <w:rPr>
                <w:sz w:val="1"/>
                <w:szCs w:val="1"/>
                <w:color w:val="auto"/>
              </w:rPr>
            </w:pPr>
          </w:p>
        </w:tc>
        <w:tc>
          <w:tcPr>
            <w:tcW w:w="120" w:type="dxa"/>
            <w:vAlign w:val="bottom"/>
            <w:tcBorders>
              <w:top w:val="single" w:sz="8" w:color="DDDDDD"/>
            </w:tcBorders>
          </w:tcPr>
          <w:p>
            <w:pPr>
              <w:spacing w:after="0" w:line="20" w:lineRule="exact"/>
              <w:rPr>
                <w:sz w:val="1"/>
                <w:szCs w:val="1"/>
                <w:color w:val="auto"/>
              </w:rPr>
            </w:pPr>
          </w:p>
        </w:tc>
        <w:tc>
          <w:tcPr>
            <w:tcW w:w="280" w:type="dxa"/>
            <w:vAlign w:val="bottom"/>
            <w:tcBorders>
              <w:top w:val="single" w:sz="8" w:color="DDDDDD"/>
              <w:bottom w:val="single" w:sz="8" w:color="auto"/>
            </w:tcBorders>
          </w:tcPr>
          <w:p>
            <w:pPr>
              <w:spacing w:after="0" w:line="20" w:lineRule="exact"/>
              <w:rPr>
                <w:sz w:val="1"/>
                <w:szCs w:val="1"/>
                <w:color w:val="auto"/>
              </w:rPr>
            </w:pPr>
          </w:p>
        </w:tc>
        <w:tc>
          <w:tcPr>
            <w:tcW w:w="980" w:type="dxa"/>
            <w:vAlign w:val="bottom"/>
            <w:tcBorders>
              <w:top w:val="single" w:sz="8" w:color="DDDDD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Other Changes in Plan Assets and</w:t>
            </w:r>
          </w:p>
        </w:tc>
        <w:tc>
          <w:tcPr>
            <w:tcW w:w="20" w:type="dxa"/>
            <w:vAlign w:val="bottom"/>
          </w:tcPr>
          <w:p>
            <w:pPr>
              <w:spacing w:after="0"/>
              <w:rPr>
                <w:sz w:val="24"/>
                <w:szCs w:val="24"/>
                <w:color w:val="auto"/>
              </w:rPr>
            </w:pPr>
          </w:p>
        </w:tc>
        <w:tc>
          <w:tcPr>
            <w:tcW w:w="280" w:type="dxa"/>
            <w:vAlign w:val="bottom"/>
            <w:tcBorders>
              <w:bottom w:val="single" w:sz="8" w:color="DC202E"/>
            </w:tcBorders>
          </w:tcPr>
          <w:p>
            <w:pPr>
              <w:spacing w:after="0"/>
              <w:rPr>
                <w:sz w:val="24"/>
                <w:szCs w:val="24"/>
                <w:color w:val="auto"/>
              </w:rPr>
            </w:pPr>
          </w:p>
        </w:tc>
        <w:tc>
          <w:tcPr>
            <w:tcW w:w="940" w:type="dxa"/>
            <w:vAlign w:val="bottom"/>
            <w:tcBorders>
              <w:bottom w:val="single" w:sz="8" w:color="DC202E"/>
            </w:tcBorders>
          </w:tcPr>
          <w:p>
            <w:pPr>
              <w:spacing w:after="0"/>
              <w:rPr>
                <w:sz w:val="24"/>
                <w:szCs w:val="24"/>
                <w:color w:val="auto"/>
              </w:rPr>
            </w:pPr>
          </w:p>
        </w:tc>
        <w:tc>
          <w:tcPr>
            <w:tcW w:w="40" w:type="dxa"/>
            <w:vAlign w:val="bottom"/>
            <w:tcBorders>
              <w:bottom w:val="single" w:sz="8" w:color="DC202E"/>
            </w:tcBorders>
          </w:tcPr>
          <w:p>
            <w:pPr>
              <w:spacing w:after="0"/>
              <w:rPr>
                <w:sz w:val="24"/>
                <w:szCs w:val="24"/>
                <w:color w:val="auto"/>
              </w:rPr>
            </w:pPr>
          </w:p>
        </w:tc>
        <w:tc>
          <w:tcPr>
            <w:tcW w:w="80" w:type="dxa"/>
            <w:vAlign w:val="bottom"/>
            <w:tcBorders>
              <w:bottom w:val="single" w:sz="8" w:color="DC202E"/>
            </w:tcBorders>
          </w:tcPr>
          <w:p>
            <w:pPr>
              <w:spacing w:after="0"/>
              <w:rPr>
                <w:sz w:val="24"/>
                <w:szCs w:val="24"/>
                <w:color w:val="auto"/>
              </w:rPr>
            </w:pPr>
          </w:p>
        </w:tc>
        <w:tc>
          <w:tcPr>
            <w:tcW w:w="20" w:type="dxa"/>
            <w:vAlign w:val="bottom"/>
            <w:tcBorders>
              <w:bottom w:val="single" w:sz="8" w:color="DC202E"/>
            </w:tcBorders>
          </w:tcPr>
          <w:p>
            <w:pPr>
              <w:spacing w:after="0"/>
              <w:rPr>
                <w:sz w:val="24"/>
                <w:szCs w:val="24"/>
                <w:color w:val="auto"/>
              </w:rPr>
            </w:pPr>
          </w:p>
        </w:tc>
        <w:tc>
          <w:tcPr>
            <w:tcW w:w="200" w:type="dxa"/>
            <w:vAlign w:val="bottom"/>
            <w:tcBorders>
              <w:bottom w:val="single" w:sz="8" w:color="DC202E"/>
            </w:tcBorders>
          </w:tcPr>
          <w:p>
            <w:pPr>
              <w:spacing w:after="0"/>
              <w:rPr>
                <w:sz w:val="24"/>
                <w:szCs w:val="24"/>
                <w:color w:val="auto"/>
              </w:rPr>
            </w:pPr>
          </w:p>
        </w:tc>
        <w:tc>
          <w:tcPr>
            <w:tcW w:w="1160" w:type="dxa"/>
            <w:vAlign w:val="bottom"/>
            <w:tcBorders>
              <w:bottom w:val="single" w:sz="8" w:color="DC202E"/>
            </w:tcBorders>
            <w:gridSpan w:val="3"/>
          </w:tcPr>
          <w:p>
            <w:pPr>
              <w:jc w:val="center"/>
              <w:ind w:right="300"/>
              <w:spacing w:after="0"/>
              <w:rPr>
                <w:sz w:val="20"/>
                <w:szCs w:val="20"/>
                <w:color w:val="auto"/>
              </w:rPr>
            </w:pPr>
            <w:r>
              <w:rPr>
                <w:rFonts w:ascii="Arial" w:cs="Arial" w:eastAsia="Arial" w:hAnsi="Arial"/>
                <w:sz w:val="14"/>
                <w:szCs w:val="14"/>
                <w:b w:val="1"/>
                <w:bCs w:val="1"/>
                <w:color w:val="auto"/>
              </w:rPr>
              <w:t>U.S. Plans</w:t>
            </w:r>
          </w:p>
        </w:tc>
        <w:tc>
          <w:tcPr>
            <w:tcW w:w="300" w:type="dxa"/>
            <w:vAlign w:val="bottom"/>
            <w:tcBorders>
              <w:bottom w:val="single" w:sz="8" w:color="DC202E"/>
            </w:tcBorders>
          </w:tcPr>
          <w:p>
            <w:pPr>
              <w:spacing w:after="0"/>
              <w:rPr>
                <w:sz w:val="24"/>
                <w:szCs w:val="24"/>
                <w:color w:val="auto"/>
              </w:rPr>
            </w:pPr>
          </w:p>
        </w:tc>
        <w:tc>
          <w:tcPr>
            <w:tcW w:w="960" w:type="dxa"/>
            <w:vAlign w:val="bottom"/>
            <w:tcBorders>
              <w:bottom w:val="single" w:sz="8" w:color="DC202E"/>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Borders>
              <w:bottom w:val="single" w:sz="8" w:color="DC202E"/>
            </w:tcBorders>
          </w:tcPr>
          <w:p>
            <w:pPr>
              <w:spacing w:after="0"/>
              <w:rPr>
                <w:sz w:val="24"/>
                <w:szCs w:val="24"/>
                <w:color w:val="auto"/>
              </w:rPr>
            </w:pPr>
          </w:p>
        </w:tc>
        <w:tc>
          <w:tcPr>
            <w:tcW w:w="460" w:type="dxa"/>
            <w:vAlign w:val="bottom"/>
            <w:tcBorders>
              <w:bottom w:val="single" w:sz="8" w:color="DC202E"/>
            </w:tcBorders>
          </w:tcPr>
          <w:p>
            <w:pPr>
              <w:spacing w:after="0"/>
              <w:rPr>
                <w:sz w:val="24"/>
                <w:szCs w:val="24"/>
                <w:color w:val="auto"/>
              </w:rPr>
            </w:pPr>
          </w:p>
        </w:tc>
        <w:tc>
          <w:tcPr>
            <w:tcW w:w="120" w:type="dxa"/>
            <w:vAlign w:val="bottom"/>
            <w:tcBorders>
              <w:bottom w:val="single" w:sz="8" w:color="DC202E"/>
            </w:tcBorders>
          </w:tcPr>
          <w:p>
            <w:pPr>
              <w:spacing w:after="0"/>
              <w:rPr>
                <w:sz w:val="24"/>
                <w:szCs w:val="24"/>
                <w:color w:val="auto"/>
              </w:rPr>
            </w:pPr>
          </w:p>
        </w:tc>
        <w:tc>
          <w:tcPr>
            <w:tcW w:w="1360" w:type="dxa"/>
            <w:vAlign w:val="bottom"/>
            <w:tcBorders>
              <w:bottom w:val="single" w:sz="8" w:color="DC202E"/>
            </w:tcBorders>
            <w:gridSpan w:val="3"/>
          </w:tcPr>
          <w:p>
            <w:pPr>
              <w:jc w:val="center"/>
              <w:ind w:right="120"/>
              <w:spacing w:after="0"/>
              <w:rPr>
                <w:sz w:val="20"/>
                <w:szCs w:val="20"/>
                <w:color w:val="auto"/>
              </w:rPr>
            </w:pPr>
            <w:r>
              <w:rPr>
                <w:rFonts w:ascii="Arial" w:cs="Arial" w:eastAsia="Arial" w:hAnsi="Arial"/>
                <w:sz w:val="14"/>
                <w:szCs w:val="14"/>
                <w:b w:val="1"/>
                <w:bCs w:val="1"/>
                <w:color w:val="auto"/>
              </w:rPr>
              <w:t>Non-U.S. Plans</w:t>
            </w:r>
          </w:p>
        </w:tc>
        <w:tc>
          <w:tcPr>
            <w:tcW w:w="280" w:type="dxa"/>
            <w:vAlign w:val="bottom"/>
            <w:tcBorders>
              <w:bottom w:val="single" w:sz="8" w:color="DC202E"/>
            </w:tcBorders>
          </w:tcPr>
          <w:p>
            <w:pPr>
              <w:spacing w:after="0"/>
              <w:rPr>
                <w:sz w:val="24"/>
                <w:szCs w:val="24"/>
                <w:color w:val="auto"/>
              </w:rPr>
            </w:pPr>
          </w:p>
        </w:tc>
        <w:tc>
          <w:tcPr>
            <w:tcW w:w="980" w:type="dxa"/>
            <w:vAlign w:val="bottom"/>
            <w:tcBorders>
              <w:bottom w:val="single" w:sz="8" w:color="DC202E"/>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30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9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line="135" w:lineRule="exact"/>
              <w:rPr>
                <w:sz w:val="20"/>
                <w:szCs w:val="20"/>
                <w:color w:val="auto"/>
              </w:rPr>
            </w:pPr>
            <w:r>
              <w:rPr>
                <w:rFonts w:ascii="Arial" w:cs="Arial" w:eastAsia="Arial" w:hAnsi="Arial"/>
                <w:sz w:val="14"/>
                <w:szCs w:val="14"/>
                <w:b w:val="1"/>
                <w:bCs w:val="1"/>
                <w:color w:val="auto"/>
              </w:rPr>
              <w:t>Benefits Obligations Recognized in Other</w:t>
            </w: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vMerge w:val="restart"/>
          </w:tcPr>
          <w:p>
            <w:pPr>
              <w:jc w:val="center"/>
              <w:ind w:right="74"/>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vMerge w:val="restart"/>
          </w:tcPr>
          <w:p>
            <w:pPr>
              <w:jc w:val="center"/>
              <w:ind w:right="19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83"/>
        </w:trPr>
        <w:tc>
          <w:tcPr>
            <w:tcW w:w="3080" w:type="dxa"/>
            <w:vAlign w:val="bottom"/>
            <w:tcBorders>
              <w:bottom w:val="single" w:sz="8" w:color="DC202E"/>
            </w:tcBorders>
          </w:tcPr>
          <w:p>
            <w:pPr>
              <w:ind w:left="20"/>
              <w:spacing w:after="0"/>
              <w:rPr>
                <w:sz w:val="20"/>
                <w:szCs w:val="20"/>
                <w:color w:val="auto"/>
              </w:rPr>
            </w:pPr>
            <w:r>
              <w:rPr>
                <w:rFonts w:ascii="Arial" w:cs="Arial" w:eastAsia="Arial" w:hAnsi="Arial"/>
                <w:sz w:val="14"/>
                <w:szCs w:val="14"/>
                <w:b w:val="1"/>
                <w:bCs w:val="1"/>
                <w:color w:val="auto"/>
              </w:rPr>
              <w:t>Comprehensive (Income) Loss</w:t>
            </w:r>
          </w:p>
        </w:tc>
        <w:tc>
          <w:tcPr>
            <w:tcW w:w="20" w:type="dxa"/>
            <w:vAlign w:val="bottom"/>
            <w:tcBorders>
              <w:bottom w:val="single" w:sz="8" w:color="DC202E"/>
            </w:tcBorders>
          </w:tcPr>
          <w:p>
            <w:pPr>
              <w:spacing w:after="0"/>
              <w:rPr>
                <w:sz w:val="15"/>
                <w:szCs w:val="15"/>
                <w:color w:val="auto"/>
              </w:rPr>
            </w:pPr>
          </w:p>
        </w:tc>
        <w:tc>
          <w:tcPr>
            <w:tcW w:w="280" w:type="dxa"/>
            <w:vAlign w:val="bottom"/>
            <w:tcBorders>
              <w:bottom w:val="single" w:sz="8" w:color="DC202E"/>
            </w:tcBorders>
          </w:tcPr>
          <w:p>
            <w:pPr>
              <w:spacing w:after="0"/>
              <w:rPr>
                <w:sz w:val="15"/>
                <w:szCs w:val="15"/>
                <w:color w:val="auto"/>
              </w:rPr>
            </w:pPr>
          </w:p>
        </w:tc>
        <w:tc>
          <w:tcPr>
            <w:tcW w:w="940" w:type="dxa"/>
            <w:vAlign w:val="bottom"/>
            <w:tcBorders>
              <w:bottom w:val="single" w:sz="8" w:color="DC202E"/>
            </w:tcBorders>
            <w:vMerge w:val="continue"/>
          </w:tcPr>
          <w:p>
            <w:pPr>
              <w:spacing w:after="0"/>
              <w:rPr>
                <w:sz w:val="15"/>
                <w:szCs w:val="15"/>
                <w:color w:val="auto"/>
              </w:rPr>
            </w:pPr>
          </w:p>
        </w:tc>
        <w:tc>
          <w:tcPr>
            <w:tcW w:w="40" w:type="dxa"/>
            <w:vAlign w:val="bottom"/>
            <w:tcBorders>
              <w:bottom w:val="single" w:sz="8" w:color="DC202E"/>
            </w:tcBorders>
          </w:tcPr>
          <w:p>
            <w:pPr>
              <w:spacing w:after="0"/>
              <w:rPr>
                <w:sz w:val="15"/>
                <w:szCs w:val="15"/>
                <w:color w:val="auto"/>
              </w:rPr>
            </w:pPr>
          </w:p>
        </w:tc>
        <w:tc>
          <w:tcPr>
            <w:tcW w:w="80" w:type="dxa"/>
            <w:vAlign w:val="bottom"/>
            <w:tcBorders>
              <w:bottom w:val="single" w:sz="8" w:color="DDDDDD"/>
            </w:tcBorders>
          </w:tcPr>
          <w:p>
            <w:pPr>
              <w:spacing w:after="0"/>
              <w:rPr>
                <w:sz w:val="15"/>
                <w:szCs w:val="15"/>
                <w:color w:val="auto"/>
              </w:rPr>
            </w:pPr>
          </w:p>
        </w:tc>
        <w:tc>
          <w:tcPr>
            <w:tcW w:w="20" w:type="dxa"/>
            <w:vAlign w:val="bottom"/>
            <w:tcBorders>
              <w:bottom w:val="single" w:sz="8" w:color="DDDDDD"/>
            </w:tcBorders>
          </w:tcPr>
          <w:p>
            <w:pPr>
              <w:spacing w:after="0"/>
              <w:rPr>
                <w:sz w:val="15"/>
                <w:szCs w:val="15"/>
                <w:color w:val="auto"/>
              </w:rPr>
            </w:pPr>
          </w:p>
        </w:tc>
        <w:tc>
          <w:tcPr>
            <w:tcW w:w="200" w:type="dxa"/>
            <w:vAlign w:val="bottom"/>
            <w:tcBorders>
              <w:bottom w:val="single" w:sz="8" w:color="DC202E"/>
            </w:tcBorders>
          </w:tcPr>
          <w:p>
            <w:pPr>
              <w:spacing w:after="0"/>
              <w:rPr>
                <w:sz w:val="15"/>
                <w:szCs w:val="15"/>
                <w:color w:val="auto"/>
              </w:rPr>
            </w:pPr>
          </w:p>
        </w:tc>
        <w:tc>
          <w:tcPr>
            <w:tcW w:w="1040" w:type="dxa"/>
            <w:vAlign w:val="bottom"/>
            <w:tcBorders>
              <w:bottom w:val="single" w:sz="8" w:color="DC202E"/>
            </w:tcBorders>
            <w:vMerge w:val="continue"/>
          </w:tcPr>
          <w:p>
            <w:pPr>
              <w:spacing w:after="0"/>
              <w:rPr>
                <w:sz w:val="15"/>
                <w:szCs w:val="15"/>
                <w:color w:val="auto"/>
              </w:rPr>
            </w:pPr>
          </w:p>
        </w:tc>
        <w:tc>
          <w:tcPr>
            <w:tcW w:w="20" w:type="dxa"/>
            <w:vAlign w:val="bottom"/>
            <w:tcBorders>
              <w:bottom w:val="single" w:sz="8" w:color="DC202E"/>
            </w:tcBorders>
          </w:tcPr>
          <w:p>
            <w:pPr>
              <w:spacing w:after="0"/>
              <w:rPr>
                <w:sz w:val="15"/>
                <w:szCs w:val="15"/>
                <w:color w:val="auto"/>
              </w:rPr>
            </w:pPr>
          </w:p>
        </w:tc>
        <w:tc>
          <w:tcPr>
            <w:tcW w:w="100" w:type="dxa"/>
            <w:vAlign w:val="bottom"/>
            <w:tcBorders>
              <w:bottom w:val="single" w:sz="8" w:color="DDDDDD"/>
            </w:tcBorders>
          </w:tcPr>
          <w:p>
            <w:pPr>
              <w:spacing w:after="0"/>
              <w:rPr>
                <w:sz w:val="15"/>
                <w:szCs w:val="15"/>
                <w:color w:val="auto"/>
              </w:rPr>
            </w:pPr>
          </w:p>
        </w:tc>
        <w:tc>
          <w:tcPr>
            <w:tcW w:w="300" w:type="dxa"/>
            <w:vAlign w:val="bottom"/>
            <w:tcBorders>
              <w:bottom w:val="single" w:sz="8" w:color="DC202E"/>
            </w:tcBorders>
          </w:tcPr>
          <w:p>
            <w:pPr>
              <w:spacing w:after="0"/>
              <w:rPr>
                <w:sz w:val="15"/>
                <w:szCs w:val="15"/>
                <w:color w:val="auto"/>
              </w:rPr>
            </w:pPr>
          </w:p>
        </w:tc>
        <w:tc>
          <w:tcPr>
            <w:tcW w:w="960" w:type="dxa"/>
            <w:vAlign w:val="bottom"/>
            <w:tcBorders>
              <w:bottom w:val="single" w:sz="8" w:color="DC202E"/>
            </w:tcBorders>
            <w:vMerge w:val="continue"/>
          </w:tcPr>
          <w:p>
            <w:pPr>
              <w:spacing w:after="0"/>
              <w:rPr>
                <w:sz w:val="15"/>
                <w:szCs w:val="15"/>
                <w:color w:val="auto"/>
              </w:rPr>
            </w:pPr>
          </w:p>
        </w:tc>
        <w:tc>
          <w:tcPr>
            <w:tcW w:w="100" w:type="dxa"/>
            <w:vAlign w:val="bottom"/>
            <w:tcBorders>
              <w:bottom w:val="single" w:sz="8" w:color="DDDDDD"/>
            </w:tcBorders>
          </w:tcPr>
          <w:p>
            <w:pPr>
              <w:spacing w:after="0"/>
              <w:rPr>
                <w:sz w:val="15"/>
                <w:szCs w:val="15"/>
                <w:color w:val="auto"/>
              </w:rPr>
            </w:pPr>
          </w:p>
        </w:tc>
        <w:tc>
          <w:tcPr>
            <w:tcW w:w="800" w:type="dxa"/>
            <w:vAlign w:val="bottom"/>
            <w:tcBorders>
              <w:bottom w:val="single" w:sz="8" w:color="DC202E"/>
            </w:tcBorders>
            <w:vMerge w:val="continue"/>
          </w:tcPr>
          <w:p>
            <w:pPr>
              <w:spacing w:after="0"/>
              <w:rPr>
                <w:sz w:val="15"/>
                <w:szCs w:val="15"/>
                <w:color w:val="auto"/>
              </w:rPr>
            </w:pPr>
          </w:p>
        </w:tc>
        <w:tc>
          <w:tcPr>
            <w:tcW w:w="460" w:type="dxa"/>
            <w:vAlign w:val="bottom"/>
            <w:tcBorders>
              <w:bottom w:val="single" w:sz="8" w:color="DC202E"/>
            </w:tcBorders>
          </w:tcPr>
          <w:p>
            <w:pPr>
              <w:spacing w:after="0"/>
              <w:rPr>
                <w:sz w:val="15"/>
                <w:szCs w:val="15"/>
                <w:color w:val="auto"/>
              </w:rPr>
            </w:pPr>
          </w:p>
        </w:tc>
        <w:tc>
          <w:tcPr>
            <w:tcW w:w="120" w:type="dxa"/>
            <w:vAlign w:val="bottom"/>
            <w:tcBorders>
              <w:bottom w:val="single" w:sz="8" w:color="DDDDDD"/>
            </w:tcBorders>
          </w:tcPr>
          <w:p>
            <w:pPr>
              <w:spacing w:after="0"/>
              <w:rPr>
                <w:sz w:val="15"/>
                <w:szCs w:val="15"/>
                <w:color w:val="auto"/>
              </w:rPr>
            </w:pPr>
          </w:p>
        </w:tc>
        <w:tc>
          <w:tcPr>
            <w:tcW w:w="280" w:type="dxa"/>
            <w:vAlign w:val="bottom"/>
            <w:tcBorders>
              <w:bottom w:val="single" w:sz="8" w:color="DC202E"/>
            </w:tcBorders>
          </w:tcPr>
          <w:p>
            <w:pPr>
              <w:spacing w:after="0"/>
              <w:rPr>
                <w:sz w:val="15"/>
                <w:szCs w:val="15"/>
                <w:color w:val="auto"/>
              </w:rPr>
            </w:pPr>
          </w:p>
        </w:tc>
        <w:tc>
          <w:tcPr>
            <w:tcW w:w="960" w:type="dxa"/>
            <w:vAlign w:val="bottom"/>
            <w:tcBorders>
              <w:bottom w:val="single" w:sz="8" w:color="DC202E"/>
            </w:tcBorders>
            <w:vMerge w:val="continue"/>
          </w:tcPr>
          <w:p>
            <w:pPr>
              <w:spacing w:after="0"/>
              <w:rPr>
                <w:sz w:val="15"/>
                <w:szCs w:val="15"/>
                <w:color w:val="auto"/>
              </w:rPr>
            </w:pPr>
          </w:p>
        </w:tc>
        <w:tc>
          <w:tcPr>
            <w:tcW w:w="120" w:type="dxa"/>
            <w:vAlign w:val="bottom"/>
            <w:tcBorders>
              <w:bottom w:val="single" w:sz="8" w:color="DDDDDD"/>
            </w:tcBorders>
          </w:tcPr>
          <w:p>
            <w:pPr>
              <w:spacing w:after="0"/>
              <w:rPr>
                <w:sz w:val="15"/>
                <w:szCs w:val="15"/>
                <w:color w:val="auto"/>
              </w:rPr>
            </w:pPr>
          </w:p>
        </w:tc>
        <w:tc>
          <w:tcPr>
            <w:tcW w:w="280" w:type="dxa"/>
            <w:vAlign w:val="bottom"/>
            <w:tcBorders>
              <w:bottom w:val="single" w:sz="8" w:color="DC202E"/>
            </w:tcBorders>
          </w:tcPr>
          <w:p>
            <w:pPr>
              <w:spacing w:after="0"/>
              <w:rPr>
                <w:sz w:val="15"/>
                <w:szCs w:val="15"/>
                <w:color w:val="auto"/>
              </w:rPr>
            </w:pPr>
          </w:p>
        </w:tc>
        <w:tc>
          <w:tcPr>
            <w:tcW w:w="980" w:type="dxa"/>
            <w:vAlign w:val="bottom"/>
            <w:tcBorders>
              <w:bottom w:val="single" w:sz="8" w:color="DC202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080" w:type="dxa"/>
            <w:vAlign w:val="bottom"/>
            <w:shd w:val="clear" w:color="auto" w:fill="DDDDDD"/>
          </w:tcPr>
          <w:p>
            <w:pPr>
              <w:ind w:left="20"/>
              <w:spacing w:after="0"/>
              <w:rPr>
                <w:sz w:val="20"/>
                <w:szCs w:val="20"/>
                <w:color w:val="auto"/>
              </w:rPr>
            </w:pPr>
            <w:r>
              <w:rPr>
                <w:rFonts w:ascii="Arial" w:cs="Arial" w:eastAsia="Arial" w:hAnsi="Arial"/>
                <w:sz w:val="18"/>
                <w:szCs w:val="18"/>
                <w:color w:val="auto"/>
              </w:rPr>
              <w:t>Actuarial (gains) losses</w:t>
            </w:r>
          </w:p>
        </w:tc>
        <w:tc>
          <w:tcPr>
            <w:tcW w:w="300" w:type="dxa"/>
            <w:vAlign w:val="bottom"/>
            <w:gridSpan w:val="2"/>
            <w:shd w:val="clear" w:color="auto" w:fill="DDDDDD"/>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DDDDDD"/>
          </w:tcPr>
          <w:p>
            <w:pPr>
              <w:jc w:val="right"/>
              <w:ind w:right="40"/>
              <w:spacing w:after="0"/>
              <w:rPr>
                <w:sz w:val="20"/>
                <w:szCs w:val="20"/>
                <w:color w:val="auto"/>
              </w:rPr>
            </w:pPr>
            <w:r>
              <w:rPr>
                <w:rFonts w:ascii="Arial" w:cs="Arial" w:eastAsia="Arial" w:hAnsi="Arial"/>
                <w:sz w:val="18"/>
                <w:szCs w:val="18"/>
                <w:color w:val="auto"/>
              </w:rPr>
              <w:t>(9)</w:t>
            </w:r>
          </w:p>
        </w:tc>
        <w:tc>
          <w:tcPr>
            <w:tcW w:w="80" w:type="dxa"/>
            <w:vAlign w:val="bottom"/>
            <w:shd w:val="clear" w:color="auto" w:fill="DDDDDD"/>
          </w:tcPr>
          <w:p>
            <w:pPr>
              <w:spacing w:after="0"/>
              <w:rPr>
                <w:sz w:val="19"/>
                <w:szCs w:val="19"/>
                <w:color w:val="auto"/>
              </w:rPr>
            </w:pPr>
          </w:p>
        </w:tc>
        <w:tc>
          <w:tcPr>
            <w:tcW w:w="220" w:type="dxa"/>
            <w:vAlign w:val="bottom"/>
            <w:gridSpan w:val="2"/>
            <w:shd w:val="clear" w:color="auto" w:fill="DDDDDD"/>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(277)</w:t>
            </w:r>
          </w:p>
        </w:tc>
        <w:tc>
          <w:tcPr>
            <w:tcW w:w="2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300" w:type="dxa"/>
            <w:vAlign w:val="bottom"/>
            <w:shd w:val="clear" w:color="auto" w:fill="DDDDDD"/>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619</w:t>
            </w:r>
          </w:p>
        </w:tc>
        <w:tc>
          <w:tcPr>
            <w:tcW w:w="100" w:type="dxa"/>
            <w:vAlign w:val="bottom"/>
            <w:shd w:val="clear" w:color="auto" w:fill="DDDDDD"/>
          </w:tcPr>
          <w:p>
            <w:pPr>
              <w:spacing w:after="0"/>
              <w:rPr>
                <w:sz w:val="19"/>
                <w:szCs w:val="19"/>
                <w:color w:val="auto"/>
              </w:rPr>
            </w:pPr>
          </w:p>
        </w:tc>
        <w:tc>
          <w:tcPr>
            <w:tcW w:w="800" w:type="dxa"/>
            <w:vAlign w:val="bottom"/>
            <w:shd w:val="clear" w:color="auto" w:fill="DDDDDD"/>
          </w:tcPr>
          <w:p>
            <w:pPr>
              <w:jc w:val="right"/>
              <w:ind w:right="595"/>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DDDDDD"/>
          </w:tcPr>
          <w:p>
            <w:pPr>
              <w:spacing w:after="0"/>
              <w:rPr>
                <w:sz w:val="19"/>
                <w:szCs w:val="19"/>
                <w:color w:val="auto"/>
              </w:rPr>
            </w:pPr>
          </w:p>
        </w:tc>
        <w:tc>
          <w:tcPr>
            <w:tcW w:w="280" w:type="dxa"/>
            <w:vAlign w:val="bottom"/>
            <w:shd w:val="clear" w:color="auto" w:fill="DDDDDD"/>
          </w:tcPr>
          <w:p>
            <w:pPr>
              <w:jc w:val="right"/>
              <w:ind w:right="75"/>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176</w:t>
            </w:r>
          </w:p>
        </w:tc>
        <w:tc>
          <w:tcPr>
            <w:tcW w:w="120" w:type="dxa"/>
            <w:vAlign w:val="bottom"/>
            <w:shd w:val="clear" w:color="auto" w:fill="DDDDDD"/>
          </w:tcPr>
          <w:p>
            <w:pPr>
              <w:spacing w:after="0"/>
              <w:rPr>
                <w:sz w:val="19"/>
                <w:szCs w:val="19"/>
                <w:color w:val="auto"/>
              </w:rPr>
            </w:pPr>
          </w:p>
        </w:tc>
        <w:tc>
          <w:tcPr>
            <w:tcW w:w="280" w:type="dxa"/>
            <w:vAlign w:val="bottom"/>
            <w:shd w:val="clear" w:color="auto" w:fill="DDDDDD"/>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29"/>
        </w:trPr>
        <w:tc>
          <w:tcPr>
            <w:tcW w:w="3080" w:type="dxa"/>
            <w:vAlign w:val="bottom"/>
          </w:tcPr>
          <w:p>
            <w:pPr>
              <w:ind w:left="20"/>
              <w:spacing w:after="0"/>
              <w:rPr>
                <w:sz w:val="20"/>
                <w:szCs w:val="20"/>
                <w:color w:val="auto"/>
              </w:rPr>
            </w:pPr>
            <w:r>
              <w:rPr>
                <w:rFonts w:ascii="Arial" w:cs="Arial" w:eastAsia="Arial" w:hAnsi="Arial"/>
                <w:sz w:val="18"/>
                <w:szCs w:val="18"/>
                <w:color w:val="auto"/>
              </w:rPr>
              <w:t>Prior service (credit) cost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88"/>
        </w:trPr>
        <w:tc>
          <w:tcPr>
            <w:tcW w:w="3080" w:type="dxa"/>
            <w:vAlign w:val="bottom"/>
            <w:shd w:val="clear" w:color="auto" w:fill="DDDDDD"/>
          </w:tcPr>
          <w:p>
            <w:pPr>
              <w:ind w:left="20"/>
              <w:spacing w:after="0" w:line="189" w:lineRule="exact"/>
              <w:rPr>
                <w:sz w:val="20"/>
                <w:szCs w:val="20"/>
                <w:color w:val="auto"/>
              </w:rPr>
            </w:pPr>
            <w:r>
              <w:rPr>
                <w:rFonts w:ascii="Arial" w:cs="Arial" w:eastAsia="Arial" w:hAnsi="Arial"/>
                <w:sz w:val="18"/>
                <w:szCs w:val="18"/>
                <w:color w:val="auto"/>
              </w:rPr>
              <w:t>Prior service credit recognized during</w:t>
            </w:r>
          </w:p>
        </w:tc>
        <w:tc>
          <w:tcPr>
            <w:tcW w:w="20" w:type="dxa"/>
            <w:vAlign w:val="bottom"/>
            <w:shd w:val="clear" w:color="auto" w:fill="DDDDDD"/>
          </w:tcPr>
          <w:p>
            <w:pPr>
              <w:spacing w:after="0"/>
              <w:rPr>
                <w:sz w:val="16"/>
                <w:szCs w:val="16"/>
                <w:color w:val="auto"/>
              </w:rPr>
            </w:pPr>
          </w:p>
        </w:tc>
        <w:tc>
          <w:tcPr>
            <w:tcW w:w="280" w:type="dxa"/>
            <w:vAlign w:val="bottom"/>
            <w:shd w:val="clear" w:color="auto" w:fill="DDDDDD"/>
          </w:tcPr>
          <w:p>
            <w:pPr>
              <w:spacing w:after="0"/>
              <w:rPr>
                <w:sz w:val="16"/>
                <w:szCs w:val="16"/>
                <w:color w:val="auto"/>
              </w:rPr>
            </w:pPr>
          </w:p>
        </w:tc>
        <w:tc>
          <w:tcPr>
            <w:tcW w:w="940" w:type="dxa"/>
            <w:vAlign w:val="bottom"/>
            <w:shd w:val="clear" w:color="auto" w:fill="DDDDDD"/>
          </w:tcPr>
          <w:p>
            <w:pPr>
              <w:spacing w:after="0"/>
              <w:rPr>
                <w:sz w:val="16"/>
                <w:szCs w:val="16"/>
                <w:color w:val="auto"/>
              </w:rPr>
            </w:pPr>
          </w:p>
        </w:tc>
        <w:tc>
          <w:tcPr>
            <w:tcW w:w="40" w:type="dxa"/>
            <w:vAlign w:val="bottom"/>
            <w:shd w:val="clear" w:color="auto" w:fill="DDDDDD"/>
          </w:tcPr>
          <w:p>
            <w:pPr>
              <w:spacing w:after="0"/>
              <w:rPr>
                <w:sz w:val="16"/>
                <w:szCs w:val="16"/>
                <w:color w:val="auto"/>
              </w:rPr>
            </w:pPr>
          </w:p>
        </w:tc>
        <w:tc>
          <w:tcPr>
            <w:tcW w:w="80" w:type="dxa"/>
            <w:vAlign w:val="bottom"/>
            <w:shd w:val="clear" w:color="auto" w:fill="DDDDDD"/>
          </w:tcPr>
          <w:p>
            <w:pPr>
              <w:spacing w:after="0"/>
              <w:rPr>
                <w:sz w:val="16"/>
                <w:szCs w:val="16"/>
                <w:color w:val="auto"/>
              </w:rPr>
            </w:pPr>
          </w:p>
        </w:tc>
        <w:tc>
          <w:tcPr>
            <w:tcW w:w="20" w:type="dxa"/>
            <w:vAlign w:val="bottom"/>
            <w:shd w:val="clear" w:color="auto" w:fill="DDDDDD"/>
          </w:tcPr>
          <w:p>
            <w:pPr>
              <w:spacing w:after="0"/>
              <w:rPr>
                <w:sz w:val="16"/>
                <w:szCs w:val="16"/>
                <w:color w:val="auto"/>
              </w:rPr>
            </w:pPr>
          </w:p>
        </w:tc>
        <w:tc>
          <w:tcPr>
            <w:tcW w:w="200" w:type="dxa"/>
            <w:vAlign w:val="bottom"/>
            <w:shd w:val="clear" w:color="auto" w:fill="DDDDDD"/>
          </w:tcPr>
          <w:p>
            <w:pPr>
              <w:spacing w:after="0"/>
              <w:rPr>
                <w:sz w:val="16"/>
                <w:szCs w:val="16"/>
                <w:color w:val="auto"/>
              </w:rPr>
            </w:pPr>
          </w:p>
        </w:tc>
        <w:tc>
          <w:tcPr>
            <w:tcW w:w="1040" w:type="dxa"/>
            <w:vAlign w:val="bottom"/>
            <w:shd w:val="clear" w:color="auto" w:fill="DDDDDD"/>
          </w:tcPr>
          <w:p>
            <w:pPr>
              <w:spacing w:after="0"/>
              <w:rPr>
                <w:sz w:val="16"/>
                <w:szCs w:val="16"/>
                <w:color w:val="auto"/>
              </w:rPr>
            </w:pPr>
          </w:p>
        </w:tc>
        <w:tc>
          <w:tcPr>
            <w:tcW w:w="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300" w:type="dxa"/>
            <w:vAlign w:val="bottom"/>
            <w:shd w:val="clear" w:color="auto" w:fill="DDDDDD"/>
          </w:tcPr>
          <w:p>
            <w:pPr>
              <w:spacing w:after="0"/>
              <w:rPr>
                <w:sz w:val="16"/>
                <w:szCs w:val="16"/>
                <w:color w:val="auto"/>
              </w:rPr>
            </w:pPr>
          </w:p>
        </w:tc>
        <w:tc>
          <w:tcPr>
            <w:tcW w:w="9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00" w:type="dxa"/>
            <w:vAlign w:val="bottom"/>
            <w:shd w:val="clear" w:color="auto" w:fill="DDDDDD"/>
          </w:tcPr>
          <w:p>
            <w:pPr>
              <w:spacing w:after="0"/>
              <w:rPr>
                <w:sz w:val="16"/>
                <w:szCs w:val="16"/>
                <w:color w:val="auto"/>
              </w:rPr>
            </w:pPr>
          </w:p>
        </w:tc>
        <w:tc>
          <w:tcPr>
            <w:tcW w:w="46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280" w:type="dxa"/>
            <w:vAlign w:val="bottom"/>
            <w:shd w:val="clear" w:color="auto" w:fill="DDDDDD"/>
          </w:tcPr>
          <w:p>
            <w:pPr>
              <w:spacing w:after="0"/>
              <w:rPr>
                <w:sz w:val="16"/>
                <w:szCs w:val="16"/>
                <w:color w:val="auto"/>
              </w:rPr>
            </w:pPr>
          </w:p>
        </w:tc>
        <w:tc>
          <w:tcPr>
            <w:tcW w:w="96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280" w:type="dxa"/>
            <w:vAlign w:val="bottom"/>
            <w:shd w:val="clear" w:color="auto" w:fill="DDDDDD"/>
          </w:tcPr>
          <w:p>
            <w:pPr>
              <w:spacing w:after="0"/>
              <w:rPr>
                <w:sz w:val="16"/>
                <w:szCs w:val="16"/>
                <w:color w:val="auto"/>
              </w:rPr>
            </w:pPr>
          </w:p>
        </w:tc>
        <w:tc>
          <w:tcPr>
            <w:tcW w:w="98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080" w:type="dxa"/>
            <w:vAlign w:val="bottom"/>
            <w:shd w:val="clear" w:color="auto" w:fill="DDDDDD"/>
          </w:tcPr>
          <w:p>
            <w:pPr>
              <w:ind w:left="20"/>
              <w:spacing w:after="0"/>
              <w:rPr>
                <w:sz w:val="20"/>
                <w:szCs w:val="20"/>
                <w:color w:val="auto"/>
              </w:rPr>
            </w:pPr>
            <w:r>
              <w:rPr>
                <w:rFonts w:ascii="Arial" w:cs="Arial" w:eastAsia="Arial" w:hAnsi="Arial"/>
                <w:sz w:val="18"/>
                <w:szCs w:val="18"/>
                <w:color w:val="auto"/>
              </w:rPr>
              <w:t>year</w:t>
            </w:r>
          </w:p>
        </w:tc>
        <w:tc>
          <w:tcPr>
            <w:tcW w:w="20" w:type="dxa"/>
            <w:vAlign w:val="bottom"/>
            <w:shd w:val="clear" w:color="auto" w:fill="DDDDDD"/>
          </w:tcPr>
          <w:p>
            <w:pPr>
              <w:spacing w:after="0"/>
              <w:rPr>
                <w:sz w:val="18"/>
                <w:szCs w:val="18"/>
                <w:color w:val="auto"/>
              </w:rPr>
            </w:pPr>
          </w:p>
        </w:tc>
        <w:tc>
          <w:tcPr>
            <w:tcW w:w="280" w:type="dxa"/>
            <w:vAlign w:val="bottom"/>
            <w:shd w:val="clear" w:color="auto" w:fill="DDDDDD"/>
          </w:tcPr>
          <w:p>
            <w:pPr>
              <w:spacing w:after="0"/>
              <w:rPr>
                <w:sz w:val="18"/>
                <w:szCs w:val="18"/>
                <w:color w:val="auto"/>
              </w:rPr>
            </w:pPr>
          </w:p>
        </w:tc>
        <w:tc>
          <w:tcPr>
            <w:tcW w:w="9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42</w:t>
            </w:r>
          </w:p>
        </w:tc>
        <w:tc>
          <w:tcPr>
            <w:tcW w:w="40" w:type="dxa"/>
            <w:vAlign w:val="bottom"/>
            <w:shd w:val="clear" w:color="auto" w:fill="DDDDDD"/>
          </w:tcPr>
          <w:p>
            <w:pPr>
              <w:spacing w:after="0"/>
              <w:rPr>
                <w:sz w:val="18"/>
                <w:szCs w:val="18"/>
                <w:color w:val="auto"/>
              </w:rPr>
            </w:pPr>
          </w:p>
        </w:tc>
        <w:tc>
          <w:tcPr>
            <w:tcW w:w="8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200" w:type="dxa"/>
            <w:vAlign w:val="bottom"/>
            <w:shd w:val="clear" w:color="auto" w:fill="DDDDDD"/>
          </w:tcPr>
          <w:p>
            <w:pPr>
              <w:spacing w:after="0"/>
              <w:rPr>
                <w:sz w:val="18"/>
                <w:szCs w:val="18"/>
                <w:color w:val="auto"/>
              </w:rPr>
            </w:pPr>
          </w:p>
        </w:tc>
        <w:tc>
          <w:tcPr>
            <w:tcW w:w="10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42</w:t>
            </w:r>
          </w:p>
        </w:tc>
        <w:tc>
          <w:tcPr>
            <w:tcW w:w="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300" w:type="dxa"/>
            <w:vAlign w:val="bottom"/>
            <w:shd w:val="clear" w:color="auto" w:fill="DDDDDD"/>
          </w:tcPr>
          <w:p>
            <w:pPr>
              <w:spacing w:after="0"/>
              <w:rPr>
                <w:sz w:val="18"/>
                <w:szCs w:val="18"/>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DDDDDD"/>
          </w:tcPr>
          <w:p>
            <w:pPr>
              <w:spacing w:after="0"/>
              <w:rPr>
                <w:sz w:val="18"/>
                <w:szCs w:val="18"/>
                <w:color w:val="auto"/>
              </w:rPr>
            </w:pPr>
          </w:p>
        </w:tc>
        <w:tc>
          <w:tcPr>
            <w:tcW w:w="800" w:type="dxa"/>
            <w:vAlign w:val="bottom"/>
            <w:shd w:val="clear" w:color="auto" w:fill="DDDDDD"/>
          </w:tcPr>
          <w:p>
            <w:pPr>
              <w:spacing w:after="0"/>
              <w:rPr>
                <w:sz w:val="18"/>
                <w:szCs w:val="18"/>
                <w:color w:val="auto"/>
              </w:rPr>
            </w:pPr>
          </w:p>
        </w:tc>
        <w:tc>
          <w:tcPr>
            <w:tcW w:w="580" w:type="dxa"/>
            <w:vAlign w:val="bottom"/>
            <w:gridSpan w:val="2"/>
            <w:shd w:val="clear" w:color="auto" w:fill="DDDDDD"/>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DDDDDD"/>
          </w:tcPr>
          <w:p>
            <w:pPr>
              <w:spacing w:after="0"/>
              <w:rPr>
                <w:sz w:val="18"/>
                <w:szCs w:val="18"/>
                <w:color w:val="auto"/>
              </w:rPr>
            </w:pPr>
          </w:p>
        </w:tc>
        <w:tc>
          <w:tcPr>
            <w:tcW w:w="1080" w:type="dxa"/>
            <w:vAlign w:val="bottom"/>
            <w:gridSpan w:val="2"/>
            <w:shd w:val="clear" w:color="auto" w:fill="DDDDDD"/>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DDDDDD"/>
          </w:tcPr>
          <w:p>
            <w:pPr>
              <w:spacing w:after="0"/>
              <w:rPr>
                <w:sz w:val="18"/>
                <w:szCs w:val="18"/>
                <w:color w:val="auto"/>
              </w:rPr>
            </w:pPr>
          </w:p>
        </w:tc>
        <w:tc>
          <w:tcPr>
            <w:tcW w:w="9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8"/>
        </w:trPr>
        <w:tc>
          <w:tcPr>
            <w:tcW w:w="3080" w:type="dxa"/>
            <w:vAlign w:val="bottom"/>
          </w:tcPr>
          <w:p>
            <w:pPr>
              <w:ind w:left="20"/>
              <w:spacing w:after="0" w:line="189" w:lineRule="exact"/>
              <w:rPr>
                <w:sz w:val="20"/>
                <w:szCs w:val="20"/>
                <w:color w:val="auto"/>
              </w:rPr>
            </w:pPr>
            <w:r>
              <w:rPr>
                <w:rFonts w:ascii="Arial" w:cs="Arial" w:eastAsia="Arial" w:hAnsi="Arial"/>
                <w:sz w:val="18"/>
                <w:szCs w:val="18"/>
                <w:color w:val="auto"/>
              </w:rPr>
              <w:t>Actuarial losses recognized during</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080" w:type="dxa"/>
            <w:vAlign w:val="bottom"/>
          </w:tcPr>
          <w:p>
            <w:pPr>
              <w:ind w:left="20"/>
              <w:spacing w:after="0"/>
              <w:rPr>
                <w:sz w:val="20"/>
                <w:szCs w:val="20"/>
                <w:color w:val="auto"/>
              </w:rPr>
            </w:pPr>
            <w:r>
              <w:rPr>
                <w:rFonts w:ascii="Arial" w:cs="Arial" w:eastAsia="Arial" w:hAnsi="Arial"/>
                <w:sz w:val="18"/>
                <w:szCs w:val="18"/>
                <w:color w:val="auto"/>
              </w:rPr>
              <w:t>year</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9"/>
        </w:trPr>
        <w:tc>
          <w:tcPr>
            <w:tcW w:w="3080" w:type="dxa"/>
            <w:vAlign w:val="bottom"/>
            <w:shd w:val="clear" w:color="auto" w:fill="DDDDDD"/>
          </w:tcPr>
          <w:p>
            <w:pPr>
              <w:ind w:left="20"/>
              <w:spacing w:after="0"/>
              <w:rPr>
                <w:sz w:val="20"/>
                <w:szCs w:val="20"/>
                <w:color w:val="auto"/>
              </w:rPr>
            </w:pPr>
            <w:r>
              <w:rPr>
                <w:rFonts w:ascii="Arial" w:cs="Arial" w:eastAsia="Arial" w:hAnsi="Arial"/>
                <w:sz w:val="18"/>
                <w:szCs w:val="18"/>
                <w:color w:val="auto"/>
              </w:rPr>
              <w:t>Foreign currency translation</w:t>
            </w:r>
          </w:p>
        </w:tc>
        <w:tc>
          <w:tcPr>
            <w:tcW w:w="20" w:type="dxa"/>
            <w:vAlign w:val="bottom"/>
            <w:shd w:val="clear" w:color="auto" w:fill="DDDDDD"/>
          </w:tcPr>
          <w:p>
            <w:pPr>
              <w:spacing w:after="0"/>
              <w:rPr>
                <w:sz w:val="19"/>
                <w:szCs w:val="19"/>
                <w:color w:val="auto"/>
              </w:rPr>
            </w:pPr>
          </w:p>
        </w:tc>
        <w:tc>
          <w:tcPr>
            <w:tcW w:w="280" w:type="dxa"/>
            <w:vAlign w:val="bottom"/>
            <w:tcBorders>
              <w:bottom w:val="single" w:sz="8" w:color="auto"/>
            </w:tcBorders>
            <w:shd w:val="clear" w:color="auto" w:fill="DDDDDD"/>
          </w:tcPr>
          <w:p>
            <w:pPr>
              <w:spacing w:after="0"/>
              <w:rPr>
                <w:sz w:val="19"/>
                <w:szCs w:val="19"/>
                <w:color w:val="auto"/>
              </w:rPr>
            </w:pPr>
          </w:p>
        </w:tc>
        <w:tc>
          <w:tcPr>
            <w:tcW w:w="980" w:type="dxa"/>
            <w:vAlign w:val="bottom"/>
            <w:tcBorders>
              <w:bottom w:val="single" w:sz="8" w:color="auto"/>
            </w:tcBorders>
            <w:gridSpan w:val="2"/>
            <w:shd w:val="clear" w:color="auto" w:fill="DDDDDD"/>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00" w:type="dxa"/>
            <w:vAlign w:val="bottom"/>
            <w:tcBorders>
              <w:bottom w:val="single" w:sz="8" w:color="auto"/>
            </w:tcBorders>
            <w:shd w:val="clear" w:color="auto" w:fill="DDDDDD"/>
          </w:tcPr>
          <w:p>
            <w:pPr>
              <w:spacing w:after="0"/>
              <w:rPr>
                <w:sz w:val="19"/>
                <w:szCs w:val="19"/>
                <w:color w:val="auto"/>
              </w:rPr>
            </w:pPr>
          </w:p>
        </w:tc>
        <w:tc>
          <w:tcPr>
            <w:tcW w:w="1060" w:type="dxa"/>
            <w:vAlign w:val="bottom"/>
            <w:tcBorders>
              <w:bottom w:val="single" w:sz="8" w:color="auto"/>
            </w:tcBorders>
            <w:gridSpan w:val="2"/>
            <w:shd w:val="clear" w:color="auto" w:fill="DDDDDD"/>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DDDDDD"/>
          </w:tcPr>
          <w:p>
            <w:pPr>
              <w:spacing w:after="0"/>
              <w:rPr>
                <w:sz w:val="19"/>
                <w:szCs w:val="19"/>
                <w:color w:val="auto"/>
              </w:rPr>
            </w:pPr>
          </w:p>
        </w:tc>
        <w:tc>
          <w:tcPr>
            <w:tcW w:w="300" w:type="dxa"/>
            <w:vAlign w:val="bottom"/>
            <w:tcBorders>
              <w:bottom w:val="single" w:sz="8" w:color="auto"/>
            </w:tcBorders>
            <w:shd w:val="clear" w:color="auto" w:fill="DDDDDD"/>
          </w:tcPr>
          <w:p>
            <w:pPr>
              <w:spacing w:after="0"/>
              <w:rPr>
                <w:sz w:val="19"/>
                <w:szCs w:val="19"/>
                <w:color w:val="auto"/>
              </w:rPr>
            </w:pPr>
          </w:p>
        </w:tc>
        <w:tc>
          <w:tcPr>
            <w:tcW w:w="9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DDDDD"/>
          </w:tcPr>
          <w:p>
            <w:pPr>
              <w:spacing w:after="0"/>
              <w:rPr>
                <w:sz w:val="19"/>
                <w:szCs w:val="19"/>
                <w:color w:val="auto"/>
              </w:rPr>
            </w:pPr>
          </w:p>
        </w:tc>
        <w:tc>
          <w:tcPr>
            <w:tcW w:w="800" w:type="dxa"/>
            <w:vAlign w:val="bottom"/>
            <w:tcBorders>
              <w:bottom w:val="single" w:sz="8" w:color="auto"/>
            </w:tcBorders>
            <w:shd w:val="clear" w:color="auto" w:fill="DDDDDD"/>
          </w:tcPr>
          <w:p>
            <w:pPr>
              <w:spacing w:after="0"/>
              <w:rPr>
                <w:sz w:val="19"/>
                <w:szCs w:val="19"/>
                <w:color w:val="auto"/>
              </w:rPr>
            </w:pPr>
          </w:p>
        </w:tc>
        <w:tc>
          <w:tcPr>
            <w:tcW w:w="4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DDDDDD"/>
          </w:tcPr>
          <w:p>
            <w:pPr>
              <w:spacing w:after="0"/>
              <w:rPr>
                <w:sz w:val="19"/>
                <w:szCs w:val="19"/>
                <w:color w:val="auto"/>
              </w:rPr>
            </w:pPr>
          </w:p>
        </w:tc>
        <w:tc>
          <w:tcPr>
            <w:tcW w:w="280" w:type="dxa"/>
            <w:vAlign w:val="bottom"/>
            <w:tcBorders>
              <w:bottom w:val="single" w:sz="8" w:color="auto"/>
            </w:tcBorders>
            <w:shd w:val="clear" w:color="auto" w:fill="DDDDDD"/>
          </w:tcPr>
          <w:p>
            <w:pPr>
              <w:spacing w:after="0"/>
              <w:rPr>
                <w:sz w:val="19"/>
                <w:szCs w:val="19"/>
                <w:color w:val="auto"/>
              </w:rPr>
            </w:pPr>
          </w:p>
        </w:tc>
        <w:tc>
          <w:tcPr>
            <w:tcW w:w="9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DDDDDD"/>
          </w:tcPr>
          <w:p>
            <w:pPr>
              <w:spacing w:after="0"/>
              <w:rPr>
                <w:sz w:val="19"/>
                <w:szCs w:val="19"/>
                <w:color w:val="auto"/>
              </w:rPr>
            </w:pPr>
          </w:p>
        </w:tc>
        <w:tc>
          <w:tcPr>
            <w:tcW w:w="280" w:type="dxa"/>
            <w:vAlign w:val="bottom"/>
            <w:tcBorders>
              <w:bottom w:val="single" w:sz="8" w:color="auto"/>
            </w:tcBorders>
            <w:shd w:val="clear" w:color="auto" w:fill="DDDDDD"/>
          </w:tcPr>
          <w:p>
            <w:pPr>
              <w:spacing w:after="0"/>
              <w:rPr>
                <w:sz w:val="19"/>
                <w:szCs w:val="19"/>
                <w:color w:val="auto"/>
              </w:rPr>
            </w:pPr>
          </w:p>
        </w:tc>
        <w:tc>
          <w:tcPr>
            <w:tcW w:w="9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68"/>
        </w:trPr>
        <w:tc>
          <w:tcPr>
            <w:tcW w:w="3080" w:type="dxa"/>
            <w:vAlign w:val="bottom"/>
          </w:tcPr>
          <w:p>
            <w:pPr>
              <w:ind w:left="360"/>
              <w:spacing w:after="0" w:line="168" w:lineRule="exact"/>
              <w:rPr>
                <w:sz w:val="20"/>
                <w:szCs w:val="20"/>
                <w:color w:val="auto"/>
              </w:rPr>
            </w:pPr>
            <w:r>
              <w:rPr>
                <w:rFonts w:ascii="Arial" w:cs="Arial" w:eastAsia="Arial" w:hAnsi="Arial"/>
                <w:sz w:val="18"/>
                <w:szCs w:val="18"/>
                <w:color w:val="auto"/>
              </w:rPr>
              <w:t>Total recognized in other</w:t>
            </w:r>
          </w:p>
        </w:tc>
        <w:tc>
          <w:tcPr>
            <w:tcW w:w="3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(274)</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662</w:t>
            </w:r>
          </w:p>
        </w:tc>
        <w:tc>
          <w:tcPr>
            <w:tcW w:w="100" w:type="dxa"/>
            <w:vAlign w:val="bottom"/>
          </w:tcPr>
          <w:p>
            <w:pPr>
              <w:spacing w:after="0"/>
              <w:rPr>
                <w:sz w:val="14"/>
                <w:szCs w:val="14"/>
                <w:color w:val="auto"/>
              </w:rPr>
            </w:pPr>
          </w:p>
        </w:tc>
        <w:tc>
          <w:tcPr>
            <w:tcW w:w="800" w:type="dxa"/>
            <w:vAlign w:val="bottom"/>
            <w:vMerge w:val="restart"/>
          </w:tcPr>
          <w:p>
            <w:pPr>
              <w:jc w:val="right"/>
              <w:ind w:right="595"/>
              <w:spacing w:after="0"/>
              <w:rPr>
                <w:sz w:val="20"/>
                <w:szCs w:val="20"/>
                <w:color w:val="auto"/>
              </w:rPr>
            </w:pPr>
            <w:r>
              <w:rPr>
                <w:rFonts w:ascii="Arial" w:cs="Arial" w:eastAsia="Arial" w:hAnsi="Arial"/>
                <w:sz w:val="18"/>
                <w:szCs w:val="18"/>
                <w:color w:val="auto"/>
                <w:w w:val="99"/>
              </w:rPr>
              <w:t>$</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4"/>
                <w:szCs w:val="14"/>
                <w:color w:val="auto"/>
              </w:rPr>
            </w:pPr>
          </w:p>
        </w:tc>
        <w:tc>
          <w:tcPr>
            <w:tcW w:w="280" w:type="dxa"/>
            <w:vAlign w:val="bottom"/>
            <w:vMerge w:val="restart"/>
          </w:tcPr>
          <w:p>
            <w:pPr>
              <w:jc w:val="right"/>
              <w:ind w:right="75"/>
              <w:spacing w:after="0"/>
              <w:rPr>
                <w:sz w:val="20"/>
                <w:szCs w:val="20"/>
                <w:color w:val="auto"/>
              </w:rPr>
            </w:pPr>
            <w:r>
              <w:rPr>
                <w:rFonts w:ascii="Arial" w:cs="Arial" w:eastAsia="Arial" w:hAnsi="Arial"/>
                <w:sz w:val="18"/>
                <w:szCs w:val="18"/>
                <w:color w:val="auto"/>
                <w:w w:val="99"/>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4"/>
                <w:szCs w:val="14"/>
                <w:color w:val="auto"/>
              </w:rPr>
            </w:pP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190"/>
        </w:trPr>
        <w:tc>
          <w:tcPr>
            <w:tcW w:w="3080" w:type="dxa"/>
            <w:vAlign w:val="bottom"/>
          </w:tcPr>
          <w:p>
            <w:pPr>
              <w:ind w:left="360"/>
              <w:spacing w:after="0" w:line="190" w:lineRule="exact"/>
              <w:rPr>
                <w:sz w:val="20"/>
                <w:szCs w:val="20"/>
                <w:color w:val="auto"/>
              </w:rPr>
            </w:pPr>
            <w:r>
              <w:rPr>
                <w:rFonts w:ascii="Arial" w:cs="Arial" w:eastAsia="Arial" w:hAnsi="Arial"/>
                <w:sz w:val="18"/>
                <w:szCs w:val="18"/>
                <w:color w:val="auto"/>
              </w:rPr>
              <w:t>comprehensive (income) loss</w:t>
            </w:r>
          </w:p>
        </w:tc>
        <w:tc>
          <w:tcPr>
            <w:tcW w:w="300" w:type="dxa"/>
            <w:vAlign w:val="bottom"/>
            <w:gridSpan w:val="2"/>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4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080" w:type="dxa"/>
            <w:vAlign w:val="bottom"/>
            <w:tcBorders>
              <w:bottom w:val="single" w:sz="8" w:color="DDDDDD"/>
            </w:tcBorders>
          </w:tcPr>
          <w:p>
            <w:pPr>
              <w:spacing w:after="0" w:line="20" w:lineRule="exact"/>
              <w:rPr>
                <w:sz w:val="1"/>
                <w:szCs w:val="1"/>
                <w:color w:val="auto"/>
              </w:rPr>
            </w:pPr>
          </w:p>
        </w:tc>
        <w:tc>
          <w:tcPr>
            <w:tcW w:w="20" w:type="dxa"/>
            <w:vAlign w:val="bottom"/>
            <w:tcBorders>
              <w:bottom w:val="single" w:sz="8" w:color="DDDDDD"/>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DDDDD"/>
            </w:tcBorders>
          </w:tcPr>
          <w:p>
            <w:pPr>
              <w:spacing w:after="0" w:line="20" w:lineRule="exact"/>
              <w:rPr>
                <w:sz w:val="1"/>
                <w:szCs w:val="1"/>
                <w:color w:val="auto"/>
              </w:rPr>
            </w:pPr>
          </w:p>
        </w:tc>
        <w:tc>
          <w:tcPr>
            <w:tcW w:w="20" w:type="dxa"/>
            <w:vAlign w:val="bottom"/>
            <w:tcBorders>
              <w:bottom w:val="single" w:sz="8" w:color="DDDDDD"/>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DDDDD"/>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DDDDD"/>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DDDDDD"/>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DDDDDD"/>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080" w:type="dxa"/>
            <w:vAlign w:val="bottom"/>
            <w:shd w:val="clear" w:color="auto" w:fill="DDDDDD"/>
          </w:tcPr>
          <w:p>
            <w:pPr>
              <w:ind w:left="360"/>
              <w:spacing w:after="0" w:line="155" w:lineRule="exact"/>
              <w:rPr>
                <w:sz w:val="20"/>
                <w:szCs w:val="20"/>
                <w:color w:val="auto"/>
              </w:rPr>
            </w:pPr>
            <w:r>
              <w:rPr>
                <w:rFonts w:ascii="Arial" w:cs="Arial" w:eastAsia="Arial" w:hAnsi="Arial"/>
                <w:sz w:val="17"/>
                <w:szCs w:val="17"/>
                <w:color w:val="auto"/>
              </w:rPr>
              <w:t>Total recognized in net periodic</w:t>
            </w:r>
          </w:p>
        </w:tc>
        <w:tc>
          <w:tcPr>
            <w:tcW w:w="20" w:type="dxa"/>
            <w:vAlign w:val="bottom"/>
            <w:shd w:val="clear" w:color="auto" w:fill="DDDDDD"/>
          </w:tcPr>
          <w:p>
            <w:pPr>
              <w:spacing w:after="0"/>
              <w:rPr>
                <w:sz w:val="13"/>
                <w:szCs w:val="13"/>
                <w:color w:val="auto"/>
              </w:rPr>
            </w:pPr>
          </w:p>
        </w:tc>
        <w:tc>
          <w:tcPr>
            <w:tcW w:w="280" w:type="dxa"/>
            <w:vAlign w:val="bottom"/>
            <w:shd w:val="clear" w:color="auto" w:fill="DDDDDD"/>
          </w:tcPr>
          <w:p>
            <w:pPr>
              <w:spacing w:after="0"/>
              <w:rPr>
                <w:sz w:val="13"/>
                <w:szCs w:val="13"/>
                <w:color w:val="auto"/>
              </w:rPr>
            </w:pPr>
          </w:p>
        </w:tc>
        <w:tc>
          <w:tcPr>
            <w:tcW w:w="940" w:type="dxa"/>
            <w:vAlign w:val="bottom"/>
            <w:shd w:val="clear" w:color="auto" w:fill="DDDDDD"/>
          </w:tcPr>
          <w:p>
            <w:pPr>
              <w:spacing w:after="0"/>
              <w:rPr>
                <w:sz w:val="13"/>
                <w:szCs w:val="13"/>
                <w:color w:val="auto"/>
              </w:rPr>
            </w:pPr>
          </w:p>
        </w:tc>
        <w:tc>
          <w:tcPr>
            <w:tcW w:w="4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20" w:type="dxa"/>
            <w:vAlign w:val="bottom"/>
            <w:shd w:val="clear" w:color="auto" w:fill="DDDDDD"/>
          </w:tcPr>
          <w:p>
            <w:pPr>
              <w:spacing w:after="0"/>
              <w:rPr>
                <w:sz w:val="13"/>
                <w:szCs w:val="13"/>
                <w:color w:val="auto"/>
              </w:rPr>
            </w:pPr>
          </w:p>
        </w:tc>
        <w:tc>
          <w:tcPr>
            <w:tcW w:w="200" w:type="dxa"/>
            <w:vAlign w:val="bottom"/>
            <w:shd w:val="clear" w:color="auto" w:fill="DDDDDD"/>
          </w:tcPr>
          <w:p>
            <w:pPr>
              <w:spacing w:after="0"/>
              <w:rPr>
                <w:sz w:val="13"/>
                <w:szCs w:val="13"/>
                <w:color w:val="auto"/>
              </w:rPr>
            </w:pPr>
          </w:p>
        </w:tc>
        <w:tc>
          <w:tcPr>
            <w:tcW w:w="1040" w:type="dxa"/>
            <w:vAlign w:val="bottom"/>
            <w:shd w:val="clear" w:color="auto" w:fill="DDDDDD"/>
          </w:tcPr>
          <w:p>
            <w:pPr>
              <w:spacing w:after="0"/>
              <w:rPr>
                <w:sz w:val="13"/>
                <w:szCs w:val="13"/>
                <w:color w:val="auto"/>
              </w:rPr>
            </w:pPr>
          </w:p>
        </w:tc>
        <w:tc>
          <w:tcPr>
            <w:tcW w:w="20" w:type="dxa"/>
            <w:vAlign w:val="bottom"/>
            <w:shd w:val="clear" w:color="auto" w:fill="DDDDDD"/>
          </w:tcPr>
          <w:p>
            <w:pPr>
              <w:spacing w:after="0"/>
              <w:rPr>
                <w:sz w:val="13"/>
                <w:szCs w:val="13"/>
                <w:color w:val="auto"/>
              </w:rPr>
            </w:pPr>
          </w:p>
        </w:tc>
        <w:tc>
          <w:tcPr>
            <w:tcW w:w="100" w:type="dxa"/>
            <w:vAlign w:val="bottom"/>
            <w:shd w:val="clear" w:color="auto" w:fill="DDDDDD"/>
          </w:tcPr>
          <w:p>
            <w:pPr>
              <w:spacing w:after="0"/>
              <w:rPr>
                <w:sz w:val="13"/>
                <w:szCs w:val="13"/>
                <w:color w:val="auto"/>
              </w:rPr>
            </w:pPr>
          </w:p>
        </w:tc>
        <w:tc>
          <w:tcPr>
            <w:tcW w:w="300" w:type="dxa"/>
            <w:vAlign w:val="bottom"/>
            <w:shd w:val="clear" w:color="auto" w:fill="DDDDDD"/>
          </w:tcPr>
          <w:p>
            <w:pPr>
              <w:spacing w:after="0"/>
              <w:rPr>
                <w:sz w:val="13"/>
                <w:szCs w:val="13"/>
                <w:color w:val="auto"/>
              </w:rPr>
            </w:pPr>
          </w:p>
        </w:tc>
        <w:tc>
          <w:tcPr>
            <w:tcW w:w="960" w:type="dxa"/>
            <w:vAlign w:val="bottom"/>
            <w:shd w:val="clear" w:color="auto" w:fill="DDDDDD"/>
          </w:tcPr>
          <w:p>
            <w:pPr>
              <w:spacing w:after="0"/>
              <w:rPr>
                <w:sz w:val="13"/>
                <w:szCs w:val="13"/>
                <w:color w:val="auto"/>
              </w:rPr>
            </w:pPr>
          </w:p>
        </w:tc>
        <w:tc>
          <w:tcPr>
            <w:tcW w:w="100" w:type="dxa"/>
            <w:vAlign w:val="bottom"/>
            <w:shd w:val="clear" w:color="auto" w:fill="DDDDDD"/>
          </w:tcPr>
          <w:p>
            <w:pPr>
              <w:spacing w:after="0"/>
              <w:rPr>
                <w:sz w:val="13"/>
                <w:szCs w:val="13"/>
                <w:color w:val="auto"/>
              </w:rPr>
            </w:pPr>
          </w:p>
        </w:tc>
        <w:tc>
          <w:tcPr>
            <w:tcW w:w="800" w:type="dxa"/>
            <w:vAlign w:val="bottom"/>
            <w:shd w:val="clear" w:color="auto" w:fill="DDDDDD"/>
          </w:tcPr>
          <w:p>
            <w:pPr>
              <w:spacing w:after="0"/>
              <w:rPr>
                <w:sz w:val="13"/>
                <w:szCs w:val="13"/>
                <w:color w:val="auto"/>
              </w:rPr>
            </w:pPr>
          </w:p>
        </w:tc>
        <w:tc>
          <w:tcPr>
            <w:tcW w:w="460" w:type="dxa"/>
            <w:vAlign w:val="bottom"/>
            <w:shd w:val="clear" w:color="auto" w:fill="DDDDDD"/>
          </w:tcPr>
          <w:p>
            <w:pPr>
              <w:spacing w:after="0"/>
              <w:rPr>
                <w:sz w:val="13"/>
                <w:szCs w:val="13"/>
                <w:color w:val="auto"/>
              </w:rPr>
            </w:pPr>
          </w:p>
        </w:tc>
        <w:tc>
          <w:tcPr>
            <w:tcW w:w="120" w:type="dxa"/>
            <w:vAlign w:val="bottom"/>
            <w:shd w:val="clear" w:color="auto" w:fill="DDDDDD"/>
          </w:tcPr>
          <w:p>
            <w:pPr>
              <w:spacing w:after="0"/>
              <w:rPr>
                <w:sz w:val="13"/>
                <w:szCs w:val="13"/>
                <w:color w:val="auto"/>
              </w:rPr>
            </w:pPr>
          </w:p>
        </w:tc>
        <w:tc>
          <w:tcPr>
            <w:tcW w:w="280" w:type="dxa"/>
            <w:vAlign w:val="bottom"/>
            <w:shd w:val="clear" w:color="auto" w:fill="DDDDDD"/>
          </w:tcPr>
          <w:p>
            <w:pPr>
              <w:spacing w:after="0"/>
              <w:rPr>
                <w:sz w:val="13"/>
                <w:szCs w:val="13"/>
                <w:color w:val="auto"/>
              </w:rPr>
            </w:pPr>
          </w:p>
        </w:tc>
        <w:tc>
          <w:tcPr>
            <w:tcW w:w="960" w:type="dxa"/>
            <w:vAlign w:val="bottom"/>
            <w:shd w:val="clear" w:color="auto" w:fill="DDDDDD"/>
          </w:tcPr>
          <w:p>
            <w:pPr>
              <w:spacing w:after="0"/>
              <w:rPr>
                <w:sz w:val="13"/>
                <w:szCs w:val="13"/>
                <w:color w:val="auto"/>
              </w:rPr>
            </w:pPr>
          </w:p>
        </w:tc>
        <w:tc>
          <w:tcPr>
            <w:tcW w:w="120" w:type="dxa"/>
            <w:vAlign w:val="bottom"/>
            <w:shd w:val="clear" w:color="auto" w:fill="DDDDDD"/>
          </w:tcPr>
          <w:p>
            <w:pPr>
              <w:spacing w:after="0"/>
              <w:rPr>
                <w:sz w:val="13"/>
                <w:szCs w:val="13"/>
                <w:color w:val="auto"/>
              </w:rPr>
            </w:pPr>
          </w:p>
        </w:tc>
        <w:tc>
          <w:tcPr>
            <w:tcW w:w="280" w:type="dxa"/>
            <w:vAlign w:val="bottom"/>
            <w:shd w:val="clear" w:color="auto" w:fill="DDDDDD"/>
          </w:tcPr>
          <w:p>
            <w:pPr>
              <w:spacing w:after="0"/>
              <w:rPr>
                <w:sz w:val="13"/>
                <w:szCs w:val="13"/>
                <w:color w:val="auto"/>
              </w:rPr>
            </w:pPr>
          </w:p>
        </w:tc>
        <w:tc>
          <w:tcPr>
            <w:tcW w:w="980" w:type="dxa"/>
            <w:vAlign w:val="bottom"/>
            <w:shd w:val="clear" w:color="auto" w:fill="DDDDDD"/>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080" w:type="dxa"/>
            <w:vAlign w:val="bottom"/>
            <w:shd w:val="clear" w:color="auto" w:fill="DDDDDD"/>
          </w:tcPr>
          <w:p>
            <w:pPr>
              <w:ind w:left="360"/>
              <w:spacing w:after="0" w:line="176" w:lineRule="exact"/>
              <w:rPr>
                <w:sz w:val="20"/>
                <w:szCs w:val="20"/>
                <w:color w:val="auto"/>
              </w:rPr>
            </w:pPr>
            <w:r>
              <w:rPr>
                <w:rFonts w:ascii="Arial" w:cs="Arial" w:eastAsia="Arial" w:hAnsi="Arial"/>
                <w:sz w:val="18"/>
                <w:szCs w:val="18"/>
                <w:color w:val="auto"/>
              </w:rPr>
              <w:t>benefit (income) cost and other</w:t>
            </w:r>
          </w:p>
        </w:tc>
        <w:tc>
          <w:tcPr>
            <w:tcW w:w="300" w:type="dxa"/>
            <w:vAlign w:val="bottom"/>
            <w:gridSpan w:val="2"/>
            <w:vMerge w:val="restart"/>
            <w:shd w:val="clear" w:color="auto" w:fill="DDDDDD"/>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vMerge w:val="restart"/>
            <w:shd w:val="clear" w:color="auto" w:fill="DDDDDD"/>
          </w:tcPr>
          <w:p>
            <w:pPr>
              <w:jc w:val="right"/>
              <w:ind w:right="40"/>
              <w:spacing w:after="0"/>
              <w:rPr>
                <w:sz w:val="20"/>
                <w:szCs w:val="20"/>
                <w:color w:val="auto"/>
              </w:rPr>
            </w:pPr>
            <w:r>
              <w:rPr>
                <w:rFonts w:ascii="Arial" w:cs="Arial" w:eastAsia="Arial" w:hAnsi="Arial"/>
                <w:sz w:val="18"/>
                <w:szCs w:val="18"/>
                <w:color w:val="auto"/>
              </w:rPr>
              <w:t>(584)</w:t>
            </w:r>
          </w:p>
        </w:tc>
        <w:tc>
          <w:tcPr>
            <w:tcW w:w="80" w:type="dxa"/>
            <w:vAlign w:val="bottom"/>
            <w:shd w:val="clear" w:color="auto" w:fill="DDDDDD"/>
          </w:tcPr>
          <w:p>
            <w:pPr>
              <w:spacing w:after="0"/>
              <w:rPr>
                <w:sz w:val="15"/>
                <w:szCs w:val="15"/>
                <w:color w:val="auto"/>
              </w:rPr>
            </w:pPr>
          </w:p>
        </w:tc>
        <w:tc>
          <w:tcPr>
            <w:tcW w:w="220" w:type="dxa"/>
            <w:vAlign w:val="bottom"/>
            <w:gridSpan w:val="2"/>
            <w:vMerge w:val="restart"/>
            <w:shd w:val="clear" w:color="auto" w:fill="DDDDDD"/>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DDDDDD"/>
          </w:tcPr>
          <w:p>
            <w:pPr>
              <w:jc w:val="right"/>
              <w:spacing w:after="0"/>
              <w:rPr>
                <w:sz w:val="20"/>
                <w:szCs w:val="20"/>
                <w:color w:val="auto"/>
              </w:rPr>
            </w:pPr>
            <w:r>
              <w:rPr>
                <w:rFonts w:ascii="Arial" w:cs="Arial" w:eastAsia="Arial" w:hAnsi="Arial"/>
                <w:sz w:val="18"/>
                <w:szCs w:val="18"/>
                <w:color w:val="auto"/>
              </w:rPr>
              <w:t>(699)</w:t>
            </w:r>
          </w:p>
        </w:tc>
        <w:tc>
          <w:tcPr>
            <w:tcW w:w="20" w:type="dxa"/>
            <w:vAlign w:val="bottom"/>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300" w:type="dxa"/>
            <w:vAlign w:val="bottom"/>
            <w:vMerge w:val="restart"/>
            <w:shd w:val="clear" w:color="auto" w:fill="DDDDDD"/>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DDDDDD"/>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DDDDDD"/>
          </w:tcPr>
          <w:p>
            <w:pPr>
              <w:spacing w:after="0"/>
              <w:rPr>
                <w:sz w:val="15"/>
                <w:szCs w:val="15"/>
                <w:color w:val="auto"/>
              </w:rPr>
            </w:pPr>
          </w:p>
        </w:tc>
        <w:tc>
          <w:tcPr>
            <w:tcW w:w="800" w:type="dxa"/>
            <w:vAlign w:val="bottom"/>
            <w:vMerge w:val="restart"/>
            <w:shd w:val="clear" w:color="auto" w:fill="DDDDDD"/>
          </w:tcPr>
          <w:p>
            <w:pPr>
              <w:jc w:val="right"/>
              <w:ind w:right="595"/>
              <w:spacing w:after="0"/>
              <w:rPr>
                <w:sz w:val="20"/>
                <w:szCs w:val="20"/>
                <w:color w:val="auto"/>
              </w:rPr>
            </w:pPr>
            <w:r>
              <w:rPr>
                <w:rFonts w:ascii="Arial" w:cs="Arial" w:eastAsia="Arial" w:hAnsi="Arial"/>
                <w:sz w:val="18"/>
                <w:szCs w:val="18"/>
                <w:color w:val="auto"/>
                <w:w w:val="99"/>
              </w:rPr>
              <w:t>$</w:t>
            </w:r>
          </w:p>
        </w:tc>
        <w:tc>
          <w:tcPr>
            <w:tcW w:w="460" w:type="dxa"/>
            <w:vAlign w:val="bottom"/>
            <w:vMerge w:val="restart"/>
            <w:shd w:val="clear" w:color="auto" w:fill="DDDDDD"/>
          </w:tcPr>
          <w:p>
            <w:pPr>
              <w:jc w:val="right"/>
              <w:spacing w:after="0"/>
              <w:rPr>
                <w:sz w:val="20"/>
                <w:szCs w:val="20"/>
                <w:color w:val="auto"/>
              </w:rPr>
            </w:pPr>
            <w:r>
              <w:rPr>
                <w:rFonts w:ascii="Arial" w:cs="Arial" w:eastAsia="Arial" w:hAnsi="Arial"/>
                <w:sz w:val="18"/>
                <w:szCs w:val="18"/>
                <w:color w:val="auto"/>
                <w:w w:val="99"/>
              </w:rPr>
              <w:t>(259)</w:t>
            </w:r>
          </w:p>
        </w:tc>
        <w:tc>
          <w:tcPr>
            <w:tcW w:w="120" w:type="dxa"/>
            <w:vAlign w:val="bottom"/>
            <w:shd w:val="clear" w:color="auto" w:fill="DDDDDD"/>
          </w:tcPr>
          <w:p>
            <w:pPr>
              <w:spacing w:after="0"/>
              <w:rPr>
                <w:sz w:val="15"/>
                <w:szCs w:val="15"/>
                <w:color w:val="auto"/>
              </w:rPr>
            </w:pPr>
          </w:p>
        </w:tc>
        <w:tc>
          <w:tcPr>
            <w:tcW w:w="280" w:type="dxa"/>
            <w:vAlign w:val="bottom"/>
            <w:vMerge w:val="restart"/>
            <w:shd w:val="clear" w:color="auto" w:fill="DDDDDD"/>
          </w:tcPr>
          <w:p>
            <w:pPr>
              <w:jc w:val="right"/>
              <w:ind w:right="75"/>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DDDDDD"/>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DDDDDD"/>
          </w:tcPr>
          <w:p>
            <w:pPr>
              <w:spacing w:after="0"/>
              <w:rPr>
                <w:sz w:val="15"/>
                <w:szCs w:val="15"/>
                <w:color w:val="auto"/>
              </w:rPr>
            </w:pPr>
          </w:p>
        </w:tc>
        <w:tc>
          <w:tcPr>
            <w:tcW w:w="280" w:type="dxa"/>
            <w:vAlign w:val="bottom"/>
            <w:vMerge w:val="restart"/>
            <w:shd w:val="clear" w:color="auto" w:fill="DDDDDD"/>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DDDDDD"/>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0"/>
        </w:trPr>
        <w:tc>
          <w:tcPr>
            <w:tcW w:w="3080" w:type="dxa"/>
            <w:vAlign w:val="bottom"/>
            <w:shd w:val="clear" w:color="auto" w:fill="DDDDDD"/>
          </w:tcPr>
          <w:p>
            <w:pPr>
              <w:ind w:left="360"/>
              <w:spacing w:after="0" w:line="190" w:lineRule="exact"/>
              <w:rPr>
                <w:sz w:val="20"/>
                <w:szCs w:val="20"/>
                <w:color w:val="auto"/>
              </w:rPr>
            </w:pPr>
            <w:r>
              <w:rPr>
                <w:rFonts w:ascii="Arial" w:cs="Arial" w:eastAsia="Arial" w:hAnsi="Arial"/>
                <w:sz w:val="18"/>
                <w:szCs w:val="18"/>
                <w:color w:val="auto"/>
              </w:rPr>
              <w:t>comprehensive (income) loss</w:t>
            </w:r>
          </w:p>
        </w:tc>
        <w:tc>
          <w:tcPr>
            <w:tcW w:w="300" w:type="dxa"/>
            <w:vAlign w:val="bottom"/>
            <w:gridSpan w:val="2"/>
            <w:vMerge w:val="continue"/>
            <w:shd w:val="clear" w:color="auto" w:fill="DDDDDD"/>
          </w:tcPr>
          <w:p>
            <w:pPr>
              <w:spacing w:after="0"/>
              <w:rPr>
                <w:sz w:val="18"/>
                <w:szCs w:val="18"/>
                <w:color w:val="auto"/>
              </w:rPr>
            </w:pPr>
          </w:p>
        </w:tc>
        <w:tc>
          <w:tcPr>
            <w:tcW w:w="980" w:type="dxa"/>
            <w:vAlign w:val="bottom"/>
            <w:gridSpan w:val="2"/>
            <w:vMerge w:val="continue"/>
            <w:shd w:val="clear" w:color="auto" w:fill="DDDDDD"/>
          </w:tcPr>
          <w:p>
            <w:pPr>
              <w:spacing w:after="0"/>
              <w:rPr>
                <w:sz w:val="18"/>
                <w:szCs w:val="18"/>
                <w:color w:val="auto"/>
              </w:rPr>
            </w:pPr>
          </w:p>
        </w:tc>
        <w:tc>
          <w:tcPr>
            <w:tcW w:w="80" w:type="dxa"/>
            <w:vAlign w:val="bottom"/>
            <w:shd w:val="clear" w:color="auto" w:fill="DDDDDD"/>
          </w:tcPr>
          <w:p>
            <w:pPr>
              <w:spacing w:after="0"/>
              <w:rPr>
                <w:sz w:val="18"/>
                <w:szCs w:val="18"/>
                <w:color w:val="auto"/>
              </w:rPr>
            </w:pPr>
          </w:p>
        </w:tc>
        <w:tc>
          <w:tcPr>
            <w:tcW w:w="220" w:type="dxa"/>
            <w:vAlign w:val="bottom"/>
            <w:gridSpan w:val="2"/>
            <w:vMerge w:val="continue"/>
            <w:shd w:val="clear" w:color="auto" w:fill="DDDDDD"/>
          </w:tcPr>
          <w:p>
            <w:pPr>
              <w:spacing w:after="0"/>
              <w:rPr>
                <w:sz w:val="18"/>
                <w:szCs w:val="18"/>
                <w:color w:val="auto"/>
              </w:rPr>
            </w:pPr>
          </w:p>
        </w:tc>
        <w:tc>
          <w:tcPr>
            <w:tcW w:w="1040" w:type="dxa"/>
            <w:vAlign w:val="bottom"/>
            <w:vMerge w:val="continue"/>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300" w:type="dxa"/>
            <w:vAlign w:val="bottom"/>
            <w:vMerge w:val="continue"/>
            <w:shd w:val="clear" w:color="auto" w:fill="DDDDDD"/>
          </w:tcPr>
          <w:p>
            <w:pPr>
              <w:spacing w:after="0"/>
              <w:rPr>
                <w:sz w:val="18"/>
                <w:szCs w:val="18"/>
                <w:color w:val="auto"/>
              </w:rPr>
            </w:pPr>
          </w:p>
        </w:tc>
        <w:tc>
          <w:tcPr>
            <w:tcW w:w="960" w:type="dxa"/>
            <w:vAlign w:val="bottom"/>
            <w:vMerge w:val="continue"/>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800" w:type="dxa"/>
            <w:vAlign w:val="bottom"/>
            <w:vMerge w:val="continue"/>
            <w:shd w:val="clear" w:color="auto" w:fill="DDDDDD"/>
          </w:tcPr>
          <w:p>
            <w:pPr>
              <w:spacing w:after="0"/>
              <w:rPr>
                <w:sz w:val="18"/>
                <w:szCs w:val="18"/>
                <w:color w:val="auto"/>
              </w:rPr>
            </w:pPr>
          </w:p>
        </w:tc>
        <w:tc>
          <w:tcPr>
            <w:tcW w:w="460" w:type="dxa"/>
            <w:vAlign w:val="bottom"/>
            <w:vMerge w:val="continue"/>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280" w:type="dxa"/>
            <w:vAlign w:val="bottom"/>
            <w:vMerge w:val="continue"/>
            <w:shd w:val="clear" w:color="auto" w:fill="DDDDDD"/>
          </w:tcPr>
          <w:p>
            <w:pPr>
              <w:spacing w:after="0"/>
              <w:rPr>
                <w:sz w:val="18"/>
                <w:szCs w:val="18"/>
                <w:color w:val="auto"/>
              </w:rPr>
            </w:pPr>
          </w:p>
        </w:tc>
        <w:tc>
          <w:tcPr>
            <w:tcW w:w="960" w:type="dxa"/>
            <w:vAlign w:val="bottom"/>
            <w:vMerge w:val="continue"/>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280" w:type="dxa"/>
            <w:vAlign w:val="bottom"/>
            <w:vMerge w:val="continue"/>
            <w:shd w:val="clear" w:color="auto" w:fill="DDDDDD"/>
          </w:tcPr>
          <w:p>
            <w:pPr>
              <w:spacing w:after="0"/>
              <w:rPr>
                <w:sz w:val="18"/>
                <w:szCs w:val="18"/>
                <w:color w:val="auto"/>
              </w:rPr>
            </w:pPr>
          </w:p>
        </w:tc>
        <w:tc>
          <w:tcPr>
            <w:tcW w:w="980" w:type="dxa"/>
            <w:vAlign w:val="bottom"/>
            <w:vMerge w:val="continue"/>
            <w:shd w:val="clear" w:color="auto" w:fill="DDDDDD"/>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80" w:type="dxa"/>
            <w:vAlign w:val="bottom"/>
            <w:tcBorders>
              <w:top w:val="single" w:sz="8" w:color="DDDDDD"/>
            </w:tcBorders>
          </w:tcPr>
          <w:p>
            <w:pPr>
              <w:spacing w:after="0" w:line="20" w:lineRule="exact"/>
              <w:rPr>
                <w:sz w:val="1"/>
                <w:szCs w:val="1"/>
                <w:color w:val="auto"/>
              </w:rPr>
            </w:pPr>
          </w:p>
        </w:tc>
        <w:tc>
          <w:tcPr>
            <w:tcW w:w="20" w:type="dxa"/>
            <w:vAlign w:val="bottom"/>
            <w:tcBorders>
              <w:top w:val="single" w:sz="8" w:color="DDDDDD"/>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20" w:type="dxa"/>
            <w:vAlign w:val="bottom"/>
            <w:tcBorders>
              <w:top w:val="single" w:sz="8" w:color="DDDDDD"/>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DDDDD"/>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DDDDD"/>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97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20" w:type="dxa"/>
            <w:vAlign w:val="bottom"/>
          </w:tcPr>
          <w:p>
            <w:pPr>
              <w:spacing w:after="0"/>
              <w:rPr>
                <w:sz w:val="17"/>
                <w:szCs w:val="17"/>
                <w:color w:val="auto"/>
              </w:rPr>
            </w:pPr>
          </w:p>
        </w:tc>
        <w:tc>
          <w:tcPr>
            <w:tcW w:w="340" w:type="dxa"/>
            <w:vAlign w:val="bottom"/>
            <w:tcBorders>
              <w:bottom w:val="single" w:sz="8" w:color="DC202E"/>
            </w:tcBorders>
          </w:tcPr>
          <w:p>
            <w:pPr>
              <w:spacing w:after="0"/>
              <w:rPr>
                <w:sz w:val="17"/>
                <w:szCs w:val="17"/>
                <w:color w:val="auto"/>
              </w:rPr>
            </w:pPr>
          </w:p>
        </w:tc>
        <w:tc>
          <w:tcPr>
            <w:tcW w:w="3120" w:type="dxa"/>
            <w:vAlign w:val="bottom"/>
            <w:tcBorders>
              <w:bottom w:val="single" w:sz="8" w:color="DC202E"/>
            </w:tcBorders>
            <w:gridSpan w:val="6"/>
          </w:tcPr>
          <w:p>
            <w:pPr>
              <w:jc w:val="center"/>
              <w:ind w:left="636"/>
              <w:spacing w:after="0"/>
              <w:rPr>
                <w:sz w:val="20"/>
                <w:szCs w:val="20"/>
                <w:color w:val="auto"/>
              </w:rPr>
            </w:pPr>
            <w:r>
              <w:rPr>
                <w:rFonts w:ascii="Arial" w:cs="Arial" w:eastAsia="Arial" w:hAnsi="Arial"/>
                <w:sz w:val="14"/>
                <w:szCs w:val="14"/>
                <w:b w:val="1"/>
                <w:bCs w:val="1"/>
                <w:color w:val="auto"/>
              </w:rPr>
              <w:t>Other Postretirement Benefits</w:t>
            </w:r>
          </w:p>
        </w:tc>
        <w:tc>
          <w:tcPr>
            <w:tcW w:w="1060" w:type="dxa"/>
            <w:vAlign w:val="bottom"/>
            <w:tcBorders>
              <w:bottom w:val="single" w:sz="8" w:color="DC202E"/>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6720" w:type="dxa"/>
            <w:vAlign w:val="bottom"/>
          </w:tcPr>
          <w:p>
            <w:pPr>
              <w:spacing w:after="0"/>
              <w:rPr>
                <w:sz w:val="20"/>
                <w:szCs w:val="20"/>
                <w:color w:val="auto"/>
              </w:rPr>
            </w:pPr>
          </w:p>
        </w:tc>
        <w:tc>
          <w:tcPr>
            <w:tcW w:w="340" w:type="dxa"/>
            <w:vAlign w:val="bottom"/>
            <w:tcBorders>
              <w:bottom w:val="single" w:sz="8" w:color="DC202E"/>
            </w:tcBorders>
          </w:tcPr>
          <w:p>
            <w:pPr>
              <w:spacing w:after="0"/>
              <w:rPr>
                <w:sz w:val="20"/>
                <w:szCs w:val="20"/>
                <w:color w:val="auto"/>
              </w:rPr>
            </w:pPr>
          </w:p>
        </w:tc>
        <w:tc>
          <w:tcPr>
            <w:tcW w:w="3120" w:type="dxa"/>
            <w:vAlign w:val="bottom"/>
            <w:tcBorders>
              <w:bottom w:val="single" w:sz="8" w:color="DC202E"/>
            </w:tcBorders>
            <w:gridSpan w:val="6"/>
          </w:tcPr>
          <w:p>
            <w:pPr>
              <w:jc w:val="center"/>
              <w:ind w:left="636"/>
              <w:spacing w:after="0"/>
              <w:rPr>
                <w:sz w:val="20"/>
                <w:szCs w:val="20"/>
                <w:color w:val="auto"/>
              </w:rPr>
            </w:pPr>
            <w:r>
              <w:rPr>
                <w:rFonts w:ascii="Arial" w:cs="Arial" w:eastAsia="Arial" w:hAnsi="Arial"/>
                <w:sz w:val="14"/>
                <w:szCs w:val="14"/>
                <w:b w:val="1"/>
                <w:bCs w:val="1"/>
                <w:color w:val="auto"/>
              </w:rPr>
              <w:t>Years Ended December 31,</w:t>
            </w:r>
          </w:p>
        </w:tc>
        <w:tc>
          <w:tcPr>
            <w:tcW w:w="1060" w:type="dxa"/>
            <w:vAlign w:val="bottom"/>
            <w:tcBorders>
              <w:bottom w:val="single" w:sz="8" w:color="DC202E"/>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720" w:type="dxa"/>
            <w:vAlign w:val="bottom"/>
            <w:tcBorders>
              <w:bottom w:val="single" w:sz="8" w:color="DC202E"/>
            </w:tcBorders>
          </w:tcPr>
          <w:p>
            <w:pPr>
              <w:ind w:left="20"/>
              <w:spacing w:after="0"/>
              <w:rPr>
                <w:sz w:val="20"/>
                <w:szCs w:val="20"/>
                <w:color w:val="auto"/>
              </w:rPr>
            </w:pPr>
            <w:r>
              <w:rPr>
                <w:rFonts w:ascii="Arial" w:cs="Arial" w:eastAsia="Arial" w:hAnsi="Arial"/>
                <w:sz w:val="14"/>
                <w:szCs w:val="14"/>
                <w:b w:val="1"/>
                <w:bCs w:val="1"/>
                <w:color w:val="auto"/>
              </w:rPr>
              <w:t>Net Periodic Benefit Cost</w:t>
            </w:r>
          </w:p>
        </w:tc>
        <w:tc>
          <w:tcPr>
            <w:tcW w:w="340" w:type="dxa"/>
            <w:vAlign w:val="bottom"/>
            <w:tcBorders>
              <w:bottom w:val="single" w:sz="8" w:color="DC202E"/>
            </w:tcBorders>
          </w:tcPr>
          <w:p>
            <w:pPr>
              <w:spacing w:after="0"/>
              <w:rPr>
                <w:sz w:val="21"/>
                <w:szCs w:val="21"/>
                <w:color w:val="auto"/>
              </w:rPr>
            </w:pPr>
          </w:p>
        </w:tc>
        <w:tc>
          <w:tcPr>
            <w:tcW w:w="1080" w:type="dxa"/>
            <w:vAlign w:val="bottom"/>
            <w:tcBorders>
              <w:bottom w:val="single" w:sz="8" w:color="DC202E"/>
            </w:tcBorders>
          </w:tcPr>
          <w:p>
            <w:pPr>
              <w:jc w:val="right"/>
              <w:ind w:right="45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DDDDDD"/>
            </w:tcBorders>
          </w:tcPr>
          <w:p>
            <w:pPr>
              <w:spacing w:after="0"/>
              <w:rPr>
                <w:sz w:val="21"/>
                <w:szCs w:val="21"/>
                <w:color w:val="auto"/>
              </w:rPr>
            </w:pPr>
          </w:p>
        </w:tc>
        <w:tc>
          <w:tcPr>
            <w:tcW w:w="340" w:type="dxa"/>
            <w:vAlign w:val="bottom"/>
            <w:tcBorders>
              <w:bottom w:val="single" w:sz="8" w:color="DC202E"/>
            </w:tcBorders>
          </w:tcPr>
          <w:p>
            <w:pPr>
              <w:spacing w:after="0"/>
              <w:rPr>
                <w:sz w:val="21"/>
                <w:szCs w:val="21"/>
                <w:color w:val="auto"/>
              </w:rPr>
            </w:pPr>
          </w:p>
        </w:tc>
        <w:tc>
          <w:tcPr>
            <w:tcW w:w="1080" w:type="dxa"/>
            <w:vAlign w:val="bottom"/>
            <w:tcBorders>
              <w:bottom w:val="single" w:sz="8" w:color="DC202E"/>
            </w:tcBorders>
          </w:tcPr>
          <w:p>
            <w:pPr>
              <w:jc w:val="center"/>
              <w:ind w:right="23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DDDDDD"/>
            </w:tcBorders>
          </w:tcPr>
          <w:p>
            <w:pPr>
              <w:spacing w:after="0"/>
              <w:rPr>
                <w:sz w:val="21"/>
                <w:szCs w:val="21"/>
                <w:color w:val="auto"/>
              </w:rPr>
            </w:pPr>
          </w:p>
        </w:tc>
        <w:tc>
          <w:tcPr>
            <w:tcW w:w="380" w:type="dxa"/>
            <w:vAlign w:val="bottom"/>
            <w:tcBorders>
              <w:bottom w:val="single" w:sz="8" w:color="DC202E"/>
            </w:tcBorders>
          </w:tcPr>
          <w:p>
            <w:pPr>
              <w:spacing w:after="0"/>
              <w:rPr>
                <w:sz w:val="21"/>
                <w:szCs w:val="21"/>
                <w:color w:val="auto"/>
              </w:rPr>
            </w:pPr>
          </w:p>
        </w:tc>
        <w:tc>
          <w:tcPr>
            <w:tcW w:w="1060" w:type="dxa"/>
            <w:vAlign w:val="bottom"/>
            <w:tcBorders>
              <w:bottom w:val="single" w:sz="8" w:color="DC202E"/>
            </w:tcBorders>
          </w:tcPr>
          <w:p>
            <w:pPr>
              <w:jc w:val="right"/>
              <w:ind w:right="47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9"/>
        </w:trPr>
        <w:tc>
          <w:tcPr>
            <w:tcW w:w="6720" w:type="dxa"/>
            <w:vAlign w:val="bottom"/>
            <w:shd w:val="clear" w:color="auto" w:fill="DDDDDD"/>
          </w:tcPr>
          <w:p>
            <w:pPr>
              <w:ind w:left="20"/>
              <w:spacing w:after="0"/>
              <w:rPr>
                <w:sz w:val="20"/>
                <w:szCs w:val="20"/>
                <w:color w:val="auto"/>
              </w:rPr>
            </w:pPr>
            <w:r>
              <w:rPr>
                <w:rFonts w:ascii="Arial" w:cs="Arial" w:eastAsia="Arial" w:hAnsi="Arial"/>
                <w:sz w:val="18"/>
                <w:szCs w:val="18"/>
                <w:color w:val="auto"/>
              </w:rPr>
              <w:t>Service cost</w:t>
            </w:r>
          </w:p>
        </w:tc>
        <w:tc>
          <w:tcPr>
            <w:tcW w:w="3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DDDDDD"/>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DDDDDD"/>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DDDDDD"/>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6720" w:type="dxa"/>
            <w:vAlign w:val="bottom"/>
            <w:shd w:val="clear" w:color="auto" w:fill="DDDDDD"/>
          </w:tcPr>
          <w:p>
            <w:pPr>
              <w:ind w:left="20"/>
              <w:spacing w:after="0"/>
              <w:rPr>
                <w:sz w:val="20"/>
                <w:szCs w:val="20"/>
                <w:color w:val="auto"/>
              </w:rPr>
            </w:pPr>
            <w:r>
              <w:rPr>
                <w:rFonts w:ascii="Arial" w:cs="Arial" w:eastAsia="Arial" w:hAnsi="Arial"/>
                <w:sz w:val="18"/>
                <w:szCs w:val="18"/>
                <w:color w:val="auto"/>
              </w:rPr>
              <w:t>Amortization of prior service (credit) cost</w:t>
            </w:r>
          </w:p>
        </w:tc>
        <w:tc>
          <w:tcPr>
            <w:tcW w:w="340" w:type="dxa"/>
            <w:vAlign w:val="bottom"/>
            <w:shd w:val="clear" w:color="auto" w:fill="DDDDDD"/>
          </w:tcPr>
          <w:p>
            <w:pPr>
              <w:spacing w:after="0"/>
              <w:rPr>
                <w:sz w:val="19"/>
                <w:szCs w:val="19"/>
                <w:color w:val="auto"/>
              </w:rPr>
            </w:pPr>
          </w:p>
        </w:tc>
        <w:tc>
          <w:tcPr>
            <w:tcW w:w="10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10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DDDDDD"/>
          </w:tcPr>
          <w:p>
            <w:pPr>
              <w:spacing w:after="0"/>
              <w:rPr>
                <w:sz w:val="19"/>
                <w:szCs w:val="19"/>
                <w:color w:val="auto"/>
              </w:rPr>
            </w:pPr>
          </w:p>
        </w:tc>
        <w:tc>
          <w:tcPr>
            <w:tcW w:w="380" w:type="dxa"/>
            <w:vAlign w:val="bottom"/>
            <w:shd w:val="clear" w:color="auto" w:fill="DDDDDD"/>
          </w:tcPr>
          <w:p>
            <w:pPr>
              <w:spacing w:after="0"/>
              <w:rPr>
                <w:sz w:val="19"/>
                <w:szCs w:val="19"/>
                <w:color w:val="auto"/>
              </w:rPr>
            </w:pPr>
          </w:p>
        </w:tc>
        <w:tc>
          <w:tcPr>
            <w:tcW w:w="10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9"/>
        </w:trPr>
        <w:tc>
          <w:tcPr>
            <w:tcW w:w="6720" w:type="dxa"/>
            <w:vAlign w:val="bottom"/>
          </w:tcPr>
          <w:p>
            <w:pPr>
              <w:ind w:left="20"/>
              <w:spacing w:after="0"/>
              <w:rPr>
                <w:sz w:val="20"/>
                <w:szCs w:val="20"/>
                <w:color w:val="auto"/>
              </w:rPr>
            </w:pPr>
            <w:r>
              <w:rPr>
                <w:rFonts w:ascii="Arial" w:cs="Arial" w:eastAsia="Arial" w:hAnsi="Arial"/>
                <w:sz w:val="18"/>
                <w:szCs w:val="18"/>
                <w:color w:val="auto"/>
              </w:rPr>
              <w:t>Recognition of actuarial losses</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8"/>
        </w:trPr>
        <w:tc>
          <w:tcPr>
            <w:tcW w:w="6720" w:type="dxa"/>
            <w:vAlign w:val="bottom"/>
            <w:tcBorders>
              <w:top w:val="single" w:sz="8" w:color="DDDDDD"/>
              <w:bottom w:val="single" w:sz="8" w:color="DDDDDD"/>
            </w:tcBorders>
            <w:shd w:val="clear" w:color="auto" w:fill="DDDDDD"/>
          </w:tcPr>
          <w:p>
            <w:pPr>
              <w:ind w:left="20"/>
              <w:spacing w:after="0"/>
              <w:rPr>
                <w:sz w:val="20"/>
                <w:szCs w:val="20"/>
                <w:color w:val="auto"/>
              </w:rPr>
            </w:pPr>
            <w:r>
              <w:rPr>
                <w:rFonts w:ascii="Arial" w:cs="Arial" w:eastAsia="Arial" w:hAnsi="Arial"/>
                <w:sz w:val="18"/>
                <w:szCs w:val="18"/>
                <w:color w:val="auto"/>
              </w:rPr>
              <w:t>Net periodic benefit (income) cost</w:t>
            </w:r>
          </w:p>
        </w:tc>
        <w:tc>
          <w:tcPr>
            <w:tcW w:w="340" w:type="dxa"/>
            <w:vAlign w:val="bottom"/>
            <w:tcBorders>
              <w:top w:val="single" w:sz="8" w:color="auto"/>
              <w:bottom w:val="single" w:sz="8" w:color="auto"/>
            </w:tcBorders>
            <w:shd w:val="clear" w:color="auto" w:fill="DDDDDD"/>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top w:val="single" w:sz="8" w:color="DDDDDD"/>
              <w:bottom w:val="single" w:sz="8" w:color="DDDDDD"/>
            </w:tcBorders>
            <w:shd w:val="clear" w:color="auto" w:fill="DDDDDD"/>
          </w:tcPr>
          <w:p>
            <w:pPr>
              <w:spacing w:after="0"/>
              <w:rPr>
                <w:sz w:val="21"/>
                <w:szCs w:val="21"/>
                <w:color w:val="auto"/>
              </w:rPr>
            </w:pPr>
          </w:p>
        </w:tc>
        <w:tc>
          <w:tcPr>
            <w:tcW w:w="340" w:type="dxa"/>
            <w:vAlign w:val="bottom"/>
            <w:tcBorders>
              <w:top w:val="single" w:sz="8" w:color="auto"/>
              <w:bottom w:val="single" w:sz="8" w:color="auto"/>
            </w:tcBorders>
            <w:shd w:val="clear" w:color="auto" w:fill="DDDDDD"/>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top w:val="single" w:sz="8" w:color="DDDDDD"/>
              <w:bottom w:val="single" w:sz="8" w:color="DDDDDD"/>
            </w:tcBorders>
            <w:shd w:val="clear" w:color="auto" w:fill="DDDDDD"/>
          </w:tcPr>
          <w:p>
            <w:pPr>
              <w:spacing w:after="0"/>
              <w:rPr>
                <w:sz w:val="21"/>
                <w:szCs w:val="21"/>
                <w:color w:val="auto"/>
              </w:rPr>
            </w:pPr>
          </w:p>
        </w:tc>
        <w:tc>
          <w:tcPr>
            <w:tcW w:w="380" w:type="dxa"/>
            <w:vAlign w:val="bottom"/>
            <w:tcBorders>
              <w:top w:val="single" w:sz="8" w:color="auto"/>
              <w:bottom w:val="single" w:sz="8" w:color="auto"/>
            </w:tcBorders>
            <w:shd w:val="clear" w:color="auto" w:fill="DDDDDD"/>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6720" w:type="dxa"/>
            <w:vAlign w:val="bottom"/>
            <w:tcBorders>
              <w:top w:val="single" w:sz="8" w:color="DDDDDD"/>
            </w:tcBorders>
          </w:tcPr>
          <w:p>
            <w:pPr>
              <w:spacing w:after="0" w:line="20" w:lineRule="exact"/>
              <w:rPr>
                <w:sz w:val="1"/>
                <w:szCs w:val="1"/>
                <w:color w:val="auto"/>
              </w:rPr>
            </w:pPr>
          </w:p>
        </w:tc>
        <w:tc>
          <w:tcPr>
            <w:tcW w:w="340" w:type="dxa"/>
            <w:vAlign w:val="bottom"/>
            <w:tcBorders>
              <w:top w:val="single" w:sz="8" w:color="DDDDDD"/>
              <w:bottom w:val="single" w:sz="8" w:color="auto"/>
            </w:tcBorders>
          </w:tcPr>
          <w:p>
            <w:pPr>
              <w:spacing w:after="0" w:line="20" w:lineRule="exact"/>
              <w:rPr>
                <w:sz w:val="1"/>
                <w:szCs w:val="1"/>
                <w:color w:val="auto"/>
              </w:rPr>
            </w:pPr>
          </w:p>
        </w:tc>
        <w:tc>
          <w:tcPr>
            <w:tcW w:w="1080" w:type="dxa"/>
            <w:vAlign w:val="bottom"/>
            <w:tcBorders>
              <w:top w:val="single" w:sz="8" w:color="DDDDDD"/>
              <w:bottom w:val="single" w:sz="8" w:color="auto"/>
            </w:tcBorders>
          </w:tcPr>
          <w:p>
            <w:pPr>
              <w:spacing w:after="0" w:line="20" w:lineRule="exact"/>
              <w:rPr>
                <w:sz w:val="1"/>
                <w:szCs w:val="1"/>
                <w:color w:val="auto"/>
              </w:rPr>
            </w:pPr>
          </w:p>
        </w:tc>
        <w:tc>
          <w:tcPr>
            <w:tcW w:w="120" w:type="dxa"/>
            <w:vAlign w:val="bottom"/>
            <w:tcBorders>
              <w:top w:val="single" w:sz="8" w:color="DDDDDD"/>
            </w:tcBorders>
          </w:tcPr>
          <w:p>
            <w:pPr>
              <w:spacing w:after="0" w:line="20" w:lineRule="exact"/>
              <w:rPr>
                <w:sz w:val="1"/>
                <w:szCs w:val="1"/>
                <w:color w:val="auto"/>
              </w:rPr>
            </w:pPr>
          </w:p>
        </w:tc>
        <w:tc>
          <w:tcPr>
            <w:tcW w:w="1420" w:type="dxa"/>
            <w:vAlign w:val="bottom"/>
            <w:tcBorders>
              <w:top w:val="single" w:sz="8" w:color="DDDDDD"/>
              <w:bottom w:val="single" w:sz="8" w:color="auto"/>
            </w:tcBorders>
            <w:gridSpan w:val="2"/>
          </w:tcPr>
          <w:p>
            <w:pPr>
              <w:spacing w:after="0" w:line="20" w:lineRule="exact"/>
              <w:rPr>
                <w:sz w:val="1"/>
                <w:szCs w:val="1"/>
                <w:color w:val="auto"/>
              </w:rPr>
            </w:pPr>
          </w:p>
        </w:tc>
        <w:tc>
          <w:tcPr>
            <w:tcW w:w="120" w:type="dxa"/>
            <w:vAlign w:val="bottom"/>
            <w:tcBorders>
              <w:top w:val="single" w:sz="8" w:color="DDDDDD"/>
            </w:tcBorders>
          </w:tcPr>
          <w:p>
            <w:pPr>
              <w:spacing w:after="0" w:line="20" w:lineRule="exact"/>
              <w:rPr>
                <w:sz w:val="1"/>
                <w:szCs w:val="1"/>
                <w:color w:val="auto"/>
              </w:rPr>
            </w:pPr>
          </w:p>
        </w:tc>
        <w:tc>
          <w:tcPr>
            <w:tcW w:w="380" w:type="dxa"/>
            <w:vAlign w:val="bottom"/>
            <w:tcBorders>
              <w:top w:val="single" w:sz="8" w:color="DDDDDD"/>
              <w:bottom w:val="single" w:sz="8" w:color="auto"/>
            </w:tcBorders>
          </w:tcPr>
          <w:p>
            <w:pPr>
              <w:spacing w:after="0" w:line="20" w:lineRule="exact"/>
              <w:rPr>
                <w:sz w:val="1"/>
                <w:szCs w:val="1"/>
                <w:color w:val="auto"/>
              </w:rPr>
            </w:pPr>
          </w:p>
        </w:tc>
        <w:tc>
          <w:tcPr>
            <w:tcW w:w="1060" w:type="dxa"/>
            <w:vAlign w:val="bottom"/>
            <w:tcBorders>
              <w:top w:val="single" w:sz="8" w:color="DDDDD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720" w:type="dxa"/>
            <w:vAlign w:val="bottom"/>
          </w:tcPr>
          <w:p>
            <w:pPr>
              <w:spacing w:after="0"/>
              <w:rPr>
                <w:sz w:val="24"/>
                <w:szCs w:val="24"/>
                <w:color w:val="auto"/>
              </w:rPr>
            </w:pPr>
          </w:p>
        </w:tc>
        <w:tc>
          <w:tcPr>
            <w:tcW w:w="340" w:type="dxa"/>
            <w:vAlign w:val="bottom"/>
            <w:tcBorders>
              <w:bottom w:val="single" w:sz="8" w:color="DC202E"/>
            </w:tcBorders>
          </w:tcPr>
          <w:p>
            <w:pPr>
              <w:spacing w:after="0"/>
              <w:rPr>
                <w:sz w:val="24"/>
                <w:szCs w:val="24"/>
                <w:color w:val="auto"/>
              </w:rPr>
            </w:pPr>
          </w:p>
        </w:tc>
        <w:tc>
          <w:tcPr>
            <w:tcW w:w="3120" w:type="dxa"/>
            <w:vAlign w:val="bottom"/>
            <w:tcBorders>
              <w:bottom w:val="single" w:sz="8" w:color="DC202E"/>
            </w:tcBorders>
            <w:gridSpan w:val="6"/>
          </w:tcPr>
          <w:p>
            <w:pPr>
              <w:spacing w:after="0"/>
              <w:rPr>
                <w:sz w:val="24"/>
                <w:szCs w:val="24"/>
                <w:color w:val="auto"/>
              </w:rPr>
            </w:pPr>
          </w:p>
        </w:tc>
        <w:tc>
          <w:tcPr>
            <w:tcW w:w="1060" w:type="dxa"/>
            <w:vAlign w:val="bottom"/>
            <w:tcBorders>
              <w:bottom w:val="single" w:sz="8" w:color="DC202E"/>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720" w:type="dxa"/>
            <w:vAlign w:val="bottom"/>
          </w:tcPr>
          <w:p>
            <w:pPr>
              <w:spacing w:after="0"/>
              <w:rPr>
                <w:sz w:val="17"/>
                <w:szCs w:val="17"/>
                <w:color w:val="auto"/>
              </w:rPr>
            </w:pPr>
          </w:p>
        </w:tc>
        <w:tc>
          <w:tcPr>
            <w:tcW w:w="340" w:type="dxa"/>
            <w:vAlign w:val="bottom"/>
            <w:tcBorders>
              <w:bottom w:val="single" w:sz="8" w:color="DC202E"/>
            </w:tcBorders>
          </w:tcPr>
          <w:p>
            <w:pPr>
              <w:spacing w:after="0"/>
              <w:rPr>
                <w:sz w:val="17"/>
                <w:szCs w:val="17"/>
                <w:color w:val="auto"/>
              </w:rPr>
            </w:pPr>
          </w:p>
        </w:tc>
        <w:tc>
          <w:tcPr>
            <w:tcW w:w="3120" w:type="dxa"/>
            <w:vAlign w:val="bottom"/>
            <w:tcBorders>
              <w:bottom w:val="single" w:sz="8" w:color="DC202E"/>
            </w:tcBorders>
            <w:gridSpan w:val="6"/>
          </w:tcPr>
          <w:p>
            <w:pPr>
              <w:jc w:val="center"/>
              <w:ind w:left="636"/>
              <w:spacing w:after="0"/>
              <w:rPr>
                <w:sz w:val="20"/>
                <w:szCs w:val="20"/>
                <w:color w:val="auto"/>
              </w:rPr>
            </w:pPr>
            <w:r>
              <w:rPr>
                <w:rFonts w:ascii="Arial" w:cs="Arial" w:eastAsia="Arial" w:hAnsi="Arial"/>
                <w:sz w:val="14"/>
                <w:szCs w:val="14"/>
                <w:b w:val="1"/>
                <w:bCs w:val="1"/>
                <w:color w:val="auto"/>
              </w:rPr>
              <w:t>Years Ended December 31,</w:t>
            </w:r>
          </w:p>
        </w:tc>
        <w:tc>
          <w:tcPr>
            <w:tcW w:w="1060" w:type="dxa"/>
            <w:vAlign w:val="bottom"/>
            <w:tcBorders>
              <w:bottom w:val="single" w:sz="8" w:color="DC202E"/>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6720" w:type="dxa"/>
            <w:vAlign w:val="bottom"/>
          </w:tcPr>
          <w:p>
            <w:pPr>
              <w:ind w:left="20"/>
              <w:spacing w:after="0"/>
              <w:rPr>
                <w:sz w:val="20"/>
                <w:szCs w:val="20"/>
                <w:color w:val="auto"/>
              </w:rPr>
            </w:pPr>
            <w:r>
              <w:rPr>
                <w:rFonts w:ascii="Arial" w:cs="Arial" w:eastAsia="Arial" w:hAnsi="Arial"/>
                <w:sz w:val="14"/>
                <w:szCs w:val="14"/>
                <w:b w:val="1"/>
                <w:bCs w:val="1"/>
                <w:color w:val="auto"/>
              </w:rPr>
              <w:t>Other Changes in Plan Assets and Benefits Obligations</w:t>
            </w:r>
          </w:p>
        </w:tc>
        <w:tc>
          <w:tcPr>
            <w:tcW w:w="340" w:type="dxa"/>
            <w:vAlign w:val="bottom"/>
          </w:tcPr>
          <w:p>
            <w:pPr>
              <w:spacing w:after="0"/>
              <w:rPr>
                <w:sz w:val="15"/>
                <w:szCs w:val="15"/>
                <w:color w:val="auto"/>
              </w:rPr>
            </w:pPr>
          </w:p>
        </w:tc>
        <w:tc>
          <w:tcPr>
            <w:tcW w:w="1080" w:type="dxa"/>
            <w:vAlign w:val="bottom"/>
            <w:vMerge w:val="restart"/>
          </w:tcPr>
          <w:p>
            <w:pPr>
              <w:jc w:val="right"/>
              <w:ind w:right="456"/>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vMerge w:val="restart"/>
          </w:tcPr>
          <w:p>
            <w:pPr>
              <w:jc w:val="center"/>
              <w:ind w:right="23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vMerge w:val="restart"/>
          </w:tcPr>
          <w:p>
            <w:pPr>
              <w:jc w:val="right"/>
              <w:ind w:right="47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83"/>
        </w:trPr>
        <w:tc>
          <w:tcPr>
            <w:tcW w:w="6720" w:type="dxa"/>
            <w:vAlign w:val="bottom"/>
            <w:tcBorders>
              <w:bottom w:val="single" w:sz="8" w:color="DC202E"/>
            </w:tcBorders>
          </w:tcPr>
          <w:p>
            <w:pPr>
              <w:ind w:left="20"/>
              <w:spacing w:after="0"/>
              <w:rPr>
                <w:sz w:val="20"/>
                <w:szCs w:val="20"/>
                <w:color w:val="auto"/>
              </w:rPr>
            </w:pPr>
            <w:r>
              <w:rPr>
                <w:rFonts w:ascii="Arial" w:cs="Arial" w:eastAsia="Arial" w:hAnsi="Arial"/>
                <w:sz w:val="14"/>
                <w:szCs w:val="14"/>
                <w:b w:val="1"/>
                <w:bCs w:val="1"/>
                <w:color w:val="auto"/>
              </w:rPr>
              <w:t>Recognized in Other Comprehensive (Income) Loss</w:t>
            </w:r>
          </w:p>
        </w:tc>
        <w:tc>
          <w:tcPr>
            <w:tcW w:w="340" w:type="dxa"/>
            <w:vAlign w:val="bottom"/>
            <w:tcBorders>
              <w:bottom w:val="single" w:sz="8" w:color="DC202E"/>
            </w:tcBorders>
          </w:tcPr>
          <w:p>
            <w:pPr>
              <w:spacing w:after="0"/>
              <w:rPr>
                <w:sz w:val="15"/>
                <w:szCs w:val="15"/>
                <w:color w:val="auto"/>
              </w:rPr>
            </w:pPr>
          </w:p>
        </w:tc>
        <w:tc>
          <w:tcPr>
            <w:tcW w:w="1080" w:type="dxa"/>
            <w:vAlign w:val="bottom"/>
            <w:tcBorders>
              <w:bottom w:val="single" w:sz="8" w:color="DC202E"/>
            </w:tcBorders>
            <w:vMerge w:val="continue"/>
          </w:tcPr>
          <w:p>
            <w:pPr>
              <w:spacing w:after="0"/>
              <w:rPr>
                <w:sz w:val="15"/>
                <w:szCs w:val="15"/>
                <w:color w:val="auto"/>
              </w:rPr>
            </w:pPr>
          </w:p>
        </w:tc>
        <w:tc>
          <w:tcPr>
            <w:tcW w:w="120" w:type="dxa"/>
            <w:vAlign w:val="bottom"/>
            <w:tcBorders>
              <w:bottom w:val="single" w:sz="8" w:color="DDDDDD"/>
            </w:tcBorders>
          </w:tcPr>
          <w:p>
            <w:pPr>
              <w:spacing w:after="0"/>
              <w:rPr>
                <w:sz w:val="15"/>
                <w:szCs w:val="15"/>
                <w:color w:val="auto"/>
              </w:rPr>
            </w:pPr>
          </w:p>
        </w:tc>
        <w:tc>
          <w:tcPr>
            <w:tcW w:w="340" w:type="dxa"/>
            <w:vAlign w:val="bottom"/>
            <w:tcBorders>
              <w:bottom w:val="single" w:sz="8" w:color="DC202E"/>
            </w:tcBorders>
          </w:tcPr>
          <w:p>
            <w:pPr>
              <w:spacing w:after="0"/>
              <w:rPr>
                <w:sz w:val="15"/>
                <w:szCs w:val="15"/>
                <w:color w:val="auto"/>
              </w:rPr>
            </w:pPr>
          </w:p>
        </w:tc>
        <w:tc>
          <w:tcPr>
            <w:tcW w:w="1080" w:type="dxa"/>
            <w:vAlign w:val="bottom"/>
            <w:tcBorders>
              <w:bottom w:val="single" w:sz="8" w:color="DC202E"/>
            </w:tcBorders>
            <w:vMerge w:val="continue"/>
          </w:tcPr>
          <w:p>
            <w:pPr>
              <w:spacing w:after="0"/>
              <w:rPr>
                <w:sz w:val="15"/>
                <w:szCs w:val="15"/>
                <w:color w:val="auto"/>
              </w:rPr>
            </w:pPr>
          </w:p>
        </w:tc>
        <w:tc>
          <w:tcPr>
            <w:tcW w:w="120" w:type="dxa"/>
            <w:vAlign w:val="bottom"/>
            <w:tcBorders>
              <w:bottom w:val="single" w:sz="8" w:color="DDDDDD"/>
            </w:tcBorders>
          </w:tcPr>
          <w:p>
            <w:pPr>
              <w:spacing w:after="0"/>
              <w:rPr>
                <w:sz w:val="15"/>
                <w:szCs w:val="15"/>
                <w:color w:val="auto"/>
              </w:rPr>
            </w:pPr>
          </w:p>
        </w:tc>
        <w:tc>
          <w:tcPr>
            <w:tcW w:w="380" w:type="dxa"/>
            <w:vAlign w:val="bottom"/>
            <w:tcBorders>
              <w:bottom w:val="single" w:sz="8" w:color="DC202E"/>
            </w:tcBorders>
          </w:tcPr>
          <w:p>
            <w:pPr>
              <w:spacing w:after="0"/>
              <w:rPr>
                <w:sz w:val="15"/>
                <w:szCs w:val="15"/>
                <w:color w:val="auto"/>
              </w:rPr>
            </w:pPr>
          </w:p>
        </w:tc>
        <w:tc>
          <w:tcPr>
            <w:tcW w:w="1060" w:type="dxa"/>
            <w:vAlign w:val="bottom"/>
            <w:tcBorders>
              <w:bottom w:val="single" w:sz="8" w:color="DC202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DDDDDD"/>
          </w:tcPr>
          <w:p>
            <w:pPr>
              <w:ind w:left="20"/>
              <w:spacing w:after="0"/>
              <w:rPr>
                <w:sz w:val="20"/>
                <w:szCs w:val="20"/>
                <w:color w:val="auto"/>
              </w:rPr>
            </w:pPr>
            <w:r>
              <w:rPr>
                <w:rFonts w:ascii="Arial" w:cs="Arial" w:eastAsia="Arial" w:hAnsi="Arial"/>
                <w:sz w:val="18"/>
                <w:szCs w:val="18"/>
                <w:color w:val="auto"/>
              </w:rPr>
              <w:t>Actuarial (gains) losses</w:t>
            </w:r>
          </w:p>
        </w:tc>
        <w:tc>
          <w:tcPr>
            <w:tcW w:w="3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DDDDDD"/>
          </w:tcPr>
          <w:p>
            <w:pPr>
              <w:spacing w:after="0"/>
              <w:rPr>
                <w:sz w:val="19"/>
                <w:szCs w:val="19"/>
                <w:color w:val="auto"/>
              </w:rPr>
            </w:pPr>
          </w:p>
        </w:tc>
        <w:tc>
          <w:tcPr>
            <w:tcW w:w="3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DDDDDD"/>
          </w:tcPr>
          <w:p>
            <w:pPr>
              <w:spacing w:after="0"/>
              <w:rPr>
                <w:sz w:val="19"/>
                <w:szCs w:val="19"/>
                <w:color w:val="auto"/>
              </w:rPr>
            </w:pPr>
          </w:p>
        </w:tc>
        <w:tc>
          <w:tcPr>
            <w:tcW w:w="380" w:type="dxa"/>
            <w:vAlign w:val="bottom"/>
            <w:shd w:val="clear" w:color="auto" w:fill="DDDDDD"/>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29"/>
        </w:trPr>
        <w:tc>
          <w:tcPr>
            <w:tcW w:w="6720" w:type="dxa"/>
            <w:vAlign w:val="bottom"/>
          </w:tcPr>
          <w:p>
            <w:pPr>
              <w:ind w:left="20"/>
              <w:spacing w:after="0"/>
              <w:rPr>
                <w:sz w:val="20"/>
                <w:szCs w:val="20"/>
                <w:color w:val="auto"/>
              </w:rPr>
            </w:pPr>
            <w:r>
              <w:rPr>
                <w:rFonts w:ascii="Arial" w:cs="Arial" w:eastAsia="Arial" w:hAnsi="Arial"/>
                <w:sz w:val="18"/>
                <w:szCs w:val="18"/>
                <w:color w:val="auto"/>
              </w:rPr>
              <w:t>Prior service (credit) cost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9"/>
        </w:trPr>
        <w:tc>
          <w:tcPr>
            <w:tcW w:w="6720" w:type="dxa"/>
            <w:vAlign w:val="bottom"/>
            <w:shd w:val="clear" w:color="auto" w:fill="DDDDDD"/>
          </w:tcPr>
          <w:p>
            <w:pPr>
              <w:ind w:left="20"/>
              <w:spacing w:after="0"/>
              <w:rPr>
                <w:sz w:val="20"/>
                <w:szCs w:val="20"/>
                <w:color w:val="auto"/>
              </w:rPr>
            </w:pPr>
            <w:r>
              <w:rPr>
                <w:rFonts w:ascii="Arial" w:cs="Arial" w:eastAsia="Arial" w:hAnsi="Arial"/>
                <w:sz w:val="18"/>
                <w:szCs w:val="18"/>
                <w:color w:val="auto"/>
              </w:rPr>
              <w:t>Prior service credit recognized during year</w:t>
            </w:r>
          </w:p>
        </w:tc>
        <w:tc>
          <w:tcPr>
            <w:tcW w:w="340" w:type="dxa"/>
            <w:vAlign w:val="bottom"/>
            <w:shd w:val="clear" w:color="auto" w:fill="DDDDDD"/>
          </w:tcPr>
          <w:p>
            <w:pPr>
              <w:spacing w:after="0"/>
              <w:rPr>
                <w:sz w:val="19"/>
                <w:szCs w:val="19"/>
                <w:color w:val="auto"/>
              </w:rPr>
            </w:pPr>
          </w:p>
        </w:tc>
        <w:tc>
          <w:tcPr>
            <w:tcW w:w="10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10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DDDDDD"/>
          </w:tcPr>
          <w:p>
            <w:pPr>
              <w:spacing w:after="0"/>
              <w:rPr>
                <w:sz w:val="19"/>
                <w:szCs w:val="19"/>
                <w:color w:val="auto"/>
              </w:rPr>
            </w:pPr>
          </w:p>
        </w:tc>
        <w:tc>
          <w:tcPr>
            <w:tcW w:w="380" w:type="dxa"/>
            <w:vAlign w:val="bottom"/>
            <w:shd w:val="clear" w:color="auto" w:fill="DDDDDD"/>
          </w:tcPr>
          <w:p>
            <w:pPr>
              <w:spacing w:after="0"/>
              <w:rPr>
                <w:sz w:val="19"/>
                <w:szCs w:val="19"/>
                <w:color w:val="auto"/>
              </w:rPr>
            </w:pPr>
          </w:p>
        </w:tc>
        <w:tc>
          <w:tcPr>
            <w:tcW w:w="10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Actuarial losses recognized during year</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8"/>
        </w:trPr>
        <w:tc>
          <w:tcPr>
            <w:tcW w:w="6720" w:type="dxa"/>
            <w:vAlign w:val="bottom"/>
            <w:tcBorders>
              <w:top w:val="single" w:sz="8" w:color="DDDDDD"/>
              <w:bottom w:val="single" w:sz="8" w:color="DDDDDD"/>
            </w:tcBorders>
            <w:shd w:val="clear" w:color="auto" w:fill="DDDDDD"/>
          </w:tcPr>
          <w:p>
            <w:pPr>
              <w:ind w:left="360"/>
              <w:spacing w:after="0"/>
              <w:rPr>
                <w:sz w:val="20"/>
                <w:szCs w:val="20"/>
                <w:color w:val="auto"/>
              </w:rPr>
            </w:pPr>
            <w:r>
              <w:rPr>
                <w:rFonts w:ascii="Arial" w:cs="Arial" w:eastAsia="Arial" w:hAnsi="Arial"/>
                <w:sz w:val="18"/>
                <w:szCs w:val="18"/>
                <w:color w:val="auto"/>
              </w:rPr>
              <w:t>Total recognized in other comprehensive (income) loss</w:t>
            </w:r>
          </w:p>
        </w:tc>
        <w:tc>
          <w:tcPr>
            <w:tcW w:w="340" w:type="dxa"/>
            <w:vAlign w:val="bottom"/>
            <w:tcBorders>
              <w:top w:val="single" w:sz="8" w:color="auto"/>
              <w:bottom w:val="single" w:sz="8" w:color="auto"/>
            </w:tcBorders>
            <w:shd w:val="clear" w:color="auto" w:fill="DDDDDD"/>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top w:val="single" w:sz="8" w:color="DDDDDD"/>
              <w:bottom w:val="single" w:sz="8" w:color="DDDDDD"/>
            </w:tcBorders>
            <w:shd w:val="clear" w:color="auto" w:fill="DDDDDD"/>
          </w:tcPr>
          <w:p>
            <w:pPr>
              <w:spacing w:after="0"/>
              <w:rPr>
                <w:sz w:val="21"/>
                <w:szCs w:val="21"/>
                <w:color w:val="auto"/>
              </w:rPr>
            </w:pPr>
          </w:p>
        </w:tc>
        <w:tc>
          <w:tcPr>
            <w:tcW w:w="340" w:type="dxa"/>
            <w:vAlign w:val="bottom"/>
            <w:tcBorders>
              <w:top w:val="single" w:sz="8" w:color="auto"/>
              <w:bottom w:val="single" w:sz="8" w:color="auto"/>
            </w:tcBorders>
            <w:shd w:val="clear" w:color="auto" w:fill="DDDDDD"/>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top w:val="single" w:sz="8" w:color="DDDDDD"/>
              <w:bottom w:val="single" w:sz="8" w:color="DDDDDD"/>
            </w:tcBorders>
            <w:shd w:val="clear" w:color="auto" w:fill="DDDDDD"/>
          </w:tcPr>
          <w:p>
            <w:pPr>
              <w:spacing w:after="0"/>
              <w:rPr>
                <w:sz w:val="21"/>
                <w:szCs w:val="21"/>
                <w:color w:val="auto"/>
              </w:rPr>
            </w:pPr>
          </w:p>
        </w:tc>
        <w:tc>
          <w:tcPr>
            <w:tcW w:w="380" w:type="dxa"/>
            <w:vAlign w:val="bottom"/>
            <w:tcBorders>
              <w:top w:val="single" w:sz="8" w:color="auto"/>
              <w:bottom w:val="single" w:sz="8" w:color="auto"/>
            </w:tcBorders>
            <w:shd w:val="clear" w:color="auto" w:fill="DDDDDD"/>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
        </w:trPr>
        <w:tc>
          <w:tcPr>
            <w:tcW w:w="6720" w:type="dxa"/>
            <w:vAlign w:val="bottom"/>
            <w:tcBorders>
              <w:top w:val="single" w:sz="8" w:color="DDDDDD"/>
              <w:bottom w:val="single" w:sz="8" w:color="DDDDDD"/>
            </w:tcBorders>
            <w:vMerge w:val="restart"/>
          </w:tcPr>
          <w:p>
            <w:pPr>
              <w:ind w:left="360"/>
              <w:spacing w:after="0" w:line="176" w:lineRule="exact"/>
              <w:rPr>
                <w:sz w:val="20"/>
                <w:szCs w:val="20"/>
                <w:color w:val="auto"/>
              </w:rPr>
            </w:pPr>
            <w:r>
              <w:rPr>
                <w:rFonts w:ascii="Arial" w:cs="Arial" w:eastAsia="Arial" w:hAnsi="Arial"/>
                <w:sz w:val="18"/>
                <w:szCs w:val="18"/>
                <w:color w:val="auto"/>
              </w:rPr>
              <w:t>Total recognized in net periodic benefit (income) cost and other comprehensive</w:t>
            </w:r>
          </w:p>
        </w:tc>
        <w:tc>
          <w:tcPr>
            <w:tcW w:w="340" w:type="dxa"/>
            <w:vAlign w:val="bottom"/>
            <w:tcBorders>
              <w:top w:val="single" w:sz="8" w:color="DDDDDD"/>
              <w:bottom w:val="single" w:sz="8" w:color="auto"/>
            </w:tcBorders>
          </w:tcPr>
          <w:p>
            <w:pPr>
              <w:spacing w:after="0" w:line="20" w:lineRule="exact"/>
              <w:rPr>
                <w:sz w:val="1"/>
                <w:szCs w:val="1"/>
                <w:color w:val="auto"/>
              </w:rPr>
            </w:pPr>
          </w:p>
        </w:tc>
        <w:tc>
          <w:tcPr>
            <w:tcW w:w="1080" w:type="dxa"/>
            <w:vAlign w:val="bottom"/>
            <w:tcBorders>
              <w:top w:val="single" w:sz="8" w:color="DDDDDD"/>
              <w:bottom w:val="single" w:sz="8" w:color="auto"/>
            </w:tcBorders>
          </w:tcPr>
          <w:p>
            <w:pPr>
              <w:spacing w:after="0" w:line="20" w:lineRule="exact"/>
              <w:rPr>
                <w:sz w:val="1"/>
                <w:szCs w:val="1"/>
                <w:color w:val="auto"/>
              </w:rPr>
            </w:pPr>
          </w:p>
        </w:tc>
        <w:tc>
          <w:tcPr>
            <w:tcW w:w="120" w:type="dxa"/>
            <w:vAlign w:val="bottom"/>
            <w:tcBorders>
              <w:top w:val="single" w:sz="8" w:color="DDDDDD"/>
            </w:tcBorders>
          </w:tcPr>
          <w:p>
            <w:pPr>
              <w:spacing w:after="0" w:line="20" w:lineRule="exact"/>
              <w:rPr>
                <w:sz w:val="1"/>
                <w:szCs w:val="1"/>
                <w:color w:val="auto"/>
              </w:rPr>
            </w:pPr>
          </w:p>
        </w:tc>
        <w:tc>
          <w:tcPr>
            <w:tcW w:w="340" w:type="dxa"/>
            <w:vAlign w:val="bottom"/>
            <w:tcBorders>
              <w:top w:val="single" w:sz="8" w:color="DDDDDD"/>
              <w:bottom w:val="single" w:sz="8" w:color="auto"/>
            </w:tcBorders>
          </w:tcPr>
          <w:p>
            <w:pPr>
              <w:spacing w:after="0" w:line="20" w:lineRule="exact"/>
              <w:rPr>
                <w:sz w:val="1"/>
                <w:szCs w:val="1"/>
                <w:color w:val="auto"/>
              </w:rPr>
            </w:pPr>
          </w:p>
        </w:tc>
        <w:tc>
          <w:tcPr>
            <w:tcW w:w="1080" w:type="dxa"/>
            <w:vAlign w:val="bottom"/>
            <w:tcBorders>
              <w:top w:val="single" w:sz="8" w:color="DDDDDD"/>
              <w:bottom w:val="single" w:sz="8" w:color="auto"/>
            </w:tcBorders>
          </w:tcPr>
          <w:p>
            <w:pPr>
              <w:spacing w:after="0" w:line="20" w:lineRule="exact"/>
              <w:rPr>
                <w:sz w:val="1"/>
                <w:szCs w:val="1"/>
                <w:color w:val="auto"/>
              </w:rPr>
            </w:pPr>
          </w:p>
        </w:tc>
        <w:tc>
          <w:tcPr>
            <w:tcW w:w="120" w:type="dxa"/>
            <w:vAlign w:val="bottom"/>
            <w:tcBorders>
              <w:top w:val="single" w:sz="8" w:color="DDDDDD"/>
            </w:tcBorders>
          </w:tcPr>
          <w:p>
            <w:pPr>
              <w:spacing w:after="0" w:line="20" w:lineRule="exact"/>
              <w:rPr>
                <w:sz w:val="1"/>
                <w:szCs w:val="1"/>
                <w:color w:val="auto"/>
              </w:rPr>
            </w:pPr>
          </w:p>
        </w:tc>
        <w:tc>
          <w:tcPr>
            <w:tcW w:w="380" w:type="dxa"/>
            <w:vAlign w:val="bottom"/>
            <w:tcBorders>
              <w:top w:val="single" w:sz="8" w:color="DDDDDD"/>
              <w:bottom w:val="single" w:sz="8" w:color="auto"/>
            </w:tcBorders>
          </w:tcPr>
          <w:p>
            <w:pPr>
              <w:spacing w:after="0" w:line="20" w:lineRule="exact"/>
              <w:rPr>
                <w:sz w:val="1"/>
                <w:szCs w:val="1"/>
                <w:color w:val="auto"/>
              </w:rPr>
            </w:pPr>
          </w:p>
        </w:tc>
        <w:tc>
          <w:tcPr>
            <w:tcW w:w="1060" w:type="dxa"/>
            <w:vAlign w:val="bottom"/>
            <w:tcBorders>
              <w:top w:val="single" w:sz="8" w:color="DDDDD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6720" w:type="dxa"/>
            <w:vAlign w:val="bottom"/>
            <w:vMerge w:val="continue"/>
          </w:tcPr>
          <w:p>
            <w:pPr>
              <w:spacing w:after="0"/>
              <w:rPr>
                <w:sz w:val="11"/>
                <w:szCs w:val="11"/>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1"/>
                <w:szCs w:val="11"/>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1"/>
                <w:szCs w:val="11"/>
                <w:color w:val="auto"/>
              </w:rPr>
            </w:pP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195"/>
        </w:trPr>
        <w:tc>
          <w:tcPr>
            <w:tcW w:w="6720" w:type="dxa"/>
            <w:vAlign w:val="bottom"/>
          </w:tcPr>
          <w:p>
            <w:pPr>
              <w:ind w:left="360"/>
              <w:spacing w:after="0" w:line="190" w:lineRule="exact"/>
              <w:rPr>
                <w:sz w:val="20"/>
                <w:szCs w:val="20"/>
                <w:color w:val="auto"/>
              </w:rPr>
            </w:pPr>
            <w:r>
              <w:rPr>
                <w:rFonts w:ascii="Arial" w:cs="Arial" w:eastAsia="Arial" w:hAnsi="Arial"/>
                <w:sz w:val="18"/>
                <w:szCs w:val="18"/>
                <w:color w:val="auto"/>
              </w:rPr>
              <w:t>(income) loss</w:t>
            </w:r>
          </w:p>
        </w:tc>
        <w:tc>
          <w:tcPr>
            <w:tcW w:w="34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vMerge w:val="continue"/>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6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98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5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Major actuarial assumptions used in determining the benefit obligations and net periodic benefit (income) cost for our significant benefit plans are presented in the following table as weighted averages.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080" w:type="dxa"/>
            <w:vAlign w:val="bottom"/>
          </w:tcPr>
          <w:p>
            <w:pPr>
              <w:spacing w:after="0"/>
              <w:rPr>
                <w:sz w:val="17"/>
                <w:szCs w:val="17"/>
                <w:color w:val="auto"/>
              </w:rPr>
            </w:pPr>
          </w:p>
        </w:tc>
        <w:tc>
          <w:tcPr>
            <w:tcW w:w="1280" w:type="dxa"/>
            <w:vAlign w:val="bottom"/>
            <w:tcBorders>
              <w:bottom w:val="single" w:sz="8" w:color="DC202E"/>
            </w:tcBorders>
          </w:tcPr>
          <w:p>
            <w:pPr>
              <w:spacing w:after="0"/>
              <w:rPr>
                <w:sz w:val="17"/>
                <w:szCs w:val="17"/>
                <w:color w:val="auto"/>
              </w:rPr>
            </w:pPr>
          </w:p>
        </w:tc>
        <w:tc>
          <w:tcPr>
            <w:tcW w:w="100" w:type="dxa"/>
            <w:vAlign w:val="bottom"/>
            <w:tcBorders>
              <w:bottom w:val="single" w:sz="8" w:color="DC202E"/>
            </w:tcBorders>
          </w:tcPr>
          <w:p>
            <w:pPr>
              <w:spacing w:after="0"/>
              <w:rPr>
                <w:sz w:val="17"/>
                <w:szCs w:val="17"/>
                <w:color w:val="auto"/>
              </w:rPr>
            </w:pPr>
          </w:p>
        </w:tc>
        <w:tc>
          <w:tcPr>
            <w:tcW w:w="1280" w:type="dxa"/>
            <w:vAlign w:val="bottom"/>
            <w:tcBorders>
              <w:bottom w:val="single" w:sz="8" w:color="DC202E"/>
            </w:tcBorders>
          </w:tcPr>
          <w:p>
            <w:pPr>
              <w:spacing w:after="0"/>
              <w:rPr>
                <w:sz w:val="17"/>
                <w:szCs w:val="17"/>
                <w:color w:val="auto"/>
              </w:rPr>
            </w:pPr>
          </w:p>
        </w:tc>
        <w:tc>
          <w:tcPr>
            <w:tcW w:w="100" w:type="dxa"/>
            <w:vAlign w:val="bottom"/>
            <w:tcBorders>
              <w:bottom w:val="single" w:sz="8" w:color="DC202E"/>
            </w:tcBorders>
          </w:tcPr>
          <w:p>
            <w:pPr>
              <w:spacing w:after="0"/>
              <w:rPr>
                <w:sz w:val="17"/>
                <w:szCs w:val="17"/>
                <w:color w:val="auto"/>
              </w:rPr>
            </w:pPr>
          </w:p>
        </w:tc>
        <w:tc>
          <w:tcPr>
            <w:tcW w:w="560" w:type="dxa"/>
            <w:vAlign w:val="bottom"/>
            <w:tcBorders>
              <w:bottom w:val="single" w:sz="8" w:color="DC202E"/>
            </w:tcBorders>
          </w:tcPr>
          <w:p>
            <w:pPr>
              <w:spacing w:after="0"/>
              <w:rPr>
                <w:sz w:val="17"/>
                <w:szCs w:val="17"/>
                <w:color w:val="auto"/>
              </w:rPr>
            </w:pPr>
          </w:p>
        </w:tc>
        <w:tc>
          <w:tcPr>
            <w:tcW w:w="2200" w:type="dxa"/>
            <w:vAlign w:val="bottom"/>
            <w:tcBorders>
              <w:bottom w:val="single" w:sz="8" w:color="DC202E"/>
            </w:tcBorders>
            <w:gridSpan w:val="4"/>
          </w:tcPr>
          <w:p>
            <w:pPr>
              <w:ind w:left="180"/>
              <w:spacing w:after="0"/>
              <w:rPr>
                <w:sz w:val="20"/>
                <w:szCs w:val="20"/>
                <w:color w:val="auto"/>
              </w:rPr>
            </w:pPr>
            <w:r>
              <w:rPr>
                <w:rFonts w:ascii="Arial" w:cs="Arial" w:eastAsia="Arial" w:hAnsi="Arial"/>
                <w:sz w:val="14"/>
                <w:szCs w:val="14"/>
                <w:b w:val="1"/>
                <w:bCs w:val="1"/>
                <w:color w:val="auto"/>
              </w:rPr>
              <w:t>Pension Benefits</w:t>
            </w:r>
          </w:p>
        </w:tc>
        <w:tc>
          <w:tcPr>
            <w:tcW w:w="1260" w:type="dxa"/>
            <w:vAlign w:val="bottom"/>
            <w:tcBorders>
              <w:bottom w:val="single" w:sz="8" w:color="DC202E"/>
            </w:tcBorders>
          </w:tcPr>
          <w:p>
            <w:pPr>
              <w:spacing w:after="0"/>
              <w:rPr>
                <w:sz w:val="17"/>
                <w:szCs w:val="17"/>
                <w:color w:val="auto"/>
              </w:rPr>
            </w:pPr>
          </w:p>
        </w:tc>
        <w:tc>
          <w:tcPr>
            <w:tcW w:w="120" w:type="dxa"/>
            <w:vAlign w:val="bottom"/>
            <w:tcBorders>
              <w:bottom w:val="single" w:sz="8" w:color="DC202E"/>
            </w:tcBorders>
          </w:tcPr>
          <w:p>
            <w:pPr>
              <w:spacing w:after="0"/>
              <w:rPr>
                <w:sz w:val="17"/>
                <w:szCs w:val="17"/>
                <w:color w:val="auto"/>
              </w:rPr>
            </w:pPr>
          </w:p>
        </w:tc>
        <w:tc>
          <w:tcPr>
            <w:tcW w:w="1260" w:type="dxa"/>
            <w:vAlign w:val="bottom"/>
            <w:tcBorders>
              <w:bottom w:val="single" w:sz="8" w:color="DC202E"/>
            </w:tcBorders>
          </w:tcPr>
          <w:p>
            <w:pPr>
              <w:spacing w:after="0"/>
              <w:rPr>
                <w:sz w:val="17"/>
                <w:szCs w:val="17"/>
                <w:color w:val="auto"/>
              </w:rPr>
            </w:pPr>
          </w:p>
        </w:tc>
      </w:tr>
      <w:tr>
        <w:trPr>
          <w:trHeight w:val="196"/>
        </w:trPr>
        <w:tc>
          <w:tcPr>
            <w:tcW w:w="3080" w:type="dxa"/>
            <w:vAlign w:val="bottom"/>
          </w:tcPr>
          <w:p>
            <w:pPr>
              <w:spacing w:after="0"/>
              <w:rPr>
                <w:sz w:val="17"/>
                <w:szCs w:val="17"/>
                <w:color w:val="auto"/>
              </w:rPr>
            </w:pPr>
          </w:p>
        </w:tc>
        <w:tc>
          <w:tcPr>
            <w:tcW w:w="1280" w:type="dxa"/>
            <w:vAlign w:val="bottom"/>
            <w:tcBorders>
              <w:bottom w:val="single" w:sz="8" w:color="DC202E"/>
            </w:tcBorders>
          </w:tcPr>
          <w:p>
            <w:pPr>
              <w:spacing w:after="0"/>
              <w:rPr>
                <w:sz w:val="17"/>
                <w:szCs w:val="17"/>
                <w:color w:val="auto"/>
              </w:rPr>
            </w:pPr>
          </w:p>
        </w:tc>
        <w:tc>
          <w:tcPr>
            <w:tcW w:w="100" w:type="dxa"/>
            <w:vAlign w:val="bottom"/>
            <w:tcBorders>
              <w:bottom w:val="single" w:sz="8" w:color="DC202E"/>
            </w:tcBorders>
          </w:tcPr>
          <w:p>
            <w:pPr>
              <w:spacing w:after="0"/>
              <w:rPr>
                <w:sz w:val="17"/>
                <w:szCs w:val="17"/>
                <w:color w:val="auto"/>
              </w:rPr>
            </w:pPr>
          </w:p>
        </w:tc>
        <w:tc>
          <w:tcPr>
            <w:tcW w:w="1380" w:type="dxa"/>
            <w:vAlign w:val="bottom"/>
            <w:tcBorders>
              <w:bottom w:val="single" w:sz="8" w:color="DC202E"/>
            </w:tcBorders>
            <w:gridSpan w:val="2"/>
          </w:tcPr>
          <w:p>
            <w:pPr>
              <w:ind w:left="280"/>
              <w:spacing w:after="0"/>
              <w:rPr>
                <w:sz w:val="20"/>
                <w:szCs w:val="20"/>
                <w:color w:val="auto"/>
              </w:rPr>
            </w:pPr>
            <w:r>
              <w:rPr>
                <w:rFonts w:ascii="Arial" w:cs="Arial" w:eastAsia="Arial" w:hAnsi="Arial"/>
                <w:sz w:val="14"/>
                <w:szCs w:val="14"/>
                <w:b w:val="1"/>
                <w:bCs w:val="1"/>
                <w:color w:val="auto"/>
              </w:rPr>
              <w:t>U.S. Plans</w:t>
            </w:r>
          </w:p>
        </w:tc>
        <w:tc>
          <w:tcPr>
            <w:tcW w:w="560" w:type="dxa"/>
            <w:vAlign w:val="bottom"/>
            <w:tcBorders>
              <w:bottom w:val="single" w:sz="8" w:color="DC202E"/>
            </w:tcBorders>
          </w:tcPr>
          <w:p>
            <w:pPr>
              <w:spacing w:after="0"/>
              <w:rPr>
                <w:sz w:val="17"/>
                <w:szCs w:val="17"/>
                <w:color w:val="auto"/>
              </w:rPr>
            </w:pPr>
          </w:p>
        </w:tc>
        <w:tc>
          <w:tcPr>
            <w:tcW w:w="700" w:type="dxa"/>
            <w:vAlign w:val="bottom"/>
            <w:tcBorders>
              <w:bottom w:val="single" w:sz="8" w:color="DC202E"/>
            </w:tcBorders>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Borders>
              <w:bottom w:val="single" w:sz="8" w:color="DC202E"/>
            </w:tcBorders>
          </w:tcPr>
          <w:p>
            <w:pPr>
              <w:spacing w:after="0"/>
              <w:rPr>
                <w:sz w:val="17"/>
                <w:szCs w:val="17"/>
                <w:color w:val="auto"/>
              </w:rPr>
            </w:pPr>
          </w:p>
        </w:tc>
        <w:tc>
          <w:tcPr>
            <w:tcW w:w="120" w:type="dxa"/>
            <w:vAlign w:val="bottom"/>
            <w:tcBorders>
              <w:bottom w:val="single" w:sz="8" w:color="DC202E"/>
            </w:tcBorders>
          </w:tcPr>
          <w:p>
            <w:pPr>
              <w:spacing w:after="0"/>
              <w:rPr>
                <w:sz w:val="17"/>
                <w:szCs w:val="17"/>
                <w:color w:val="auto"/>
              </w:rPr>
            </w:pPr>
          </w:p>
        </w:tc>
        <w:tc>
          <w:tcPr>
            <w:tcW w:w="1380" w:type="dxa"/>
            <w:vAlign w:val="bottom"/>
            <w:tcBorders>
              <w:bottom w:val="single" w:sz="8" w:color="DC202E"/>
            </w:tcBorders>
            <w:gridSpan w:val="2"/>
          </w:tcPr>
          <w:p>
            <w:pPr>
              <w:ind w:left="120"/>
              <w:spacing w:after="0"/>
              <w:rPr>
                <w:sz w:val="20"/>
                <w:szCs w:val="20"/>
                <w:color w:val="auto"/>
              </w:rPr>
            </w:pPr>
            <w:r>
              <w:rPr>
                <w:rFonts w:ascii="Arial" w:cs="Arial" w:eastAsia="Arial" w:hAnsi="Arial"/>
                <w:sz w:val="14"/>
                <w:szCs w:val="14"/>
                <w:b w:val="1"/>
                <w:bCs w:val="1"/>
                <w:color w:val="auto"/>
              </w:rPr>
              <w:t>Non-U.S. Plans</w:t>
            </w:r>
          </w:p>
        </w:tc>
        <w:tc>
          <w:tcPr>
            <w:tcW w:w="1260" w:type="dxa"/>
            <w:vAlign w:val="bottom"/>
            <w:tcBorders>
              <w:bottom w:val="single" w:sz="8" w:color="DC202E"/>
            </w:tcBorders>
          </w:tcPr>
          <w:p>
            <w:pPr>
              <w:spacing w:after="0"/>
              <w:rPr>
                <w:sz w:val="17"/>
                <w:szCs w:val="17"/>
                <w:color w:val="auto"/>
              </w:rPr>
            </w:pPr>
          </w:p>
        </w:tc>
      </w:tr>
      <w:tr>
        <w:trPr>
          <w:trHeight w:val="358"/>
        </w:trPr>
        <w:tc>
          <w:tcPr>
            <w:tcW w:w="3080" w:type="dxa"/>
            <w:vAlign w:val="bottom"/>
            <w:tcBorders>
              <w:bottom w:val="single" w:sz="8" w:color="DDDDDD"/>
            </w:tcBorders>
          </w:tcPr>
          <w:p>
            <w:pPr>
              <w:spacing w:after="0"/>
              <w:rPr>
                <w:sz w:val="24"/>
                <w:szCs w:val="24"/>
                <w:color w:val="auto"/>
              </w:rPr>
            </w:pPr>
          </w:p>
        </w:tc>
        <w:tc>
          <w:tcPr>
            <w:tcW w:w="1280" w:type="dxa"/>
            <w:vAlign w:val="bottom"/>
            <w:tcBorders>
              <w:bottom w:val="single" w:sz="8" w:color="DC202E"/>
            </w:tcBorders>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DDDDDD"/>
            </w:tcBorders>
          </w:tcPr>
          <w:p>
            <w:pPr>
              <w:spacing w:after="0"/>
              <w:rPr>
                <w:sz w:val="24"/>
                <w:szCs w:val="24"/>
                <w:color w:val="auto"/>
              </w:rPr>
            </w:pPr>
          </w:p>
        </w:tc>
        <w:tc>
          <w:tcPr>
            <w:tcW w:w="1280" w:type="dxa"/>
            <w:vAlign w:val="bottom"/>
            <w:tcBorders>
              <w:bottom w:val="single" w:sz="8" w:color="DC202E"/>
            </w:tcBorders>
          </w:tcPr>
          <w:p>
            <w:pPr>
              <w:jc w:val="right"/>
              <w:ind w:right="39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DDDDDD"/>
            </w:tcBorders>
          </w:tcPr>
          <w:p>
            <w:pPr>
              <w:spacing w:after="0"/>
              <w:rPr>
                <w:sz w:val="24"/>
                <w:szCs w:val="24"/>
                <w:color w:val="auto"/>
              </w:rPr>
            </w:pPr>
          </w:p>
        </w:tc>
        <w:tc>
          <w:tcPr>
            <w:tcW w:w="1260" w:type="dxa"/>
            <w:vAlign w:val="bottom"/>
            <w:tcBorders>
              <w:bottom w:val="single" w:sz="8" w:color="DC202E"/>
            </w:tcBorders>
            <w:gridSpan w:val="2"/>
          </w:tcPr>
          <w:p>
            <w:pPr>
              <w:jc w:val="right"/>
              <w:ind w:right="38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DDDDDD"/>
            </w:tcBorders>
          </w:tcPr>
          <w:p>
            <w:pPr>
              <w:spacing w:after="0"/>
              <w:rPr>
                <w:sz w:val="24"/>
                <w:szCs w:val="24"/>
                <w:color w:val="auto"/>
              </w:rPr>
            </w:pPr>
          </w:p>
        </w:tc>
        <w:tc>
          <w:tcPr>
            <w:tcW w:w="1260" w:type="dxa"/>
            <w:vAlign w:val="bottom"/>
            <w:tcBorders>
              <w:bottom w:val="single" w:sz="8" w:color="DC202E"/>
            </w:tcBorders>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DDDDDD"/>
            </w:tcBorders>
          </w:tcPr>
          <w:p>
            <w:pPr>
              <w:spacing w:after="0"/>
              <w:rPr>
                <w:sz w:val="24"/>
                <w:szCs w:val="24"/>
                <w:color w:val="auto"/>
              </w:rPr>
            </w:pPr>
          </w:p>
        </w:tc>
        <w:tc>
          <w:tcPr>
            <w:tcW w:w="1260" w:type="dxa"/>
            <w:vAlign w:val="bottom"/>
            <w:tcBorders>
              <w:bottom w:val="single" w:sz="8" w:color="DC202E"/>
            </w:tcBorders>
          </w:tcPr>
          <w:p>
            <w:pPr>
              <w:jc w:val="right"/>
              <w:ind w:right="39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DDDDDD"/>
            </w:tcBorders>
          </w:tcPr>
          <w:p>
            <w:pPr>
              <w:spacing w:after="0"/>
              <w:rPr>
                <w:sz w:val="24"/>
                <w:szCs w:val="24"/>
                <w:color w:val="auto"/>
              </w:rPr>
            </w:pPr>
          </w:p>
        </w:tc>
        <w:tc>
          <w:tcPr>
            <w:tcW w:w="1260" w:type="dxa"/>
            <w:vAlign w:val="bottom"/>
            <w:tcBorders>
              <w:bottom w:val="single" w:sz="8" w:color="DC202E"/>
            </w:tcBorders>
          </w:tcPr>
          <w:p>
            <w:pPr>
              <w:jc w:val="right"/>
              <w:ind w:right="392"/>
              <w:spacing w:after="0"/>
              <w:rPr>
                <w:sz w:val="20"/>
                <w:szCs w:val="20"/>
                <w:color w:val="auto"/>
              </w:rPr>
            </w:pPr>
            <w:r>
              <w:rPr>
                <w:rFonts w:ascii="Arial" w:cs="Arial" w:eastAsia="Arial" w:hAnsi="Arial"/>
                <w:sz w:val="14"/>
                <w:szCs w:val="14"/>
                <w:b w:val="1"/>
                <w:bCs w:val="1"/>
                <w:color w:val="auto"/>
              </w:rPr>
              <w:t>2018</w:t>
            </w:r>
          </w:p>
        </w:tc>
      </w:tr>
      <w:tr>
        <w:trPr>
          <w:trHeight w:val="175"/>
        </w:trPr>
        <w:tc>
          <w:tcPr>
            <w:tcW w:w="3080" w:type="dxa"/>
            <w:vAlign w:val="bottom"/>
            <w:shd w:val="clear" w:color="auto" w:fill="DDDDDD"/>
          </w:tcPr>
          <w:p>
            <w:pPr>
              <w:ind w:left="20"/>
              <w:spacing w:after="0" w:line="175" w:lineRule="exact"/>
              <w:rPr>
                <w:sz w:val="20"/>
                <w:szCs w:val="20"/>
                <w:color w:val="auto"/>
              </w:rPr>
            </w:pPr>
            <w:r>
              <w:rPr>
                <w:rFonts w:ascii="Arial" w:cs="Arial" w:eastAsia="Arial" w:hAnsi="Arial"/>
                <w:sz w:val="18"/>
                <w:szCs w:val="18"/>
                <w:color w:val="auto"/>
              </w:rPr>
              <w:t>Actuarial assumptions used to</w:t>
            </w:r>
          </w:p>
        </w:tc>
        <w:tc>
          <w:tcPr>
            <w:tcW w:w="1280" w:type="dxa"/>
            <w:vAlign w:val="bottom"/>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1280" w:type="dxa"/>
            <w:vAlign w:val="bottom"/>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560" w:type="dxa"/>
            <w:vAlign w:val="bottom"/>
            <w:shd w:val="clear" w:color="auto" w:fill="DDDDDD"/>
          </w:tcPr>
          <w:p>
            <w:pPr>
              <w:spacing w:after="0"/>
              <w:rPr>
                <w:sz w:val="15"/>
                <w:szCs w:val="15"/>
                <w:color w:val="auto"/>
              </w:rPr>
            </w:pPr>
          </w:p>
        </w:tc>
        <w:tc>
          <w:tcPr>
            <w:tcW w:w="700" w:type="dxa"/>
            <w:vAlign w:val="bottom"/>
            <w:shd w:val="clear" w:color="auto" w:fill="DDDDDD"/>
          </w:tcPr>
          <w:p>
            <w:pPr>
              <w:spacing w:after="0"/>
              <w:rPr>
                <w:sz w:val="15"/>
                <w:szCs w:val="15"/>
                <w:color w:val="auto"/>
              </w:rPr>
            </w:pPr>
          </w:p>
        </w:tc>
        <w:tc>
          <w:tcPr>
            <w:tcW w:w="120" w:type="dxa"/>
            <w:vAlign w:val="bottom"/>
            <w:shd w:val="clear" w:color="auto" w:fill="DDDDDD"/>
          </w:tcPr>
          <w:p>
            <w:pPr>
              <w:spacing w:after="0"/>
              <w:rPr>
                <w:sz w:val="15"/>
                <w:szCs w:val="15"/>
                <w:color w:val="auto"/>
              </w:rPr>
            </w:pPr>
          </w:p>
        </w:tc>
        <w:tc>
          <w:tcPr>
            <w:tcW w:w="1260" w:type="dxa"/>
            <w:vAlign w:val="bottom"/>
            <w:shd w:val="clear" w:color="auto" w:fill="DDDDDD"/>
          </w:tcPr>
          <w:p>
            <w:pPr>
              <w:spacing w:after="0"/>
              <w:rPr>
                <w:sz w:val="15"/>
                <w:szCs w:val="15"/>
                <w:color w:val="auto"/>
              </w:rPr>
            </w:pPr>
          </w:p>
        </w:tc>
        <w:tc>
          <w:tcPr>
            <w:tcW w:w="120" w:type="dxa"/>
            <w:vAlign w:val="bottom"/>
            <w:shd w:val="clear" w:color="auto" w:fill="DDDDDD"/>
          </w:tcPr>
          <w:p>
            <w:pPr>
              <w:spacing w:after="0"/>
              <w:rPr>
                <w:sz w:val="15"/>
                <w:szCs w:val="15"/>
                <w:color w:val="auto"/>
              </w:rPr>
            </w:pPr>
          </w:p>
        </w:tc>
        <w:tc>
          <w:tcPr>
            <w:tcW w:w="1260" w:type="dxa"/>
            <w:vAlign w:val="bottom"/>
            <w:shd w:val="clear" w:color="auto" w:fill="DDDDDD"/>
          </w:tcPr>
          <w:p>
            <w:pPr>
              <w:spacing w:after="0"/>
              <w:rPr>
                <w:sz w:val="15"/>
                <w:szCs w:val="15"/>
                <w:color w:val="auto"/>
              </w:rPr>
            </w:pPr>
          </w:p>
        </w:tc>
        <w:tc>
          <w:tcPr>
            <w:tcW w:w="120" w:type="dxa"/>
            <w:vAlign w:val="bottom"/>
            <w:shd w:val="clear" w:color="auto" w:fill="DDDDDD"/>
          </w:tcPr>
          <w:p>
            <w:pPr>
              <w:spacing w:after="0"/>
              <w:rPr>
                <w:sz w:val="15"/>
                <w:szCs w:val="15"/>
                <w:color w:val="auto"/>
              </w:rPr>
            </w:pPr>
          </w:p>
        </w:tc>
        <w:tc>
          <w:tcPr>
            <w:tcW w:w="1260" w:type="dxa"/>
            <w:vAlign w:val="bottom"/>
            <w:shd w:val="clear" w:color="auto" w:fill="DDDDDD"/>
          </w:tcPr>
          <w:p>
            <w:pPr>
              <w:spacing w:after="0"/>
              <w:rPr>
                <w:sz w:val="15"/>
                <w:szCs w:val="15"/>
                <w:color w:val="auto"/>
              </w:rPr>
            </w:pPr>
          </w:p>
        </w:tc>
      </w:tr>
      <w:tr>
        <w:trPr>
          <w:trHeight w:val="175"/>
        </w:trPr>
        <w:tc>
          <w:tcPr>
            <w:tcW w:w="3080" w:type="dxa"/>
            <w:vAlign w:val="bottom"/>
            <w:shd w:val="clear" w:color="auto" w:fill="DDDDDD"/>
          </w:tcPr>
          <w:p>
            <w:pPr>
              <w:ind w:left="20"/>
              <w:spacing w:after="0" w:line="176" w:lineRule="exact"/>
              <w:rPr>
                <w:sz w:val="20"/>
                <w:szCs w:val="20"/>
                <w:color w:val="auto"/>
              </w:rPr>
            </w:pPr>
            <w:r>
              <w:rPr>
                <w:rFonts w:ascii="Arial" w:cs="Arial" w:eastAsia="Arial" w:hAnsi="Arial"/>
                <w:sz w:val="18"/>
                <w:szCs w:val="18"/>
                <w:color w:val="auto"/>
              </w:rPr>
              <w:t>determine benefit obligations as of</w:t>
            </w:r>
          </w:p>
        </w:tc>
        <w:tc>
          <w:tcPr>
            <w:tcW w:w="1280" w:type="dxa"/>
            <w:vAlign w:val="bottom"/>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1280" w:type="dxa"/>
            <w:vAlign w:val="bottom"/>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560" w:type="dxa"/>
            <w:vAlign w:val="bottom"/>
            <w:shd w:val="clear" w:color="auto" w:fill="DDDDDD"/>
          </w:tcPr>
          <w:p>
            <w:pPr>
              <w:spacing w:after="0"/>
              <w:rPr>
                <w:sz w:val="15"/>
                <w:szCs w:val="15"/>
                <w:color w:val="auto"/>
              </w:rPr>
            </w:pPr>
          </w:p>
        </w:tc>
        <w:tc>
          <w:tcPr>
            <w:tcW w:w="700" w:type="dxa"/>
            <w:vAlign w:val="bottom"/>
            <w:shd w:val="clear" w:color="auto" w:fill="DDDDDD"/>
          </w:tcPr>
          <w:p>
            <w:pPr>
              <w:spacing w:after="0"/>
              <w:rPr>
                <w:sz w:val="15"/>
                <w:szCs w:val="15"/>
                <w:color w:val="auto"/>
              </w:rPr>
            </w:pPr>
          </w:p>
        </w:tc>
        <w:tc>
          <w:tcPr>
            <w:tcW w:w="120" w:type="dxa"/>
            <w:vAlign w:val="bottom"/>
            <w:shd w:val="clear" w:color="auto" w:fill="DDDDDD"/>
          </w:tcPr>
          <w:p>
            <w:pPr>
              <w:spacing w:after="0"/>
              <w:rPr>
                <w:sz w:val="15"/>
                <w:szCs w:val="15"/>
                <w:color w:val="auto"/>
              </w:rPr>
            </w:pPr>
          </w:p>
        </w:tc>
        <w:tc>
          <w:tcPr>
            <w:tcW w:w="1260" w:type="dxa"/>
            <w:vAlign w:val="bottom"/>
            <w:shd w:val="clear" w:color="auto" w:fill="DDDDDD"/>
          </w:tcPr>
          <w:p>
            <w:pPr>
              <w:spacing w:after="0"/>
              <w:rPr>
                <w:sz w:val="15"/>
                <w:szCs w:val="15"/>
                <w:color w:val="auto"/>
              </w:rPr>
            </w:pPr>
          </w:p>
        </w:tc>
        <w:tc>
          <w:tcPr>
            <w:tcW w:w="120" w:type="dxa"/>
            <w:vAlign w:val="bottom"/>
            <w:shd w:val="clear" w:color="auto" w:fill="DDDDDD"/>
          </w:tcPr>
          <w:p>
            <w:pPr>
              <w:spacing w:after="0"/>
              <w:rPr>
                <w:sz w:val="15"/>
                <w:szCs w:val="15"/>
                <w:color w:val="auto"/>
              </w:rPr>
            </w:pPr>
          </w:p>
        </w:tc>
        <w:tc>
          <w:tcPr>
            <w:tcW w:w="1260" w:type="dxa"/>
            <w:vAlign w:val="bottom"/>
            <w:shd w:val="clear" w:color="auto" w:fill="DDDDDD"/>
          </w:tcPr>
          <w:p>
            <w:pPr>
              <w:spacing w:after="0"/>
              <w:rPr>
                <w:sz w:val="15"/>
                <w:szCs w:val="15"/>
                <w:color w:val="auto"/>
              </w:rPr>
            </w:pPr>
          </w:p>
        </w:tc>
        <w:tc>
          <w:tcPr>
            <w:tcW w:w="120" w:type="dxa"/>
            <w:vAlign w:val="bottom"/>
            <w:shd w:val="clear" w:color="auto" w:fill="DDDDDD"/>
          </w:tcPr>
          <w:p>
            <w:pPr>
              <w:spacing w:after="0"/>
              <w:rPr>
                <w:sz w:val="15"/>
                <w:szCs w:val="15"/>
                <w:color w:val="auto"/>
              </w:rPr>
            </w:pPr>
          </w:p>
        </w:tc>
        <w:tc>
          <w:tcPr>
            <w:tcW w:w="1260" w:type="dxa"/>
            <w:vAlign w:val="bottom"/>
            <w:shd w:val="clear" w:color="auto" w:fill="DDDDDD"/>
          </w:tcPr>
          <w:p>
            <w:pPr>
              <w:spacing w:after="0"/>
              <w:rPr>
                <w:sz w:val="15"/>
                <w:szCs w:val="15"/>
                <w:color w:val="auto"/>
              </w:rPr>
            </w:pPr>
          </w:p>
        </w:tc>
      </w:tr>
      <w:tr>
        <w:trPr>
          <w:trHeight w:val="217"/>
        </w:trPr>
        <w:tc>
          <w:tcPr>
            <w:tcW w:w="3080" w:type="dxa"/>
            <w:vAlign w:val="bottom"/>
            <w:shd w:val="clear" w:color="auto" w:fill="DDDDDD"/>
          </w:tcPr>
          <w:p>
            <w:pPr>
              <w:ind w:left="20"/>
              <w:spacing w:after="0"/>
              <w:rPr>
                <w:sz w:val="20"/>
                <w:szCs w:val="20"/>
                <w:color w:val="auto"/>
              </w:rPr>
            </w:pPr>
            <w:r>
              <w:rPr>
                <w:rFonts w:ascii="Arial" w:cs="Arial" w:eastAsia="Arial" w:hAnsi="Arial"/>
                <w:sz w:val="18"/>
                <w:szCs w:val="18"/>
                <w:color w:val="auto"/>
              </w:rPr>
              <w:t>December 31:</w:t>
            </w:r>
          </w:p>
        </w:tc>
        <w:tc>
          <w:tcPr>
            <w:tcW w:w="128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28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560" w:type="dxa"/>
            <w:vAlign w:val="bottom"/>
            <w:shd w:val="clear" w:color="auto" w:fill="DDDDDD"/>
          </w:tcPr>
          <w:p>
            <w:pPr>
              <w:spacing w:after="0"/>
              <w:rPr>
                <w:sz w:val="18"/>
                <w:szCs w:val="18"/>
                <w:color w:val="auto"/>
              </w:rPr>
            </w:pPr>
          </w:p>
        </w:tc>
        <w:tc>
          <w:tcPr>
            <w:tcW w:w="70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126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126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1260" w:type="dxa"/>
            <w:vAlign w:val="bottom"/>
            <w:shd w:val="clear" w:color="auto" w:fill="DDDDDD"/>
          </w:tcPr>
          <w:p>
            <w:pPr>
              <w:spacing w:after="0"/>
              <w:rPr>
                <w:sz w:val="18"/>
                <w:szCs w:val="18"/>
                <w:color w:val="auto"/>
              </w:rPr>
            </w:pPr>
          </w:p>
        </w:tc>
      </w:tr>
      <w:tr>
        <w:trPr>
          <w:trHeight w:val="230"/>
        </w:trPr>
        <w:tc>
          <w:tcPr>
            <w:tcW w:w="3080" w:type="dxa"/>
            <w:vAlign w:val="bottom"/>
          </w:tcPr>
          <w:p>
            <w:pPr>
              <w:ind w:left="360"/>
              <w:spacing w:after="0"/>
              <w:rPr>
                <w:sz w:val="20"/>
                <w:szCs w:val="20"/>
                <w:color w:val="auto"/>
              </w:rPr>
            </w:pPr>
            <w:r>
              <w:rPr>
                <w:rFonts w:ascii="Arial" w:cs="Arial" w:eastAsia="Arial" w:hAnsi="Arial"/>
                <w:sz w:val="18"/>
                <w:szCs w:val="18"/>
                <w:color w:val="auto"/>
              </w:rPr>
              <w:t>Discount rate</w:t>
            </w:r>
          </w:p>
        </w:tc>
        <w:tc>
          <w:tcPr>
            <w:tcW w:w="1280" w:type="dxa"/>
            <w:vAlign w:val="bottom"/>
          </w:tcPr>
          <w:p>
            <w:pPr>
              <w:jc w:val="right"/>
              <w:spacing w:after="0"/>
              <w:rPr>
                <w:sz w:val="20"/>
                <w:szCs w:val="20"/>
                <w:color w:val="auto"/>
              </w:rPr>
            </w:pPr>
            <w:r>
              <w:rPr>
                <w:rFonts w:ascii="Arial" w:cs="Arial" w:eastAsia="Arial" w:hAnsi="Arial"/>
                <w:sz w:val="18"/>
                <w:szCs w:val="18"/>
                <w:color w:val="auto"/>
              </w:rPr>
              <w:t>2.50 %</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3.22 %</w:t>
            </w:r>
          </w:p>
        </w:tc>
        <w:tc>
          <w:tcPr>
            <w:tcW w:w="10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4.35 %</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1.23 %</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1.81 %</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2.63 %</w:t>
            </w:r>
          </w:p>
        </w:tc>
      </w:tr>
      <w:tr>
        <w:trPr>
          <w:trHeight w:val="188"/>
        </w:trPr>
        <w:tc>
          <w:tcPr>
            <w:tcW w:w="3080" w:type="dxa"/>
            <w:vAlign w:val="bottom"/>
            <w:shd w:val="clear" w:color="auto" w:fill="DDDDDD"/>
          </w:tcPr>
          <w:p>
            <w:pPr>
              <w:ind w:left="360"/>
              <w:spacing w:after="0" w:line="189" w:lineRule="exact"/>
              <w:rPr>
                <w:sz w:val="20"/>
                <w:szCs w:val="20"/>
                <w:color w:val="auto"/>
              </w:rPr>
            </w:pPr>
            <w:r>
              <w:rPr>
                <w:rFonts w:ascii="Arial" w:cs="Arial" w:eastAsia="Arial" w:hAnsi="Arial"/>
                <w:sz w:val="18"/>
                <w:szCs w:val="18"/>
                <w:color w:val="auto"/>
              </w:rPr>
              <w:t>Expected annual rate of</w:t>
            </w:r>
          </w:p>
        </w:tc>
        <w:tc>
          <w:tcPr>
            <w:tcW w:w="12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2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560" w:type="dxa"/>
            <w:vAlign w:val="bottom"/>
            <w:shd w:val="clear" w:color="auto" w:fill="DDDDDD"/>
          </w:tcPr>
          <w:p>
            <w:pPr>
              <w:spacing w:after="0"/>
              <w:rPr>
                <w:sz w:val="16"/>
                <w:szCs w:val="16"/>
                <w:color w:val="auto"/>
              </w:rPr>
            </w:pPr>
          </w:p>
        </w:tc>
        <w:tc>
          <w:tcPr>
            <w:tcW w:w="70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126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126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1260" w:type="dxa"/>
            <w:vAlign w:val="bottom"/>
            <w:shd w:val="clear" w:color="auto" w:fill="DDDDDD"/>
          </w:tcPr>
          <w:p>
            <w:pPr>
              <w:spacing w:after="0"/>
              <w:rPr>
                <w:sz w:val="16"/>
                <w:szCs w:val="16"/>
                <w:color w:val="auto"/>
              </w:rPr>
            </w:pPr>
          </w:p>
        </w:tc>
      </w:tr>
      <w:tr>
        <w:trPr>
          <w:trHeight w:val="217"/>
        </w:trPr>
        <w:tc>
          <w:tcPr>
            <w:tcW w:w="3080" w:type="dxa"/>
            <w:vAlign w:val="bottom"/>
            <w:shd w:val="clear" w:color="auto" w:fill="DDDDDD"/>
          </w:tcPr>
          <w:p>
            <w:pPr>
              <w:ind w:left="360"/>
              <w:spacing w:after="0"/>
              <w:rPr>
                <w:sz w:val="20"/>
                <w:szCs w:val="20"/>
                <w:color w:val="auto"/>
              </w:rPr>
            </w:pPr>
            <w:r>
              <w:rPr>
                <w:rFonts w:ascii="Arial" w:cs="Arial" w:eastAsia="Arial" w:hAnsi="Arial"/>
                <w:sz w:val="18"/>
                <w:szCs w:val="18"/>
                <w:color w:val="auto"/>
              </w:rPr>
              <w:t>compensation increase</w:t>
            </w:r>
          </w:p>
        </w:tc>
        <w:tc>
          <w:tcPr>
            <w:tcW w:w="12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3.25 %</w:t>
            </w:r>
          </w:p>
        </w:tc>
        <w:tc>
          <w:tcPr>
            <w:tcW w:w="100" w:type="dxa"/>
            <w:vAlign w:val="bottom"/>
            <w:shd w:val="clear" w:color="auto" w:fill="DDDDDD"/>
          </w:tcPr>
          <w:p>
            <w:pPr>
              <w:spacing w:after="0"/>
              <w:rPr>
                <w:sz w:val="18"/>
                <w:szCs w:val="18"/>
                <w:color w:val="auto"/>
              </w:rPr>
            </w:pPr>
          </w:p>
        </w:tc>
        <w:tc>
          <w:tcPr>
            <w:tcW w:w="12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3.25 %</w:t>
            </w:r>
          </w:p>
        </w:tc>
        <w:tc>
          <w:tcPr>
            <w:tcW w:w="100" w:type="dxa"/>
            <w:vAlign w:val="bottom"/>
            <w:shd w:val="clear" w:color="auto" w:fill="DDDDDD"/>
          </w:tcPr>
          <w:p>
            <w:pPr>
              <w:spacing w:after="0"/>
              <w:rPr>
                <w:sz w:val="18"/>
                <w:szCs w:val="18"/>
                <w:color w:val="auto"/>
              </w:rPr>
            </w:pPr>
          </w:p>
        </w:tc>
        <w:tc>
          <w:tcPr>
            <w:tcW w:w="1260" w:type="dxa"/>
            <w:vAlign w:val="bottom"/>
            <w:gridSpan w:val="2"/>
            <w:shd w:val="clear" w:color="auto" w:fill="DDDDDD"/>
          </w:tcPr>
          <w:p>
            <w:pPr>
              <w:jc w:val="right"/>
              <w:spacing w:after="0"/>
              <w:rPr>
                <w:sz w:val="20"/>
                <w:szCs w:val="20"/>
                <w:color w:val="auto"/>
              </w:rPr>
            </w:pPr>
            <w:r>
              <w:rPr>
                <w:rFonts w:ascii="Arial" w:cs="Arial" w:eastAsia="Arial" w:hAnsi="Arial"/>
                <w:sz w:val="18"/>
                <w:szCs w:val="18"/>
                <w:color w:val="auto"/>
              </w:rPr>
              <w:t>3.25 %</w:t>
            </w:r>
          </w:p>
        </w:tc>
        <w:tc>
          <w:tcPr>
            <w:tcW w:w="120" w:type="dxa"/>
            <w:vAlign w:val="bottom"/>
            <w:shd w:val="clear" w:color="auto" w:fill="DDDDDD"/>
          </w:tcPr>
          <w:p>
            <w:pPr>
              <w:spacing w:after="0"/>
              <w:rPr>
                <w:sz w:val="18"/>
                <w:szCs w:val="18"/>
                <w:color w:val="auto"/>
              </w:rPr>
            </w:pPr>
          </w:p>
        </w:tc>
        <w:tc>
          <w:tcPr>
            <w:tcW w:w="12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2.43 %</w:t>
            </w:r>
          </w:p>
        </w:tc>
        <w:tc>
          <w:tcPr>
            <w:tcW w:w="120" w:type="dxa"/>
            <w:vAlign w:val="bottom"/>
            <w:shd w:val="clear" w:color="auto" w:fill="DDDDDD"/>
          </w:tcPr>
          <w:p>
            <w:pPr>
              <w:spacing w:after="0"/>
              <w:rPr>
                <w:sz w:val="18"/>
                <w:szCs w:val="18"/>
                <w:color w:val="auto"/>
              </w:rPr>
            </w:pPr>
          </w:p>
        </w:tc>
        <w:tc>
          <w:tcPr>
            <w:tcW w:w="12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2.47 %</w:t>
            </w:r>
          </w:p>
        </w:tc>
        <w:tc>
          <w:tcPr>
            <w:tcW w:w="120" w:type="dxa"/>
            <w:vAlign w:val="bottom"/>
            <w:shd w:val="clear" w:color="auto" w:fill="DDDDDD"/>
          </w:tcPr>
          <w:p>
            <w:pPr>
              <w:spacing w:after="0"/>
              <w:rPr>
                <w:sz w:val="18"/>
                <w:szCs w:val="18"/>
                <w:color w:val="auto"/>
              </w:rPr>
            </w:pPr>
          </w:p>
        </w:tc>
        <w:tc>
          <w:tcPr>
            <w:tcW w:w="12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2.46 %</w:t>
            </w:r>
          </w:p>
        </w:tc>
      </w:tr>
      <w:tr>
        <w:trPr>
          <w:trHeight w:val="188"/>
        </w:trPr>
        <w:tc>
          <w:tcPr>
            <w:tcW w:w="3080" w:type="dxa"/>
            <w:vAlign w:val="bottom"/>
          </w:tcPr>
          <w:p>
            <w:pPr>
              <w:ind w:left="20"/>
              <w:spacing w:after="0" w:line="189" w:lineRule="exact"/>
              <w:rPr>
                <w:sz w:val="20"/>
                <w:szCs w:val="20"/>
                <w:color w:val="auto"/>
              </w:rPr>
            </w:pPr>
            <w:r>
              <w:rPr>
                <w:rFonts w:ascii="Arial" w:cs="Arial" w:eastAsia="Arial" w:hAnsi="Arial"/>
                <w:sz w:val="18"/>
                <w:szCs w:val="18"/>
                <w:color w:val="auto"/>
              </w:rPr>
              <w:t>Actuarial assumptions used to</w:t>
            </w: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75"/>
        </w:trPr>
        <w:tc>
          <w:tcPr>
            <w:tcW w:w="3080" w:type="dxa"/>
            <w:vAlign w:val="bottom"/>
          </w:tcPr>
          <w:p>
            <w:pPr>
              <w:ind w:left="20"/>
              <w:spacing w:after="0" w:line="176" w:lineRule="exact"/>
              <w:rPr>
                <w:sz w:val="20"/>
                <w:szCs w:val="20"/>
                <w:color w:val="auto"/>
              </w:rPr>
            </w:pPr>
            <w:r>
              <w:rPr>
                <w:rFonts w:ascii="Arial" w:cs="Arial" w:eastAsia="Arial" w:hAnsi="Arial"/>
                <w:sz w:val="18"/>
                <w:szCs w:val="18"/>
                <w:color w:val="auto"/>
              </w:rPr>
              <w:t>determine net periodic benefit</w:t>
            </w: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6"/>
        </w:trPr>
        <w:tc>
          <w:tcPr>
            <w:tcW w:w="3080" w:type="dxa"/>
            <w:vAlign w:val="bottom"/>
          </w:tcPr>
          <w:p>
            <w:pPr>
              <w:ind w:left="20"/>
              <w:spacing w:after="0" w:line="176" w:lineRule="exact"/>
              <w:rPr>
                <w:sz w:val="20"/>
                <w:szCs w:val="20"/>
                <w:color w:val="auto"/>
              </w:rPr>
            </w:pPr>
            <w:r>
              <w:rPr>
                <w:rFonts w:ascii="Arial" w:cs="Arial" w:eastAsia="Arial" w:hAnsi="Arial"/>
                <w:sz w:val="18"/>
                <w:szCs w:val="18"/>
                <w:color w:val="auto"/>
              </w:rPr>
              <w:t>(income) cost for years ended</w:t>
            </w: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17"/>
        </w:trPr>
        <w:tc>
          <w:tcPr>
            <w:tcW w:w="3080" w:type="dxa"/>
            <w:vAlign w:val="bottom"/>
          </w:tcPr>
          <w:p>
            <w:pPr>
              <w:ind w:left="20"/>
              <w:spacing w:after="0"/>
              <w:rPr>
                <w:sz w:val="20"/>
                <w:szCs w:val="20"/>
                <w:color w:val="auto"/>
              </w:rPr>
            </w:pPr>
            <w:r>
              <w:rPr>
                <w:rFonts w:ascii="Arial" w:cs="Arial" w:eastAsia="Arial" w:hAnsi="Arial"/>
                <w:sz w:val="18"/>
                <w:szCs w:val="18"/>
                <w:color w:val="auto"/>
              </w:rPr>
              <w:t>December 31:</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9"/>
        </w:trPr>
        <w:tc>
          <w:tcPr>
            <w:tcW w:w="3080" w:type="dxa"/>
            <w:vAlign w:val="bottom"/>
            <w:shd w:val="clear" w:color="auto" w:fill="DDDDDD"/>
          </w:tcPr>
          <w:p>
            <w:pPr>
              <w:ind w:left="360"/>
              <w:spacing w:after="0"/>
              <w:rPr>
                <w:sz w:val="20"/>
                <w:szCs w:val="20"/>
                <w:color w:val="auto"/>
              </w:rPr>
            </w:pPr>
            <w:r>
              <w:rPr>
                <w:rFonts w:ascii="Arial" w:cs="Arial" w:eastAsia="Arial" w:hAnsi="Arial"/>
                <w:sz w:val="18"/>
                <w:szCs w:val="18"/>
                <w:color w:val="auto"/>
              </w:rPr>
              <w:t>Discount rate—benefit obligation</w:t>
            </w:r>
          </w:p>
        </w:tc>
        <w:tc>
          <w:tcPr>
            <w:tcW w:w="12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3.22 %</w:t>
            </w:r>
          </w:p>
        </w:tc>
        <w:tc>
          <w:tcPr>
            <w:tcW w:w="100" w:type="dxa"/>
            <w:vAlign w:val="bottom"/>
            <w:shd w:val="clear" w:color="auto" w:fill="DDDDDD"/>
          </w:tcPr>
          <w:p>
            <w:pPr>
              <w:spacing w:after="0"/>
              <w:rPr>
                <w:sz w:val="19"/>
                <w:szCs w:val="19"/>
                <w:color w:val="auto"/>
              </w:rPr>
            </w:pPr>
          </w:p>
        </w:tc>
        <w:tc>
          <w:tcPr>
            <w:tcW w:w="12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4.35 %</w:t>
            </w:r>
          </w:p>
        </w:tc>
        <w:tc>
          <w:tcPr>
            <w:tcW w:w="100" w:type="dxa"/>
            <w:vAlign w:val="bottom"/>
            <w:shd w:val="clear" w:color="auto" w:fill="DDDDDD"/>
          </w:tcPr>
          <w:p>
            <w:pPr>
              <w:spacing w:after="0"/>
              <w:rPr>
                <w:sz w:val="19"/>
                <w:szCs w:val="19"/>
                <w:color w:val="auto"/>
              </w:rPr>
            </w:pPr>
          </w:p>
        </w:tc>
        <w:tc>
          <w:tcPr>
            <w:tcW w:w="1260" w:type="dxa"/>
            <w:vAlign w:val="bottom"/>
            <w:gridSpan w:val="2"/>
            <w:shd w:val="clear" w:color="auto" w:fill="DDDDDD"/>
          </w:tcPr>
          <w:p>
            <w:pPr>
              <w:jc w:val="right"/>
              <w:spacing w:after="0"/>
              <w:rPr>
                <w:sz w:val="20"/>
                <w:szCs w:val="20"/>
                <w:color w:val="auto"/>
              </w:rPr>
            </w:pPr>
            <w:r>
              <w:rPr>
                <w:rFonts w:ascii="Arial" w:cs="Arial" w:eastAsia="Arial" w:hAnsi="Arial"/>
                <w:sz w:val="18"/>
                <w:szCs w:val="18"/>
                <w:color w:val="auto"/>
              </w:rPr>
              <w:t>3.68 %</w:t>
            </w:r>
          </w:p>
        </w:tc>
        <w:tc>
          <w:tcPr>
            <w:tcW w:w="120" w:type="dxa"/>
            <w:vAlign w:val="bottom"/>
            <w:shd w:val="clear" w:color="auto" w:fill="DDDDDD"/>
          </w:tcPr>
          <w:p>
            <w:pPr>
              <w:spacing w:after="0"/>
              <w:rPr>
                <w:sz w:val="19"/>
                <w:szCs w:val="19"/>
                <w:color w:val="auto"/>
              </w:rPr>
            </w:pPr>
          </w:p>
        </w:tc>
        <w:tc>
          <w:tcPr>
            <w:tcW w:w="12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1.81 %</w:t>
            </w:r>
          </w:p>
        </w:tc>
        <w:tc>
          <w:tcPr>
            <w:tcW w:w="120" w:type="dxa"/>
            <w:vAlign w:val="bottom"/>
            <w:shd w:val="clear" w:color="auto" w:fill="DDDDDD"/>
          </w:tcPr>
          <w:p>
            <w:pPr>
              <w:spacing w:after="0"/>
              <w:rPr>
                <w:sz w:val="19"/>
                <w:szCs w:val="19"/>
                <w:color w:val="auto"/>
              </w:rPr>
            </w:pPr>
          </w:p>
        </w:tc>
        <w:tc>
          <w:tcPr>
            <w:tcW w:w="12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2.63 %</w:t>
            </w:r>
          </w:p>
        </w:tc>
        <w:tc>
          <w:tcPr>
            <w:tcW w:w="120" w:type="dxa"/>
            <w:vAlign w:val="bottom"/>
            <w:shd w:val="clear" w:color="auto" w:fill="DDDDDD"/>
          </w:tcPr>
          <w:p>
            <w:pPr>
              <w:spacing w:after="0"/>
              <w:rPr>
                <w:sz w:val="19"/>
                <w:szCs w:val="19"/>
                <w:color w:val="auto"/>
              </w:rPr>
            </w:pPr>
          </w:p>
        </w:tc>
        <w:tc>
          <w:tcPr>
            <w:tcW w:w="12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2.36 %</w:t>
            </w:r>
          </w:p>
        </w:tc>
      </w:tr>
      <w:tr>
        <w:trPr>
          <w:trHeight w:val="230"/>
        </w:trPr>
        <w:tc>
          <w:tcPr>
            <w:tcW w:w="3080" w:type="dxa"/>
            <w:vAlign w:val="bottom"/>
          </w:tcPr>
          <w:p>
            <w:pPr>
              <w:ind w:left="360"/>
              <w:spacing w:after="0"/>
              <w:rPr>
                <w:sz w:val="20"/>
                <w:szCs w:val="20"/>
                <w:color w:val="auto"/>
              </w:rPr>
            </w:pPr>
            <w:r>
              <w:rPr>
                <w:rFonts w:ascii="Arial" w:cs="Arial" w:eastAsia="Arial" w:hAnsi="Arial"/>
                <w:sz w:val="18"/>
                <w:szCs w:val="18"/>
                <w:color w:val="auto"/>
              </w:rPr>
              <w:t>Discount rate—service cost</w:t>
            </w:r>
          </w:p>
        </w:tc>
        <w:tc>
          <w:tcPr>
            <w:tcW w:w="1280" w:type="dxa"/>
            <w:vAlign w:val="bottom"/>
          </w:tcPr>
          <w:p>
            <w:pPr>
              <w:jc w:val="right"/>
              <w:spacing w:after="0"/>
              <w:rPr>
                <w:sz w:val="20"/>
                <w:szCs w:val="20"/>
                <w:color w:val="auto"/>
              </w:rPr>
            </w:pPr>
            <w:r>
              <w:rPr>
                <w:rFonts w:ascii="Arial" w:cs="Arial" w:eastAsia="Arial" w:hAnsi="Arial"/>
                <w:sz w:val="18"/>
                <w:szCs w:val="18"/>
                <w:color w:val="auto"/>
              </w:rPr>
              <w:t>3.33 %</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4.47 %</w:t>
            </w:r>
          </w:p>
        </w:tc>
        <w:tc>
          <w:tcPr>
            <w:tcW w:w="10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3.77 %</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1.48 %</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2.26 %</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2.20 %</w:t>
            </w:r>
          </w:p>
        </w:tc>
      </w:tr>
      <w:tr>
        <w:trPr>
          <w:trHeight w:val="229"/>
        </w:trPr>
        <w:tc>
          <w:tcPr>
            <w:tcW w:w="3080" w:type="dxa"/>
            <w:vAlign w:val="bottom"/>
            <w:shd w:val="clear" w:color="auto" w:fill="DDDDDD"/>
          </w:tcPr>
          <w:p>
            <w:pPr>
              <w:ind w:left="360"/>
              <w:spacing w:after="0"/>
              <w:rPr>
                <w:sz w:val="20"/>
                <w:szCs w:val="20"/>
                <w:color w:val="auto"/>
              </w:rPr>
            </w:pPr>
            <w:r>
              <w:rPr>
                <w:rFonts w:ascii="Arial" w:cs="Arial" w:eastAsia="Arial" w:hAnsi="Arial"/>
                <w:sz w:val="18"/>
                <w:szCs w:val="18"/>
                <w:color w:val="auto"/>
              </w:rPr>
              <w:t>Discount rate—interest cost</w:t>
            </w:r>
          </w:p>
        </w:tc>
        <w:tc>
          <w:tcPr>
            <w:tcW w:w="12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2.76 %</w:t>
            </w:r>
          </w:p>
        </w:tc>
        <w:tc>
          <w:tcPr>
            <w:tcW w:w="100" w:type="dxa"/>
            <w:vAlign w:val="bottom"/>
            <w:shd w:val="clear" w:color="auto" w:fill="DDDDDD"/>
          </w:tcPr>
          <w:p>
            <w:pPr>
              <w:spacing w:after="0"/>
              <w:rPr>
                <w:sz w:val="19"/>
                <w:szCs w:val="19"/>
                <w:color w:val="auto"/>
              </w:rPr>
            </w:pPr>
          </w:p>
        </w:tc>
        <w:tc>
          <w:tcPr>
            <w:tcW w:w="12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3.94 %</w:t>
            </w:r>
          </w:p>
        </w:tc>
        <w:tc>
          <w:tcPr>
            <w:tcW w:w="100" w:type="dxa"/>
            <w:vAlign w:val="bottom"/>
            <w:shd w:val="clear" w:color="auto" w:fill="DDDDDD"/>
          </w:tcPr>
          <w:p>
            <w:pPr>
              <w:spacing w:after="0"/>
              <w:rPr>
                <w:sz w:val="19"/>
                <w:szCs w:val="19"/>
                <w:color w:val="auto"/>
              </w:rPr>
            </w:pPr>
          </w:p>
        </w:tc>
        <w:tc>
          <w:tcPr>
            <w:tcW w:w="1260" w:type="dxa"/>
            <w:vAlign w:val="bottom"/>
            <w:gridSpan w:val="2"/>
            <w:shd w:val="clear" w:color="auto" w:fill="DDDDDD"/>
          </w:tcPr>
          <w:p>
            <w:pPr>
              <w:jc w:val="right"/>
              <w:spacing w:after="0"/>
              <w:rPr>
                <w:sz w:val="20"/>
                <w:szCs w:val="20"/>
                <w:color w:val="auto"/>
              </w:rPr>
            </w:pPr>
            <w:r>
              <w:rPr>
                <w:rFonts w:ascii="Arial" w:cs="Arial" w:eastAsia="Arial" w:hAnsi="Arial"/>
                <w:sz w:val="18"/>
                <w:szCs w:val="18"/>
                <w:color w:val="auto"/>
              </w:rPr>
              <w:t>3.27 %</w:t>
            </w:r>
          </w:p>
        </w:tc>
        <w:tc>
          <w:tcPr>
            <w:tcW w:w="120" w:type="dxa"/>
            <w:vAlign w:val="bottom"/>
            <w:shd w:val="clear" w:color="auto" w:fill="DDDDDD"/>
          </w:tcPr>
          <w:p>
            <w:pPr>
              <w:spacing w:after="0"/>
              <w:rPr>
                <w:sz w:val="19"/>
                <w:szCs w:val="19"/>
                <w:color w:val="auto"/>
              </w:rPr>
            </w:pPr>
          </w:p>
        </w:tc>
        <w:tc>
          <w:tcPr>
            <w:tcW w:w="12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1.56 %</w:t>
            </w:r>
          </w:p>
        </w:tc>
        <w:tc>
          <w:tcPr>
            <w:tcW w:w="120" w:type="dxa"/>
            <w:vAlign w:val="bottom"/>
            <w:shd w:val="clear" w:color="auto" w:fill="DDDDDD"/>
          </w:tcPr>
          <w:p>
            <w:pPr>
              <w:spacing w:after="0"/>
              <w:rPr>
                <w:sz w:val="19"/>
                <w:szCs w:val="19"/>
                <w:color w:val="auto"/>
              </w:rPr>
            </w:pPr>
          </w:p>
        </w:tc>
        <w:tc>
          <w:tcPr>
            <w:tcW w:w="12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2.34 %</w:t>
            </w:r>
          </w:p>
        </w:tc>
        <w:tc>
          <w:tcPr>
            <w:tcW w:w="120" w:type="dxa"/>
            <w:vAlign w:val="bottom"/>
            <w:shd w:val="clear" w:color="auto" w:fill="DDDDDD"/>
          </w:tcPr>
          <w:p>
            <w:pPr>
              <w:spacing w:after="0"/>
              <w:rPr>
                <w:sz w:val="19"/>
                <w:szCs w:val="19"/>
                <w:color w:val="auto"/>
              </w:rPr>
            </w:pPr>
          </w:p>
        </w:tc>
        <w:tc>
          <w:tcPr>
            <w:tcW w:w="12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2.08 %</w:t>
            </w:r>
          </w:p>
        </w:tc>
      </w:tr>
      <w:tr>
        <w:trPr>
          <w:trHeight w:val="188"/>
        </w:trPr>
        <w:tc>
          <w:tcPr>
            <w:tcW w:w="3080" w:type="dxa"/>
            <w:vAlign w:val="bottom"/>
          </w:tcPr>
          <w:p>
            <w:pPr>
              <w:ind w:left="360"/>
              <w:spacing w:after="0" w:line="189" w:lineRule="exact"/>
              <w:rPr>
                <w:sz w:val="20"/>
                <w:szCs w:val="20"/>
                <w:color w:val="auto"/>
              </w:rPr>
            </w:pPr>
            <w:r>
              <w:rPr>
                <w:rFonts w:ascii="Arial" w:cs="Arial" w:eastAsia="Arial" w:hAnsi="Arial"/>
                <w:sz w:val="18"/>
                <w:szCs w:val="18"/>
                <w:color w:val="auto"/>
              </w:rPr>
              <w:t>Expected rate of return on plan</w:t>
            </w: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7"/>
        </w:trPr>
        <w:tc>
          <w:tcPr>
            <w:tcW w:w="3080" w:type="dxa"/>
            <w:vAlign w:val="bottom"/>
          </w:tcPr>
          <w:p>
            <w:pPr>
              <w:ind w:left="360"/>
              <w:spacing w:after="0"/>
              <w:rPr>
                <w:sz w:val="20"/>
                <w:szCs w:val="20"/>
                <w:color w:val="auto"/>
              </w:rPr>
            </w:pPr>
            <w:r>
              <w:rPr>
                <w:rFonts w:ascii="Arial" w:cs="Arial" w:eastAsia="Arial" w:hAnsi="Arial"/>
                <w:sz w:val="18"/>
                <w:szCs w:val="18"/>
                <w:color w:val="auto"/>
              </w:rPr>
              <w:t>assets</w:t>
            </w:r>
          </w:p>
        </w:tc>
        <w:tc>
          <w:tcPr>
            <w:tcW w:w="1280" w:type="dxa"/>
            <w:vAlign w:val="bottom"/>
          </w:tcPr>
          <w:p>
            <w:pPr>
              <w:jc w:val="right"/>
              <w:spacing w:after="0"/>
              <w:rPr>
                <w:sz w:val="20"/>
                <w:szCs w:val="20"/>
                <w:color w:val="auto"/>
              </w:rPr>
            </w:pPr>
            <w:r>
              <w:rPr>
                <w:rFonts w:ascii="Arial" w:cs="Arial" w:eastAsia="Arial" w:hAnsi="Arial"/>
                <w:sz w:val="18"/>
                <w:szCs w:val="18"/>
                <w:color w:val="auto"/>
              </w:rPr>
              <w:t>6.15 %</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6.75 %</w:t>
            </w:r>
          </w:p>
        </w:tc>
        <w:tc>
          <w:tcPr>
            <w:tcW w:w="10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7.75 %</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4.66 %</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5.14 %</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6.23 %</w:t>
            </w:r>
          </w:p>
        </w:tc>
      </w:tr>
      <w:tr>
        <w:trPr>
          <w:trHeight w:val="188"/>
        </w:trPr>
        <w:tc>
          <w:tcPr>
            <w:tcW w:w="3080" w:type="dxa"/>
            <w:vAlign w:val="bottom"/>
            <w:shd w:val="clear" w:color="auto" w:fill="DDDDDD"/>
          </w:tcPr>
          <w:p>
            <w:pPr>
              <w:ind w:left="360"/>
              <w:spacing w:after="0" w:line="189" w:lineRule="exact"/>
              <w:rPr>
                <w:sz w:val="20"/>
                <w:szCs w:val="20"/>
                <w:color w:val="auto"/>
              </w:rPr>
            </w:pPr>
            <w:r>
              <w:rPr>
                <w:rFonts w:ascii="Arial" w:cs="Arial" w:eastAsia="Arial" w:hAnsi="Arial"/>
                <w:sz w:val="18"/>
                <w:szCs w:val="18"/>
                <w:color w:val="auto"/>
              </w:rPr>
              <w:t>Expected annual rate of</w:t>
            </w:r>
          </w:p>
        </w:tc>
        <w:tc>
          <w:tcPr>
            <w:tcW w:w="12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2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560" w:type="dxa"/>
            <w:vAlign w:val="bottom"/>
            <w:shd w:val="clear" w:color="auto" w:fill="DDDDDD"/>
          </w:tcPr>
          <w:p>
            <w:pPr>
              <w:spacing w:after="0"/>
              <w:rPr>
                <w:sz w:val="16"/>
                <w:szCs w:val="16"/>
                <w:color w:val="auto"/>
              </w:rPr>
            </w:pPr>
          </w:p>
        </w:tc>
        <w:tc>
          <w:tcPr>
            <w:tcW w:w="70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126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126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1260" w:type="dxa"/>
            <w:vAlign w:val="bottom"/>
            <w:shd w:val="clear" w:color="auto" w:fill="DDDDDD"/>
          </w:tcPr>
          <w:p>
            <w:pPr>
              <w:spacing w:after="0"/>
              <w:rPr>
                <w:sz w:val="16"/>
                <w:szCs w:val="16"/>
                <w:color w:val="auto"/>
              </w:rPr>
            </w:pPr>
          </w:p>
        </w:tc>
      </w:tr>
      <w:tr>
        <w:trPr>
          <w:trHeight w:val="217"/>
        </w:trPr>
        <w:tc>
          <w:tcPr>
            <w:tcW w:w="3080" w:type="dxa"/>
            <w:vAlign w:val="bottom"/>
            <w:shd w:val="clear" w:color="auto" w:fill="DDDDDD"/>
          </w:tcPr>
          <w:p>
            <w:pPr>
              <w:ind w:left="360"/>
              <w:spacing w:after="0"/>
              <w:rPr>
                <w:sz w:val="20"/>
                <w:szCs w:val="20"/>
                <w:color w:val="auto"/>
              </w:rPr>
            </w:pPr>
            <w:r>
              <w:rPr>
                <w:rFonts w:ascii="Arial" w:cs="Arial" w:eastAsia="Arial" w:hAnsi="Arial"/>
                <w:sz w:val="18"/>
                <w:szCs w:val="18"/>
                <w:color w:val="auto"/>
              </w:rPr>
              <w:t>compensation increase</w:t>
            </w:r>
          </w:p>
        </w:tc>
        <w:tc>
          <w:tcPr>
            <w:tcW w:w="12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3.25 %</w:t>
            </w:r>
          </w:p>
        </w:tc>
        <w:tc>
          <w:tcPr>
            <w:tcW w:w="100" w:type="dxa"/>
            <w:vAlign w:val="bottom"/>
            <w:shd w:val="clear" w:color="auto" w:fill="DDDDDD"/>
          </w:tcPr>
          <w:p>
            <w:pPr>
              <w:spacing w:after="0"/>
              <w:rPr>
                <w:sz w:val="18"/>
                <w:szCs w:val="18"/>
                <w:color w:val="auto"/>
              </w:rPr>
            </w:pPr>
          </w:p>
        </w:tc>
        <w:tc>
          <w:tcPr>
            <w:tcW w:w="12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3.25 %</w:t>
            </w:r>
          </w:p>
        </w:tc>
        <w:tc>
          <w:tcPr>
            <w:tcW w:w="100" w:type="dxa"/>
            <w:vAlign w:val="bottom"/>
            <w:shd w:val="clear" w:color="auto" w:fill="DDDDDD"/>
          </w:tcPr>
          <w:p>
            <w:pPr>
              <w:spacing w:after="0"/>
              <w:rPr>
                <w:sz w:val="18"/>
                <w:szCs w:val="18"/>
                <w:color w:val="auto"/>
              </w:rPr>
            </w:pPr>
          </w:p>
        </w:tc>
        <w:tc>
          <w:tcPr>
            <w:tcW w:w="1260" w:type="dxa"/>
            <w:vAlign w:val="bottom"/>
            <w:gridSpan w:val="2"/>
            <w:shd w:val="clear" w:color="auto" w:fill="DDDDDD"/>
          </w:tcPr>
          <w:p>
            <w:pPr>
              <w:jc w:val="right"/>
              <w:spacing w:after="0"/>
              <w:rPr>
                <w:sz w:val="20"/>
                <w:szCs w:val="20"/>
                <w:color w:val="auto"/>
              </w:rPr>
            </w:pPr>
            <w:r>
              <w:rPr>
                <w:rFonts w:ascii="Arial" w:cs="Arial" w:eastAsia="Arial" w:hAnsi="Arial"/>
                <w:sz w:val="18"/>
                <w:szCs w:val="18"/>
                <w:color w:val="auto"/>
              </w:rPr>
              <w:t>4.50 %</w:t>
            </w:r>
          </w:p>
        </w:tc>
        <w:tc>
          <w:tcPr>
            <w:tcW w:w="120" w:type="dxa"/>
            <w:vAlign w:val="bottom"/>
            <w:shd w:val="clear" w:color="auto" w:fill="DDDDDD"/>
          </w:tcPr>
          <w:p>
            <w:pPr>
              <w:spacing w:after="0"/>
              <w:rPr>
                <w:sz w:val="18"/>
                <w:szCs w:val="18"/>
                <w:color w:val="auto"/>
              </w:rPr>
            </w:pPr>
          </w:p>
        </w:tc>
        <w:tc>
          <w:tcPr>
            <w:tcW w:w="12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2.47 %</w:t>
            </w:r>
          </w:p>
        </w:tc>
        <w:tc>
          <w:tcPr>
            <w:tcW w:w="120" w:type="dxa"/>
            <w:vAlign w:val="bottom"/>
            <w:shd w:val="clear" w:color="auto" w:fill="DDDDDD"/>
          </w:tcPr>
          <w:p>
            <w:pPr>
              <w:spacing w:after="0"/>
              <w:rPr>
                <w:sz w:val="18"/>
                <w:szCs w:val="18"/>
                <w:color w:val="auto"/>
              </w:rPr>
            </w:pPr>
          </w:p>
        </w:tc>
        <w:tc>
          <w:tcPr>
            <w:tcW w:w="12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2.46 %</w:t>
            </w:r>
          </w:p>
        </w:tc>
        <w:tc>
          <w:tcPr>
            <w:tcW w:w="120" w:type="dxa"/>
            <w:vAlign w:val="bottom"/>
            <w:shd w:val="clear" w:color="auto" w:fill="DDDDDD"/>
          </w:tcPr>
          <w:p>
            <w:pPr>
              <w:spacing w:after="0"/>
              <w:rPr>
                <w:sz w:val="18"/>
                <w:szCs w:val="18"/>
                <w:color w:val="auto"/>
              </w:rPr>
            </w:pPr>
          </w:p>
        </w:tc>
        <w:tc>
          <w:tcPr>
            <w:tcW w:w="12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2.49 %</w:t>
            </w:r>
          </w:p>
        </w:tc>
      </w:tr>
      <w:tr>
        <w:trPr>
          <w:trHeight w:val="736"/>
        </w:trPr>
        <w:tc>
          <w:tcPr>
            <w:tcW w:w="30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Borders>
              <w:bottom w:val="single" w:sz="8" w:color="DC202E"/>
            </w:tcBorders>
          </w:tcPr>
          <w:p>
            <w:pPr>
              <w:spacing w:after="0"/>
              <w:rPr>
                <w:sz w:val="24"/>
                <w:szCs w:val="24"/>
                <w:color w:val="auto"/>
              </w:rPr>
            </w:pPr>
          </w:p>
        </w:tc>
        <w:tc>
          <w:tcPr>
            <w:tcW w:w="120" w:type="dxa"/>
            <w:vAlign w:val="bottom"/>
            <w:tcBorders>
              <w:bottom w:val="single" w:sz="8" w:color="DC202E"/>
            </w:tcBorders>
          </w:tcPr>
          <w:p>
            <w:pPr>
              <w:spacing w:after="0"/>
              <w:rPr>
                <w:sz w:val="24"/>
                <w:szCs w:val="24"/>
                <w:color w:val="auto"/>
              </w:rPr>
            </w:pPr>
          </w:p>
        </w:tc>
        <w:tc>
          <w:tcPr>
            <w:tcW w:w="2760" w:type="dxa"/>
            <w:vAlign w:val="bottom"/>
            <w:tcBorders>
              <w:bottom w:val="single" w:sz="8" w:color="DC202E"/>
            </w:tcBorders>
            <w:gridSpan w:val="4"/>
          </w:tcPr>
          <w:p>
            <w:pPr>
              <w:jc w:val="right"/>
              <w:ind w:right="140"/>
              <w:spacing w:after="0"/>
              <w:rPr>
                <w:sz w:val="20"/>
                <w:szCs w:val="20"/>
                <w:color w:val="auto"/>
              </w:rPr>
            </w:pPr>
            <w:r>
              <w:rPr>
                <w:rFonts w:ascii="Arial" w:cs="Arial" w:eastAsia="Arial" w:hAnsi="Arial"/>
                <w:sz w:val="14"/>
                <w:szCs w:val="14"/>
                <w:b w:val="1"/>
                <w:bCs w:val="1"/>
                <w:color w:val="auto"/>
              </w:rPr>
              <w:t>Other Postretirement Benefits</w:t>
            </w:r>
          </w:p>
        </w:tc>
        <w:tc>
          <w:tcPr>
            <w:tcW w:w="1260" w:type="dxa"/>
            <w:vAlign w:val="bottom"/>
            <w:tcBorders>
              <w:bottom w:val="single" w:sz="8" w:color="DC202E"/>
            </w:tcBorders>
          </w:tcPr>
          <w:p>
            <w:pPr>
              <w:spacing w:after="0"/>
              <w:rPr>
                <w:sz w:val="24"/>
                <w:szCs w:val="24"/>
                <w:color w:val="auto"/>
              </w:rPr>
            </w:pPr>
          </w:p>
        </w:tc>
      </w:tr>
    </w:tbl>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340" w:type="dxa"/>
            <w:vAlign w:val="bottom"/>
            <w:gridSpan w:val="2"/>
          </w:tcPr>
          <w:p>
            <w:pPr>
              <w:ind w:left="7020"/>
              <w:spacing w:after="0"/>
              <w:rPr>
                <w:sz w:val="20"/>
                <w:szCs w:val="20"/>
                <w:color w:val="auto"/>
              </w:rPr>
            </w:pPr>
            <w:r>
              <w:rPr>
                <w:rFonts w:ascii="Arial" w:cs="Arial" w:eastAsia="Arial" w:hAnsi="Arial"/>
                <w:sz w:val="14"/>
                <w:szCs w:val="14"/>
                <w:b w:val="1"/>
                <w:bCs w:val="1"/>
                <w:color w:val="auto"/>
                <w:w w:val="96"/>
              </w:rPr>
              <w:t>2020</w:t>
            </w:r>
          </w:p>
        </w:tc>
        <w:tc>
          <w:tcPr>
            <w:tcW w:w="16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jc w:val="right"/>
              <w:ind w:right="516"/>
              <w:spacing w:after="0"/>
              <w:rPr>
                <w:sz w:val="20"/>
                <w:szCs w:val="20"/>
                <w:color w:val="auto"/>
              </w:rPr>
            </w:pPr>
            <w:r>
              <w:rPr>
                <w:rFonts w:ascii="Arial" w:cs="Arial" w:eastAsia="Arial" w:hAnsi="Arial"/>
                <w:sz w:val="14"/>
                <w:szCs w:val="14"/>
                <w:b w:val="1"/>
                <w:bCs w:val="1"/>
                <w:color w:val="auto"/>
              </w:rPr>
              <w:t>2018</w:t>
            </w:r>
          </w:p>
        </w:tc>
      </w:tr>
      <w:tr>
        <w:trPr>
          <w:trHeight w:val="175"/>
        </w:trPr>
        <w:tc>
          <w:tcPr>
            <w:tcW w:w="6400" w:type="dxa"/>
            <w:vAlign w:val="bottom"/>
            <w:tcBorders>
              <w:top w:val="single" w:sz="8" w:color="DDDDDD"/>
            </w:tcBorders>
            <w:shd w:val="clear" w:color="auto" w:fill="DDDDDD"/>
          </w:tcPr>
          <w:p>
            <w:pPr>
              <w:ind w:left="20"/>
              <w:spacing w:after="0" w:line="175" w:lineRule="exact"/>
              <w:rPr>
                <w:sz w:val="20"/>
                <w:szCs w:val="20"/>
                <w:color w:val="auto"/>
              </w:rPr>
            </w:pPr>
            <w:r>
              <w:rPr>
                <w:rFonts w:ascii="Arial" w:cs="Arial" w:eastAsia="Arial" w:hAnsi="Arial"/>
                <w:sz w:val="18"/>
                <w:szCs w:val="18"/>
                <w:color w:val="auto"/>
              </w:rPr>
              <w:t>Actuarial assumptions used to determine benefit obligations as of December</w:t>
            </w:r>
          </w:p>
        </w:tc>
        <w:tc>
          <w:tcPr>
            <w:tcW w:w="940" w:type="dxa"/>
            <w:vAlign w:val="bottom"/>
            <w:tcBorders>
              <w:top w:val="single" w:sz="8" w:color="DC202E"/>
            </w:tcBorders>
            <w:shd w:val="clear" w:color="auto" w:fill="DDDDDD"/>
          </w:tcPr>
          <w:p>
            <w:pPr>
              <w:spacing w:after="0"/>
              <w:rPr>
                <w:sz w:val="15"/>
                <w:szCs w:val="15"/>
                <w:color w:val="auto"/>
              </w:rPr>
            </w:pPr>
          </w:p>
        </w:tc>
        <w:tc>
          <w:tcPr>
            <w:tcW w:w="600" w:type="dxa"/>
            <w:vAlign w:val="bottom"/>
            <w:tcBorders>
              <w:top w:val="single" w:sz="8" w:color="DC202E"/>
            </w:tcBorders>
            <w:shd w:val="clear" w:color="auto" w:fill="DDDDDD"/>
          </w:tcPr>
          <w:p>
            <w:pPr>
              <w:spacing w:after="0"/>
              <w:rPr>
                <w:sz w:val="15"/>
                <w:szCs w:val="15"/>
                <w:color w:val="auto"/>
              </w:rPr>
            </w:pPr>
          </w:p>
        </w:tc>
        <w:tc>
          <w:tcPr>
            <w:tcW w:w="120" w:type="dxa"/>
            <w:vAlign w:val="bottom"/>
            <w:tcBorders>
              <w:top w:val="single" w:sz="8" w:color="DDDDDD"/>
            </w:tcBorders>
            <w:shd w:val="clear" w:color="auto" w:fill="DDDDDD"/>
          </w:tcPr>
          <w:p>
            <w:pPr>
              <w:spacing w:after="0"/>
              <w:rPr>
                <w:sz w:val="15"/>
                <w:szCs w:val="15"/>
                <w:color w:val="auto"/>
              </w:rPr>
            </w:pPr>
          </w:p>
        </w:tc>
        <w:tc>
          <w:tcPr>
            <w:tcW w:w="940" w:type="dxa"/>
            <w:vAlign w:val="bottom"/>
            <w:tcBorders>
              <w:top w:val="single" w:sz="8" w:color="DC202E"/>
            </w:tcBorders>
            <w:shd w:val="clear" w:color="auto" w:fill="DDDDDD"/>
          </w:tcPr>
          <w:p>
            <w:pPr>
              <w:spacing w:after="0"/>
              <w:rPr>
                <w:sz w:val="15"/>
                <w:szCs w:val="15"/>
                <w:color w:val="auto"/>
              </w:rPr>
            </w:pPr>
          </w:p>
        </w:tc>
        <w:tc>
          <w:tcPr>
            <w:tcW w:w="600" w:type="dxa"/>
            <w:vAlign w:val="bottom"/>
            <w:tcBorders>
              <w:top w:val="single" w:sz="8" w:color="DC202E"/>
            </w:tcBorders>
            <w:shd w:val="clear" w:color="auto" w:fill="DDDDDD"/>
          </w:tcPr>
          <w:p>
            <w:pPr>
              <w:spacing w:after="0"/>
              <w:rPr>
                <w:sz w:val="15"/>
                <w:szCs w:val="15"/>
                <w:color w:val="auto"/>
              </w:rPr>
            </w:pPr>
          </w:p>
        </w:tc>
        <w:tc>
          <w:tcPr>
            <w:tcW w:w="100" w:type="dxa"/>
            <w:vAlign w:val="bottom"/>
            <w:tcBorders>
              <w:top w:val="single" w:sz="8" w:color="DDDDDD"/>
            </w:tcBorders>
            <w:shd w:val="clear" w:color="auto" w:fill="DDDDDD"/>
          </w:tcPr>
          <w:p>
            <w:pPr>
              <w:spacing w:after="0"/>
              <w:rPr>
                <w:sz w:val="15"/>
                <w:szCs w:val="15"/>
                <w:color w:val="auto"/>
              </w:rPr>
            </w:pPr>
          </w:p>
        </w:tc>
        <w:tc>
          <w:tcPr>
            <w:tcW w:w="1540" w:type="dxa"/>
            <w:vAlign w:val="bottom"/>
            <w:tcBorders>
              <w:top w:val="single" w:sz="8" w:color="DC202E"/>
            </w:tcBorders>
            <w:shd w:val="clear" w:color="auto" w:fill="DDDDDD"/>
          </w:tcPr>
          <w:p>
            <w:pPr>
              <w:spacing w:after="0"/>
              <w:rPr>
                <w:sz w:val="15"/>
                <w:szCs w:val="15"/>
                <w:color w:val="auto"/>
              </w:rPr>
            </w:pPr>
          </w:p>
        </w:tc>
      </w:tr>
      <w:tr>
        <w:trPr>
          <w:trHeight w:val="217"/>
        </w:trPr>
        <w:tc>
          <w:tcPr>
            <w:tcW w:w="6400" w:type="dxa"/>
            <w:vAlign w:val="bottom"/>
            <w:shd w:val="clear" w:color="auto" w:fill="DDDDDD"/>
          </w:tcPr>
          <w:p>
            <w:pPr>
              <w:ind w:left="20"/>
              <w:spacing w:after="0"/>
              <w:rPr>
                <w:sz w:val="20"/>
                <w:szCs w:val="20"/>
                <w:color w:val="auto"/>
              </w:rPr>
            </w:pPr>
            <w:r>
              <w:rPr>
                <w:rFonts w:ascii="Arial" w:cs="Arial" w:eastAsia="Arial" w:hAnsi="Arial"/>
                <w:sz w:val="18"/>
                <w:szCs w:val="18"/>
                <w:color w:val="auto"/>
              </w:rPr>
              <w:t>31:</w:t>
            </w:r>
          </w:p>
        </w:tc>
        <w:tc>
          <w:tcPr>
            <w:tcW w:w="940" w:type="dxa"/>
            <w:vAlign w:val="bottom"/>
            <w:shd w:val="clear" w:color="auto" w:fill="DDDDDD"/>
          </w:tcPr>
          <w:p>
            <w:pPr>
              <w:spacing w:after="0"/>
              <w:rPr>
                <w:sz w:val="18"/>
                <w:szCs w:val="18"/>
                <w:color w:val="auto"/>
              </w:rPr>
            </w:pPr>
          </w:p>
        </w:tc>
        <w:tc>
          <w:tcPr>
            <w:tcW w:w="60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940" w:type="dxa"/>
            <w:vAlign w:val="bottom"/>
            <w:shd w:val="clear" w:color="auto" w:fill="DDDDDD"/>
          </w:tcPr>
          <w:p>
            <w:pPr>
              <w:spacing w:after="0"/>
              <w:rPr>
                <w:sz w:val="18"/>
                <w:szCs w:val="18"/>
                <w:color w:val="auto"/>
              </w:rPr>
            </w:pPr>
          </w:p>
        </w:tc>
        <w:tc>
          <w:tcPr>
            <w:tcW w:w="60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540" w:type="dxa"/>
            <w:vAlign w:val="bottom"/>
            <w:shd w:val="clear" w:color="auto" w:fill="DDDDDD"/>
          </w:tcPr>
          <w:p>
            <w:pPr>
              <w:spacing w:after="0"/>
              <w:rPr>
                <w:sz w:val="18"/>
                <w:szCs w:val="18"/>
                <w:color w:val="auto"/>
              </w:rPr>
            </w:pPr>
          </w:p>
        </w:tc>
      </w:tr>
      <w:tr>
        <w:trPr>
          <w:trHeight w:val="229"/>
        </w:trPr>
        <w:tc>
          <w:tcPr>
            <w:tcW w:w="7340" w:type="dxa"/>
            <w:vAlign w:val="bottom"/>
            <w:gridSpan w:val="2"/>
          </w:tcPr>
          <w:p>
            <w:pPr>
              <w:ind w:left="360"/>
              <w:spacing w:after="0"/>
              <w:rPr>
                <w:sz w:val="20"/>
                <w:szCs w:val="20"/>
                <w:color w:val="auto"/>
              </w:rPr>
            </w:pPr>
            <w:r>
              <w:rPr>
                <w:rFonts w:ascii="Arial" w:cs="Arial" w:eastAsia="Arial" w:hAnsi="Arial"/>
                <w:sz w:val="18"/>
                <w:szCs w:val="18"/>
                <w:color w:val="auto"/>
              </w:rPr>
              <w:t>Discount rate</w:t>
            </w:r>
          </w:p>
        </w:tc>
        <w:tc>
          <w:tcPr>
            <w:tcW w:w="600" w:type="dxa"/>
            <w:vAlign w:val="bottom"/>
          </w:tcPr>
          <w:p>
            <w:pPr>
              <w:jc w:val="right"/>
              <w:spacing w:after="0"/>
              <w:rPr>
                <w:sz w:val="20"/>
                <w:szCs w:val="20"/>
                <w:color w:val="auto"/>
              </w:rPr>
            </w:pPr>
            <w:r>
              <w:rPr>
                <w:rFonts w:ascii="Arial" w:cs="Arial" w:eastAsia="Arial" w:hAnsi="Arial"/>
                <w:sz w:val="18"/>
                <w:szCs w:val="18"/>
                <w:color w:val="auto"/>
                <w:w w:val="99"/>
              </w:rPr>
              <w:t>2.20 %</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9"/>
              </w:rPr>
              <w:t>3.03 %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4.07 %</w:t>
            </w:r>
          </w:p>
        </w:tc>
      </w:tr>
      <w:tr>
        <w:trPr>
          <w:trHeight w:val="188"/>
        </w:trPr>
        <w:tc>
          <w:tcPr>
            <w:tcW w:w="7340" w:type="dxa"/>
            <w:vAlign w:val="bottom"/>
            <w:gridSpan w:val="2"/>
            <w:shd w:val="clear" w:color="auto" w:fill="DDDDDD"/>
          </w:tcPr>
          <w:p>
            <w:pPr>
              <w:ind w:left="20"/>
              <w:spacing w:after="0" w:line="189" w:lineRule="exact"/>
              <w:rPr>
                <w:sz w:val="20"/>
                <w:szCs w:val="20"/>
                <w:color w:val="auto"/>
              </w:rPr>
            </w:pPr>
            <w:r>
              <w:rPr>
                <w:rFonts w:ascii="Arial" w:cs="Arial" w:eastAsia="Arial" w:hAnsi="Arial"/>
                <w:sz w:val="18"/>
                <w:szCs w:val="18"/>
                <w:color w:val="auto"/>
              </w:rPr>
              <w:t>Actuarial assumptions used to determine net periodic benefit cost for years</w:t>
            </w:r>
          </w:p>
        </w:tc>
        <w:tc>
          <w:tcPr>
            <w:tcW w:w="60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940" w:type="dxa"/>
            <w:vAlign w:val="bottom"/>
            <w:shd w:val="clear" w:color="auto" w:fill="DDDDDD"/>
          </w:tcPr>
          <w:p>
            <w:pPr>
              <w:spacing w:after="0"/>
              <w:rPr>
                <w:sz w:val="16"/>
                <w:szCs w:val="16"/>
                <w:color w:val="auto"/>
              </w:rPr>
            </w:pPr>
          </w:p>
        </w:tc>
        <w:tc>
          <w:tcPr>
            <w:tcW w:w="6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540" w:type="dxa"/>
            <w:vAlign w:val="bottom"/>
            <w:shd w:val="clear" w:color="auto" w:fill="DDDDDD"/>
          </w:tcPr>
          <w:p>
            <w:pPr>
              <w:spacing w:after="0"/>
              <w:rPr>
                <w:sz w:val="16"/>
                <w:szCs w:val="16"/>
                <w:color w:val="auto"/>
              </w:rPr>
            </w:pPr>
          </w:p>
        </w:tc>
      </w:tr>
      <w:tr>
        <w:trPr>
          <w:trHeight w:val="217"/>
        </w:trPr>
        <w:tc>
          <w:tcPr>
            <w:tcW w:w="7340" w:type="dxa"/>
            <w:vAlign w:val="bottom"/>
            <w:gridSpan w:val="2"/>
            <w:shd w:val="clear" w:color="auto" w:fill="DDDDDD"/>
          </w:tcPr>
          <w:p>
            <w:pPr>
              <w:ind w:left="20"/>
              <w:spacing w:after="0"/>
              <w:rPr>
                <w:sz w:val="20"/>
                <w:szCs w:val="20"/>
                <w:color w:val="auto"/>
              </w:rPr>
            </w:pPr>
            <w:r>
              <w:rPr>
                <w:rFonts w:ascii="Arial" w:cs="Arial" w:eastAsia="Arial" w:hAnsi="Arial"/>
                <w:sz w:val="18"/>
                <w:szCs w:val="18"/>
                <w:color w:val="auto"/>
              </w:rPr>
              <w:t>ended December 31:</w:t>
            </w:r>
          </w:p>
        </w:tc>
        <w:tc>
          <w:tcPr>
            <w:tcW w:w="60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940" w:type="dxa"/>
            <w:vAlign w:val="bottom"/>
            <w:shd w:val="clear" w:color="auto" w:fill="DDDDDD"/>
          </w:tcPr>
          <w:p>
            <w:pPr>
              <w:spacing w:after="0"/>
              <w:rPr>
                <w:sz w:val="18"/>
                <w:szCs w:val="18"/>
                <w:color w:val="auto"/>
              </w:rPr>
            </w:pPr>
          </w:p>
        </w:tc>
        <w:tc>
          <w:tcPr>
            <w:tcW w:w="60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540" w:type="dxa"/>
            <w:vAlign w:val="bottom"/>
            <w:shd w:val="clear" w:color="auto" w:fill="DDDDDD"/>
          </w:tcPr>
          <w:p>
            <w:pPr>
              <w:spacing w:after="0"/>
              <w:rPr>
                <w:sz w:val="18"/>
                <w:szCs w:val="18"/>
                <w:color w:val="auto"/>
              </w:rPr>
            </w:pPr>
          </w:p>
        </w:tc>
      </w:tr>
      <w:tr>
        <w:trPr>
          <w:trHeight w:val="301"/>
        </w:trPr>
        <w:tc>
          <w:tcPr>
            <w:tcW w:w="7340" w:type="dxa"/>
            <w:vAlign w:val="bottom"/>
            <w:gridSpan w:val="2"/>
          </w:tcPr>
          <w:p>
            <w:pPr>
              <w:ind w:left="400"/>
              <w:spacing w:after="0"/>
              <w:rPr>
                <w:sz w:val="20"/>
                <w:szCs w:val="20"/>
                <w:color w:val="auto"/>
              </w:rPr>
            </w:pPr>
            <w:r>
              <w:rPr>
                <w:rFonts w:ascii="Arial" w:cs="Arial" w:eastAsia="Arial" w:hAnsi="Arial"/>
                <w:sz w:val="18"/>
                <w:szCs w:val="18"/>
                <w:color w:val="auto"/>
              </w:rPr>
              <w:t>Discount rate</w:t>
            </w:r>
            <w:r>
              <w:rPr>
                <w:rFonts w:ascii="Arial" w:cs="Arial" w:eastAsia="Arial" w:hAnsi="Arial"/>
                <w:sz w:val="23"/>
                <w:szCs w:val="23"/>
                <w:color w:val="auto"/>
                <w:vertAlign w:val="superscript"/>
              </w:rPr>
              <w:t>(1)</w:t>
            </w:r>
          </w:p>
        </w:tc>
        <w:tc>
          <w:tcPr>
            <w:tcW w:w="600" w:type="dxa"/>
            <w:vAlign w:val="bottom"/>
          </w:tcPr>
          <w:p>
            <w:pPr>
              <w:jc w:val="right"/>
              <w:spacing w:after="0"/>
              <w:rPr>
                <w:sz w:val="20"/>
                <w:szCs w:val="20"/>
                <w:color w:val="auto"/>
              </w:rPr>
            </w:pPr>
            <w:r>
              <w:rPr>
                <w:rFonts w:ascii="Arial" w:cs="Arial" w:eastAsia="Arial" w:hAnsi="Arial"/>
                <w:sz w:val="18"/>
                <w:szCs w:val="18"/>
                <w:color w:val="auto"/>
                <w:w w:val="99"/>
              </w:rPr>
              <w:t>2.36 %</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9"/>
              </w:rPr>
              <w:t>4.07 %</w:t>
            </w:r>
          </w:p>
        </w:tc>
        <w:tc>
          <w:tcPr>
            <w:tcW w:w="10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3.39 %</w:t>
            </w:r>
          </w:p>
        </w:tc>
      </w:tr>
    </w:tbl>
    <w:p>
      <w:pPr>
        <w:spacing w:after="0" w:line="36" w:lineRule="exact"/>
        <w:rPr>
          <w:sz w:val="20"/>
          <w:szCs w:val="20"/>
          <w:color w:val="auto"/>
        </w:rPr>
      </w:pPr>
    </w:p>
    <w:p>
      <w:pPr>
        <w:ind w:left="340" w:hanging="332"/>
        <w:spacing w:after="0" w:line="261" w:lineRule="auto"/>
        <w:tabs>
          <w:tab w:leader="none" w:pos="299"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Discount rate was 3.03% for January 1, 2020 through September 30, 2020. The rate was changed to 2.36% for the remainder of 2020 due to a Plan remeasurement as of October 1, 2020.</w:t>
      </w:r>
    </w:p>
    <w:p>
      <w:pPr>
        <w:spacing w:after="0" w:line="30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discount rate for the Company's U.S. pension and other postretirement benefits plans reflects the current rate at which the associated liabilities could be settled at the measurement date of December 31. To determine discount rates for our U.S. pension and other postretirement benefit plans, we use a modeling process that involves matching the expected cash outflows of our benefit plans to a yield curve constructed from a portfolio of high quality, fixed-income debt instruments. We use the single weighted-average yield of this hypothetical portfolio as a discount rate benchmark. We utilize a full yield curve approach in the estimation of the service and interest cost components of net periodic pension benefit (income) for our significant pension plans. This approach applies the specific spot rates along the yield curve used in the determination of the pension benefit obligation to their underlying projected cash flows and provides a more precise measurement of service and interest costs by improving the correlation between projected cash flows and their corresponding spot rates. For our U.S. pension plans, the single weighted average spot rates used to determine service and interest costs for 2021 are 2.67% and 1.76%. The discount rate used to determine the other postretirement benefit obligation is lower principally due to a shorter expected duration of other postretirement plan obligations as compared to pension plan obligations.</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99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plans to use an expected rate of return on U.S. plan assets of 6.15% for 2021, matching the 6.15% assumption used for 2020. Our asset return assumption is based on historical plan asset returns over varying long-term periods combined with current market conditions and broad asset mix considerations with a focus on long-term trends rather than short-term market conditions. We review the expected rate of return on an annual basis and revise it as appropriate.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For non-U.S. benefit plans actuarial assumptions reflect economic and market factors relevant to each country.</w:t>
      </w:r>
    </w:p>
    <w:p>
      <w:pPr>
        <w:spacing w:after="0" w:line="3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PENSION BENEFITS</w:t>
      </w:r>
    </w:p>
    <w:p>
      <w:pPr>
        <w:spacing w:after="0" w:line="13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amounts relate to the Company's significant pension plans with accumulated benefit obligations exceeding the fair value of plan assets: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00" w:type="dxa"/>
            <w:vAlign w:val="bottom"/>
          </w:tcPr>
          <w:p>
            <w:pPr>
              <w:spacing w:after="0"/>
              <w:rPr>
                <w:sz w:val="17"/>
                <w:szCs w:val="17"/>
                <w:color w:val="auto"/>
              </w:rPr>
            </w:pPr>
          </w:p>
        </w:tc>
        <w:tc>
          <w:tcPr>
            <w:tcW w:w="320" w:type="dxa"/>
            <w:vAlign w:val="bottom"/>
            <w:tcBorders>
              <w:bottom w:val="single" w:sz="8" w:color="DC202E"/>
            </w:tcBorders>
          </w:tcPr>
          <w:p>
            <w:pPr>
              <w:spacing w:after="0"/>
              <w:rPr>
                <w:sz w:val="17"/>
                <w:szCs w:val="17"/>
                <w:color w:val="auto"/>
              </w:rPr>
            </w:pPr>
          </w:p>
        </w:tc>
        <w:tc>
          <w:tcPr>
            <w:tcW w:w="1100" w:type="dxa"/>
            <w:vAlign w:val="bottom"/>
            <w:tcBorders>
              <w:bottom w:val="single" w:sz="8" w:color="DC202E"/>
            </w:tcBorders>
          </w:tcPr>
          <w:p>
            <w:pPr>
              <w:spacing w:after="0"/>
              <w:rPr>
                <w:sz w:val="17"/>
                <w:szCs w:val="17"/>
                <w:color w:val="auto"/>
              </w:rPr>
            </w:pPr>
          </w:p>
        </w:tc>
        <w:tc>
          <w:tcPr>
            <w:tcW w:w="120" w:type="dxa"/>
            <w:vAlign w:val="bottom"/>
            <w:tcBorders>
              <w:bottom w:val="single" w:sz="8" w:color="DC202E"/>
            </w:tcBorders>
          </w:tcPr>
          <w:p>
            <w:pPr>
              <w:spacing w:after="0"/>
              <w:rPr>
                <w:sz w:val="17"/>
                <w:szCs w:val="17"/>
                <w:color w:val="auto"/>
              </w:rPr>
            </w:pPr>
          </w:p>
        </w:tc>
        <w:tc>
          <w:tcPr>
            <w:tcW w:w="420" w:type="dxa"/>
            <w:vAlign w:val="bottom"/>
            <w:tcBorders>
              <w:bottom w:val="single" w:sz="8" w:color="DC202E"/>
            </w:tcBorders>
          </w:tcPr>
          <w:p>
            <w:pPr>
              <w:spacing w:after="0"/>
              <w:rPr>
                <w:sz w:val="17"/>
                <w:szCs w:val="17"/>
                <w:color w:val="auto"/>
              </w:rPr>
            </w:pPr>
          </w:p>
        </w:tc>
        <w:tc>
          <w:tcPr>
            <w:tcW w:w="1600" w:type="dxa"/>
            <w:vAlign w:val="bottom"/>
            <w:tcBorders>
              <w:bottom w:val="single" w:sz="8" w:color="DC202E"/>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DC202E"/>
            </w:tcBorders>
          </w:tcPr>
          <w:p>
            <w:pPr>
              <w:spacing w:after="0"/>
              <w:rPr>
                <w:sz w:val="17"/>
                <w:szCs w:val="17"/>
                <w:color w:val="auto"/>
              </w:rPr>
            </w:pPr>
          </w:p>
        </w:tc>
        <w:tc>
          <w:tcPr>
            <w:tcW w:w="100" w:type="dxa"/>
            <w:vAlign w:val="bottom"/>
            <w:tcBorders>
              <w:bottom w:val="single" w:sz="8" w:color="DC202E"/>
            </w:tcBorders>
          </w:tcPr>
          <w:p>
            <w:pPr>
              <w:spacing w:after="0"/>
              <w:rPr>
                <w:sz w:val="17"/>
                <w:szCs w:val="17"/>
                <w:color w:val="auto"/>
              </w:rPr>
            </w:pPr>
          </w:p>
        </w:tc>
        <w:tc>
          <w:tcPr>
            <w:tcW w:w="520" w:type="dxa"/>
            <w:vAlign w:val="bottom"/>
            <w:tcBorders>
              <w:bottom w:val="single" w:sz="8" w:color="DC202E"/>
            </w:tcBorders>
          </w:tcPr>
          <w:p>
            <w:pPr>
              <w:spacing w:after="0"/>
              <w:rPr>
                <w:sz w:val="17"/>
                <w:szCs w:val="17"/>
                <w:color w:val="auto"/>
              </w:rPr>
            </w:pPr>
          </w:p>
        </w:tc>
        <w:tc>
          <w:tcPr>
            <w:tcW w:w="920" w:type="dxa"/>
            <w:vAlign w:val="bottom"/>
            <w:tcBorders>
              <w:bottom w:val="single" w:sz="8" w:color="DC202E"/>
            </w:tcBorders>
          </w:tcPr>
          <w:p>
            <w:pPr>
              <w:spacing w:after="0"/>
              <w:rPr>
                <w:sz w:val="17"/>
                <w:szCs w:val="17"/>
                <w:color w:val="auto"/>
              </w:rPr>
            </w:pPr>
          </w:p>
        </w:tc>
      </w:tr>
      <w:tr>
        <w:trPr>
          <w:trHeight w:val="236"/>
        </w:trPr>
        <w:tc>
          <w:tcPr>
            <w:tcW w:w="5200" w:type="dxa"/>
            <w:vAlign w:val="bottom"/>
          </w:tcPr>
          <w:p>
            <w:pPr>
              <w:spacing w:after="0"/>
              <w:rPr>
                <w:sz w:val="20"/>
                <w:szCs w:val="20"/>
                <w:color w:val="auto"/>
              </w:rPr>
            </w:pPr>
          </w:p>
        </w:tc>
        <w:tc>
          <w:tcPr>
            <w:tcW w:w="320" w:type="dxa"/>
            <w:vAlign w:val="bottom"/>
            <w:tcBorders>
              <w:bottom w:val="single" w:sz="8" w:color="DC202E"/>
            </w:tcBorders>
          </w:tcPr>
          <w:p>
            <w:pPr>
              <w:spacing w:after="0"/>
              <w:rPr>
                <w:sz w:val="20"/>
                <w:szCs w:val="20"/>
                <w:color w:val="auto"/>
              </w:rPr>
            </w:pPr>
          </w:p>
        </w:tc>
        <w:tc>
          <w:tcPr>
            <w:tcW w:w="1640" w:type="dxa"/>
            <w:vAlign w:val="bottom"/>
            <w:tcBorders>
              <w:bottom w:val="single" w:sz="8" w:color="DC202E"/>
            </w:tcBorders>
            <w:gridSpan w:val="3"/>
          </w:tcPr>
          <w:p>
            <w:pPr>
              <w:jc w:val="right"/>
              <w:ind w:right="50"/>
              <w:spacing w:after="0"/>
              <w:rPr>
                <w:sz w:val="20"/>
                <w:szCs w:val="20"/>
                <w:color w:val="auto"/>
              </w:rPr>
            </w:pPr>
            <w:r>
              <w:rPr>
                <w:rFonts w:ascii="Arial" w:cs="Arial" w:eastAsia="Arial" w:hAnsi="Arial"/>
                <w:sz w:val="14"/>
                <w:szCs w:val="14"/>
                <w:b w:val="1"/>
                <w:bCs w:val="1"/>
                <w:color w:val="auto"/>
              </w:rPr>
              <w:t>U.S. Plans</w:t>
            </w:r>
          </w:p>
        </w:tc>
        <w:tc>
          <w:tcPr>
            <w:tcW w:w="1000" w:type="dxa"/>
            <w:vAlign w:val="bottom"/>
            <w:tcBorders>
              <w:bottom w:val="single" w:sz="8" w:color="DC202E"/>
            </w:tcBorders>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Borders>
              <w:bottom w:val="single" w:sz="8" w:color="DC202E"/>
            </w:tcBorders>
          </w:tcPr>
          <w:p>
            <w:pPr>
              <w:spacing w:after="0"/>
              <w:rPr>
                <w:sz w:val="20"/>
                <w:szCs w:val="20"/>
                <w:color w:val="auto"/>
              </w:rPr>
            </w:pPr>
          </w:p>
        </w:tc>
        <w:tc>
          <w:tcPr>
            <w:tcW w:w="1560" w:type="dxa"/>
            <w:vAlign w:val="bottom"/>
            <w:tcBorders>
              <w:bottom w:val="single" w:sz="8" w:color="DC202E"/>
            </w:tcBorders>
            <w:gridSpan w:val="3"/>
          </w:tcPr>
          <w:p>
            <w:pPr>
              <w:jc w:val="right"/>
              <w:spacing w:after="0"/>
              <w:rPr>
                <w:sz w:val="20"/>
                <w:szCs w:val="20"/>
                <w:color w:val="auto"/>
              </w:rPr>
            </w:pPr>
            <w:r>
              <w:rPr>
                <w:rFonts w:ascii="Arial" w:cs="Arial" w:eastAsia="Arial" w:hAnsi="Arial"/>
                <w:sz w:val="14"/>
                <w:szCs w:val="14"/>
                <w:b w:val="1"/>
                <w:bCs w:val="1"/>
                <w:color w:val="auto"/>
              </w:rPr>
              <w:t>Non-U.S. Plans</w:t>
            </w:r>
          </w:p>
        </w:tc>
        <w:tc>
          <w:tcPr>
            <w:tcW w:w="920" w:type="dxa"/>
            <w:vAlign w:val="bottom"/>
            <w:tcBorders>
              <w:bottom w:val="single" w:sz="8" w:color="DC202E"/>
            </w:tcBorders>
          </w:tcPr>
          <w:p>
            <w:pPr>
              <w:spacing w:after="0"/>
              <w:rPr>
                <w:sz w:val="20"/>
                <w:szCs w:val="20"/>
                <w:color w:val="auto"/>
              </w:rPr>
            </w:pPr>
          </w:p>
        </w:tc>
      </w:tr>
      <w:tr>
        <w:trPr>
          <w:trHeight w:val="358"/>
        </w:trPr>
        <w:tc>
          <w:tcPr>
            <w:tcW w:w="5200" w:type="dxa"/>
            <w:vAlign w:val="bottom"/>
            <w:tcBorders>
              <w:bottom w:val="single" w:sz="8" w:color="DDDDDD"/>
            </w:tcBorders>
          </w:tcPr>
          <w:p>
            <w:pPr>
              <w:spacing w:after="0"/>
              <w:rPr>
                <w:sz w:val="24"/>
                <w:szCs w:val="24"/>
                <w:color w:val="auto"/>
              </w:rPr>
            </w:pPr>
          </w:p>
        </w:tc>
        <w:tc>
          <w:tcPr>
            <w:tcW w:w="320" w:type="dxa"/>
            <w:vAlign w:val="bottom"/>
            <w:tcBorders>
              <w:bottom w:val="single" w:sz="8" w:color="DC202E"/>
            </w:tcBorders>
          </w:tcPr>
          <w:p>
            <w:pPr>
              <w:spacing w:after="0"/>
              <w:rPr>
                <w:sz w:val="24"/>
                <w:szCs w:val="24"/>
                <w:color w:val="auto"/>
              </w:rPr>
            </w:pPr>
          </w:p>
        </w:tc>
        <w:tc>
          <w:tcPr>
            <w:tcW w:w="1100" w:type="dxa"/>
            <w:vAlign w:val="bottom"/>
            <w:tcBorders>
              <w:bottom w:val="single" w:sz="8" w:color="DC202E"/>
            </w:tcBorders>
          </w:tcPr>
          <w:p>
            <w:pPr>
              <w:jc w:val="right"/>
              <w:ind w:right="47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DDDDDD"/>
            </w:tcBorders>
          </w:tcPr>
          <w:p>
            <w:pPr>
              <w:spacing w:after="0"/>
              <w:rPr>
                <w:sz w:val="24"/>
                <w:szCs w:val="24"/>
                <w:color w:val="auto"/>
              </w:rPr>
            </w:pPr>
          </w:p>
        </w:tc>
        <w:tc>
          <w:tcPr>
            <w:tcW w:w="420" w:type="dxa"/>
            <w:vAlign w:val="bottom"/>
            <w:tcBorders>
              <w:bottom w:val="single" w:sz="8" w:color="DC202E"/>
            </w:tcBorders>
          </w:tcPr>
          <w:p>
            <w:pPr>
              <w:spacing w:after="0"/>
              <w:rPr>
                <w:sz w:val="24"/>
                <w:szCs w:val="24"/>
                <w:color w:val="auto"/>
              </w:rPr>
            </w:pPr>
          </w:p>
        </w:tc>
        <w:tc>
          <w:tcPr>
            <w:tcW w:w="1000" w:type="dxa"/>
            <w:vAlign w:val="bottom"/>
            <w:tcBorders>
              <w:bottom w:val="single" w:sz="8" w:color="DC202E"/>
            </w:tcBorders>
          </w:tcPr>
          <w:p>
            <w:pPr>
              <w:jc w:val="right"/>
              <w:ind w:right="47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DDDDDD"/>
            </w:tcBorders>
          </w:tcPr>
          <w:p>
            <w:pPr>
              <w:spacing w:after="0"/>
              <w:rPr>
                <w:sz w:val="24"/>
                <w:szCs w:val="24"/>
                <w:color w:val="auto"/>
              </w:rPr>
            </w:pPr>
          </w:p>
        </w:tc>
        <w:tc>
          <w:tcPr>
            <w:tcW w:w="500" w:type="dxa"/>
            <w:vAlign w:val="bottom"/>
            <w:tcBorders>
              <w:bottom w:val="single" w:sz="8" w:color="DC202E"/>
            </w:tcBorders>
          </w:tcPr>
          <w:p>
            <w:pPr>
              <w:spacing w:after="0"/>
              <w:rPr>
                <w:sz w:val="24"/>
                <w:szCs w:val="24"/>
                <w:color w:val="auto"/>
              </w:rPr>
            </w:pPr>
          </w:p>
        </w:tc>
        <w:tc>
          <w:tcPr>
            <w:tcW w:w="940" w:type="dxa"/>
            <w:vAlign w:val="bottom"/>
            <w:tcBorders>
              <w:bottom w:val="single" w:sz="8" w:color="DC202E"/>
            </w:tcBorders>
          </w:tcPr>
          <w:p>
            <w:pPr>
              <w:jc w:val="right"/>
              <w:ind w:right="47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DDDDDD"/>
            </w:tcBorders>
          </w:tcPr>
          <w:p>
            <w:pPr>
              <w:spacing w:after="0"/>
              <w:rPr>
                <w:sz w:val="24"/>
                <w:szCs w:val="24"/>
                <w:color w:val="auto"/>
              </w:rPr>
            </w:pPr>
          </w:p>
        </w:tc>
        <w:tc>
          <w:tcPr>
            <w:tcW w:w="520" w:type="dxa"/>
            <w:vAlign w:val="bottom"/>
            <w:tcBorders>
              <w:bottom w:val="single" w:sz="8" w:color="DC202E"/>
            </w:tcBorders>
          </w:tcPr>
          <w:p>
            <w:pPr>
              <w:spacing w:after="0"/>
              <w:rPr>
                <w:sz w:val="24"/>
                <w:szCs w:val="24"/>
                <w:color w:val="auto"/>
              </w:rPr>
            </w:pPr>
          </w:p>
        </w:tc>
        <w:tc>
          <w:tcPr>
            <w:tcW w:w="920" w:type="dxa"/>
            <w:vAlign w:val="bottom"/>
            <w:tcBorders>
              <w:bottom w:val="single" w:sz="8" w:color="DC202E"/>
            </w:tcBorders>
          </w:tcPr>
          <w:p>
            <w:pPr>
              <w:jc w:val="right"/>
              <w:ind w:right="475"/>
              <w:spacing w:after="0"/>
              <w:rPr>
                <w:sz w:val="20"/>
                <w:szCs w:val="20"/>
                <w:color w:val="auto"/>
              </w:rPr>
            </w:pPr>
            <w:r>
              <w:rPr>
                <w:rFonts w:ascii="Arial" w:cs="Arial" w:eastAsia="Arial" w:hAnsi="Arial"/>
                <w:sz w:val="14"/>
                <w:szCs w:val="14"/>
                <w:b w:val="1"/>
                <w:bCs w:val="1"/>
                <w:color w:val="auto"/>
              </w:rPr>
              <w:t>2019</w:t>
            </w:r>
          </w:p>
        </w:tc>
      </w:tr>
      <w:tr>
        <w:trPr>
          <w:trHeight w:val="229"/>
        </w:trPr>
        <w:tc>
          <w:tcPr>
            <w:tcW w:w="5200" w:type="dxa"/>
            <w:vAlign w:val="bottom"/>
            <w:shd w:val="clear" w:color="auto" w:fill="DDDDDD"/>
          </w:tcPr>
          <w:p>
            <w:pPr>
              <w:ind w:left="20"/>
              <w:spacing w:after="0"/>
              <w:rPr>
                <w:sz w:val="20"/>
                <w:szCs w:val="20"/>
                <w:color w:val="auto"/>
              </w:rPr>
            </w:pPr>
            <w:r>
              <w:rPr>
                <w:rFonts w:ascii="Arial" w:cs="Arial" w:eastAsia="Arial" w:hAnsi="Arial"/>
                <w:sz w:val="18"/>
                <w:szCs w:val="18"/>
                <w:color w:val="auto"/>
              </w:rPr>
              <w:t>Projected benefit obligation</w:t>
            </w:r>
          </w:p>
        </w:tc>
        <w:tc>
          <w:tcPr>
            <w:tcW w:w="320" w:type="dxa"/>
            <w:vAlign w:val="bottom"/>
            <w:shd w:val="clear" w:color="auto" w:fill="DDDDDD"/>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353</w:t>
            </w:r>
          </w:p>
        </w:tc>
        <w:tc>
          <w:tcPr>
            <w:tcW w:w="120" w:type="dxa"/>
            <w:vAlign w:val="bottom"/>
            <w:shd w:val="clear" w:color="auto" w:fill="DDDDDD"/>
          </w:tcPr>
          <w:p>
            <w:pPr>
              <w:spacing w:after="0"/>
              <w:rPr>
                <w:sz w:val="19"/>
                <w:szCs w:val="19"/>
                <w:color w:val="auto"/>
              </w:rPr>
            </w:pPr>
          </w:p>
        </w:tc>
        <w:tc>
          <w:tcPr>
            <w:tcW w:w="420" w:type="dxa"/>
            <w:vAlign w:val="bottom"/>
            <w:shd w:val="clear" w:color="auto" w:fill="DDDDDD"/>
          </w:tcPr>
          <w:p>
            <w:pPr>
              <w:jc w:val="right"/>
              <w:ind w:right="2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357</w:t>
            </w:r>
          </w:p>
        </w:tc>
        <w:tc>
          <w:tcPr>
            <w:tcW w:w="100" w:type="dxa"/>
            <w:vAlign w:val="bottom"/>
            <w:shd w:val="clear" w:color="auto" w:fill="DDDDDD"/>
          </w:tcPr>
          <w:p>
            <w:pPr>
              <w:spacing w:after="0"/>
              <w:rPr>
                <w:sz w:val="19"/>
                <w:szCs w:val="19"/>
                <w:color w:val="auto"/>
              </w:rPr>
            </w:pPr>
          </w:p>
        </w:tc>
        <w:tc>
          <w:tcPr>
            <w:tcW w:w="500" w:type="dxa"/>
            <w:vAlign w:val="bottom"/>
            <w:shd w:val="clear" w:color="auto" w:fill="DDDDDD"/>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2,116</w:t>
            </w:r>
          </w:p>
        </w:tc>
        <w:tc>
          <w:tcPr>
            <w:tcW w:w="100" w:type="dxa"/>
            <w:vAlign w:val="bottom"/>
            <w:shd w:val="clear" w:color="auto" w:fill="DDDDDD"/>
          </w:tcPr>
          <w:p>
            <w:pPr>
              <w:spacing w:after="0"/>
              <w:rPr>
                <w:sz w:val="19"/>
                <w:szCs w:val="19"/>
                <w:color w:val="auto"/>
              </w:rPr>
            </w:pPr>
          </w:p>
        </w:tc>
        <w:tc>
          <w:tcPr>
            <w:tcW w:w="520" w:type="dxa"/>
            <w:vAlign w:val="bottom"/>
            <w:shd w:val="clear" w:color="auto" w:fill="DDDDDD"/>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1,018</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Accumulated benefit obligation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341</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2,042</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973</w:t>
            </w:r>
          </w:p>
        </w:tc>
      </w:tr>
      <w:tr>
        <w:trPr>
          <w:trHeight w:val="229"/>
        </w:trPr>
        <w:tc>
          <w:tcPr>
            <w:tcW w:w="5200" w:type="dxa"/>
            <w:vAlign w:val="bottom"/>
            <w:shd w:val="clear" w:color="auto" w:fill="DDDDDD"/>
          </w:tcPr>
          <w:p>
            <w:pPr>
              <w:ind w:left="20"/>
              <w:spacing w:after="0"/>
              <w:rPr>
                <w:sz w:val="20"/>
                <w:szCs w:val="20"/>
                <w:color w:val="auto"/>
              </w:rPr>
            </w:pPr>
            <w:r>
              <w:rPr>
                <w:rFonts w:ascii="Arial" w:cs="Arial" w:eastAsia="Arial" w:hAnsi="Arial"/>
                <w:sz w:val="18"/>
                <w:szCs w:val="18"/>
                <w:color w:val="auto"/>
              </w:rPr>
              <w:t>Fair value of plan assets</w:t>
            </w:r>
          </w:p>
        </w:tc>
        <w:tc>
          <w:tcPr>
            <w:tcW w:w="320" w:type="dxa"/>
            <w:vAlign w:val="bottom"/>
            <w:shd w:val="clear" w:color="auto" w:fill="DDDDDD"/>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DDDDDD"/>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shd w:val="clear" w:color="auto" w:fill="DDDDDD"/>
          </w:tcPr>
          <w:p>
            <w:pPr>
              <w:jc w:val="right"/>
              <w:ind w:right="2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DDDDDD"/>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DDDDDD"/>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1,208</w:t>
            </w:r>
          </w:p>
        </w:tc>
        <w:tc>
          <w:tcPr>
            <w:tcW w:w="100" w:type="dxa"/>
            <w:vAlign w:val="bottom"/>
            <w:shd w:val="clear" w:color="auto" w:fill="DDDDDD"/>
          </w:tcPr>
          <w:p>
            <w:pPr>
              <w:spacing w:after="0"/>
              <w:rPr>
                <w:sz w:val="19"/>
                <w:szCs w:val="19"/>
                <w:color w:val="auto"/>
              </w:rPr>
            </w:pPr>
          </w:p>
        </w:tc>
        <w:tc>
          <w:tcPr>
            <w:tcW w:w="520" w:type="dxa"/>
            <w:vAlign w:val="bottom"/>
            <w:shd w:val="clear" w:color="auto" w:fill="DDDDDD"/>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233</w:t>
            </w:r>
          </w:p>
        </w:tc>
      </w:tr>
    </w:tbl>
    <w:p>
      <w:pPr>
        <w:spacing w:after="0" w:line="3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accumulated benefit obligation for the Company's U.S. defined benefit pension plans was $17.9 billion and $17.2 billion and for our Non-U.S. defined benefit pension plans was $7.6 billion and $6.8 billion at December 31, 2020 and 2019.</w:t>
      </w:r>
    </w:p>
    <w:p>
      <w:pPr>
        <w:spacing w:after="0" w:line="9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Company's asset investment strategy for our U.S. pension plans focuses on maintaining a diversified portfolio using various asset classes in order to achieve our long-term investment objectives on a risk adjusted basis. During 2020, we continued to employ a de-risking strategy which increases the matching characteristics of our assets relative to our obligation. Our long-term target allocations are as follows: 55%-70% fixed income securities and cash, 25%-40% equity securities, 5%-10% real estate investments, and 10%-20% other types of investments. Equity securities include publicly-traded stock of companies located both inside and outside the United States. Fixed income securities include corporate bonds of companies from diversified industries, mortgage-backed securities, and U.S. Treasuries. Real estate investments include direct investments in commercial properties and investments in real estate funds. Other types of investments include investments in private equity and hedge funds that follow several different strategies. We review our assets on a regular basis to ensure that we are within the targeted asset allocation ranges and, if necessary, asset balances are adjusted back within target allocations.</w:t>
      </w:r>
    </w:p>
    <w:p>
      <w:pPr>
        <w:spacing w:after="0" w:line="1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non-U.S. pension assets are typically managed by decentralized fiduciary committees with the Honeywell Corporate Investments group providing funding and investment guidance. Our non-U.S. investment policies are different for each country as local regulations, funding requirements, and financial and tax considerations are part of the funding and investment allocation process in each country.</w:t>
      </w:r>
    </w:p>
    <w:p>
      <w:pPr>
        <w:spacing w:after="0" w:line="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accordance with ASU 2015-07, “Fair Value Measurement (Topic 820)”, certain investments that are measured at fair value using the net asset value (NAV) per share (or its equivalent) practical expedient have not been classified in the fair value hierarchy. The fair value amounts presented in the following tables are intended to permit reconciliation of the fair value hierarchy to the amounts presented for the total pension benefits plan assets.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100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both the Company's U.S. and non-U.S. pension plans assets by asset category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00" w:type="dxa"/>
            <w:vAlign w:val="bottom"/>
          </w:tcPr>
          <w:p>
            <w:pPr>
              <w:spacing w:after="0"/>
              <w:rPr>
                <w:sz w:val="17"/>
                <w:szCs w:val="17"/>
                <w:color w:val="auto"/>
              </w:rPr>
            </w:pPr>
          </w:p>
        </w:tc>
        <w:tc>
          <w:tcPr>
            <w:tcW w:w="320" w:type="dxa"/>
            <w:vAlign w:val="bottom"/>
            <w:tcBorders>
              <w:bottom w:val="single" w:sz="8" w:color="DC202E"/>
            </w:tcBorders>
          </w:tcPr>
          <w:p>
            <w:pPr>
              <w:spacing w:after="0"/>
              <w:rPr>
                <w:sz w:val="17"/>
                <w:szCs w:val="17"/>
                <w:color w:val="auto"/>
              </w:rPr>
            </w:pPr>
          </w:p>
        </w:tc>
        <w:tc>
          <w:tcPr>
            <w:tcW w:w="1100" w:type="dxa"/>
            <w:vAlign w:val="bottom"/>
            <w:tcBorders>
              <w:bottom w:val="single" w:sz="8" w:color="DC202E"/>
            </w:tcBorders>
          </w:tcPr>
          <w:p>
            <w:pPr>
              <w:spacing w:after="0"/>
              <w:rPr>
                <w:sz w:val="17"/>
                <w:szCs w:val="17"/>
                <w:color w:val="auto"/>
              </w:rPr>
            </w:pPr>
          </w:p>
        </w:tc>
        <w:tc>
          <w:tcPr>
            <w:tcW w:w="120" w:type="dxa"/>
            <w:vAlign w:val="bottom"/>
            <w:tcBorders>
              <w:bottom w:val="single" w:sz="8" w:color="DC202E"/>
            </w:tcBorders>
          </w:tcPr>
          <w:p>
            <w:pPr>
              <w:spacing w:after="0"/>
              <w:rPr>
                <w:sz w:val="17"/>
                <w:szCs w:val="17"/>
                <w:color w:val="auto"/>
              </w:rPr>
            </w:pPr>
          </w:p>
        </w:tc>
        <w:tc>
          <w:tcPr>
            <w:tcW w:w="280" w:type="dxa"/>
            <w:vAlign w:val="bottom"/>
            <w:tcBorders>
              <w:bottom w:val="single" w:sz="8" w:color="DC202E"/>
            </w:tcBorders>
          </w:tcPr>
          <w:p>
            <w:pPr>
              <w:spacing w:after="0"/>
              <w:rPr>
                <w:sz w:val="17"/>
                <w:szCs w:val="17"/>
                <w:color w:val="auto"/>
              </w:rPr>
            </w:pPr>
          </w:p>
        </w:tc>
        <w:tc>
          <w:tcPr>
            <w:tcW w:w="1640" w:type="dxa"/>
            <w:vAlign w:val="bottom"/>
            <w:tcBorders>
              <w:bottom w:val="single" w:sz="8" w:color="DC202E"/>
            </w:tcBorders>
            <w:gridSpan w:val="3"/>
          </w:tcPr>
          <w:p>
            <w:pPr>
              <w:jc w:val="center"/>
              <w:ind w:left="654"/>
              <w:spacing w:after="0"/>
              <w:rPr>
                <w:sz w:val="20"/>
                <w:szCs w:val="20"/>
                <w:color w:val="auto"/>
              </w:rPr>
            </w:pPr>
            <w:r>
              <w:rPr>
                <w:rFonts w:ascii="Arial" w:cs="Arial" w:eastAsia="Arial" w:hAnsi="Arial"/>
                <w:sz w:val="14"/>
                <w:szCs w:val="14"/>
                <w:b w:val="1"/>
                <w:bCs w:val="1"/>
                <w:color w:val="auto"/>
              </w:rPr>
              <w:t>U.S. Plans</w:t>
            </w:r>
          </w:p>
        </w:tc>
        <w:tc>
          <w:tcPr>
            <w:tcW w:w="1040" w:type="dxa"/>
            <w:vAlign w:val="bottom"/>
            <w:tcBorders>
              <w:bottom w:val="single" w:sz="8" w:color="DC202E"/>
            </w:tcBorders>
          </w:tcPr>
          <w:p>
            <w:pPr>
              <w:spacing w:after="0"/>
              <w:rPr>
                <w:sz w:val="17"/>
                <w:szCs w:val="17"/>
                <w:color w:val="auto"/>
              </w:rPr>
            </w:pPr>
          </w:p>
        </w:tc>
        <w:tc>
          <w:tcPr>
            <w:tcW w:w="100" w:type="dxa"/>
            <w:vAlign w:val="bottom"/>
            <w:tcBorders>
              <w:bottom w:val="single" w:sz="8" w:color="DC202E"/>
            </w:tcBorders>
          </w:tcPr>
          <w:p>
            <w:pPr>
              <w:spacing w:after="0"/>
              <w:rPr>
                <w:sz w:val="17"/>
                <w:szCs w:val="17"/>
                <w:color w:val="auto"/>
              </w:rPr>
            </w:pPr>
          </w:p>
        </w:tc>
        <w:tc>
          <w:tcPr>
            <w:tcW w:w="300" w:type="dxa"/>
            <w:vAlign w:val="bottom"/>
            <w:tcBorders>
              <w:bottom w:val="single" w:sz="8" w:color="DC202E"/>
            </w:tcBorders>
          </w:tcPr>
          <w:p>
            <w:pPr>
              <w:spacing w:after="0"/>
              <w:rPr>
                <w:sz w:val="17"/>
                <w:szCs w:val="17"/>
                <w:color w:val="auto"/>
              </w:rPr>
            </w:pPr>
          </w:p>
        </w:tc>
        <w:tc>
          <w:tcPr>
            <w:tcW w:w="1140" w:type="dxa"/>
            <w:vAlign w:val="bottom"/>
            <w:tcBorders>
              <w:bottom w:val="single" w:sz="8" w:color="DC202E"/>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0" w:type="dxa"/>
            <w:vAlign w:val="bottom"/>
          </w:tcPr>
          <w:p>
            <w:pPr>
              <w:spacing w:after="0"/>
              <w:rPr>
                <w:sz w:val="17"/>
                <w:szCs w:val="17"/>
                <w:color w:val="auto"/>
              </w:rPr>
            </w:pPr>
          </w:p>
        </w:tc>
        <w:tc>
          <w:tcPr>
            <w:tcW w:w="320" w:type="dxa"/>
            <w:vAlign w:val="bottom"/>
            <w:tcBorders>
              <w:bottom w:val="single" w:sz="8" w:color="DC202E"/>
            </w:tcBorders>
          </w:tcPr>
          <w:p>
            <w:pPr>
              <w:spacing w:after="0"/>
              <w:rPr>
                <w:sz w:val="17"/>
                <w:szCs w:val="17"/>
                <w:color w:val="auto"/>
              </w:rPr>
            </w:pPr>
          </w:p>
        </w:tc>
        <w:tc>
          <w:tcPr>
            <w:tcW w:w="1100" w:type="dxa"/>
            <w:vAlign w:val="bottom"/>
            <w:tcBorders>
              <w:bottom w:val="single" w:sz="8" w:color="DC202E"/>
            </w:tcBorders>
          </w:tcPr>
          <w:p>
            <w:pPr>
              <w:spacing w:after="0"/>
              <w:rPr>
                <w:sz w:val="17"/>
                <w:szCs w:val="17"/>
                <w:color w:val="auto"/>
              </w:rPr>
            </w:pPr>
          </w:p>
        </w:tc>
        <w:tc>
          <w:tcPr>
            <w:tcW w:w="120" w:type="dxa"/>
            <w:vAlign w:val="bottom"/>
            <w:tcBorders>
              <w:bottom w:val="single" w:sz="8" w:color="DC202E"/>
            </w:tcBorders>
          </w:tcPr>
          <w:p>
            <w:pPr>
              <w:spacing w:after="0"/>
              <w:rPr>
                <w:sz w:val="17"/>
                <w:szCs w:val="17"/>
                <w:color w:val="auto"/>
              </w:rPr>
            </w:pPr>
          </w:p>
        </w:tc>
        <w:tc>
          <w:tcPr>
            <w:tcW w:w="280" w:type="dxa"/>
            <w:vAlign w:val="bottom"/>
            <w:tcBorders>
              <w:bottom w:val="single" w:sz="8" w:color="DC202E"/>
            </w:tcBorders>
          </w:tcPr>
          <w:p>
            <w:pPr>
              <w:spacing w:after="0"/>
              <w:rPr>
                <w:sz w:val="17"/>
                <w:szCs w:val="17"/>
                <w:color w:val="auto"/>
              </w:rPr>
            </w:pPr>
          </w:p>
        </w:tc>
        <w:tc>
          <w:tcPr>
            <w:tcW w:w="2780" w:type="dxa"/>
            <w:vAlign w:val="bottom"/>
            <w:tcBorders>
              <w:bottom w:val="single" w:sz="8" w:color="DC202E"/>
            </w:tcBorders>
            <w:gridSpan w:val="5"/>
          </w:tcPr>
          <w:p>
            <w:pPr>
              <w:jc w:val="center"/>
              <w:ind w:right="400"/>
              <w:spacing w:after="0"/>
              <w:rPr>
                <w:sz w:val="20"/>
                <w:szCs w:val="20"/>
                <w:color w:val="auto"/>
              </w:rPr>
            </w:pPr>
            <w:r>
              <w:rPr>
                <w:rFonts w:ascii="Arial" w:cs="Arial" w:eastAsia="Arial" w:hAnsi="Arial"/>
                <w:sz w:val="14"/>
                <w:szCs w:val="14"/>
                <w:b w:val="1"/>
                <w:bCs w:val="1"/>
                <w:color w:val="auto"/>
              </w:rPr>
              <w:t>December 31, 2020</w:t>
            </w:r>
          </w:p>
        </w:tc>
        <w:tc>
          <w:tcPr>
            <w:tcW w:w="300" w:type="dxa"/>
            <w:vAlign w:val="bottom"/>
            <w:tcBorders>
              <w:bottom w:val="single" w:sz="8" w:color="DC202E"/>
            </w:tcBorders>
          </w:tcPr>
          <w:p>
            <w:pPr>
              <w:spacing w:after="0"/>
              <w:rPr>
                <w:sz w:val="17"/>
                <w:szCs w:val="17"/>
                <w:color w:val="auto"/>
              </w:rPr>
            </w:pPr>
          </w:p>
        </w:tc>
        <w:tc>
          <w:tcPr>
            <w:tcW w:w="1140" w:type="dxa"/>
            <w:vAlign w:val="bottom"/>
            <w:tcBorders>
              <w:bottom w:val="single" w:sz="8" w:color="DC202E"/>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451"/>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400" w:type="dxa"/>
            <w:vAlign w:val="bottom"/>
          </w:tcPr>
          <w:p>
            <w:pPr>
              <w:spacing w:after="0"/>
              <w:rPr>
                <w:sz w:val="17"/>
                <w:szCs w:val="17"/>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7"/>
                <w:szCs w:val="17"/>
                <w:color w:val="auto"/>
              </w:rPr>
            </w:pPr>
          </w:p>
        </w:tc>
        <w:tc>
          <w:tcPr>
            <w:tcW w:w="1140" w:type="dxa"/>
            <w:vAlign w:val="bottom"/>
          </w:tcPr>
          <w:p>
            <w:pPr>
              <w:jc w:val="right"/>
              <w:ind w:right="392"/>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16"/>
        </w:trPr>
        <w:tc>
          <w:tcPr>
            <w:tcW w:w="5200" w:type="dxa"/>
            <w:vAlign w:val="bottom"/>
            <w:tcBorders>
              <w:top w:val="single" w:sz="8" w:color="DDDDDD"/>
            </w:tcBorders>
            <w:shd w:val="clear" w:color="auto" w:fill="DDDDDD"/>
          </w:tcPr>
          <w:p>
            <w:pPr>
              <w:ind w:left="20"/>
              <w:spacing w:after="0"/>
              <w:rPr>
                <w:sz w:val="20"/>
                <w:szCs w:val="20"/>
                <w:color w:val="auto"/>
              </w:rPr>
            </w:pPr>
            <w:r>
              <w:rPr>
                <w:rFonts w:ascii="Arial" w:cs="Arial" w:eastAsia="Arial" w:hAnsi="Arial"/>
                <w:sz w:val="18"/>
                <w:szCs w:val="18"/>
                <w:color w:val="auto"/>
              </w:rPr>
              <w:t>Equities:</w:t>
            </w:r>
          </w:p>
        </w:tc>
        <w:tc>
          <w:tcPr>
            <w:tcW w:w="320" w:type="dxa"/>
            <w:vAlign w:val="bottom"/>
            <w:tcBorders>
              <w:top w:val="single" w:sz="8" w:color="DC202E"/>
            </w:tcBorders>
            <w:shd w:val="clear" w:color="auto" w:fill="DDDDDD"/>
          </w:tcPr>
          <w:p>
            <w:pPr>
              <w:spacing w:after="0"/>
              <w:rPr>
                <w:sz w:val="18"/>
                <w:szCs w:val="18"/>
                <w:color w:val="auto"/>
              </w:rPr>
            </w:pPr>
          </w:p>
        </w:tc>
        <w:tc>
          <w:tcPr>
            <w:tcW w:w="1100" w:type="dxa"/>
            <w:vAlign w:val="bottom"/>
            <w:tcBorders>
              <w:top w:val="single" w:sz="8" w:color="DC202E"/>
            </w:tcBorders>
            <w:shd w:val="clear" w:color="auto" w:fill="DDDDDD"/>
          </w:tcPr>
          <w:p>
            <w:pPr>
              <w:spacing w:after="0"/>
              <w:rPr>
                <w:sz w:val="18"/>
                <w:szCs w:val="18"/>
                <w:color w:val="auto"/>
              </w:rPr>
            </w:pPr>
          </w:p>
        </w:tc>
        <w:tc>
          <w:tcPr>
            <w:tcW w:w="120" w:type="dxa"/>
            <w:vAlign w:val="bottom"/>
            <w:tcBorders>
              <w:top w:val="single" w:sz="8" w:color="DDDDDD"/>
            </w:tcBorders>
            <w:shd w:val="clear" w:color="auto" w:fill="DDDDDD"/>
          </w:tcPr>
          <w:p>
            <w:pPr>
              <w:spacing w:after="0"/>
              <w:rPr>
                <w:sz w:val="18"/>
                <w:szCs w:val="18"/>
                <w:color w:val="auto"/>
              </w:rPr>
            </w:pPr>
          </w:p>
        </w:tc>
        <w:tc>
          <w:tcPr>
            <w:tcW w:w="280" w:type="dxa"/>
            <w:vAlign w:val="bottom"/>
            <w:tcBorders>
              <w:top w:val="single" w:sz="8" w:color="DC202E"/>
            </w:tcBorders>
            <w:shd w:val="clear" w:color="auto" w:fill="DDDDDD"/>
          </w:tcPr>
          <w:p>
            <w:pPr>
              <w:spacing w:after="0"/>
              <w:rPr>
                <w:sz w:val="18"/>
                <w:szCs w:val="18"/>
                <w:color w:val="auto"/>
              </w:rPr>
            </w:pPr>
          </w:p>
        </w:tc>
        <w:tc>
          <w:tcPr>
            <w:tcW w:w="1140" w:type="dxa"/>
            <w:vAlign w:val="bottom"/>
            <w:tcBorders>
              <w:top w:val="single" w:sz="8" w:color="DC202E"/>
            </w:tcBorders>
            <w:shd w:val="clear" w:color="auto" w:fill="DDDDDD"/>
          </w:tcPr>
          <w:p>
            <w:pPr>
              <w:spacing w:after="0"/>
              <w:rPr>
                <w:sz w:val="18"/>
                <w:szCs w:val="18"/>
                <w:color w:val="auto"/>
              </w:rPr>
            </w:pPr>
          </w:p>
        </w:tc>
        <w:tc>
          <w:tcPr>
            <w:tcW w:w="100" w:type="dxa"/>
            <w:vAlign w:val="bottom"/>
            <w:tcBorders>
              <w:top w:val="single" w:sz="8" w:color="DDDDDD"/>
            </w:tcBorders>
            <w:shd w:val="clear" w:color="auto" w:fill="DDDDDD"/>
          </w:tcPr>
          <w:p>
            <w:pPr>
              <w:spacing w:after="0"/>
              <w:rPr>
                <w:sz w:val="18"/>
                <w:szCs w:val="18"/>
                <w:color w:val="auto"/>
              </w:rPr>
            </w:pPr>
          </w:p>
        </w:tc>
        <w:tc>
          <w:tcPr>
            <w:tcW w:w="400" w:type="dxa"/>
            <w:vAlign w:val="bottom"/>
            <w:tcBorders>
              <w:top w:val="single" w:sz="8" w:color="DC202E"/>
            </w:tcBorders>
            <w:shd w:val="clear" w:color="auto" w:fill="DDDDDD"/>
          </w:tcPr>
          <w:p>
            <w:pPr>
              <w:spacing w:after="0"/>
              <w:rPr>
                <w:sz w:val="18"/>
                <w:szCs w:val="18"/>
                <w:color w:val="auto"/>
              </w:rPr>
            </w:pPr>
          </w:p>
        </w:tc>
        <w:tc>
          <w:tcPr>
            <w:tcW w:w="1040" w:type="dxa"/>
            <w:vAlign w:val="bottom"/>
            <w:tcBorders>
              <w:top w:val="single" w:sz="8" w:color="DC202E"/>
            </w:tcBorders>
            <w:shd w:val="clear" w:color="auto" w:fill="DDDDDD"/>
          </w:tcPr>
          <w:p>
            <w:pPr>
              <w:spacing w:after="0"/>
              <w:rPr>
                <w:sz w:val="18"/>
                <w:szCs w:val="18"/>
                <w:color w:val="auto"/>
              </w:rPr>
            </w:pPr>
          </w:p>
        </w:tc>
        <w:tc>
          <w:tcPr>
            <w:tcW w:w="100" w:type="dxa"/>
            <w:vAlign w:val="bottom"/>
            <w:tcBorders>
              <w:top w:val="single" w:sz="8" w:color="DDDDDD"/>
            </w:tcBorders>
            <w:shd w:val="clear" w:color="auto" w:fill="DDDDDD"/>
          </w:tcPr>
          <w:p>
            <w:pPr>
              <w:spacing w:after="0"/>
              <w:rPr>
                <w:sz w:val="18"/>
                <w:szCs w:val="18"/>
                <w:color w:val="auto"/>
              </w:rPr>
            </w:pPr>
          </w:p>
        </w:tc>
        <w:tc>
          <w:tcPr>
            <w:tcW w:w="300" w:type="dxa"/>
            <w:vAlign w:val="bottom"/>
            <w:tcBorders>
              <w:top w:val="single" w:sz="8" w:color="DC202E"/>
            </w:tcBorders>
            <w:shd w:val="clear" w:color="auto" w:fill="DDDDDD"/>
          </w:tcPr>
          <w:p>
            <w:pPr>
              <w:spacing w:after="0"/>
              <w:rPr>
                <w:sz w:val="18"/>
                <w:szCs w:val="18"/>
                <w:color w:val="auto"/>
              </w:rPr>
            </w:pPr>
          </w:p>
        </w:tc>
        <w:tc>
          <w:tcPr>
            <w:tcW w:w="1140" w:type="dxa"/>
            <w:vAlign w:val="bottom"/>
            <w:tcBorders>
              <w:top w:val="single" w:sz="8" w:color="DC202E"/>
            </w:tcBorders>
            <w:shd w:val="clear" w:color="auto" w:fill="DDDDDD"/>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360"/>
              <w:spacing w:after="0"/>
              <w:rPr>
                <w:sz w:val="20"/>
                <w:szCs w:val="20"/>
                <w:color w:val="auto"/>
              </w:rPr>
            </w:pPr>
            <w:r>
              <w:rPr>
                <w:rFonts w:ascii="Arial" w:cs="Arial" w:eastAsia="Arial" w:hAnsi="Arial"/>
                <w:sz w:val="18"/>
                <w:szCs w:val="18"/>
                <w:color w:val="auto"/>
              </w:rPr>
              <w:t>Honeywell common stock</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3,319</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3,319</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shd w:val="clear" w:color="auto" w:fill="DDDDDD"/>
          </w:tcPr>
          <w:p>
            <w:pPr>
              <w:ind w:left="360"/>
              <w:spacing w:after="0"/>
              <w:rPr>
                <w:sz w:val="20"/>
                <w:szCs w:val="20"/>
                <w:color w:val="auto"/>
              </w:rPr>
            </w:pPr>
            <w:r>
              <w:rPr>
                <w:rFonts w:ascii="Arial" w:cs="Arial" w:eastAsia="Arial" w:hAnsi="Arial"/>
                <w:sz w:val="18"/>
                <w:szCs w:val="18"/>
                <w:color w:val="auto"/>
              </w:rPr>
              <w:t>U.S. equities</w:t>
            </w:r>
          </w:p>
        </w:tc>
        <w:tc>
          <w:tcPr>
            <w:tcW w:w="32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DDDDD"/>
          </w:tcPr>
          <w:p>
            <w:pPr>
              <w:spacing w:after="0"/>
              <w:rPr>
                <w:sz w:val="19"/>
                <w:szCs w:val="19"/>
                <w:color w:val="auto"/>
              </w:rPr>
            </w:pPr>
          </w:p>
        </w:tc>
        <w:tc>
          <w:tcPr>
            <w:tcW w:w="280" w:type="dxa"/>
            <w:vAlign w:val="bottom"/>
            <w:shd w:val="clear" w:color="auto" w:fill="DDDDDD"/>
          </w:tcPr>
          <w:p>
            <w:pPr>
              <w:spacing w:after="0"/>
              <w:rPr>
                <w:sz w:val="19"/>
                <w:szCs w:val="19"/>
                <w:color w:val="auto"/>
              </w:rPr>
            </w:pPr>
          </w:p>
        </w:tc>
        <w:tc>
          <w:tcPr>
            <w:tcW w:w="1240" w:type="dxa"/>
            <w:vAlign w:val="bottom"/>
            <w:gridSpan w:val="2"/>
            <w:shd w:val="clear" w:color="auto" w:fill="DDDDDD"/>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DDDDDD"/>
          </w:tcPr>
          <w:p>
            <w:pPr>
              <w:spacing w:after="0"/>
              <w:rPr>
                <w:sz w:val="19"/>
                <w:szCs w:val="19"/>
                <w:color w:val="auto"/>
              </w:rPr>
            </w:pPr>
          </w:p>
        </w:tc>
        <w:tc>
          <w:tcPr>
            <w:tcW w:w="1140" w:type="dxa"/>
            <w:vAlign w:val="bottom"/>
            <w:gridSpan w:val="2"/>
            <w:shd w:val="clear" w:color="auto" w:fill="DDDDDD"/>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DDDDDD"/>
          </w:tcPr>
          <w:p>
            <w:pPr>
              <w:spacing w:after="0"/>
              <w:rPr>
                <w:sz w:val="19"/>
                <w:szCs w:val="19"/>
                <w:color w:val="auto"/>
              </w:rPr>
            </w:pPr>
          </w:p>
        </w:tc>
        <w:tc>
          <w:tcPr>
            <w:tcW w:w="11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Fixed income:</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DDDDDD"/>
          </w:tcPr>
          <w:p>
            <w:pPr>
              <w:ind w:left="360"/>
              <w:spacing w:after="0"/>
              <w:rPr>
                <w:sz w:val="20"/>
                <w:szCs w:val="20"/>
                <w:color w:val="auto"/>
              </w:rPr>
            </w:pPr>
            <w:r>
              <w:rPr>
                <w:rFonts w:ascii="Arial" w:cs="Arial" w:eastAsia="Arial" w:hAnsi="Arial"/>
                <w:sz w:val="18"/>
                <w:szCs w:val="18"/>
                <w:color w:val="auto"/>
              </w:rPr>
              <w:t>Short term investments</w:t>
            </w:r>
          </w:p>
        </w:tc>
        <w:tc>
          <w:tcPr>
            <w:tcW w:w="32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1,314</w:t>
            </w:r>
          </w:p>
        </w:tc>
        <w:tc>
          <w:tcPr>
            <w:tcW w:w="120" w:type="dxa"/>
            <w:vAlign w:val="bottom"/>
            <w:shd w:val="clear" w:color="auto" w:fill="DDDDDD"/>
          </w:tcPr>
          <w:p>
            <w:pPr>
              <w:spacing w:after="0"/>
              <w:rPr>
                <w:sz w:val="19"/>
                <w:szCs w:val="19"/>
                <w:color w:val="auto"/>
              </w:rPr>
            </w:pPr>
          </w:p>
        </w:tc>
        <w:tc>
          <w:tcPr>
            <w:tcW w:w="280" w:type="dxa"/>
            <w:vAlign w:val="bottom"/>
            <w:shd w:val="clear" w:color="auto" w:fill="DDDDDD"/>
          </w:tcPr>
          <w:p>
            <w:pPr>
              <w:spacing w:after="0"/>
              <w:rPr>
                <w:sz w:val="19"/>
                <w:szCs w:val="19"/>
                <w:color w:val="auto"/>
              </w:rPr>
            </w:pPr>
          </w:p>
        </w:tc>
        <w:tc>
          <w:tcPr>
            <w:tcW w:w="11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1,314</w:t>
            </w:r>
          </w:p>
        </w:tc>
        <w:tc>
          <w:tcPr>
            <w:tcW w:w="100" w:type="dxa"/>
            <w:vAlign w:val="bottom"/>
            <w:shd w:val="clear" w:color="auto" w:fill="DDDDDD"/>
          </w:tcPr>
          <w:p>
            <w:pPr>
              <w:spacing w:after="0"/>
              <w:rPr>
                <w:sz w:val="19"/>
                <w:szCs w:val="19"/>
                <w:color w:val="auto"/>
              </w:rPr>
            </w:pPr>
          </w:p>
        </w:tc>
        <w:tc>
          <w:tcPr>
            <w:tcW w:w="400" w:type="dxa"/>
            <w:vAlign w:val="bottom"/>
            <w:shd w:val="clear" w:color="auto" w:fill="DDDDDD"/>
          </w:tcPr>
          <w:p>
            <w:pPr>
              <w:spacing w:after="0"/>
              <w:rPr>
                <w:sz w:val="19"/>
                <w:szCs w:val="19"/>
                <w:color w:val="auto"/>
              </w:rPr>
            </w:pPr>
          </w:p>
        </w:tc>
        <w:tc>
          <w:tcPr>
            <w:tcW w:w="1140" w:type="dxa"/>
            <w:vAlign w:val="bottom"/>
            <w:gridSpan w:val="2"/>
            <w:shd w:val="clear" w:color="auto" w:fill="DDDDDD"/>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DDDDDD"/>
          </w:tcPr>
          <w:p>
            <w:pPr>
              <w:spacing w:after="0"/>
              <w:rPr>
                <w:sz w:val="19"/>
                <w:szCs w:val="19"/>
                <w:color w:val="auto"/>
              </w:rPr>
            </w:pPr>
          </w:p>
        </w:tc>
        <w:tc>
          <w:tcPr>
            <w:tcW w:w="11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tcPr>
          <w:p>
            <w:pPr>
              <w:ind w:left="360"/>
              <w:spacing w:after="0"/>
              <w:rPr>
                <w:sz w:val="20"/>
                <w:szCs w:val="20"/>
                <w:color w:val="auto"/>
              </w:rPr>
            </w:pPr>
            <w:r>
              <w:rPr>
                <w:rFonts w:ascii="Arial" w:cs="Arial" w:eastAsia="Arial" w:hAnsi="Arial"/>
                <w:sz w:val="18"/>
                <w:szCs w:val="18"/>
                <w:color w:val="auto"/>
              </w:rPr>
              <w:t>Government securities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1,520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shd w:val="clear" w:color="auto" w:fill="DDDDDD"/>
          </w:tcPr>
          <w:p>
            <w:pPr>
              <w:ind w:left="360"/>
              <w:spacing w:after="0"/>
              <w:rPr>
                <w:sz w:val="20"/>
                <w:szCs w:val="20"/>
                <w:color w:val="auto"/>
              </w:rPr>
            </w:pPr>
            <w:r>
              <w:rPr>
                <w:rFonts w:ascii="Arial" w:cs="Arial" w:eastAsia="Arial" w:hAnsi="Arial"/>
                <w:sz w:val="18"/>
                <w:szCs w:val="18"/>
                <w:color w:val="auto"/>
              </w:rPr>
              <w:t>Corporate bonds</w:t>
            </w:r>
          </w:p>
        </w:tc>
        <w:tc>
          <w:tcPr>
            <w:tcW w:w="32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10,190</w:t>
            </w:r>
          </w:p>
        </w:tc>
        <w:tc>
          <w:tcPr>
            <w:tcW w:w="120" w:type="dxa"/>
            <w:vAlign w:val="bottom"/>
            <w:shd w:val="clear" w:color="auto" w:fill="DDDDDD"/>
          </w:tcPr>
          <w:p>
            <w:pPr>
              <w:spacing w:after="0"/>
              <w:rPr>
                <w:sz w:val="19"/>
                <w:szCs w:val="19"/>
                <w:color w:val="auto"/>
              </w:rPr>
            </w:pPr>
          </w:p>
        </w:tc>
        <w:tc>
          <w:tcPr>
            <w:tcW w:w="280" w:type="dxa"/>
            <w:vAlign w:val="bottom"/>
            <w:shd w:val="clear" w:color="auto" w:fill="DDDDDD"/>
          </w:tcPr>
          <w:p>
            <w:pPr>
              <w:spacing w:after="0"/>
              <w:rPr>
                <w:sz w:val="19"/>
                <w:szCs w:val="19"/>
                <w:color w:val="auto"/>
              </w:rPr>
            </w:pPr>
          </w:p>
        </w:tc>
        <w:tc>
          <w:tcPr>
            <w:tcW w:w="1240" w:type="dxa"/>
            <w:vAlign w:val="bottom"/>
            <w:gridSpan w:val="2"/>
            <w:shd w:val="clear" w:color="auto" w:fill="DDDDDD"/>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DDDDDD"/>
          </w:tcPr>
          <w:p>
            <w:pPr>
              <w:spacing w:after="0"/>
              <w:rPr>
                <w:sz w:val="19"/>
                <w:szCs w:val="19"/>
                <w:color w:val="auto"/>
              </w:rPr>
            </w:pPr>
          </w:p>
        </w:tc>
        <w:tc>
          <w:tcPr>
            <w:tcW w:w="10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10,190</w:t>
            </w:r>
          </w:p>
        </w:tc>
        <w:tc>
          <w:tcPr>
            <w:tcW w:w="100" w:type="dxa"/>
            <w:vAlign w:val="bottom"/>
            <w:shd w:val="clear" w:color="auto" w:fill="DDDDDD"/>
          </w:tcPr>
          <w:p>
            <w:pPr>
              <w:spacing w:after="0"/>
              <w:rPr>
                <w:sz w:val="19"/>
                <w:szCs w:val="19"/>
                <w:color w:val="auto"/>
              </w:rPr>
            </w:pPr>
          </w:p>
        </w:tc>
        <w:tc>
          <w:tcPr>
            <w:tcW w:w="300" w:type="dxa"/>
            <w:vAlign w:val="bottom"/>
            <w:shd w:val="clear" w:color="auto" w:fill="DDDDDD"/>
          </w:tcPr>
          <w:p>
            <w:pPr>
              <w:spacing w:after="0"/>
              <w:rPr>
                <w:sz w:val="19"/>
                <w:szCs w:val="19"/>
                <w:color w:val="auto"/>
              </w:rPr>
            </w:pPr>
          </w:p>
        </w:tc>
        <w:tc>
          <w:tcPr>
            <w:tcW w:w="11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tcPr>
          <w:p>
            <w:pPr>
              <w:ind w:left="360"/>
              <w:spacing w:after="0"/>
              <w:rPr>
                <w:sz w:val="20"/>
                <w:szCs w:val="20"/>
                <w:color w:val="auto"/>
              </w:rPr>
            </w:pPr>
            <w:r>
              <w:rPr>
                <w:rFonts w:ascii="Arial" w:cs="Arial" w:eastAsia="Arial" w:hAnsi="Arial"/>
                <w:sz w:val="18"/>
                <w:szCs w:val="18"/>
                <w:color w:val="auto"/>
              </w:rPr>
              <w:t>Mortgage/Asset-backed securities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982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shd w:val="clear" w:color="auto" w:fill="DDDDDD"/>
          </w:tcPr>
          <w:p>
            <w:pPr>
              <w:ind w:left="360"/>
              <w:spacing w:after="0"/>
              <w:rPr>
                <w:sz w:val="20"/>
                <w:szCs w:val="20"/>
                <w:color w:val="auto"/>
              </w:rPr>
            </w:pPr>
            <w:r>
              <w:rPr>
                <w:rFonts w:ascii="Arial" w:cs="Arial" w:eastAsia="Arial" w:hAnsi="Arial"/>
                <w:sz w:val="18"/>
                <w:szCs w:val="18"/>
                <w:color w:val="auto"/>
              </w:rPr>
              <w:t>Insurance contracts</w:t>
            </w:r>
          </w:p>
        </w:tc>
        <w:tc>
          <w:tcPr>
            <w:tcW w:w="32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DDDDDD"/>
          </w:tcPr>
          <w:p>
            <w:pPr>
              <w:spacing w:after="0"/>
              <w:rPr>
                <w:sz w:val="19"/>
                <w:szCs w:val="19"/>
                <w:color w:val="auto"/>
              </w:rPr>
            </w:pPr>
          </w:p>
        </w:tc>
        <w:tc>
          <w:tcPr>
            <w:tcW w:w="280" w:type="dxa"/>
            <w:vAlign w:val="bottom"/>
            <w:shd w:val="clear" w:color="auto" w:fill="DDDDDD"/>
          </w:tcPr>
          <w:p>
            <w:pPr>
              <w:spacing w:after="0"/>
              <w:rPr>
                <w:sz w:val="19"/>
                <w:szCs w:val="19"/>
                <w:color w:val="auto"/>
              </w:rPr>
            </w:pPr>
          </w:p>
        </w:tc>
        <w:tc>
          <w:tcPr>
            <w:tcW w:w="1240" w:type="dxa"/>
            <w:vAlign w:val="bottom"/>
            <w:gridSpan w:val="2"/>
            <w:shd w:val="clear" w:color="auto" w:fill="DDDDDD"/>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DDDDDD"/>
          </w:tcPr>
          <w:p>
            <w:pPr>
              <w:spacing w:after="0"/>
              <w:rPr>
                <w:sz w:val="19"/>
                <w:szCs w:val="19"/>
                <w:color w:val="auto"/>
              </w:rPr>
            </w:pPr>
          </w:p>
        </w:tc>
        <w:tc>
          <w:tcPr>
            <w:tcW w:w="10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DDDDDD"/>
          </w:tcPr>
          <w:p>
            <w:pPr>
              <w:spacing w:after="0"/>
              <w:rPr>
                <w:sz w:val="19"/>
                <w:szCs w:val="19"/>
                <w:color w:val="auto"/>
              </w:rPr>
            </w:pPr>
          </w:p>
        </w:tc>
        <w:tc>
          <w:tcPr>
            <w:tcW w:w="300" w:type="dxa"/>
            <w:vAlign w:val="bottom"/>
            <w:shd w:val="clear" w:color="auto" w:fill="DDDDDD"/>
          </w:tcPr>
          <w:p>
            <w:pPr>
              <w:spacing w:after="0"/>
              <w:rPr>
                <w:sz w:val="19"/>
                <w:szCs w:val="19"/>
                <w:color w:val="auto"/>
              </w:rPr>
            </w:pPr>
          </w:p>
        </w:tc>
        <w:tc>
          <w:tcPr>
            <w:tcW w:w="11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Direct investments: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DDDDDD"/>
          </w:tcPr>
          <w:p>
            <w:pPr>
              <w:ind w:left="360"/>
              <w:spacing w:after="0"/>
              <w:rPr>
                <w:sz w:val="20"/>
                <w:szCs w:val="20"/>
                <w:color w:val="auto"/>
              </w:rPr>
            </w:pPr>
            <w:r>
              <w:rPr>
                <w:rFonts w:ascii="Arial" w:cs="Arial" w:eastAsia="Arial" w:hAnsi="Arial"/>
                <w:sz w:val="18"/>
                <w:szCs w:val="18"/>
                <w:color w:val="auto"/>
              </w:rPr>
              <w:t>Direct private investments</w:t>
            </w:r>
          </w:p>
        </w:tc>
        <w:tc>
          <w:tcPr>
            <w:tcW w:w="32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1,220</w:t>
            </w:r>
          </w:p>
        </w:tc>
        <w:tc>
          <w:tcPr>
            <w:tcW w:w="120" w:type="dxa"/>
            <w:vAlign w:val="bottom"/>
            <w:shd w:val="clear" w:color="auto" w:fill="DDDDDD"/>
          </w:tcPr>
          <w:p>
            <w:pPr>
              <w:spacing w:after="0"/>
              <w:rPr>
                <w:sz w:val="19"/>
                <w:szCs w:val="19"/>
                <w:color w:val="auto"/>
              </w:rPr>
            </w:pPr>
          </w:p>
        </w:tc>
        <w:tc>
          <w:tcPr>
            <w:tcW w:w="280" w:type="dxa"/>
            <w:vAlign w:val="bottom"/>
            <w:shd w:val="clear" w:color="auto" w:fill="DDDDDD"/>
          </w:tcPr>
          <w:p>
            <w:pPr>
              <w:spacing w:after="0"/>
              <w:rPr>
                <w:sz w:val="19"/>
                <w:szCs w:val="19"/>
                <w:color w:val="auto"/>
              </w:rPr>
            </w:pPr>
          </w:p>
        </w:tc>
        <w:tc>
          <w:tcPr>
            <w:tcW w:w="1240" w:type="dxa"/>
            <w:vAlign w:val="bottom"/>
            <w:gridSpan w:val="2"/>
            <w:shd w:val="clear" w:color="auto" w:fill="DDDDDD"/>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DDDDDD"/>
          </w:tcPr>
          <w:p>
            <w:pPr>
              <w:spacing w:after="0"/>
              <w:rPr>
                <w:sz w:val="19"/>
                <w:szCs w:val="19"/>
                <w:color w:val="auto"/>
              </w:rPr>
            </w:pPr>
          </w:p>
        </w:tc>
        <w:tc>
          <w:tcPr>
            <w:tcW w:w="1140" w:type="dxa"/>
            <w:vAlign w:val="bottom"/>
            <w:gridSpan w:val="2"/>
            <w:shd w:val="clear" w:color="auto" w:fill="DDDDDD"/>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DDDDDD"/>
          </w:tcPr>
          <w:p>
            <w:pPr>
              <w:spacing w:after="0"/>
              <w:rPr>
                <w:sz w:val="19"/>
                <w:szCs w:val="19"/>
                <w:color w:val="auto"/>
              </w:rPr>
            </w:pPr>
          </w:p>
        </w:tc>
        <w:tc>
          <w:tcPr>
            <w:tcW w:w="11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1,220</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DDDDDD"/>
            </w:tcBorders>
          </w:tcPr>
          <w:p>
            <w:pPr>
              <w:ind w:left="360"/>
              <w:spacing w:after="0"/>
              <w:rPr>
                <w:sz w:val="20"/>
                <w:szCs w:val="20"/>
                <w:color w:val="auto"/>
              </w:rPr>
            </w:pPr>
            <w:r>
              <w:rPr>
                <w:rFonts w:ascii="Arial" w:cs="Arial" w:eastAsia="Arial" w:hAnsi="Arial"/>
                <w:sz w:val="18"/>
                <w:szCs w:val="18"/>
                <w:color w:val="auto"/>
              </w:rPr>
              <w:t>Real estate properties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w:t>
            </w:r>
          </w:p>
        </w:tc>
        <w:tc>
          <w:tcPr>
            <w:tcW w:w="120" w:type="dxa"/>
            <w:vAlign w:val="bottom"/>
            <w:tcBorders>
              <w:bottom w:val="single" w:sz="8" w:color="DDDDDD"/>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DDDDD"/>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DDDDD"/>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23"/>
        </w:trPr>
        <w:tc>
          <w:tcPr>
            <w:tcW w:w="5200" w:type="dxa"/>
            <w:vAlign w:val="bottom"/>
            <w:shd w:val="clear" w:color="auto" w:fill="DDDDDD"/>
          </w:tcPr>
          <w:p>
            <w:pPr>
              <w:ind w:left="20"/>
              <w:spacing w:after="0"/>
              <w:rPr>
                <w:sz w:val="20"/>
                <w:szCs w:val="20"/>
                <w:color w:val="auto"/>
              </w:rPr>
            </w:pPr>
            <w:r>
              <w:rPr>
                <w:rFonts w:ascii="Arial" w:cs="Arial" w:eastAsia="Arial" w:hAnsi="Arial"/>
                <w:sz w:val="18"/>
                <w:szCs w:val="18"/>
                <w:color w:val="auto"/>
              </w:rPr>
              <w:t>Total</w:t>
            </w:r>
          </w:p>
        </w:tc>
        <w:tc>
          <w:tcPr>
            <w:tcW w:w="32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19,203</w:t>
            </w:r>
          </w:p>
        </w:tc>
        <w:tc>
          <w:tcPr>
            <w:tcW w:w="400" w:type="dxa"/>
            <w:vAlign w:val="bottom"/>
            <w:gridSpan w:val="2"/>
            <w:shd w:val="clear" w:color="auto" w:fill="DDDDDD"/>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4,633</w:t>
            </w:r>
          </w:p>
        </w:tc>
        <w:tc>
          <w:tcPr>
            <w:tcW w:w="100" w:type="dxa"/>
            <w:vAlign w:val="bottom"/>
            <w:shd w:val="clear" w:color="auto" w:fill="DDDDDD"/>
          </w:tcPr>
          <w:p>
            <w:pPr>
              <w:spacing w:after="0"/>
              <w:rPr>
                <w:sz w:val="19"/>
                <w:szCs w:val="19"/>
                <w:color w:val="auto"/>
              </w:rPr>
            </w:pPr>
          </w:p>
        </w:tc>
        <w:tc>
          <w:tcPr>
            <w:tcW w:w="400" w:type="dxa"/>
            <w:vAlign w:val="bottom"/>
            <w:shd w:val="clear" w:color="auto" w:fill="DDDDDD"/>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12,699</w:t>
            </w:r>
          </w:p>
        </w:tc>
        <w:tc>
          <w:tcPr>
            <w:tcW w:w="100" w:type="dxa"/>
            <w:vAlign w:val="bottom"/>
            <w:shd w:val="clear" w:color="auto" w:fill="DDDDDD"/>
          </w:tcPr>
          <w:p>
            <w:pPr>
              <w:spacing w:after="0"/>
              <w:rPr>
                <w:sz w:val="19"/>
                <w:szCs w:val="19"/>
                <w:color w:val="auto"/>
              </w:rPr>
            </w:pPr>
          </w:p>
        </w:tc>
        <w:tc>
          <w:tcPr>
            <w:tcW w:w="300" w:type="dxa"/>
            <w:vAlign w:val="bottom"/>
            <w:shd w:val="clear" w:color="auto" w:fill="DDDDDD"/>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1,871</w:t>
            </w:r>
          </w:p>
        </w:tc>
        <w:tc>
          <w:tcPr>
            <w:tcW w:w="0" w:type="dxa"/>
            <w:vAlign w:val="bottom"/>
          </w:tcPr>
          <w:p>
            <w:pPr>
              <w:spacing w:after="0"/>
              <w:rPr>
                <w:sz w:val="1"/>
                <w:szCs w:val="1"/>
                <w:color w:val="auto"/>
              </w:rPr>
            </w:pPr>
          </w:p>
        </w:tc>
      </w:tr>
      <w:tr>
        <w:trPr>
          <w:trHeight w:val="210"/>
        </w:trPr>
        <w:tc>
          <w:tcPr>
            <w:tcW w:w="5200" w:type="dxa"/>
            <w:vAlign w:val="bottom"/>
          </w:tcPr>
          <w:p>
            <w:pPr>
              <w:ind w:left="20"/>
              <w:spacing w:after="0"/>
              <w:rPr>
                <w:sz w:val="20"/>
                <w:szCs w:val="20"/>
                <w:color w:val="auto"/>
              </w:rPr>
            </w:pPr>
            <w:r>
              <w:rPr>
                <w:rFonts w:ascii="Arial" w:cs="Arial" w:eastAsia="Arial" w:hAnsi="Arial"/>
                <w:sz w:val="18"/>
                <w:szCs w:val="18"/>
                <w:color w:val="auto"/>
              </w:rPr>
              <w:t>Investments measured at NAV:</w:t>
            </w: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DDDDDD"/>
          </w:tcPr>
          <w:p>
            <w:pPr>
              <w:ind w:left="360"/>
              <w:spacing w:after="0"/>
              <w:rPr>
                <w:sz w:val="20"/>
                <w:szCs w:val="20"/>
                <w:color w:val="auto"/>
              </w:rPr>
            </w:pPr>
            <w:r>
              <w:rPr>
                <w:rFonts w:ascii="Arial" w:cs="Arial" w:eastAsia="Arial" w:hAnsi="Arial"/>
                <w:sz w:val="18"/>
                <w:szCs w:val="18"/>
                <w:color w:val="auto"/>
              </w:rPr>
              <w:t>Private funds</w:t>
            </w:r>
          </w:p>
        </w:tc>
        <w:tc>
          <w:tcPr>
            <w:tcW w:w="32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1,105</w:t>
            </w:r>
          </w:p>
        </w:tc>
        <w:tc>
          <w:tcPr>
            <w:tcW w:w="120" w:type="dxa"/>
            <w:vAlign w:val="bottom"/>
            <w:shd w:val="clear" w:color="auto" w:fill="DDDDDD"/>
          </w:tcPr>
          <w:p>
            <w:pPr>
              <w:spacing w:after="0"/>
              <w:rPr>
                <w:sz w:val="19"/>
                <w:szCs w:val="19"/>
                <w:color w:val="auto"/>
              </w:rPr>
            </w:pPr>
          </w:p>
        </w:tc>
        <w:tc>
          <w:tcPr>
            <w:tcW w:w="280" w:type="dxa"/>
            <w:vAlign w:val="bottom"/>
            <w:shd w:val="clear" w:color="auto" w:fill="DDDDDD"/>
          </w:tcPr>
          <w:p>
            <w:pPr>
              <w:spacing w:after="0"/>
              <w:rPr>
                <w:sz w:val="19"/>
                <w:szCs w:val="19"/>
                <w:color w:val="auto"/>
              </w:rPr>
            </w:pPr>
          </w:p>
        </w:tc>
        <w:tc>
          <w:tcPr>
            <w:tcW w:w="114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400" w:type="dxa"/>
            <w:vAlign w:val="bottom"/>
            <w:shd w:val="clear" w:color="auto" w:fill="DDDDDD"/>
          </w:tcPr>
          <w:p>
            <w:pPr>
              <w:spacing w:after="0"/>
              <w:rPr>
                <w:sz w:val="19"/>
                <w:szCs w:val="19"/>
                <w:color w:val="auto"/>
              </w:rPr>
            </w:pPr>
          </w:p>
        </w:tc>
        <w:tc>
          <w:tcPr>
            <w:tcW w:w="104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300" w:type="dxa"/>
            <w:vAlign w:val="bottom"/>
            <w:shd w:val="clear" w:color="auto" w:fill="DDDDDD"/>
          </w:tcPr>
          <w:p>
            <w:pPr>
              <w:spacing w:after="0"/>
              <w:rPr>
                <w:sz w:val="19"/>
                <w:szCs w:val="19"/>
                <w:color w:val="auto"/>
              </w:rPr>
            </w:pPr>
          </w:p>
        </w:tc>
        <w:tc>
          <w:tcPr>
            <w:tcW w:w="114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360"/>
              <w:spacing w:after="0"/>
              <w:rPr>
                <w:sz w:val="20"/>
                <w:szCs w:val="20"/>
                <w:color w:val="auto"/>
              </w:rPr>
            </w:pPr>
            <w:r>
              <w:rPr>
                <w:rFonts w:ascii="Arial" w:cs="Arial" w:eastAsia="Arial" w:hAnsi="Arial"/>
                <w:sz w:val="18"/>
                <w:szCs w:val="18"/>
                <w:color w:val="auto"/>
              </w:rPr>
              <w:t>Real estate funds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DDDDDD"/>
          </w:tcPr>
          <w:p>
            <w:pPr>
              <w:ind w:left="360"/>
              <w:spacing w:after="0"/>
              <w:rPr>
                <w:sz w:val="20"/>
                <w:szCs w:val="20"/>
                <w:color w:val="auto"/>
              </w:rPr>
            </w:pPr>
            <w:r>
              <w:rPr>
                <w:rFonts w:ascii="Arial" w:cs="Arial" w:eastAsia="Arial" w:hAnsi="Arial"/>
                <w:sz w:val="18"/>
                <w:szCs w:val="18"/>
                <w:color w:val="auto"/>
              </w:rPr>
              <w:t>Commingled Funds</w:t>
            </w:r>
          </w:p>
        </w:tc>
        <w:tc>
          <w:tcPr>
            <w:tcW w:w="320" w:type="dxa"/>
            <w:vAlign w:val="bottom"/>
            <w:tcBorders>
              <w:bottom w:val="single" w:sz="8" w:color="auto"/>
            </w:tcBorders>
            <w:shd w:val="clear" w:color="auto" w:fill="DDDDDD"/>
          </w:tcPr>
          <w:p>
            <w:pPr>
              <w:spacing w:after="0"/>
              <w:rPr>
                <w:sz w:val="19"/>
                <w:szCs w:val="19"/>
                <w:color w:val="auto"/>
              </w:rPr>
            </w:pPr>
          </w:p>
        </w:tc>
        <w:tc>
          <w:tcPr>
            <w:tcW w:w="11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DDDDDD"/>
          </w:tcPr>
          <w:p>
            <w:pPr>
              <w:spacing w:after="0"/>
              <w:rPr>
                <w:sz w:val="19"/>
                <w:szCs w:val="19"/>
                <w:color w:val="auto"/>
              </w:rPr>
            </w:pPr>
          </w:p>
        </w:tc>
        <w:tc>
          <w:tcPr>
            <w:tcW w:w="280" w:type="dxa"/>
            <w:vAlign w:val="bottom"/>
            <w:shd w:val="clear" w:color="auto" w:fill="DDDDDD"/>
          </w:tcPr>
          <w:p>
            <w:pPr>
              <w:spacing w:after="0"/>
              <w:rPr>
                <w:sz w:val="19"/>
                <w:szCs w:val="19"/>
                <w:color w:val="auto"/>
              </w:rPr>
            </w:pPr>
          </w:p>
        </w:tc>
        <w:tc>
          <w:tcPr>
            <w:tcW w:w="114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400" w:type="dxa"/>
            <w:vAlign w:val="bottom"/>
            <w:shd w:val="clear" w:color="auto" w:fill="DDDDDD"/>
          </w:tcPr>
          <w:p>
            <w:pPr>
              <w:spacing w:after="0"/>
              <w:rPr>
                <w:sz w:val="19"/>
                <w:szCs w:val="19"/>
                <w:color w:val="auto"/>
              </w:rPr>
            </w:pPr>
          </w:p>
        </w:tc>
        <w:tc>
          <w:tcPr>
            <w:tcW w:w="104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300" w:type="dxa"/>
            <w:vAlign w:val="bottom"/>
            <w:shd w:val="clear" w:color="auto" w:fill="DDDDDD"/>
          </w:tcPr>
          <w:p>
            <w:pPr>
              <w:spacing w:after="0"/>
              <w:rPr>
                <w:sz w:val="19"/>
                <w:szCs w:val="19"/>
                <w:color w:val="auto"/>
              </w:rPr>
            </w:pPr>
          </w:p>
        </w:tc>
        <w:tc>
          <w:tcPr>
            <w:tcW w:w="114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Total assets at fair value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20,396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gridSpan w:val="3"/>
            <w:vMerge w:val="restart"/>
          </w:tcPr>
          <w:p>
            <w:pPr>
              <w:jc w:val="center"/>
              <w:ind w:left="654"/>
              <w:spacing w:after="0"/>
              <w:rPr>
                <w:sz w:val="20"/>
                <w:szCs w:val="20"/>
                <w:color w:val="auto"/>
              </w:rPr>
            </w:pPr>
            <w:r>
              <w:rPr>
                <w:rFonts w:ascii="Arial" w:cs="Arial" w:eastAsia="Arial" w:hAnsi="Arial"/>
                <w:sz w:val="14"/>
                <w:szCs w:val="14"/>
                <w:b w:val="1"/>
                <w:bCs w:val="1"/>
                <w:color w:val="auto"/>
              </w:rPr>
              <w:t>U.S. Plans</w:t>
            </w: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89"/>
        </w:trPr>
        <w:tc>
          <w:tcPr>
            <w:tcW w:w="5200" w:type="dxa"/>
            <w:vAlign w:val="bottom"/>
          </w:tcPr>
          <w:p>
            <w:pPr>
              <w:spacing w:after="0"/>
              <w:rPr>
                <w:sz w:val="24"/>
                <w:szCs w:val="24"/>
                <w:color w:val="auto"/>
              </w:rPr>
            </w:pPr>
          </w:p>
        </w:tc>
        <w:tc>
          <w:tcPr>
            <w:tcW w:w="320" w:type="dxa"/>
            <w:vAlign w:val="bottom"/>
            <w:tcBorders>
              <w:bottom w:val="single" w:sz="8" w:color="DC202E"/>
            </w:tcBorders>
          </w:tcPr>
          <w:p>
            <w:pPr>
              <w:spacing w:after="0"/>
              <w:rPr>
                <w:sz w:val="24"/>
                <w:szCs w:val="24"/>
                <w:color w:val="auto"/>
              </w:rPr>
            </w:pPr>
          </w:p>
        </w:tc>
        <w:tc>
          <w:tcPr>
            <w:tcW w:w="1100" w:type="dxa"/>
            <w:vAlign w:val="bottom"/>
            <w:tcBorders>
              <w:bottom w:val="single" w:sz="8" w:color="DC202E"/>
            </w:tcBorders>
          </w:tcPr>
          <w:p>
            <w:pPr>
              <w:spacing w:after="0"/>
              <w:rPr>
                <w:sz w:val="24"/>
                <w:szCs w:val="24"/>
                <w:color w:val="auto"/>
              </w:rPr>
            </w:pPr>
          </w:p>
        </w:tc>
        <w:tc>
          <w:tcPr>
            <w:tcW w:w="120" w:type="dxa"/>
            <w:vAlign w:val="bottom"/>
            <w:tcBorders>
              <w:bottom w:val="single" w:sz="8" w:color="DC202E"/>
            </w:tcBorders>
          </w:tcPr>
          <w:p>
            <w:pPr>
              <w:spacing w:after="0"/>
              <w:rPr>
                <w:sz w:val="24"/>
                <w:szCs w:val="24"/>
                <w:color w:val="auto"/>
              </w:rPr>
            </w:pPr>
          </w:p>
        </w:tc>
        <w:tc>
          <w:tcPr>
            <w:tcW w:w="280" w:type="dxa"/>
            <w:vAlign w:val="bottom"/>
            <w:tcBorders>
              <w:bottom w:val="single" w:sz="8" w:color="DC202E"/>
            </w:tcBorders>
          </w:tcPr>
          <w:p>
            <w:pPr>
              <w:spacing w:after="0"/>
              <w:rPr>
                <w:sz w:val="24"/>
                <w:szCs w:val="24"/>
                <w:color w:val="auto"/>
              </w:rPr>
            </w:pPr>
          </w:p>
        </w:tc>
        <w:tc>
          <w:tcPr>
            <w:tcW w:w="1640" w:type="dxa"/>
            <w:vAlign w:val="bottom"/>
            <w:tcBorders>
              <w:bottom w:val="single" w:sz="8" w:color="DC202E"/>
            </w:tcBorders>
            <w:gridSpan w:val="3"/>
            <w:vMerge w:val="continue"/>
          </w:tcPr>
          <w:p>
            <w:pPr>
              <w:spacing w:after="0"/>
              <w:rPr>
                <w:sz w:val="24"/>
                <w:szCs w:val="24"/>
                <w:color w:val="auto"/>
              </w:rPr>
            </w:pPr>
          </w:p>
        </w:tc>
        <w:tc>
          <w:tcPr>
            <w:tcW w:w="1040" w:type="dxa"/>
            <w:vAlign w:val="bottom"/>
            <w:tcBorders>
              <w:bottom w:val="single" w:sz="8" w:color="DC202E"/>
            </w:tcBorders>
          </w:tcPr>
          <w:p>
            <w:pPr>
              <w:spacing w:after="0"/>
              <w:rPr>
                <w:sz w:val="24"/>
                <w:szCs w:val="24"/>
                <w:color w:val="auto"/>
              </w:rPr>
            </w:pPr>
          </w:p>
        </w:tc>
        <w:tc>
          <w:tcPr>
            <w:tcW w:w="100" w:type="dxa"/>
            <w:vAlign w:val="bottom"/>
            <w:tcBorders>
              <w:bottom w:val="single" w:sz="8" w:color="DC202E"/>
            </w:tcBorders>
          </w:tcPr>
          <w:p>
            <w:pPr>
              <w:spacing w:after="0"/>
              <w:rPr>
                <w:sz w:val="24"/>
                <w:szCs w:val="24"/>
                <w:color w:val="auto"/>
              </w:rPr>
            </w:pPr>
          </w:p>
        </w:tc>
        <w:tc>
          <w:tcPr>
            <w:tcW w:w="300" w:type="dxa"/>
            <w:vAlign w:val="bottom"/>
            <w:tcBorders>
              <w:bottom w:val="single" w:sz="8" w:color="DC202E"/>
            </w:tcBorders>
          </w:tcPr>
          <w:p>
            <w:pPr>
              <w:spacing w:after="0"/>
              <w:rPr>
                <w:sz w:val="24"/>
                <w:szCs w:val="24"/>
                <w:color w:val="auto"/>
              </w:rPr>
            </w:pPr>
          </w:p>
        </w:tc>
        <w:tc>
          <w:tcPr>
            <w:tcW w:w="1140" w:type="dxa"/>
            <w:vAlign w:val="bottom"/>
            <w:tcBorders>
              <w:bottom w:val="single" w:sz="8" w:color="DC202E"/>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0" w:type="dxa"/>
            <w:vAlign w:val="bottom"/>
          </w:tcPr>
          <w:p>
            <w:pPr>
              <w:spacing w:after="0"/>
              <w:rPr>
                <w:sz w:val="17"/>
                <w:szCs w:val="17"/>
                <w:color w:val="auto"/>
              </w:rPr>
            </w:pPr>
          </w:p>
        </w:tc>
        <w:tc>
          <w:tcPr>
            <w:tcW w:w="320" w:type="dxa"/>
            <w:vAlign w:val="bottom"/>
            <w:tcBorders>
              <w:bottom w:val="single" w:sz="8" w:color="DC202E"/>
            </w:tcBorders>
          </w:tcPr>
          <w:p>
            <w:pPr>
              <w:spacing w:after="0"/>
              <w:rPr>
                <w:sz w:val="17"/>
                <w:szCs w:val="17"/>
                <w:color w:val="auto"/>
              </w:rPr>
            </w:pPr>
          </w:p>
        </w:tc>
        <w:tc>
          <w:tcPr>
            <w:tcW w:w="1100" w:type="dxa"/>
            <w:vAlign w:val="bottom"/>
            <w:tcBorders>
              <w:bottom w:val="single" w:sz="8" w:color="DC202E"/>
            </w:tcBorders>
          </w:tcPr>
          <w:p>
            <w:pPr>
              <w:spacing w:after="0"/>
              <w:rPr>
                <w:sz w:val="17"/>
                <w:szCs w:val="17"/>
                <w:color w:val="auto"/>
              </w:rPr>
            </w:pPr>
          </w:p>
        </w:tc>
        <w:tc>
          <w:tcPr>
            <w:tcW w:w="120" w:type="dxa"/>
            <w:vAlign w:val="bottom"/>
            <w:tcBorders>
              <w:bottom w:val="single" w:sz="8" w:color="DC202E"/>
            </w:tcBorders>
          </w:tcPr>
          <w:p>
            <w:pPr>
              <w:spacing w:after="0"/>
              <w:rPr>
                <w:sz w:val="17"/>
                <w:szCs w:val="17"/>
                <w:color w:val="auto"/>
              </w:rPr>
            </w:pPr>
          </w:p>
        </w:tc>
        <w:tc>
          <w:tcPr>
            <w:tcW w:w="280" w:type="dxa"/>
            <w:vAlign w:val="bottom"/>
            <w:tcBorders>
              <w:bottom w:val="single" w:sz="8" w:color="DC202E"/>
            </w:tcBorders>
          </w:tcPr>
          <w:p>
            <w:pPr>
              <w:spacing w:after="0"/>
              <w:rPr>
                <w:sz w:val="17"/>
                <w:szCs w:val="17"/>
                <w:color w:val="auto"/>
              </w:rPr>
            </w:pPr>
          </w:p>
        </w:tc>
        <w:tc>
          <w:tcPr>
            <w:tcW w:w="2780" w:type="dxa"/>
            <w:vAlign w:val="bottom"/>
            <w:tcBorders>
              <w:bottom w:val="single" w:sz="8" w:color="DC202E"/>
            </w:tcBorders>
            <w:gridSpan w:val="5"/>
          </w:tcPr>
          <w:p>
            <w:pPr>
              <w:jc w:val="center"/>
              <w:ind w:right="400"/>
              <w:spacing w:after="0"/>
              <w:rPr>
                <w:sz w:val="20"/>
                <w:szCs w:val="20"/>
                <w:color w:val="auto"/>
              </w:rPr>
            </w:pPr>
            <w:r>
              <w:rPr>
                <w:rFonts w:ascii="Arial" w:cs="Arial" w:eastAsia="Arial" w:hAnsi="Arial"/>
                <w:sz w:val="14"/>
                <w:szCs w:val="14"/>
                <w:b w:val="1"/>
                <w:bCs w:val="1"/>
                <w:color w:val="auto"/>
              </w:rPr>
              <w:t>December 31, 2019</w:t>
            </w:r>
          </w:p>
        </w:tc>
        <w:tc>
          <w:tcPr>
            <w:tcW w:w="300" w:type="dxa"/>
            <w:vAlign w:val="bottom"/>
            <w:tcBorders>
              <w:bottom w:val="single" w:sz="8" w:color="DC202E"/>
            </w:tcBorders>
          </w:tcPr>
          <w:p>
            <w:pPr>
              <w:spacing w:after="0"/>
              <w:rPr>
                <w:sz w:val="17"/>
                <w:szCs w:val="17"/>
                <w:color w:val="auto"/>
              </w:rPr>
            </w:pPr>
          </w:p>
        </w:tc>
        <w:tc>
          <w:tcPr>
            <w:tcW w:w="1140" w:type="dxa"/>
            <w:vAlign w:val="bottom"/>
            <w:tcBorders>
              <w:bottom w:val="single" w:sz="8" w:color="DC202E"/>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451"/>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400" w:type="dxa"/>
            <w:vAlign w:val="bottom"/>
          </w:tcPr>
          <w:p>
            <w:pPr>
              <w:spacing w:after="0"/>
              <w:rPr>
                <w:sz w:val="17"/>
                <w:szCs w:val="17"/>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7"/>
                <w:szCs w:val="17"/>
                <w:color w:val="auto"/>
              </w:rPr>
            </w:pPr>
          </w:p>
        </w:tc>
        <w:tc>
          <w:tcPr>
            <w:tcW w:w="1140" w:type="dxa"/>
            <w:vAlign w:val="bottom"/>
          </w:tcPr>
          <w:p>
            <w:pPr>
              <w:jc w:val="right"/>
              <w:ind w:right="392"/>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16"/>
        </w:trPr>
        <w:tc>
          <w:tcPr>
            <w:tcW w:w="5200" w:type="dxa"/>
            <w:vAlign w:val="bottom"/>
            <w:tcBorders>
              <w:top w:val="single" w:sz="8" w:color="DDDDDD"/>
            </w:tcBorders>
            <w:shd w:val="clear" w:color="auto" w:fill="DDDDDD"/>
          </w:tcPr>
          <w:p>
            <w:pPr>
              <w:ind w:left="20"/>
              <w:spacing w:after="0"/>
              <w:rPr>
                <w:sz w:val="20"/>
                <w:szCs w:val="20"/>
                <w:color w:val="auto"/>
              </w:rPr>
            </w:pPr>
            <w:r>
              <w:rPr>
                <w:rFonts w:ascii="Arial" w:cs="Arial" w:eastAsia="Arial" w:hAnsi="Arial"/>
                <w:sz w:val="18"/>
                <w:szCs w:val="18"/>
                <w:color w:val="auto"/>
              </w:rPr>
              <w:t>Equities:</w:t>
            </w:r>
          </w:p>
        </w:tc>
        <w:tc>
          <w:tcPr>
            <w:tcW w:w="320" w:type="dxa"/>
            <w:vAlign w:val="bottom"/>
            <w:tcBorders>
              <w:top w:val="single" w:sz="8" w:color="DC202E"/>
            </w:tcBorders>
            <w:shd w:val="clear" w:color="auto" w:fill="DDDDDD"/>
          </w:tcPr>
          <w:p>
            <w:pPr>
              <w:spacing w:after="0"/>
              <w:rPr>
                <w:sz w:val="18"/>
                <w:szCs w:val="18"/>
                <w:color w:val="auto"/>
              </w:rPr>
            </w:pPr>
          </w:p>
        </w:tc>
        <w:tc>
          <w:tcPr>
            <w:tcW w:w="1100" w:type="dxa"/>
            <w:vAlign w:val="bottom"/>
            <w:tcBorders>
              <w:top w:val="single" w:sz="8" w:color="DC202E"/>
            </w:tcBorders>
            <w:shd w:val="clear" w:color="auto" w:fill="DDDDDD"/>
          </w:tcPr>
          <w:p>
            <w:pPr>
              <w:spacing w:after="0"/>
              <w:rPr>
                <w:sz w:val="18"/>
                <w:szCs w:val="18"/>
                <w:color w:val="auto"/>
              </w:rPr>
            </w:pPr>
          </w:p>
        </w:tc>
        <w:tc>
          <w:tcPr>
            <w:tcW w:w="120" w:type="dxa"/>
            <w:vAlign w:val="bottom"/>
            <w:tcBorders>
              <w:top w:val="single" w:sz="8" w:color="DDDDDD"/>
            </w:tcBorders>
            <w:shd w:val="clear" w:color="auto" w:fill="DDDDDD"/>
          </w:tcPr>
          <w:p>
            <w:pPr>
              <w:spacing w:after="0"/>
              <w:rPr>
                <w:sz w:val="18"/>
                <w:szCs w:val="18"/>
                <w:color w:val="auto"/>
              </w:rPr>
            </w:pPr>
          </w:p>
        </w:tc>
        <w:tc>
          <w:tcPr>
            <w:tcW w:w="280" w:type="dxa"/>
            <w:vAlign w:val="bottom"/>
            <w:tcBorders>
              <w:top w:val="single" w:sz="8" w:color="DC202E"/>
            </w:tcBorders>
            <w:shd w:val="clear" w:color="auto" w:fill="DDDDDD"/>
          </w:tcPr>
          <w:p>
            <w:pPr>
              <w:spacing w:after="0"/>
              <w:rPr>
                <w:sz w:val="18"/>
                <w:szCs w:val="18"/>
                <w:color w:val="auto"/>
              </w:rPr>
            </w:pPr>
          </w:p>
        </w:tc>
        <w:tc>
          <w:tcPr>
            <w:tcW w:w="1140" w:type="dxa"/>
            <w:vAlign w:val="bottom"/>
            <w:tcBorders>
              <w:top w:val="single" w:sz="8" w:color="DC202E"/>
            </w:tcBorders>
            <w:shd w:val="clear" w:color="auto" w:fill="DDDDDD"/>
          </w:tcPr>
          <w:p>
            <w:pPr>
              <w:spacing w:after="0"/>
              <w:rPr>
                <w:sz w:val="18"/>
                <w:szCs w:val="18"/>
                <w:color w:val="auto"/>
              </w:rPr>
            </w:pPr>
          </w:p>
        </w:tc>
        <w:tc>
          <w:tcPr>
            <w:tcW w:w="100" w:type="dxa"/>
            <w:vAlign w:val="bottom"/>
            <w:tcBorders>
              <w:top w:val="single" w:sz="8" w:color="DDDDDD"/>
            </w:tcBorders>
            <w:shd w:val="clear" w:color="auto" w:fill="DDDDDD"/>
          </w:tcPr>
          <w:p>
            <w:pPr>
              <w:spacing w:after="0"/>
              <w:rPr>
                <w:sz w:val="18"/>
                <w:szCs w:val="18"/>
                <w:color w:val="auto"/>
              </w:rPr>
            </w:pPr>
          </w:p>
        </w:tc>
        <w:tc>
          <w:tcPr>
            <w:tcW w:w="400" w:type="dxa"/>
            <w:vAlign w:val="bottom"/>
            <w:tcBorders>
              <w:top w:val="single" w:sz="8" w:color="DC202E"/>
            </w:tcBorders>
            <w:shd w:val="clear" w:color="auto" w:fill="DDDDDD"/>
          </w:tcPr>
          <w:p>
            <w:pPr>
              <w:spacing w:after="0"/>
              <w:rPr>
                <w:sz w:val="18"/>
                <w:szCs w:val="18"/>
                <w:color w:val="auto"/>
              </w:rPr>
            </w:pPr>
          </w:p>
        </w:tc>
        <w:tc>
          <w:tcPr>
            <w:tcW w:w="1040" w:type="dxa"/>
            <w:vAlign w:val="bottom"/>
            <w:tcBorders>
              <w:top w:val="single" w:sz="8" w:color="DC202E"/>
            </w:tcBorders>
            <w:shd w:val="clear" w:color="auto" w:fill="DDDDDD"/>
          </w:tcPr>
          <w:p>
            <w:pPr>
              <w:spacing w:after="0"/>
              <w:rPr>
                <w:sz w:val="18"/>
                <w:szCs w:val="18"/>
                <w:color w:val="auto"/>
              </w:rPr>
            </w:pPr>
          </w:p>
        </w:tc>
        <w:tc>
          <w:tcPr>
            <w:tcW w:w="100" w:type="dxa"/>
            <w:vAlign w:val="bottom"/>
            <w:tcBorders>
              <w:top w:val="single" w:sz="8" w:color="DDDDDD"/>
            </w:tcBorders>
            <w:shd w:val="clear" w:color="auto" w:fill="DDDDDD"/>
          </w:tcPr>
          <w:p>
            <w:pPr>
              <w:spacing w:after="0"/>
              <w:rPr>
                <w:sz w:val="18"/>
                <w:szCs w:val="18"/>
                <w:color w:val="auto"/>
              </w:rPr>
            </w:pPr>
          </w:p>
        </w:tc>
        <w:tc>
          <w:tcPr>
            <w:tcW w:w="300" w:type="dxa"/>
            <w:vAlign w:val="bottom"/>
            <w:tcBorders>
              <w:top w:val="single" w:sz="8" w:color="DC202E"/>
            </w:tcBorders>
            <w:shd w:val="clear" w:color="auto" w:fill="DDDDDD"/>
          </w:tcPr>
          <w:p>
            <w:pPr>
              <w:spacing w:after="0"/>
              <w:rPr>
                <w:sz w:val="18"/>
                <w:szCs w:val="18"/>
                <w:color w:val="auto"/>
              </w:rPr>
            </w:pPr>
          </w:p>
        </w:tc>
        <w:tc>
          <w:tcPr>
            <w:tcW w:w="1140" w:type="dxa"/>
            <w:vAlign w:val="bottom"/>
            <w:tcBorders>
              <w:top w:val="single" w:sz="8" w:color="DC202E"/>
            </w:tcBorders>
            <w:shd w:val="clear" w:color="auto" w:fill="DDDDDD"/>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360"/>
              <w:spacing w:after="0"/>
              <w:rPr>
                <w:sz w:val="20"/>
                <w:szCs w:val="20"/>
                <w:color w:val="auto"/>
              </w:rPr>
            </w:pPr>
            <w:r>
              <w:rPr>
                <w:rFonts w:ascii="Arial" w:cs="Arial" w:eastAsia="Arial" w:hAnsi="Arial"/>
                <w:sz w:val="18"/>
                <w:szCs w:val="18"/>
                <w:color w:val="auto"/>
              </w:rPr>
              <w:t>Honeywell common stock</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2,857</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2,857</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shd w:val="clear" w:color="auto" w:fill="DDDDDD"/>
          </w:tcPr>
          <w:p>
            <w:pPr>
              <w:ind w:left="360"/>
              <w:spacing w:after="0"/>
              <w:rPr>
                <w:sz w:val="20"/>
                <w:szCs w:val="20"/>
                <w:color w:val="auto"/>
              </w:rPr>
            </w:pPr>
            <w:r>
              <w:rPr>
                <w:rFonts w:ascii="Arial" w:cs="Arial" w:eastAsia="Arial" w:hAnsi="Arial"/>
                <w:sz w:val="18"/>
                <w:szCs w:val="18"/>
                <w:color w:val="auto"/>
              </w:rPr>
              <w:t>U.S. equities</w:t>
            </w:r>
          </w:p>
        </w:tc>
        <w:tc>
          <w:tcPr>
            <w:tcW w:w="32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1,227</w:t>
            </w:r>
          </w:p>
        </w:tc>
        <w:tc>
          <w:tcPr>
            <w:tcW w:w="120" w:type="dxa"/>
            <w:vAlign w:val="bottom"/>
            <w:shd w:val="clear" w:color="auto" w:fill="DDDDDD"/>
          </w:tcPr>
          <w:p>
            <w:pPr>
              <w:spacing w:after="0"/>
              <w:rPr>
                <w:sz w:val="19"/>
                <w:szCs w:val="19"/>
                <w:color w:val="auto"/>
              </w:rPr>
            </w:pPr>
          </w:p>
        </w:tc>
        <w:tc>
          <w:tcPr>
            <w:tcW w:w="280" w:type="dxa"/>
            <w:vAlign w:val="bottom"/>
            <w:shd w:val="clear" w:color="auto" w:fill="DDDDDD"/>
          </w:tcPr>
          <w:p>
            <w:pPr>
              <w:spacing w:after="0"/>
              <w:rPr>
                <w:sz w:val="19"/>
                <w:szCs w:val="19"/>
                <w:color w:val="auto"/>
              </w:rPr>
            </w:pPr>
          </w:p>
        </w:tc>
        <w:tc>
          <w:tcPr>
            <w:tcW w:w="11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1,227</w:t>
            </w:r>
          </w:p>
        </w:tc>
        <w:tc>
          <w:tcPr>
            <w:tcW w:w="100" w:type="dxa"/>
            <w:vAlign w:val="bottom"/>
            <w:shd w:val="clear" w:color="auto" w:fill="DDDDDD"/>
          </w:tcPr>
          <w:p>
            <w:pPr>
              <w:spacing w:after="0"/>
              <w:rPr>
                <w:sz w:val="19"/>
                <w:szCs w:val="19"/>
                <w:color w:val="auto"/>
              </w:rPr>
            </w:pPr>
          </w:p>
        </w:tc>
        <w:tc>
          <w:tcPr>
            <w:tcW w:w="400" w:type="dxa"/>
            <w:vAlign w:val="bottom"/>
            <w:shd w:val="clear" w:color="auto" w:fill="DDDDDD"/>
          </w:tcPr>
          <w:p>
            <w:pPr>
              <w:spacing w:after="0"/>
              <w:rPr>
                <w:sz w:val="19"/>
                <w:szCs w:val="19"/>
                <w:color w:val="auto"/>
              </w:rPr>
            </w:pPr>
          </w:p>
        </w:tc>
        <w:tc>
          <w:tcPr>
            <w:tcW w:w="1140" w:type="dxa"/>
            <w:vAlign w:val="bottom"/>
            <w:gridSpan w:val="2"/>
            <w:shd w:val="clear" w:color="auto" w:fill="DDDDDD"/>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DDDDDD"/>
          </w:tcPr>
          <w:p>
            <w:pPr>
              <w:spacing w:after="0"/>
              <w:rPr>
                <w:sz w:val="19"/>
                <w:szCs w:val="19"/>
                <w:color w:val="auto"/>
              </w:rPr>
            </w:pPr>
          </w:p>
        </w:tc>
        <w:tc>
          <w:tcPr>
            <w:tcW w:w="11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Fixed income:</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DDDDDD"/>
          </w:tcPr>
          <w:p>
            <w:pPr>
              <w:ind w:left="360"/>
              <w:spacing w:after="0"/>
              <w:rPr>
                <w:sz w:val="20"/>
                <w:szCs w:val="20"/>
                <w:color w:val="auto"/>
              </w:rPr>
            </w:pPr>
            <w:r>
              <w:rPr>
                <w:rFonts w:ascii="Arial" w:cs="Arial" w:eastAsia="Arial" w:hAnsi="Arial"/>
                <w:sz w:val="18"/>
                <w:szCs w:val="18"/>
                <w:color w:val="auto"/>
              </w:rPr>
              <w:t>Short term investments</w:t>
            </w:r>
          </w:p>
        </w:tc>
        <w:tc>
          <w:tcPr>
            <w:tcW w:w="32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1,395</w:t>
            </w:r>
          </w:p>
        </w:tc>
        <w:tc>
          <w:tcPr>
            <w:tcW w:w="120" w:type="dxa"/>
            <w:vAlign w:val="bottom"/>
            <w:shd w:val="clear" w:color="auto" w:fill="DDDDDD"/>
          </w:tcPr>
          <w:p>
            <w:pPr>
              <w:spacing w:after="0"/>
              <w:rPr>
                <w:sz w:val="19"/>
                <w:szCs w:val="19"/>
                <w:color w:val="auto"/>
              </w:rPr>
            </w:pPr>
          </w:p>
        </w:tc>
        <w:tc>
          <w:tcPr>
            <w:tcW w:w="280" w:type="dxa"/>
            <w:vAlign w:val="bottom"/>
            <w:shd w:val="clear" w:color="auto" w:fill="DDDDDD"/>
          </w:tcPr>
          <w:p>
            <w:pPr>
              <w:spacing w:after="0"/>
              <w:rPr>
                <w:sz w:val="19"/>
                <w:szCs w:val="19"/>
                <w:color w:val="auto"/>
              </w:rPr>
            </w:pPr>
          </w:p>
        </w:tc>
        <w:tc>
          <w:tcPr>
            <w:tcW w:w="11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1,395</w:t>
            </w:r>
          </w:p>
        </w:tc>
        <w:tc>
          <w:tcPr>
            <w:tcW w:w="100" w:type="dxa"/>
            <w:vAlign w:val="bottom"/>
            <w:shd w:val="clear" w:color="auto" w:fill="DDDDDD"/>
          </w:tcPr>
          <w:p>
            <w:pPr>
              <w:spacing w:after="0"/>
              <w:rPr>
                <w:sz w:val="19"/>
                <w:szCs w:val="19"/>
                <w:color w:val="auto"/>
              </w:rPr>
            </w:pPr>
          </w:p>
        </w:tc>
        <w:tc>
          <w:tcPr>
            <w:tcW w:w="400" w:type="dxa"/>
            <w:vAlign w:val="bottom"/>
            <w:shd w:val="clear" w:color="auto" w:fill="DDDDDD"/>
          </w:tcPr>
          <w:p>
            <w:pPr>
              <w:spacing w:after="0"/>
              <w:rPr>
                <w:sz w:val="19"/>
                <w:szCs w:val="19"/>
                <w:color w:val="auto"/>
              </w:rPr>
            </w:pPr>
          </w:p>
        </w:tc>
        <w:tc>
          <w:tcPr>
            <w:tcW w:w="1140" w:type="dxa"/>
            <w:vAlign w:val="bottom"/>
            <w:gridSpan w:val="2"/>
            <w:shd w:val="clear" w:color="auto" w:fill="DDDDDD"/>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DDDDDD"/>
          </w:tcPr>
          <w:p>
            <w:pPr>
              <w:spacing w:after="0"/>
              <w:rPr>
                <w:sz w:val="19"/>
                <w:szCs w:val="19"/>
                <w:color w:val="auto"/>
              </w:rPr>
            </w:pPr>
          </w:p>
        </w:tc>
        <w:tc>
          <w:tcPr>
            <w:tcW w:w="11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tcPr>
          <w:p>
            <w:pPr>
              <w:ind w:left="360"/>
              <w:spacing w:after="0"/>
              <w:rPr>
                <w:sz w:val="20"/>
                <w:szCs w:val="20"/>
                <w:color w:val="auto"/>
              </w:rPr>
            </w:pPr>
            <w:r>
              <w:rPr>
                <w:rFonts w:ascii="Arial" w:cs="Arial" w:eastAsia="Arial" w:hAnsi="Arial"/>
                <w:sz w:val="18"/>
                <w:szCs w:val="18"/>
                <w:color w:val="auto"/>
              </w:rPr>
              <w:t>Government securities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1,146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1,146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shd w:val="clear" w:color="auto" w:fill="DDDDDD"/>
          </w:tcPr>
          <w:p>
            <w:pPr>
              <w:ind w:left="360"/>
              <w:spacing w:after="0"/>
              <w:rPr>
                <w:sz w:val="20"/>
                <w:szCs w:val="20"/>
                <w:color w:val="auto"/>
              </w:rPr>
            </w:pPr>
            <w:r>
              <w:rPr>
                <w:rFonts w:ascii="Arial" w:cs="Arial" w:eastAsia="Arial" w:hAnsi="Arial"/>
                <w:sz w:val="18"/>
                <w:szCs w:val="18"/>
                <w:color w:val="auto"/>
              </w:rPr>
              <w:t>Corporate bonds</w:t>
            </w:r>
          </w:p>
        </w:tc>
        <w:tc>
          <w:tcPr>
            <w:tcW w:w="32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8,603</w:t>
            </w:r>
          </w:p>
        </w:tc>
        <w:tc>
          <w:tcPr>
            <w:tcW w:w="120" w:type="dxa"/>
            <w:vAlign w:val="bottom"/>
            <w:shd w:val="clear" w:color="auto" w:fill="DDDDDD"/>
          </w:tcPr>
          <w:p>
            <w:pPr>
              <w:spacing w:after="0"/>
              <w:rPr>
                <w:sz w:val="19"/>
                <w:szCs w:val="19"/>
                <w:color w:val="auto"/>
              </w:rPr>
            </w:pPr>
          </w:p>
        </w:tc>
        <w:tc>
          <w:tcPr>
            <w:tcW w:w="280" w:type="dxa"/>
            <w:vAlign w:val="bottom"/>
            <w:shd w:val="clear" w:color="auto" w:fill="DDDDDD"/>
          </w:tcPr>
          <w:p>
            <w:pPr>
              <w:spacing w:after="0"/>
              <w:rPr>
                <w:sz w:val="19"/>
                <w:szCs w:val="19"/>
                <w:color w:val="auto"/>
              </w:rPr>
            </w:pPr>
          </w:p>
        </w:tc>
        <w:tc>
          <w:tcPr>
            <w:tcW w:w="1240" w:type="dxa"/>
            <w:vAlign w:val="bottom"/>
            <w:gridSpan w:val="2"/>
            <w:shd w:val="clear" w:color="auto" w:fill="DDDDDD"/>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DDDDDD"/>
          </w:tcPr>
          <w:p>
            <w:pPr>
              <w:spacing w:after="0"/>
              <w:rPr>
                <w:sz w:val="19"/>
                <w:szCs w:val="19"/>
                <w:color w:val="auto"/>
              </w:rPr>
            </w:pPr>
          </w:p>
        </w:tc>
        <w:tc>
          <w:tcPr>
            <w:tcW w:w="10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8,603</w:t>
            </w:r>
          </w:p>
        </w:tc>
        <w:tc>
          <w:tcPr>
            <w:tcW w:w="100" w:type="dxa"/>
            <w:vAlign w:val="bottom"/>
            <w:shd w:val="clear" w:color="auto" w:fill="DDDDDD"/>
          </w:tcPr>
          <w:p>
            <w:pPr>
              <w:spacing w:after="0"/>
              <w:rPr>
                <w:sz w:val="19"/>
                <w:szCs w:val="19"/>
                <w:color w:val="auto"/>
              </w:rPr>
            </w:pPr>
          </w:p>
        </w:tc>
        <w:tc>
          <w:tcPr>
            <w:tcW w:w="300" w:type="dxa"/>
            <w:vAlign w:val="bottom"/>
            <w:shd w:val="clear" w:color="auto" w:fill="DDDDDD"/>
          </w:tcPr>
          <w:p>
            <w:pPr>
              <w:spacing w:after="0"/>
              <w:rPr>
                <w:sz w:val="19"/>
                <w:szCs w:val="19"/>
                <w:color w:val="auto"/>
              </w:rPr>
            </w:pPr>
          </w:p>
        </w:tc>
        <w:tc>
          <w:tcPr>
            <w:tcW w:w="11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tcPr>
          <w:p>
            <w:pPr>
              <w:ind w:left="360"/>
              <w:spacing w:after="0"/>
              <w:rPr>
                <w:sz w:val="20"/>
                <w:szCs w:val="20"/>
                <w:color w:val="auto"/>
              </w:rPr>
            </w:pPr>
            <w:r>
              <w:rPr>
                <w:rFonts w:ascii="Arial" w:cs="Arial" w:eastAsia="Arial" w:hAnsi="Arial"/>
                <w:sz w:val="18"/>
                <w:szCs w:val="18"/>
                <w:color w:val="auto"/>
              </w:rPr>
              <w:t>Mortgage/Asset-backed securities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1,023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shd w:val="clear" w:color="auto" w:fill="DDDDDD"/>
          </w:tcPr>
          <w:p>
            <w:pPr>
              <w:ind w:left="360"/>
              <w:spacing w:after="0"/>
              <w:rPr>
                <w:sz w:val="20"/>
                <w:szCs w:val="20"/>
                <w:color w:val="auto"/>
              </w:rPr>
            </w:pPr>
            <w:r>
              <w:rPr>
                <w:rFonts w:ascii="Arial" w:cs="Arial" w:eastAsia="Arial" w:hAnsi="Arial"/>
                <w:sz w:val="18"/>
                <w:szCs w:val="18"/>
                <w:color w:val="auto"/>
              </w:rPr>
              <w:t>Insurance contracts</w:t>
            </w:r>
          </w:p>
        </w:tc>
        <w:tc>
          <w:tcPr>
            <w:tcW w:w="32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DDDDDD"/>
          </w:tcPr>
          <w:p>
            <w:pPr>
              <w:spacing w:after="0"/>
              <w:rPr>
                <w:sz w:val="19"/>
                <w:szCs w:val="19"/>
                <w:color w:val="auto"/>
              </w:rPr>
            </w:pPr>
          </w:p>
        </w:tc>
        <w:tc>
          <w:tcPr>
            <w:tcW w:w="280" w:type="dxa"/>
            <w:vAlign w:val="bottom"/>
            <w:shd w:val="clear" w:color="auto" w:fill="DDDDDD"/>
          </w:tcPr>
          <w:p>
            <w:pPr>
              <w:spacing w:after="0"/>
              <w:rPr>
                <w:sz w:val="19"/>
                <w:szCs w:val="19"/>
                <w:color w:val="auto"/>
              </w:rPr>
            </w:pPr>
          </w:p>
        </w:tc>
        <w:tc>
          <w:tcPr>
            <w:tcW w:w="1240" w:type="dxa"/>
            <w:vAlign w:val="bottom"/>
            <w:gridSpan w:val="2"/>
            <w:shd w:val="clear" w:color="auto" w:fill="DDDDDD"/>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DDDDDD"/>
          </w:tcPr>
          <w:p>
            <w:pPr>
              <w:spacing w:after="0"/>
              <w:rPr>
                <w:sz w:val="19"/>
                <w:szCs w:val="19"/>
                <w:color w:val="auto"/>
              </w:rPr>
            </w:pPr>
          </w:p>
        </w:tc>
        <w:tc>
          <w:tcPr>
            <w:tcW w:w="10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DDDDDD"/>
          </w:tcPr>
          <w:p>
            <w:pPr>
              <w:spacing w:after="0"/>
              <w:rPr>
                <w:sz w:val="19"/>
                <w:szCs w:val="19"/>
                <w:color w:val="auto"/>
              </w:rPr>
            </w:pPr>
          </w:p>
        </w:tc>
        <w:tc>
          <w:tcPr>
            <w:tcW w:w="300" w:type="dxa"/>
            <w:vAlign w:val="bottom"/>
            <w:shd w:val="clear" w:color="auto" w:fill="DDDDDD"/>
          </w:tcPr>
          <w:p>
            <w:pPr>
              <w:spacing w:after="0"/>
              <w:rPr>
                <w:sz w:val="19"/>
                <w:szCs w:val="19"/>
                <w:color w:val="auto"/>
              </w:rPr>
            </w:pPr>
          </w:p>
        </w:tc>
        <w:tc>
          <w:tcPr>
            <w:tcW w:w="11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Direct investments: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DDDDDD"/>
          </w:tcPr>
          <w:p>
            <w:pPr>
              <w:ind w:left="360"/>
              <w:spacing w:after="0"/>
              <w:rPr>
                <w:sz w:val="20"/>
                <w:szCs w:val="20"/>
                <w:color w:val="auto"/>
              </w:rPr>
            </w:pPr>
            <w:r>
              <w:rPr>
                <w:rFonts w:ascii="Arial" w:cs="Arial" w:eastAsia="Arial" w:hAnsi="Arial"/>
                <w:sz w:val="18"/>
                <w:szCs w:val="18"/>
                <w:color w:val="auto"/>
              </w:rPr>
              <w:t>Direct private investments</w:t>
            </w:r>
          </w:p>
        </w:tc>
        <w:tc>
          <w:tcPr>
            <w:tcW w:w="32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950</w:t>
            </w:r>
          </w:p>
        </w:tc>
        <w:tc>
          <w:tcPr>
            <w:tcW w:w="120" w:type="dxa"/>
            <w:vAlign w:val="bottom"/>
            <w:shd w:val="clear" w:color="auto" w:fill="DDDDDD"/>
          </w:tcPr>
          <w:p>
            <w:pPr>
              <w:spacing w:after="0"/>
              <w:rPr>
                <w:sz w:val="19"/>
                <w:szCs w:val="19"/>
                <w:color w:val="auto"/>
              </w:rPr>
            </w:pPr>
          </w:p>
        </w:tc>
        <w:tc>
          <w:tcPr>
            <w:tcW w:w="280" w:type="dxa"/>
            <w:vAlign w:val="bottom"/>
            <w:shd w:val="clear" w:color="auto" w:fill="DDDDDD"/>
          </w:tcPr>
          <w:p>
            <w:pPr>
              <w:spacing w:after="0"/>
              <w:rPr>
                <w:sz w:val="19"/>
                <w:szCs w:val="19"/>
                <w:color w:val="auto"/>
              </w:rPr>
            </w:pPr>
          </w:p>
        </w:tc>
        <w:tc>
          <w:tcPr>
            <w:tcW w:w="1240" w:type="dxa"/>
            <w:vAlign w:val="bottom"/>
            <w:gridSpan w:val="2"/>
            <w:shd w:val="clear" w:color="auto" w:fill="DDDDDD"/>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DDDDDD"/>
          </w:tcPr>
          <w:p>
            <w:pPr>
              <w:spacing w:after="0"/>
              <w:rPr>
                <w:sz w:val="19"/>
                <w:szCs w:val="19"/>
                <w:color w:val="auto"/>
              </w:rPr>
            </w:pPr>
          </w:p>
        </w:tc>
        <w:tc>
          <w:tcPr>
            <w:tcW w:w="1140" w:type="dxa"/>
            <w:vAlign w:val="bottom"/>
            <w:gridSpan w:val="2"/>
            <w:shd w:val="clear" w:color="auto" w:fill="DDDDDD"/>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DDDDDD"/>
          </w:tcPr>
          <w:p>
            <w:pPr>
              <w:spacing w:after="0"/>
              <w:rPr>
                <w:sz w:val="19"/>
                <w:szCs w:val="19"/>
                <w:color w:val="auto"/>
              </w:rPr>
            </w:pPr>
          </w:p>
        </w:tc>
        <w:tc>
          <w:tcPr>
            <w:tcW w:w="11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DDDDDD"/>
            </w:tcBorders>
          </w:tcPr>
          <w:p>
            <w:pPr>
              <w:ind w:left="360"/>
              <w:spacing w:after="0"/>
              <w:rPr>
                <w:sz w:val="20"/>
                <w:szCs w:val="20"/>
                <w:color w:val="auto"/>
              </w:rPr>
            </w:pPr>
            <w:r>
              <w:rPr>
                <w:rFonts w:ascii="Arial" w:cs="Arial" w:eastAsia="Arial" w:hAnsi="Arial"/>
                <w:sz w:val="18"/>
                <w:szCs w:val="18"/>
                <w:color w:val="auto"/>
              </w:rPr>
              <w:t>Real estate properties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w:t>
            </w:r>
          </w:p>
        </w:tc>
        <w:tc>
          <w:tcPr>
            <w:tcW w:w="120" w:type="dxa"/>
            <w:vAlign w:val="bottom"/>
            <w:tcBorders>
              <w:bottom w:val="single" w:sz="8" w:color="DDDDDD"/>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DDDDD"/>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DDDDD"/>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23"/>
        </w:trPr>
        <w:tc>
          <w:tcPr>
            <w:tcW w:w="5200" w:type="dxa"/>
            <w:vAlign w:val="bottom"/>
            <w:shd w:val="clear" w:color="auto" w:fill="DDDDDD"/>
          </w:tcPr>
          <w:p>
            <w:pPr>
              <w:ind w:left="20"/>
              <w:spacing w:after="0"/>
              <w:rPr>
                <w:sz w:val="20"/>
                <w:szCs w:val="20"/>
                <w:color w:val="auto"/>
              </w:rPr>
            </w:pPr>
            <w:r>
              <w:rPr>
                <w:rFonts w:ascii="Arial" w:cs="Arial" w:eastAsia="Arial" w:hAnsi="Arial"/>
                <w:sz w:val="18"/>
                <w:szCs w:val="18"/>
                <w:color w:val="auto"/>
              </w:rPr>
              <w:t>Total</w:t>
            </w:r>
          </w:p>
        </w:tc>
        <w:tc>
          <w:tcPr>
            <w:tcW w:w="32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17,828</w:t>
            </w:r>
          </w:p>
        </w:tc>
        <w:tc>
          <w:tcPr>
            <w:tcW w:w="400" w:type="dxa"/>
            <w:vAlign w:val="bottom"/>
            <w:gridSpan w:val="2"/>
            <w:shd w:val="clear" w:color="auto" w:fill="DDDDDD"/>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5,479</w:t>
            </w:r>
          </w:p>
        </w:tc>
        <w:tc>
          <w:tcPr>
            <w:tcW w:w="100" w:type="dxa"/>
            <w:vAlign w:val="bottom"/>
            <w:shd w:val="clear" w:color="auto" w:fill="DDDDDD"/>
          </w:tcPr>
          <w:p>
            <w:pPr>
              <w:spacing w:after="0"/>
              <w:rPr>
                <w:sz w:val="19"/>
                <w:szCs w:val="19"/>
                <w:color w:val="auto"/>
              </w:rPr>
            </w:pPr>
          </w:p>
        </w:tc>
        <w:tc>
          <w:tcPr>
            <w:tcW w:w="400" w:type="dxa"/>
            <w:vAlign w:val="bottom"/>
            <w:shd w:val="clear" w:color="auto" w:fill="DDDDDD"/>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10,780</w:t>
            </w:r>
          </w:p>
        </w:tc>
        <w:tc>
          <w:tcPr>
            <w:tcW w:w="100" w:type="dxa"/>
            <w:vAlign w:val="bottom"/>
            <w:shd w:val="clear" w:color="auto" w:fill="DDDDDD"/>
          </w:tcPr>
          <w:p>
            <w:pPr>
              <w:spacing w:after="0"/>
              <w:rPr>
                <w:sz w:val="19"/>
                <w:szCs w:val="19"/>
                <w:color w:val="auto"/>
              </w:rPr>
            </w:pPr>
          </w:p>
        </w:tc>
        <w:tc>
          <w:tcPr>
            <w:tcW w:w="300" w:type="dxa"/>
            <w:vAlign w:val="bottom"/>
            <w:shd w:val="clear" w:color="auto" w:fill="DDDDDD"/>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1,569</w:t>
            </w:r>
          </w:p>
        </w:tc>
        <w:tc>
          <w:tcPr>
            <w:tcW w:w="0" w:type="dxa"/>
            <w:vAlign w:val="bottom"/>
          </w:tcPr>
          <w:p>
            <w:pPr>
              <w:spacing w:after="0"/>
              <w:rPr>
                <w:sz w:val="1"/>
                <w:szCs w:val="1"/>
                <w:color w:val="auto"/>
              </w:rPr>
            </w:pPr>
          </w:p>
        </w:tc>
      </w:tr>
      <w:tr>
        <w:trPr>
          <w:trHeight w:val="210"/>
        </w:trPr>
        <w:tc>
          <w:tcPr>
            <w:tcW w:w="5200" w:type="dxa"/>
            <w:vAlign w:val="bottom"/>
          </w:tcPr>
          <w:p>
            <w:pPr>
              <w:ind w:left="20"/>
              <w:spacing w:after="0"/>
              <w:rPr>
                <w:sz w:val="20"/>
                <w:szCs w:val="20"/>
                <w:color w:val="auto"/>
              </w:rPr>
            </w:pPr>
            <w:r>
              <w:rPr>
                <w:rFonts w:ascii="Arial" w:cs="Arial" w:eastAsia="Arial" w:hAnsi="Arial"/>
                <w:sz w:val="18"/>
                <w:szCs w:val="18"/>
                <w:color w:val="auto"/>
              </w:rPr>
              <w:t>Investments measured at NAV:</w:t>
            </w: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DDDDDD"/>
          </w:tcPr>
          <w:p>
            <w:pPr>
              <w:ind w:left="360"/>
              <w:spacing w:after="0"/>
              <w:rPr>
                <w:sz w:val="20"/>
                <w:szCs w:val="20"/>
                <w:color w:val="auto"/>
              </w:rPr>
            </w:pPr>
            <w:r>
              <w:rPr>
                <w:rFonts w:ascii="Arial" w:cs="Arial" w:eastAsia="Arial" w:hAnsi="Arial"/>
                <w:sz w:val="18"/>
                <w:szCs w:val="18"/>
                <w:color w:val="auto"/>
              </w:rPr>
              <w:t>Private funds</w:t>
            </w:r>
          </w:p>
        </w:tc>
        <w:tc>
          <w:tcPr>
            <w:tcW w:w="32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1,019</w:t>
            </w:r>
          </w:p>
        </w:tc>
        <w:tc>
          <w:tcPr>
            <w:tcW w:w="120" w:type="dxa"/>
            <w:vAlign w:val="bottom"/>
            <w:shd w:val="clear" w:color="auto" w:fill="DDDDDD"/>
          </w:tcPr>
          <w:p>
            <w:pPr>
              <w:spacing w:after="0"/>
              <w:rPr>
                <w:sz w:val="19"/>
                <w:szCs w:val="19"/>
                <w:color w:val="auto"/>
              </w:rPr>
            </w:pPr>
          </w:p>
        </w:tc>
        <w:tc>
          <w:tcPr>
            <w:tcW w:w="280" w:type="dxa"/>
            <w:vAlign w:val="bottom"/>
            <w:shd w:val="clear" w:color="auto" w:fill="DDDDDD"/>
          </w:tcPr>
          <w:p>
            <w:pPr>
              <w:spacing w:after="0"/>
              <w:rPr>
                <w:sz w:val="19"/>
                <w:szCs w:val="19"/>
                <w:color w:val="auto"/>
              </w:rPr>
            </w:pPr>
          </w:p>
        </w:tc>
        <w:tc>
          <w:tcPr>
            <w:tcW w:w="114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400" w:type="dxa"/>
            <w:vAlign w:val="bottom"/>
            <w:shd w:val="clear" w:color="auto" w:fill="DDDDDD"/>
          </w:tcPr>
          <w:p>
            <w:pPr>
              <w:spacing w:after="0"/>
              <w:rPr>
                <w:sz w:val="19"/>
                <w:szCs w:val="19"/>
                <w:color w:val="auto"/>
              </w:rPr>
            </w:pPr>
          </w:p>
        </w:tc>
        <w:tc>
          <w:tcPr>
            <w:tcW w:w="104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300" w:type="dxa"/>
            <w:vAlign w:val="bottom"/>
            <w:shd w:val="clear" w:color="auto" w:fill="DDDDDD"/>
          </w:tcPr>
          <w:p>
            <w:pPr>
              <w:spacing w:after="0"/>
              <w:rPr>
                <w:sz w:val="19"/>
                <w:szCs w:val="19"/>
                <w:color w:val="auto"/>
              </w:rPr>
            </w:pPr>
          </w:p>
        </w:tc>
        <w:tc>
          <w:tcPr>
            <w:tcW w:w="114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360"/>
              <w:spacing w:after="0"/>
              <w:rPr>
                <w:sz w:val="20"/>
                <w:szCs w:val="20"/>
                <w:color w:val="auto"/>
              </w:rPr>
            </w:pPr>
            <w:r>
              <w:rPr>
                <w:rFonts w:ascii="Arial" w:cs="Arial" w:eastAsia="Arial" w:hAnsi="Arial"/>
                <w:sz w:val="18"/>
                <w:szCs w:val="18"/>
                <w:color w:val="auto"/>
              </w:rPr>
              <w:t>Real estate funds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DDDDDD"/>
          </w:tcPr>
          <w:p>
            <w:pPr>
              <w:ind w:left="360"/>
              <w:spacing w:after="0"/>
              <w:rPr>
                <w:sz w:val="20"/>
                <w:szCs w:val="20"/>
                <w:color w:val="auto"/>
              </w:rPr>
            </w:pPr>
            <w:r>
              <w:rPr>
                <w:rFonts w:ascii="Arial" w:cs="Arial" w:eastAsia="Arial" w:hAnsi="Arial"/>
                <w:sz w:val="18"/>
                <w:szCs w:val="18"/>
                <w:color w:val="auto"/>
              </w:rPr>
              <w:t>Commingled funds</w:t>
            </w:r>
          </w:p>
        </w:tc>
        <w:tc>
          <w:tcPr>
            <w:tcW w:w="320" w:type="dxa"/>
            <w:vAlign w:val="bottom"/>
            <w:tcBorders>
              <w:bottom w:val="single" w:sz="8" w:color="auto"/>
            </w:tcBorders>
            <w:shd w:val="clear" w:color="auto" w:fill="DDDDDD"/>
          </w:tcPr>
          <w:p>
            <w:pPr>
              <w:spacing w:after="0"/>
              <w:rPr>
                <w:sz w:val="19"/>
                <w:szCs w:val="19"/>
                <w:color w:val="auto"/>
              </w:rPr>
            </w:pPr>
          </w:p>
        </w:tc>
        <w:tc>
          <w:tcPr>
            <w:tcW w:w="11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DDDDDD"/>
          </w:tcPr>
          <w:p>
            <w:pPr>
              <w:spacing w:after="0"/>
              <w:rPr>
                <w:sz w:val="19"/>
                <w:szCs w:val="19"/>
                <w:color w:val="auto"/>
              </w:rPr>
            </w:pPr>
          </w:p>
        </w:tc>
        <w:tc>
          <w:tcPr>
            <w:tcW w:w="280" w:type="dxa"/>
            <w:vAlign w:val="bottom"/>
            <w:shd w:val="clear" w:color="auto" w:fill="DDDDDD"/>
          </w:tcPr>
          <w:p>
            <w:pPr>
              <w:spacing w:after="0"/>
              <w:rPr>
                <w:sz w:val="19"/>
                <w:szCs w:val="19"/>
                <w:color w:val="auto"/>
              </w:rPr>
            </w:pPr>
          </w:p>
        </w:tc>
        <w:tc>
          <w:tcPr>
            <w:tcW w:w="114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400" w:type="dxa"/>
            <w:vAlign w:val="bottom"/>
            <w:shd w:val="clear" w:color="auto" w:fill="DDDDDD"/>
          </w:tcPr>
          <w:p>
            <w:pPr>
              <w:spacing w:after="0"/>
              <w:rPr>
                <w:sz w:val="19"/>
                <w:szCs w:val="19"/>
                <w:color w:val="auto"/>
              </w:rPr>
            </w:pPr>
          </w:p>
        </w:tc>
        <w:tc>
          <w:tcPr>
            <w:tcW w:w="104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300" w:type="dxa"/>
            <w:vAlign w:val="bottom"/>
            <w:shd w:val="clear" w:color="auto" w:fill="DDDDDD"/>
          </w:tcPr>
          <w:p>
            <w:pPr>
              <w:spacing w:after="0"/>
              <w:rPr>
                <w:sz w:val="19"/>
                <w:szCs w:val="19"/>
                <w:color w:val="auto"/>
              </w:rPr>
            </w:pPr>
          </w:p>
        </w:tc>
        <w:tc>
          <w:tcPr>
            <w:tcW w:w="114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Total assets at fair value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18,995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101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00" w:type="dxa"/>
            <w:vAlign w:val="bottom"/>
          </w:tcPr>
          <w:p>
            <w:pPr>
              <w:spacing w:after="0"/>
              <w:rPr>
                <w:sz w:val="17"/>
                <w:szCs w:val="17"/>
                <w:color w:val="auto"/>
              </w:rPr>
            </w:pPr>
          </w:p>
        </w:tc>
        <w:tc>
          <w:tcPr>
            <w:tcW w:w="880" w:type="dxa"/>
            <w:vAlign w:val="bottom"/>
            <w:tcBorders>
              <w:bottom w:val="single" w:sz="8" w:color="DC202E"/>
            </w:tcBorders>
          </w:tcPr>
          <w:p>
            <w:pPr>
              <w:spacing w:after="0"/>
              <w:rPr>
                <w:sz w:val="17"/>
                <w:szCs w:val="17"/>
                <w:color w:val="auto"/>
              </w:rPr>
            </w:pPr>
          </w:p>
        </w:tc>
        <w:tc>
          <w:tcPr>
            <w:tcW w:w="540" w:type="dxa"/>
            <w:vAlign w:val="bottom"/>
            <w:tcBorders>
              <w:bottom w:val="single" w:sz="8" w:color="DC202E"/>
            </w:tcBorders>
          </w:tcPr>
          <w:p>
            <w:pPr>
              <w:spacing w:after="0"/>
              <w:rPr>
                <w:sz w:val="17"/>
                <w:szCs w:val="17"/>
                <w:color w:val="auto"/>
              </w:rPr>
            </w:pPr>
          </w:p>
        </w:tc>
        <w:tc>
          <w:tcPr>
            <w:tcW w:w="120" w:type="dxa"/>
            <w:vAlign w:val="bottom"/>
            <w:tcBorders>
              <w:bottom w:val="single" w:sz="8" w:color="DC202E"/>
            </w:tcBorders>
          </w:tcPr>
          <w:p>
            <w:pPr>
              <w:spacing w:after="0"/>
              <w:rPr>
                <w:sz w:val="17"/>
                <w:szCs w:val="17"/>
                <w:color w:val="auto"/>
              </w:rPr>
            </w:pPr>
          </w:p>
        </w:tc>
        <w:tc>
          <w:tcPr>
            <w:tcW w:w="960" w:type="dxa"/>
            <w:vAlign w:val="bottom"/>
            <w:tcBorders>
              <w:bottom w:val="single" w:sz="8" w:color="DC202E"/>
            </w:tcBorders>
          </w:tcPr>
          <w:p>
            <w:pPr>
              <w:spacing w:after="0"/>
              <w:rPr>
                <w:sz w:val="17"/>
                <w:szCs w:val="17"/>
                <w:color w:val="auto"/>
              </w:rPr>
            </w:pPr>
          </w:p>
        </w:tc>
        <w:tc>
          <w:tcPr>
            <w:tcW w:w="1040" w:type="dxa"/>
            <w:vAlign w:val="bottom"/>
            <w:tcBorders>
              <w:bottom w:val="single" w:sz="8" w:color="DC202E"/>
            </w:tcBorders>
            <w:gridSpan w:val="3"/>
          </w:tcPr>
          <w:p>
            <w:pPr>
              <w:jc w:val="center"/>
              <w:spacing w:after="0"/>
              <w:rPr>
                <w:sz w:val="20"/>
                <w:szCs w:val="20"/>
                <w:color w:val="auto"/>
              </w:rPr>
            </w:pPr>
            <w:r>
              <w:rPr>
                <w:rFonts w:ascii="Arial" w:cs="Arial" w:eastAsia="Arial" w:hAnsi="Arial"/>
                <w:sz w:val="14"/>
                <w:szCs w:val="14"/>
                <w:b w:val="1"/>
                <w:bCs w:val="1"/>
                <w:color w:val="auto"/>
              </w:rPr>
              <w:t>Non-U.S. Plans</w:t>
            </w:r>
          </w:p>
        </w:tc>
        <w:tc>
          <w:tcPr>
            <w:tcW w:w="960" w:type="dxa"/>
            <w:vAlign w:val="bottom"/>
            <w:tcBorders>
              <w:bottom w:val="single" w:sz="8" w:color="DC202E"/>
            </w:tcBorders>
          </w:tcPr>
          <w:p>
            <w:pPr>
              <w:spacing w:after="0"/>
              <w:rPr>
                <w:sz w:val="17"/>
                <w:szCs w:val="17"/>
                <w:color w:val="auto"/>
              </w:rPr>
            </w:pPr>
          </w:p>
        </w:tc>
        <w:tc>
          <w:tcPr>
            <w:tcW w:w="100" w:type="dxa"/>
            <w:vAlign w:val="bottom"/>
            <w:tcBorders>
              <w:bottom w:val="single" w:sz="8" w:color="DC202E"/>
            </w:tcBorders>
          </w:tcPr>
          <w:p>
            <w:pPr>
              <w:spacing w:after="0"/>
              <w:rPr>
                <w:sz w:val="17"/>
                <w:szCs w:val="17"/>
                <w:color w:val="auto"/>
              </w:rPr>
            </w:pPr>
          </w:p>
        </w:tc>
        <w:tc>
          <w:tcPr>
            <w:tcW w:w="300" w:type="dxa"/>
            <w:vAlign w:val="bottom"/>
            <w:tcBorders>
              <w:bottom w:val="single" w:sz="8" w:color="DC202E"/>
            </w:tcBorders>
          </w:tcPr>
          <w:p>
            <w:pPr>
              <w:spacing w:after="0"/>
              <w:rPr>
                <w:sz w:val="17"/>
                <w:szCs w:val="17"/>
                <w:color w:val="auto"/>
              </w:rPr>
            </w:pPr>
          </w:p>
        </w:tc>
        <w:tc>
          <w:tcPr>
            <w:tcW w:w="1140" w:type="dxa"/>
            <w:vAlign w:val="bottom"/>
            <w:tcBorders>
              <w:bottom w:val="single" w:sz="8" w:color="DC202E"/>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0" w:type="dxa"/>
            <w:vAlign w:val="bottom"/>
          </w:tcPr>
          <w:p>
            <w:pPr>
              <w:spacing w:after="0"/>
              <w:rPr>
                <w:sz w:val="17"/>
                <w:szCs w:val="17"/>
                <w:color w:val="auto"/>
              </w:rPr>
            </w:pPr>
          </w:p>
        </w:tc>
        <w:tc>
          <w:tcPr>
            <w:tcW w:w="880" w:type="dxa"/>
            <w:vAlign w:val="bottom"/>
            <w:tcBorders>
              <w:bottom w:val="single" w:sz="8" w:color="DC202E"/>
            </w:tcBorders>
          </w:tcPr>
          <w:p>
            <w:pPr>
              <w:spacing w:after="0"/>
              <w:rPr>
                <w:sz w:val="17"/>
                <w:szCs w:val="17"/>
                <w:color w:val="auto"/>
              </w:rPr>
            </w:pPr>
          </w:p>
        </w:tc>
        <w:tc>
          <w:tcPr>
            <w:tcW w:w="540" w:type="dxa"/>
            <w:vAlign w:val="bottom"/>
            <w:tcBorders>
              <w:bottom w:val="single" w:sz="8" w:color="DC202E"/>
            </w:tcBorders>
          </w:tcPr>
          <w:p>
            <w:pPr>
              <w:spacing w:after="0"/>
              <w:rPr>
                <w:sz w:val="17"/>
                <w:szCs w:val="17"/>
                <w:color w:val="auto"/>
              </w:rPr>
            </w:pPr>
          </w:p>
        </w:tc>
        <w:tc>
          <w:tcPr>
            <w:tcW w:w="120" w:type="dxa"/>
            <w:vAlign w:val="bottom"/>
            <w:tcBorders>
              <w:bottom w:val="single" w:sz="8" w:color="DC202E"/>
            </w:tcBorders>
          </w:tcPr>
          <w:p>
            <w:pPr>
              <w:spacing w:after="0"/>
              <w:rPr>
                <w:sz w:val="17"/>
                <w:szCs w:val="17"/>
                <w:color w:val="auto"/>
              </w:rPr>
            </w:pPr>
          </w:p>
        </w:tc>
        <w:tc>
          <w:tcPr>
            <w:tcW w:w="3060" w:type="dxa"/>
            <w:vAlign w:val="bottom"/>
            <w:tcBorders>
              <w:bottom w:val="single" w:sz="8" w:color="DC202E"/>
            </w:tcBorders>
            <w:gridSpan w:val="6"/>
          </w:tcPr>
          <w:p>
            <w:pPr>
              <w:jc w:val="center"/>
              <w:ind w:right="120"/>
              <w:spacing w:after="0"/>
              <w:rPr>
                <w:sz w:val="20"/>
                <w:szCs w:val="20"/>
                <w:color w:val="auto"/>
              </w:rPr>
            </w:pPr>
            <w:r>
              <w:rPr>
                <w:rFonts w:ascii="Arial" w:cs="Arial" w:eastAsia="Arial" w:hAnsi="Arial"/>
                <w:sz w:val="14"/>
                <w:szCs w:val="14"/>
                <w:b w:val="1"/>
                <w:bCs w:val="1"/>
                <w:color w:val="auto"/>
              </w:rPr>
              <w:t>December 31, 2020</w:t>
            </w:r>
          </w:p>
        </w:tc>
        <w:tc>
          <w:tcPr>
            <w:tcW w:w="300" w:type="dxa"/>
            <w:vAlign w:val="bottom"/>
            <w:tcBorders>
              <w:bottom w:val="single" w:sz="8" w:color="DC202E"/>
            </w:tcBorders>
          </w:tcPr>
          <w:p>
            <w:pPr>
              <w:spacing w:after="0"/>
              <w:rPr>
                <w:sz w:val="17"/>
                <w:szCs w:val="17"/>
                <w:color w:val="auto"/>
              </w:rPr>
            </w:pPr>
          </w:p>
        </w:tc>
        <w:tc>
          <w:tcPr>
            <w:tcW w:w="1140" w:type="dxa"/>
            <w:vAlign w:val="bottom"/>
            <w:tcBorders>
              <w:bottom w:val="single" w:sz="8" w:color="DC202E"/>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Total</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Level 1</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7"/>
                <w:szCs w:val="17"/>
                <w:color w:val="auto"/>
              </w:rPr>
            </w:pPr>
          </w:p>
        </w:tc>
        <w:tc>
          <w:tcPr>
            <w:tcW w:w="1140" w:type="dxa"/>
            <w:vAlign w:val="bottom"/>
          </w:tcPr>
          <w:p>
            <w:pPr>
              <w:jc w:val="right"/>
              <w:ind w:right="392"/>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16"/>
        </w:trPr>
        <w:tc>
          <w:tcPr>
            <w:tcW w:w="5200" w:type="dxa"/>
            <w:vAlign w:val="bottom"/>
            <w:tcBorders>
              <w:top w:val="single" w:sz="8" w:color="DDDDDD"/>
            </w:tcBorders>
            <w:shd w:val="clear" w:color="auto" w:fill="DDDDDD"/>
          </w:tcPr>
          <w:p>
            <w:pPr>
              <w:ind w:left="20"/>
              <w:spacing w:after="0"/>
              <w:rPr>
                <w:sz w:val="20"/>
                <w:szCs w:val="20"/>
                <w:color w:val="auto"/>
              </w:rPr>
            </w:pPr>
            <w:r>
              <w:rPr>
                <w:rFonts w:ascii="Arial" w:cs="Arial" w:eastAsia="Arial" w:hAnsi="Arial"/>
                <w:sz w:val="18"/>
                <w:szCs w:val="18"/>
                <w:color w:val="auto"/>
              </w:rPr>
              <w:t>Equities:</w:t>
            </w:r>
          </w:p>
        </w:tc>
        <w:tc>
          <w:tcPr>
            <w:tcW w:w="880" w:type="dxa"/>
            <w:vAlign w:val="bottom"/>
            <w:tcBorders>
              <w:top w:val="single" w:sz="8" w:color="DC202E"/>
            </w:tcBorders>
            <w:shd w:val="clear" w:color="auto" w:fill="DDDDDD"/>
          </w:tcPr>
          <w:p>
            <w:pPr>
              <w:spacing w:after="0"/>
              <w:rPr>
                <w:sz w:val="18"/>
                <w:szCs w:val="18"/>
                <w:color w:val="auto"/>
              </w:rPr>
            </w:pPr>
          </w:p>
        </w:tc>
        <w:tc>
          <w:tcPr>
            <w:tcW w:w="540" w:type="dxa"/>
            <w:vAlign w:val="bottom"/>
            <w:tcBorders>
              <w:top w:val="single" w:sz="8" w:color="DC202E"/>
            </w:tcBorders>
            <w:shd w:val="clear" w:color="auto" w:fill="DDDDDD"/>
          </w:tcPr>
          <w:p>
            <w:pPr>
              <w:spacing w:after="0"/>
              <w:rPr>
                <w:sz w:val="18"/>
                <w:szCs w:val="18"/>
                <w:color w:val="auto"/>
              </w:rPr>
            </w:pPr>
          </w:p>
        </w:tc>
        <w:tc>
          <w:tcPr>
            <w:tcW w:w="120" w:type="dxa"/>
            <w:vAlign w:val="bottom"/>
            <w:tcBorders>
              <w:top w:val="single" w:sz="8" w:color="DDDDDD"/>
            </w:tcBorders>
            <w:shd w:val="clear" w:color="auto" w:fill="DDDDDD"/>
          </w:tcPr>
          <w:p>
            <w:pPr>
              <w:spacing w:after="0"/>
              <w:rPr>
                <w:sz w:val="18"/>
                <w:szCs w:val="18"/>
                <w:color w:val="auto"/>
              </w:rPr>
            </w:pPr>
          </w:p>
        </w:tc>
        <w:tc>
          <w:tcPr>
            <w:tcW w:w="960" w:type="dxa"/>
            <w:vAlign w:val="bottom"/>
            <w:tcBorders>
              <w:top w:val="single" w:sz="8" w:color="DC202E"/>
            </w:tcBorders>
            <w:shd w:val="clear" w:color="auto" w:fill="DDDDDD"/>
          </w:tcPr>
          <w:p>
            <w:pPr>
              <w:spacing w:after="0"/>
              <w:rPr>
                <w:sz w:val="18"/>
                <w:szCs w:val="18"/>
                <w:color w:val="auto"/>
              </w:rPr>
            </w:pPr>
          </w:p>
        </w:tc>
        <w:tc>
          <w:tcPr>
            <w:tcW w:w="460" w:type="dxa"/>
            <w:vAlign w:val="bottom"/>
            <w:tcBorders>
              <w:top w:val="single" w:sz="8" w:color="DC202E"/>
            </w:tcBorders>
            <w:shd w:val="clear" w:color="auto" w:fill="DDDDDD"/>
          </w:tcPr>
          <w:p>
            <w:pPr>
              <w:spacing w:after="0"/>
              <w:rPr>
                <w:sz w:val="18"/>
                <w:szCs w:val="18"/>
                <w:color w:val="auto"/>
              </w:rPr>
            </w:pPr>
          </w:p>
        </w:tc>
        <w:tc>
          <w:tcPr>
            <w:tcW w:w="100" w:type="dxa"/>
            <w:vAlign w:val="bottom"/>
            <w:tcBorders>
              <w:top w:val="single" w:sz="8" w:color="DDDDDD"/>
            </w:tcBorders>
            <w:shd w:val="clear" w:color="auto" w:fill="DDDDDD"/>
          </w:tcPr>
          <w:p>
            <w:pPr>
              <w:spacing w:after="0"/>
              <w:rPr>
                <w:sz w:val="18"/>
                <w:szCs w:val="18"/>
                <w:color w:val="auto"/>
              </w:rPr>
            </w:pPr>
          </w:p>
        </w:tc>
        <w:tc>
          <w:tcPr>
            <w:tcW w:w="480" w:type="dxa"/>
            <w:vAlign w:val="bottom"/>
            <w:tcBorders>
              <w:top w:val="single" w:sz="8" w:color="DC202E"/>
            </w:tcBorders>
            <w:shd w:val="clear" w:color="auto" w:fill="DDDDDD"/>
          </w:tcPr>
          <w:p>
            <w:pPr>
              <w:spacing w:after="0"/>
              <w:rPr>
                <w:sz w:val="18"/>
                <w:szCs w:val="18"/>
                <w:color w:val="auto"/>
              </w:rPr>
            </w:pPr>
          </w:p>
        </w:tc>
        <w:tc>
          <w:tcPr>
            <w:tcW w:w="960" w:type="dxa"/>
            <w:vAlign w:val="bottom"/>
            <w:tcBorders>
              <w:top w:val="single" w:sz="8" w:color="DC202E"/>
            </w:tcBorders>
            <w:shd w:val="clear" w:color="auto" w:fill="DDDDDD"/>
          </w:tcPr>
          <w:p>
            <w:pPr>
              <w:spacing w:after="0"/>
              <w:rPr>
                <w:sz w:val="18"/>
                <w:szCs w:val="18"/>
                <w:color w:val="auto"/>
              </w:rPr>
            </w:pPr>
          </w:p>
        </w:tc>
        <w:tc>
          <w:tcPr>
            <w:tcW w:w="100" w:type="dxa"/>
            <w:vAlign w:val="bottom"/>
            <w:tcBorders>
              <w:top w:val="single" w:sz="8" w:color="DDDDDD"/>
            </w:tcBorders>
            <w:shd w:val="clear" w:color="auto" w:fill="DDDDDD"/>
          </w:tcPr>
          <w:p>
            <w:pPr>
              <w:spacing w:after="0"/>
              <w:rPr>
                <w:sz w:val="18"/>
                <w:szCs w:val="18"/>
                <w:color w:val="auto"/>
              </w:rPr>
            </w:pPr>
          </w:p>
        </w:tc>
        <w:tc>
          <w:tcPr>
            <w:tcW w:w="300" w:type="dxa"/>
            <w:vAlign w:val="bottom"/>
            <w:tcBorders>
              <w:top w:val="single" w:sz="8" w:color="DC202E"/>
            </w:tcBorders>
            <w:shd w:val="clear" w:color="auto" w:fill="DDDDDD"/>
          </w:tcPr>
          <w:p>
            <w:pPr>
              <w:spacing w:after="0"/>
              <w:rPr>
                <w:sz w:val="18"/>
                <w:szCs w:val="18"/>
                <w:color w:val="auto"/>
              </w:rPr>
            </w:pPr>
          </w:p>
        </w:tc>
        <w:tc>
          <w:tcPr>
            <w:tcW w:w="1140" w:type="dxa"/>
            <w:vAlign w:val="bottom"/>
            <w:tcBorders>
              <w:top w:val="single" w:sz="8" w:color="DC202E"/>
            </w:tcBorders>
            <w:shd w:val="clear" w:color="auto" w:fill="DDDDDD"/>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360"/>
              <w:spacing w:after="0"/>
              <w:rPr>
                <w:sz w:val="20"/>
                <w:szCs w:val="20"/>
                <w:color w:val="auto"/>
              </w:rPr>
            </w:pPr>
            <w:r>
              <w:rPr>
                <w:rFonts w:ascii="Arial" w:cs="Arial" w:eastAsia="Arial" w:hAnsi="Arial"/>
                <w:sz w:val="18"/>
                <w:szCs w:val="18"/>
                <w:color w:val="auto"/>
              </w:rPr>
              <w:t>U.S. equities</w:t>
            </w:r>
          </w:p>
        </w:tc>
        <w:tc>
          <w:tcPr>
            <w:tcW w:w="880" w:type="dxa"/>
            <w:vAlign w:val="bottom"/>
          </w:tcPr>
          <w:p>
            <w:pPr>
              <w:jc w:val="right"/>
              <w:ind w:right="676"/>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207</w:t>
            </w:r>
          </w:p>
        </w:tc>
        <w:tc>
          <w:tcPr>
            <w:tcW w:w="1080" w:type="dxa"/>
            <w:vAlign w:val="bottom"/>
            <w:gridSpan w:val="2"/>
          </w:tcPr>
          <w:p>
            <w:pPr>
              <w:jc w:val="right"/>
              <w:ind w:right="788"/>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shd w:val="clear" w:color="auto" w:fill="DDDDDD"/>
          </w:tcPr>
          <w:p>
            <w:pPr>
              <w:ind w:left="360"/>
              <w:spacing w:after="0"/>
              <w:rPr>
                <w:sz w:val="20"/>
                <w:szCs w:val="20"/>
                <w:color w:val="auto"/>
              </w:rPr>
            </w:pPr>
            <w:r>
              <w:rPr>
                <w:rFonts w:ascii="Arial" w:cs="Arial" w:eastAsia="Arial" w:hAnsi="Arial"/>
                <w:sz w:val="18"/>
                <w:szCs w:val="18"/>
                <w:color w:val="auto"/>
              </w:rPr>
              <w:t>Non-U.S. equities</w:t>
            </w:r>
          </w:p>
        </w:tc>
        <w:tc>
          <w:tcPr>
            <w:tcW w:w="880" w:type="dxa"/>
            <w:vAlign w:val="bottom"/>
            <w:shd w:val="clear" w:color="auto" w:fill="DDDDDD"/>
          </w:tcPr>
          <w:p>
            <w:pPr>
              <w:spacing w:after="0"/>
              <w:rPr>
                <w:sz w:val="19"/>
                <w:szCs w:val="19"/>
                <w:color w:val="auto"/>
              </w:rPr>
            </w:pPr>
          </w:p>
        </w:tc>
        <w:tc>
          <w:tcPr>
            <w:tcW w:w="54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7"/>
              </w:rPr>
              <w:t>1,614</w:t>
            </w:r>
          </w:p>
        </w:tc>
        <w:tc>
          <w:tcPr>
            <w:tcW w:w="120" w:type="dxa"/>
            <w:vAlign w:val="bottom"/>
            <w:shd w:val="clear" w:color="auto" w:fill="DDDDDD"/>
          </w:tcPr>
          <w:p>
            <w:pPr>
              <w:spacing w:after="0"/>
              <w:rPr>
                <w:sz w:val="19"/>
                <w:szCs w:val="19"/>
                <w:color w:val="auto"/>
              </w:rPr>
            </w:pPr>
          </w:p>
        </w:tc>
        <w:tc>
          <w:tcPr>
            <w:tcW w:w="960" w:type="dxa"/>
            <w:vAlign w:val="bottom"/>
            <w:shd w:val="clear" w:color="auto" w:fill="DDDDDD"/>
          </w:tcPr>
          <w:p>
            <w:pPr>
              <w:spacing w:after="0"/>
              <w:rPr>
                <w:sz w:val="19"/>
                <w:szCs w:val="19"/>
                <w:color w:val="auto"/>
              </w:rPr>
            </w:pPr>
          </w:p>
        </w:tc>
        <w:tc>
          <w:tcPr>
            <w:tcW w:w="4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DDDDDD"/>
          </w:tcPr>
          <w:p>
            <w:pPr>
              <w:spacing w:after="0"/>
              <w:rPr>
                <w:sz w:val="19"/>
                <w:szCs w:val="19"/>
                <w:color w:val="auto"/>
              </w:rPr>
            </w:pPr>
          </w:p>
        </w:tc>
        <w:tc>
          <w:tcPr>
            <w:tcW w:w="480" w:type="dxa"/>
            <w:vAlign w:val="bottom"/>
            <w:shd w:val="clear" w:color="auto" w:fill="DDDDDD"/>
          </w:tcPr>
          <w:p>
            <w:pPr>
              <w:spacing w:after="0"/>
              <w:rPr>
                <w:sz w:val="19"/>
                <w:szCs w:val="19"/>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1,548</w:t>
            </w:r>
          </w:p>
        </w:tc>
        <w:tc>
          <w:tcPr>
            <w:tcW w:w="100" w:type="dxa"/>
            <w:vAlign w:val="bottom"/>
            <w:shd w:val="clear" w:color="auto" w:fill="DDDDDD"/>
          </w:tcPr>
          <w:p>
            <w:pPr>
              <w:spacing w:after="0"/>
              <w:rPr>
                <w:sz w:val="19"/>
                <w:szCs w:val="19"/>
                <w:color w:val="auto"/>
              </w:rPr>
            </w:pPr>
          </w:p>
        </w:tc>
        <w:tc>
          <w:tcPr>
            <w:tcW w:w="300" w:type="dxa"/>
            <w:vAlign w:val="bottom"/>
            <w:shd w:val="clear" w:color="auto" w:fill="DDDDDD"/>
          </w:tcPr>
          <w:p>
            <w:pPr>
              <w:spacing w:after="0"/>
              <w:rPr>
                <w:sz w:val="19"/>
                <w:szCs w:val="19"/>
                <w:color w:val="auto"/>
              </w:rPr>
            </w:pPr>
          </w:p>
        </w:tc>
        <w:tc>
          <w:tcPr>
            <w:tcW w:w="11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Fixed income:</w:t>
            </w:r>
          </w:p>
        </w:tc>
        <w:tc>
          <w:tcPr>
            <w:tcW w:w="8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DDDDDD"/>
          </w:tcPr>
          <w:p>
            <w:pPr>
              <w:ind w:left="360"/>
              <w:spacing w:after="0"/>
              <w:rPr>
                <w:sz w:val="20"/>
                <w:szCs w:val="20"/>
                <w:color w:val="auto"/>
              </w:rPr>
            </w:pPr>
            <w:r>
              <w:rPr>
                <w:rFonts w:ascii="Arial" w:cs="Arial" w:eastAsia="Arial" w:hAnsi="Arial"/>
                <w:sz w:val="18"/>
                <w:szCs w:val="18"/>
                <w:color w:val="auto"/>
              </w:rPr>
              <w:t>Short-term investments</w:t>
            </w:r>
          </w:p>
        </w:tc>
        <w:tc>
          <w:tcPr>
            <w:tcW w:w="880" w:type="dxa"/>
            <w:vAlign w:val="bottom"/>
            <w:shd w:val="clear" w:color="auto" w:fill="DDDDDD"/>
          </w:tcPr>
          <w:p>
            <w:pPr>
              <w:spacing w:after="0"/>
              <w:rPr>
                <w:sz w:val="19"/>
                <w:szCs w:val="19"/>
                <w:color w:val="auto"/>
              </w:rPr>
            </w:pPr>
          </w:p>
        </w:tc>
        <w:tc>
          <w:tcPr>
            <w:tcW w:w="5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596</w:t>
            </w:r>
          </w:p>
        </w:tc>
        <w:tc>
          <w:tcPr>
            <w:tcW w:w="120" w:type="dxa"/>
            <w:vAlign w:val="bottom"/>
            <w:shd w:val="clear" w:color="auto" w:fill="DDDDDD"/>
          </w:tcPr>
          <w:p>
            <w:pPr>
              <w:spacing w:after="0"/>
              <w:rPr>
                <w:sz w:val="19"/>
                <w:szCs w:val="19"/>
                <w:color w:val="auto"/>
              </w:rPr>
            </w:pPr>
          </w:p>
        </w:tc>
        <w:tc>
          <w:tcPr>
            <w:tcW w:w="960" w:type="dxa"/>
            <w:vAlign w:val="bottom"/>
            <w:shd w:val="clear" w:color="auto" w:fill="DDDDDD"/>
          </w:tcPr>
          <w:p>
            <w:pPr>
              <w:spacing w:after="0"/>
              <w:rPr>
                <w:sz w:val="19"/>
                <w:szCs w:val="19"/>
                <w:color w:val="auto"/>
              </w:rPr>
            </w:pPr>
          </w:p>
        </w:tc>
        <w:tc>
          <w:tcPr>
            <w:tcW w:w="4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596</w:t>
            </w:r>
          </w:p>
        </w:tc>
        <w:tc>
          <w:tcPr>
            <w:tcW w:w="100" w:type="dxa"/>
            <w:vAlign w:val="bottom"/>
            <w:shd w:val="clear" w:color="auto" w:fill="DDDDDD"/>
          </w:tcPr>
          <w:p>
            <w:pPr>
              <w:spacing w:after="0"/>
              <w:rPr>
                <w:sz w:val="19"/>
                <w:szCs w:val="19"/>
                <w:color w:val="auto"/>
              </w:rPr>
            </w:pPr>
          </w:p>
        </w:tc>
        <w:tc>
          <w:tcPr>
            <w:tcW w:w="480" w:type="dxa"/>
            <w:vAlign w:val="bottom"/>
            <w:shd w:val="clear" w:color="auto" w:fill="DDDDDD"/>
          </w:tcPr>
          <w:p>
            <w:pPr>
              <w:spacing w:after="0"/>
              <w:rPr>
                <w:sz w:val="19"/>
                <w:szCs w:val="19"/>
                <w:color w:val="auto"/>
              </w:rPr>
            </w:pPr>
          </w:p>
        </w:tc>
        <w:tc>
          <w:tcPr>
            <w:tcW w:w="1060" w:type="dxa"/>
            <w:vAlign w:val="bottom"/>
            <w:gridSpan w:val="2"/>
            <w:shd w:val="clear" w:color="auto" w:fill="DDDDDD"/>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DDDDDD"/>
          </w:tcPr>
          <w:p>
            <w:pPr>
              <w:spacing w:after="0"/>
              <w:rPr>
                <w:sz w:val="19"/>
                <w:szCs w:val="19"/>
                <w:color w:val="auto"/>
              </w:rPr>
            </w:pPr>
          </w:p>
        </w:tc>
        <w:tc>
          <w:tcPr>
            <w:tcW w:w="11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tcPr>
          <w:p>
            <w:pPr>
              <w:ind w:left="360"/>
              <w:spacing w:after="0"/>
              <w:rPr>
                <w:sz w:val="20"/>
                <w:szCs w:val="20"/>
                <w:color w:val="auto"/>
              </w:rPr>
            </w:pPr>
            <w:r>
              <w:rPr>
                <w:rFonts w:ascii="Arial" w:cs="Arial" w:eastAsia="Arial" w:hAnsi="Arial"/>
                <w:sz w:val="18"/>
                <w:szCs w:val="18"/>
                <w:color w:val="auto"/>
              </w:rPr>
              <w:t>Government securities</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3,105</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3,105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shd w:val="clear" w:color="auto" w:fill="DDDDDD"/>
          </w:tcPr>
          <w:p>
            <w:pPr>
              <w:ind w:left="360"/>
              <w:spacing w:after="0"/>
              <w:rPr>
                <w:sz w:val="20"/>
                <w:szCs w:val="20"/>
                <w:color w:val="auto"/>
              </w:rPr>
            </w:pPr>
            <w:r>
              <w:rPr>
                <w:rFonts w:ascii="Arial" w:cs="Arial" w:eastAsia="Arial" w:hAnsi="Arial"/>
                <w:sz w:val="18"/>
                <w:szCs w:val="18"/>
                <w:color w:val="auto"/>
              </w:rPr>
              <w:t>Corporate bonds</w:t>
            </w:r>
          </w:p>
        </w:tc>
        <w:tc>
          <w:tcPr>
            <w:tcW w:w="880" w:type="dxa"/>
            <w:vAlign w:val="bottom"/>
            <w:shd w:val="clear" w:color="auto" w:fill="DDDDDD"/>
          </w:tcPr>
          <w:p>
            <w:pPr>
              <w:spacing w:after="0"/>
              <w:rPr>
                <w:sz w:val="19"/>
                <w:szCs w:val="19"/>
                <w:color w:val="auto"/>
              </w:rPr>
            </w:pPr>
          </w:p>
        </w:tc>
        <w:tc>
          <w:tcPr>
            <w:tcW w:w="54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7"/>
              </w:rPr>
              <w:t>1,649</w:t>
            </w:r>
          </w:p>
        </w:tc>
        <w:tc>
          <w:tcPr>
            <w:tcW w:w="120" w:type="dxa"/>
            <w:vAlign w:val="bottom"/>
            <w:shd w:val="clear" w:color="auto" w:fill="DDDDDD"/>
          </w:tcPr>
          <w:p>
            <w:pPr>
              <w:spacing w:after="0"/>
              <w:rPr>
                <w:sz w:val="19"/>
                <w:szCs w:val="19"/>
                <w:color w:val="auto"/>
              </w:rPr>
            </w:pPr>
          </w:p>
        </w:tc>
        <w:tc>
          <w:tcPr>
            <w:tcW w:w="960" w:type="dxa"/>
            <w:vAlign w:val="bottom"/>
            <w:shd w:val="clear" w:color="auto" w:fill="DDDDDD"/>
          </w:tcPr>
          <w:p>
            <w:pPr>
              <w:spacing w:after="0"/>
              <w:rPr>
                <w:sz w:val="19"/>
                <w:szCs w:val="19"/>
                <w:color w:val="auto"/>
              </w:rPr>
            </w:pPr>
          </w:p>
        </w:tc>
        <w:tc>
          <w:tcPr>
            <w:tcW w:w="560" w:type="dxa"/>
            <w:vAlign w:val="bottom"/>
            <w:gridSpan w:val="2"/>
            <w:shd w:val="clear" w:color="auto" w:fill="DDDDDD"/>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DDDDDD"/>
          </w:tcPr>
          <w:p>
            <w:pPr>
              <w:spacing w:after="0"/>
              <w:rPr>
                <w:sz w:val="19"/>
                <w:szCs w:val="19"/>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1,649</w:t>
            </w:r>
          </w:p>
        </w:tc>
        <w:tc>
          <w:tcPr>
            <w:tcW w:w="100" w:type="dxa"/>
            <w:vAlign w:val="bottom"/>
            <w:shd w:val="clear" w:color="auto" w:fill="DDDDDD"/>
          </w:tcPr>
          <w:p>
            <w:pPr>
              <w:spacing w:after="0"/>
              <w:rPr>
                <w:sz w:val="19"/>
                <w:szCs w:val="19"/>
                <w:color w:val="auto"/>
              </w:rPr>
            </w:pPr>
          </w:p>
        </w:tc>
        <w:tc>
          <w:tcPr>
            <w:tcW w:w="300" w:type="dxa"/>
            <w:vAlign w:val="bottom"/>
            <w:shd w:val="clear" w:color="auto" w:fill="DDDDDD"/>
          </w:tcPr>
          <w:p>
            <w:pPr>
              <w:spacing w:after="0"/>
              <w:rPr>
                <w:sz w:val="19"/>
                <w:szCs w:val="19"/>
                <w:color w:val="auto"/>
              </w:rPr>
            </w:pPr>
          </w:p>
        </w:tc>
        <w:tc>
          <w:tcPr>
            <w:tcW w:w="11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tcPr>
          <w:p>
            <w:pPr>
              <w:ind w:left="360"/>
              <w:spacing w:after="0"/>
              <w:rPr>
                <w:sz w:val="20"/>
                <w:szCs w:val="20"/>
                <w:color w:val="auto"/>
              </w:rPr>
            </w:pPr>
            <w:r>
              <w:rPr>
                <w:rFonts w:ascii="Arial" w:cs="Arial" w:eastAsia="Arial" w:hAnsi="Arial"/>
                <w:sz w:val="18"/>
                <w:szCs w:val="18"/>
                <w:color w:val="auto"/>
              </w:rPr>
              <w:t>Mortgage/Asset-backed securities</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shd w:val="clear" w:color="auto" w:fill="DDDDDD"/>
          </w:tcPr>
          <w:p>
            <w:pPr>
              <w:ind w:left="360"/>
              <w:spacing w:after="0"/>
              <w:rPr>
                <w:sz w:val="20"/>
                <w:szCs w:val="20"/>
                <w:color w:val="auto"/>
              </w:rPr>
            </w:pPr>
            <w:r>
              <w:rPr>
                <w:rFonts w:ascii="Arial" w:cs="Arial" w:eastAsia="Arial" w:hAnsi="Arial"/>
                <w:sz w:val="18"/>
                <w:szCs w:val="18"/>
                <w:color w:val="auto"/>
              </w:rPr>
              <w:t>Insurance contracts</w:t>
            </w:r>
          </w:p>
        </w:tc>
        <w:tc>
          <w:tcPr>
            <w:tcW w:w="880" w:type="dxa"/>
            <w:vAlign w:val="bottom"/>
            <w:shd w:val="clear" w:color="auto" w:fill="DDDDDD"/>
          </w:tcPr>
          <w:p>
            <w:pPr>
              <w:spacing w:after="0"/>
              <w:rPr>
                <w:sz w:val="19"/>
                <w:szCs w:val="19"/>
                <w:color w:val="auto"/>
              </w:rPr>
            </w:pPr>
          </w:p>
        </w:tc>
        <w:tc>
          <w:tcPr>
            <w:tcW w:w="5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142</w:t>
            </w:r>
          </w:p>
        </w:tc>
        <w:tc>
          <w:tcPr>
            <w:tcW w:w="120" w:type="dxa"/>
            <w:vAlign w:val="bottom"/>
            <w:shd w:val="clear" w:color="auto" w:fill="DDDDDD"/>
          </w:tcPr>
          <w:p>
            <w:pPr>
              <w:spacing w:after="0"/>
              <w:rPr>
                <w:sz w:val="19"/>
                <w:szCs w:val="19"/>
                <w:color w:val="auto"/>
              </w:rPr>
            </w:pPr>
          </w:p>
        </w:tc>
        <w:tc>
          <w:tcPr>
            <w:tcW w:w="960" w:type="dxa"/>
            <w:vAlign w:val="bottom"/>
            <w:shd w:val="clear" w:color="auto" w:fill="DDDDDD"/>
          </w:tcPr>
          <w:p>
            <w:pPr>
              <w:spacing w:after="0"/>
              <w:rPr>
                <w:sz w:val="19"/>
                <w:szCs w:val="19"/>
                <w:color w:val="auto"/>
              </w:rPr>
            </w:pPr>
          </w:p>
        </w:tc>
        <w:tc>
          <w:tcPr>
            <w:tcW w:w="560" w:type="dxa"/>
            <w:vAlign w:val="bottom"/>
            <w:gridSpan w:val="2"/>
            <w:shd w:val="clear" w:color="auto" w:fill="DDDDDD"/>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DDDDDD"/>
          </w:tcPr>
          <w:p>
            <w:pPr>
              <w:spacing w:after="0"/>
              <w:rPr>
                <w:sz w:val="19"/>
                <w:szCs w:val="19"/>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DDDDDD"/>
          </w:tcPr>
          <w:p>
            <w:pPr>
              <w:spacing w:after="0"/>
              <w:rPr>
                <w:sz w:val="19"/>
                <w:szCs w:val="19"/>
                <w:color w:val="auto"/>
              </w:rPr>
            </w:pPr>
          </w:p>
        </w:tc>
        <w:tc>
          <w:tcPr>
            <w:tcW w:w="300" w:type="dxa"/>
            <w:vAlign w:val="bottom"/>
            <w:shd w:val="clear" w:color="auto" w:fill="DDDDDD"/>
          </w:tcPr>
          <w:p>
            <w:pPr>
              <w:spacing w:after="0"/>
              <w:rPr>
                <w:sz w:val="19"/>
                <w:szCs w:val="19"/>
                <w:color w:val="auto"/>
              </w:rPr>
            </w:pPr>
          </w:p>
        </w:tc>
        <w:tc>
          <w:tcPr>
            <w:tcW w:w="11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tcPr>
          <w:p>
            <w:pPr>
              <w:ind w:left="360"/>
              <w:spacing w:after="0"/>
              <w:rPr>
                <w:sz w:val="20"/>
                <w:szCs w:val="20"/>
                <w:color w:val="auto"/>
              </w:rPr>
            </w:pPr>
            <w:r>
              <w:rPr>
                <w:rFonts w:ascii="Arial" w:cs="Arial" w:eastAsia="Arial" w:hAnsi="Arial"/>
                <w:sz w:val="18"/>
                <w:szCs w:val="18"/>
                <w:color w:val="auto"/>
              </w:rPr>
              <w:t>Insurance buy-in contracts</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767</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30"/>
        </w:trPr>
        <w:tc>
          <w:tcPr>
            <w:tcW w:w="5200" w:type="dxa"/>
            <w:vAlign w:val="bottom"/>
            <w:shd w:val="clear" w:color="auto" w:fill="DDDDDD"/>
          </w:tcPr>
          <w:p>
            <w:pPr>
              <w:ind w:left="20"/>
              <w:spacing w:after="0"/>
              <w:rPr>
                <w:sz w:val="20"/>
                <w:szCs w:val="20"/>
                <w:color w:val="auto"/>
              </w:rPr>
            </w:pPr>
            <w:r>
              <w:rPr>
                <w:rFonts w:ascii="Arial" w:cs="Arial" w:eastAsia="Arial" w:hAnsi="Arial"/>
                <w:sz w:val="18"/>
                <w:szCs w:val="18"/>
                <w:color w:val="auto"/>
              </w:rPr>
              <w:t>Investments in private funds:</w:t>
            </w:r>
          </w:p>
        </w:tc>
        <w:tc>
          <w:tcPr>
            <w:tcW w:w="880" w:type="dxa"/>
            <w:vAlign w:val="bottom"/>
            <w:shd w:val="clear" w:color="auto" w:fill="DDDDDD"/>
          </w:tcPr>
          <w:p>
            <w:pPr>
              <w:spacing w:after="0"/>
              <w:rPr>
                <w:sz w:val="19"/>
                <w:szCs w:val="19"/>
                <w:color w:val="auto"/>
              </w:rPr>
            </w:pPr>
          </w:p>
        </w:tc>
        <w:tc>
          <w:tcPr>
            <w:tcW w:w="54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960" w:type="dxa"/>
            <w:vAlign w:val="bottom"/>
            <w:shd w:val="clear" w:color="auto" w:fill="DDDDDD"/>
          </w:tcPr>
          <w:p>
            <w:pPr>
              <w:spacing w:after="0"/>
              <w:rPr>
                <w:sz w:val="19"/>
                <w:szCs w:val="19"/>
                <w:color w:val="auto"/>
              </w:rPr>
            </w:pPr>
          </w:p>
        </w:tc>
        <w:tc>
          <w:tcPr>
            <w:tcW w:w="46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480" w:type="dxa"/>
            <w:vAlign w:val="bottom"/>
            <w:shd w:val="clear" w:color="auto" w:fill="DDDDDD"/>
          </w:tcPr>
          <w:p>
            <w:pPr>
              <w:spacing w:after="0"/>
              <w:rPr>
                <w:sz w:val="19"/>
                <w:szCs w:val="19"/>
                <w:color w:val="auto"/>
              </w:rPr>
            </w:pPr>
          </w:p>
        </w:tc>
        <w:tc>
          <w:tcPr>
            <w:tcW w:w="96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300" w:type="dxa"/>
            <w:vAlign w:val="bottom"/>
            <w:shd w:val="clear" w:color="auto" w:fill="DDDDDD"/>
          </w:tcPr>
          <w:p>
            <w:pPr>
              <w:spacing w:after="0"/>
              <w:rPr>
                <w:sz w:val="19"/>
                <w:szCs w:val="19"/>
                <w:color w:val="auto"/>
              </w:rPr>
            </w:pPr>
          </w:p>
        </w:tc>
        <w:tc>
          <w:tcPr>
            <w:tcW w:w="114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360"/>
              <w:spacing w:after="0"/>
              <w:rPr>
                <w:sz w:val="20"/>
                <w:szCs w:val="20"/>
                <w:color w:val="auto"/>
              </w:rPr>
            </w:pPr>
            <w:r>
              <w:rPr>
                <w:rFonts w:ascii="Arial" w:cs="Arial" w:eastAsia="Arial" w:hAnsi="Arial"/>
                <w:sz w:val="18"/>
                <w:szCs w:val="18"/>
                <w:color w:val="auto"/>
              </w:rPr>
              <w:t>Private funds</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5200" w:type="dxa"/>
            <w:vAlign w:val="bottom"/>
            <w:shd w:val="clear" w:color="auto" w:fill="DDDDDD"/>
          </w:tcPr>
          <w:p>
            <w:pPr>
              <w:ind w:left="360"/>
              <w:spacing w:after="0"/>
              <w:rPr>
                <w:sz w:val="20"/>
                <w:szCs w:val="20"/>
                <w:color w:val="auto"/>
              </w:rPr>
            </w:pPr>
            <w:r>
              <w:rPr>
                <w:rFonts w:ascii="Arial" w:cs="Arial" w:eastAsia="Arial" w:hAnsi="Arial"/>
                <w:sz w:val="18"/>
                <w:szCs w:val="18"/>
                <w:color w:val="auto"/>
              </w:rPr>
              <w:t>Real estate funds</w:t>
            </w:r>
          </w:p>
        </w:tc>
        <w:tc>
          <w:tcPr>
            <w:tcW w:w="880" w:type="dxa"/>
            <w:vAlign w:val="bottom"/>
            <w:tcBorders>
              <w:bottom w:val="single" w:sz="8" w:color="auto"/>
            </w:tcBorders>
            <w:shd w:val="clear" w:color="auto" w:fill="DDDDDD"/>
          </w:tcPr>
          <w:p>
            <w:pPr>
              <w:spacing w:after="0"/>
              <w:rPr>
                <w:sz w:val="19"/>
                <w:szCs w:val="19"/>
                <w:color w:val="auto"/>
              </w:rPr>
            </w:pPr>
          </w:p>
        </w:tc>
        <w:tc>
          <w:tcPr>
            <w:tcW w:w="5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DDDDDD"/>
          </w:tcPr>
          <w:p>
            <w:pPr>
              <w:spacing w:after="0"/>
              <w:rPr>
                <w:sz w:val="19"/>
                <w:szCs w:val="19"/>
                <w:color w:val="auto"/>
              </w:rPr>
            </w:pPr>
          </w:p>
        </w:tc>
        <w:tc>
          <w:tcPr>
            <w:tcW w:w="960" w:type="dxa"/>
            <w:vAlign w:val="bottom"/>
            <w:tcBorders>
              <w:bottom w:val="single" w:sz="8" w:color="auto"/>
            </w:tcBorders>
            <w:shd w:val="clear" w:color="auto" w:fill="DDDDDD"/>
          </w:tcPr>
          <w:p>
            <w:pPr>
              <w:spacing w:after="0"/>
              <w:rPr>
                <w:sz w:val="19"/>
                <w:szCs w:val="19"/>
                <w:color w:val="auto"/>
              </w:rPr>
            </w:pPr>
          </w:p>
        </w:tc>
        <w:tc>
          <w:tcPr>
            <w:tcW w:w="4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DDDDD"/>
          </w:tcPr>
          <w:p>
            <w:pPr>
              <w:spacing w:after="0"/>
              <w:rPr>
                <w:sz w:val="19"/>
                <w:szCs w:val="19"/>
                <w:color w:val="auto"/>
              </w:rPr>
            </w:pPr>
          </w:p>
        </w:tc>
        <w:tc>
          <w:tcPr>
            <w:tcW w:w="480" w:type="dxa"/>
            <w:vAlign w:val="bottom"/>
            <w:tcBorders>
              <w:bottom w:val="single" w:sz="8" w:color="auto"/>
            </w:tcBorders>
            <w:shd w:val="clear" w:color="auto" w:fill="DDDDDD"/>
          </w:tcPr>
          <w:p>
            <w:pPr>
              <w:spacing w:after="0"/>
              <w:rPr>
                <w:sz w:val="19"/>
                <w:szCs w:val="19"/>
                <w:color w:val="auto"/>
              </w:rPr>
            </w:pPr>
          </w:p>
        </w:tc>
        <w:tc>
          <w:tcPr>
            <w:tcW w:w="9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DDDDD"/>
          </w:tcPr>
          <w:p>
            <w:pPr>
              <w:spacing w:after="0"/>
              <w:rPr>
                <w:sz w:val="19"/>
                <w:szCs w:val="19"/>
                <w:color w:val="auto"/>
              </w:rPr>
            </w:pPr>
          </w:p>
        </w:tc>
        <w:tc>
          <w:tcPr>
            <w:tcW w:w="300" w:type="dxa"/>
            <w:vAlign w:val="bottom"/>
            <w:tcBorders>
              <w:bottom w:val="single" w:sz="8" w:color="auto"/>
            </w:tcBorders>
            <w:shd w:val="clear" w:color="auto" w:fill="DDDDDD"/>
          </w:tcPr>
          <w:p>
            <w:pPr>
              <w:spacing w:after="0"/>
              <w:rPr>
                <w:sz w:val="19"/>
                <w:szCs w:val="19"/>
                <w:color w:val="auto"/>
              </w:rPr>
            </w:pPr>
          </w:p>
        </w:tc>
        <w:tc>
          <w:tcPr>
            <w:tcW w:w="1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Total</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8,385</w:t>
            </w:r>
          </w:p>
        </w:tc>
        <w:tc>
          <w:tcPr>
            <w:tcW w:w="1080" w:type="dxa"/>
            <w:vAlign w:val="bottom"/>
            <w:gridSpan w:val="2"/>
          </w:tcPr>
          <w:p>
            <w:pPr>
              <w:jc w:val="right"/>
              <w:ind w:right="788"/>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662</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6,780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943</w:t>
            </w:r>
          </w:p>
        </w:tc>
        <w:tc>
          <w:tcPr>
            <w:tcW w:w="0" w:type="dxa"/>
            <w:vAlign w:val="bottom"/>
          </w:tcPr>
          <w:p>
            <w:pPr>
              <w:spacing w:after="0"/>
              <w:rPr>
                <w:sz w:val="1"/>
                <w:szCs w:val="1"/>
                <w:color w:val="auto"/>
              </w:rPr>
            </w:pPr>
          </w:p>
        </w:tc>
      </w:tr>
      <w:tr>
        <w:trPr>
          <w:trHeight w:val="209"/>
        </w:trPr>
        <w:tc>
          <w:tcPr>
            <w:tcW w:w="5200" w:type="dxa"/>
            <w:vAlign w:val="bottom"/>
            <w:tcBorders>
              <w:top w:val="single" w:sz="8" w:color="DDDDDD"/>
            </w:tcBorders>
            <w:shd w:val="clear" w:color="auto" w:fill="DDDDDD"/>
          </w:tcPr>
          <w:p>
            <w:pPr>
              <w:ind w:left="20"/>
              <w:spacing w:after="0"/>
              <w:rPr>
                <w:sz w:val="20"/>
                <w:szCs w:val="20"/>
                <w:color w:val="auto"/>
              </w:rPr>
            </w:pPr>
            <w:r>
              <w:rPr>
                <w:rFonts w:ascii="Arial" w:cs="Arial" w:eastAsia="Arial" w:hAnsi="Arial"/>
                <w:sz w:val="18"/>
                <w:szCs w:val="18"/>
                <w:color w:val="auto"/>
              </w:rPr>
              <w:t>Investments measured at NAV:</w:t>
            </w:r>
          </w:p>
        </w:tc>
        <w:tc>
          <w:tcPr>
            <w:tcW w:w="880" w:type="dxa"/>
            <w:vAlign w:val="bottom"/>
            <w:tcBorders>
              <w:top w:val="single" w:sz="8" w:color="auto"/>
            </w:tcBorders>
            <w:shd w:val="clear" w:color="auto" w:fill="DDDDDD"/>
          </w:tcPr>
          <w:p>
            <w:pPr>
              <w:spacing w:after="0"/>
              <w:rPr>
                <w:sz w:val="18"/>
                <w:szCs w:val="18"/>
                <w:color w:val="auto"/>
              </w:rPr>
            </w:pPr>
          </w:p>
        </w:tc>
        <w:tc>
          <w:tcPr>
            <w:tcW w:w="540" w:type="dxa"/>
            <w:vAlign w:val="bottom"/>
            <w:tcBorders>
              <w:top w:val="single" w:sz="8" w:color="auto"/>
            </w:tcBorders>
            <w:shd w:val="clear" w:color="auto" w:fill="DDDDDD"/>
          </w:tcPr>
          <w:p>
            <w:pPr>
              <w:spacing w:after="0"/>
              <w:rPr>
                <w:sz w:val="18"/>
                <w:szCs w:val="18"/>
                <w:color w:val="auto"/>
              </w:rPr>
            </w:pPr>
          </w:p>
        </w:tc>
        <w:tc>
          <w:tcPr>
            <w:tcW w:w="120" w:type="dxa"/>
            <w:vAlign w:val="bottom"/>
            <w:tcBorders>
              <w:top w:val="single" w:sz="8" w:color="DDDDDD"/>
            </w:tcBorders>
            <w:shd w:val="clear" w:color="auto" w:fill="DDDDDD"/>
          </w:tcPr>
          <w:p>
            <w:pPr>
              <w:spacing w:after="0"/>
              <w:rPr>
                <w:sz w:val="18"/>
                <w:szCs w:val="18"/>
                <w:color w:val="auto"/>
              </w:rPr>
            </w:pPr>
          </w:p>
        </w:tc>
        <w:tc>
          <w:tcPr>
            <w:tcW w:w="960" w:type="dxa"/>
            <w:vAlign w:val="bottom"/>
            <w:tcBorders>
              <w:top w:val="single" w:sz="8" w:color="auto"/>
            </w:tcBorders>
            <w:shd w:val="clear" w:color="auto" w:fill="DDDDDD"/>
          </w:tcPr>
          <w:p>
            <w:pPr>
              <w:spacing w:after="0"/>
              <w:rPr>
                <w:sz w:val="18"/>
                <w:szCs w:val="18"/>
                <w:color w:val="auto"/>
              </w:rPr>
            </w:pPr>
          </w:p>
        </w:tc>
        <w:tc>
          <w:tcPr>
            <w:tcW w:w="460" w:type="dxa"/>
            <w:vAlign w:val="bottom"/>
            <w:tcBorders>
              <w:top w:val="single" w:sz="8" w:color="auto"/>
            </w:tcBorders>
            <w:shd w:val="clear" w:color="auto" w:fill="DDDDDD"/>
          </w:tcPr>
          <w:p>
            <w:pPr>
              <w:spacing w:after="0"/>
              <w:rPr>
                <w:sz w:val="18"/>
                <w:szCs w:val="18"/>
                <w:color w:val="auto"/>
              </w:rPr>
            </w:pPr>
          </w:p>
        </w:tc>
        <w:tc>
          <w:tcPr>
            <w:tcW w:w="100" w:type="dxa"/>
            <w:vAlign w:val="bottom"/>
            <w:tcBorders>
              <w:top w:val="single" w:sz="8" w:color="DDDDDD"/>
            </w:tcBorders>
            <w:shd w:val="clear" w:color="auto" w:fill="DDDDDD"/>
          </w:tcPr>
          <w:p>
            <w:pPr>
              <w:spacing w:after="0"/>
              <w:rPr>
                <w:sz w:val="18"/>
                <w:szCs w:val="18"/>
                <w:color w:val="auto"/>
              </w:rPr>
            </w:pPr>
          </w:p>
        </w:tc>
        <w:tc>
          <w:tcPr>
            <w:tcW w:w="480" w:type="dxa"/>
            <w:vAlign w:val="bottom"/>
            <w:tcBorders>
              <w:top w:val="single" w:sz="8" w:color="auto"/>
            </w:tcBorders>
            <w:shd w:val="clear" w:color="auto" w:fill="DDDDDD"/>
          </w:tcPr>
          <w:p>
            <w:pPr>
              <w:spacing w:after="0"/>
              <w:rPr>
                <w:sz w:val="18"/>
                <w:szCs w:val="18"/>
                <w:color w:val="auto"/>
              </w:rPr>
            </w:pPr>
          </w:p>
        </w:tc>
        <w:tc>
          <w:tcPr>
            <w:tcW w:w="960" w:type="dxa"/>
            <w:vAlign w:val="bottom"/>
            <w:tcBorders>
              <w:top w:val="single" w:sz="8" w:color="auto"/>
            </w:tcBorders>
            <w:shd w:val="clear" w:color="auto" w:fill="DDDDDD"/>
          </w:tcPr>
          <w:p>
            <w:pPr>
              <w:spacing w:after="0"/>
              <w:rPr>
                <w:sz w:val="18"/>
                <w:szCs w:val="18"/>
                <w:color w:val="auto"/>
              </w:rPr>
            </w:pPr>
          </w:p>
        </w:tc>
        <w:tc>
          <w:tcPr>
            <w:tcW w:w="100" w:type="dxa"/>
            <w:vAlign w:val="bottom"/>
            <w:tcBorders>
              <w:top w:val="single" w:sz="8" w:color="DDDDDD"/>
            </w:tcBorders>
            <w:shd w:val="clear" w:color="auto" w:fill="DDDDDD"/>
          </w:tcPr>
          <w:p>
            <w:pPr>
              <w:spacing w:after="0"/>
              <w:rPr>
                <w:sz w:val="18"/>
                <w:szCs w:val="18"/>
                <w:color w:val="auto"/>
              </w:rPr>
            </w:pPr>
          </w:p>
        </w:tc>
        <w:tc>
          <w:tcPr>
            <w:tcW w:w="300" w:type="dxa"/>
            <w:vAlign w:val="bottom"/>
            <w:tcBorders>
              <w:top w:val="single" w:sz="8" w:color="auto"/>
            </w:tcBorders>
            <w:shd w:val="clear" w:color="auto" w:fill="DDDDDD"/>
          </w:tcPr>
          <w:p>
            <w:pPr>
              <w:spacing w:after="0"/>
              <w:rPr>
                <w:sz w:val="18"/>
                <w:szCs w:val="18"/>
                <w:color w:val="auto"/>
              </w:rPr>
            </w:pPr>
          </w:p>
        </w:tc>
        <w:tc>
          <w:tcPr>
            <w:tcW w:w="1140" w:type="dxa"/>
            <w:vAlign w:val="bottom"/>
            <w:tcBorders>
              <w:top w:val="single" w:sz="8" w:color="auto"/>
            </w:tcBorders>
            <w:shd w:val="clear" w:color="auto" w:fill="DDDDDD"/>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360"/>
              <w:spacing w:after="0"/>
              <w:rPr>
                <w:sz w:val="20"/>
                <w:szCs w:val="20"/>
                <w:color w:val="auto"/>
              </w:rPr>
            </w:pPr>
            <w:r>
              <w:rPr>
                <w:rFonts w:ascii="Arial" w:cs="Arial" w:eastAsia="Arial" w:hAnsi="Arial"/>
                <w:sz w:val="18"/>
                <w:szCs w:val="18"/>
                <w:color w:val="auto"/>
              </w:rPr>
              <w:t>Private funds</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DDDDDD"/>
          </w:tcPr>
          <w:p>
            <w:pPr>
              <w:ind w:left="360"/>
              <w:spacing w:after="0"/>
              <w:rPr>
                <w:sz w:val="20"/>
                <w:szCs w:val="20"/>
                <w:color w:val="auto"/>
              </w:rPr>
            </w:pPr>
            <w:r>
              <w:rPr>
                <w:rFonts w:ascii="Arial" w:cs="Arial" w:eastAsia="Arial" w:hAnsi="Arial"/>
                <w:sz w:val="18"/>
                <w:szCs w:val="18"/>
                <w:color w:val="auto"/>
              </w:rPr>
              <w:t>Real estate funds</w:t>
            </w:r>
          </w:p>
        </w:tc>
        <w:tc>
          <w:tcPr>
            <w:tcW w:w="880" w:type="dxa"/>
            <w:vAlign w:val="bottom"/>
            <w:tcBorders>
              <w:bottom w:val="single" w:sz="8" w:color="auto"/>
            </w:tcBorders>
            <w:shd w:val="clear" w:color="auto" w:fill="DDDDDD"/>
          </w:tcPr>
          <w:p>
            <w:pPr>
              <w:spacing w:after="0"/>
              <w:rPr>
                <w:sz w:val="19"/>
                <w:szCs w:val="19"/>
                <w:color w:val="auto"/>
              </w:rPr>
            </w:pPr>
          </w:p>
        </w:tc>
        <w:tc>
          <w:tcPr>
            <w:tcW w:w="5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DDDDDD"/>
          </w:tcPr>
          <w:p>
            <w:pPr>
              <w:spacing w:after="0"/>
              <w:rPr>
                <w:sz w:val="19"/>
                <w:szCs w:val="19"/>
                <w:color w:val="auto"/>
              </w:rPr>
            </w:pPr>
          </w:p>
        </w:tc>
        <w:tc>
          <w:tcPr>
            <w:tcW w:w="960" w:type="dxa"/>
            <w:vAlign w:val="bottom"/>
            <w:shd w:val="clear" w:color="auto" w:fill="DDDDDD"/>
          </w:tcPr>
          <w:p>
            <w:pPr>
              <w:spacing w:after="0"/>
              <w:rPr>
                <w:sz w:val="19"/>
                <w:szCs w:val="19"/>
                <w:color w:val="auto"/>
              </w:rPr>
            </w:pPr>
          </w:p>
        </w:tc>
        <w:tc>
          <w:tcPr>
            <w:tcW w:w="46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480" w:type="dxa"/>
            <w:vAlign w:val="bottom"/>
            <w:shd w:val="clear" w:color="auto" w:fill="DDDDDD"/>
          </w:tcPr>
          <w:p>
            <w:pPr>
              <w:spacing w:after="0"/>
              <w:rPr>
                <w:sz w:val="19"/>
                <w:szCs w:val="19"/>
                <w:color w:val="auto"/>
              </w:rPr>
            </w:pPr>
          </w:p>
        </w:tc>
        <w:tc>
          <w:tcPr>
            <w:tcW w:w="96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300" w:type="dxa"/>
            <w:vAlign w:val="bottom"/>
            <w:shd w:val="clear" w:color="auto" w:fill="DDDDDD"/>
          </w:tcPr>
          <w:p>
            <w:pPr>
              <w:spacing w:after="0"/>
              <w:rPr>
                <w:sz w:val="19"/>
                <w:szCs w:val="19"/>
                <w:color w:val="auto"/>
              </w:rPr>
            </w:pPr>
          </w:p>
        </w:tc>
        <w:tc>
          <w:tcPr>
            <w:tcW w:w="114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Total assets at fair value</w:t>
            </w:r>
          </w:p>
        </w:tc>
        <w:tc>
          <w:tcPr>
            <w:tcW w:w="880" w:type="dxa"/>
            <w:vAlign w:val="bottom"/>
            <w:tcBorders>
              <w:bottom w:val="single" w:sz="8" w:color="auto"/>
            </w:tcBorders>
          </w:tcPr>
          <w:p>
            <w:pPr>
              <w:jc w:val="right"/>
              <w:ind w:right="67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8,450</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rPr>
              <w:t>Non-U.S. Plans</w:t>
            </w: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89"/>
        </w:trPr>
        <w:tc>
          <w:tcPr>
            <w:tcW w:w="5200" w:type="dxa"/>
            <w:vAlign w:val="bottom"/>
          </w:tcPr>
          <w:p>
            <w:pPr>
              <w:spacing w:after="0"/>
              <w:rPr>
                <w:sz w:val="24"/>
                <w:szCs w:val="24"/>
                <w:color w:val="auto"/>
              </w:rPr>
            </w:pPr>
          </w:p>
        </w:tc>
        <w:tc>
          <w:tcPr>
            <w:tcW w:w="880" w:type="dxa"/>
            <w:vAlign w:val="bottom"/>
            <w:tcBorders>
              <w:bottom w:val="single" w:sz="8" w:color="DC202E"/>
            </w:tcBorders>
          </w:tcPr>
          <w:p>
            <w:pPr>
              <w:spacing w:after="0"/>
              <w:rPr>
                <w:sz w:val="24"/>
                <w:szCs w:val="24"/>
                <w:color w:val="auto"/>
              </w:rPr>
            </w:pPr>
          </w:p>
        </w:tc>
        <w:tc>
          <w:tcPr>
            <w:tcW w:w="540" w:type="dxa"/>
            <w:vAlign w:val="bottom"/>
            <w:tcBorders>
              <w:bottom w:val="single" w:sz="8" w:color="DC202E"/>
            </w:tcBorders>
          </w:tcPr>
          <w:p>
            <w:pPr>
              <w:spacing w:after="0"/>
              <w:rPr>
                <w:sz w:val="24"/>
                <w:szCs w:val="24"/>
                <w:color w:val="auto"/>
              </w:rPr>
            </w:pPr>
          </w:p>
        </w:tc>
        <w:tc>
          <w:tcPr>
            <w:tcW w:w="120" w:type="dxa"/>
            <w:vAlign w:val="bottom"/>
            <w:tcBorders>
              <w:bottom w:val="single" w:sz="8" w:color="DC202E"/>
            </w:tcBorders>
          </w:tcPr>
          <w:p>
            <w:pPr>
              <w:spacing w:after="0"/>
              <w:rPr>
                <w:sz w:val="24"/>
                <w:szCs w:val="24"/>
                <w:color w:val="auto"/>
              </w:rPr>
            </w:pPr>
          </w:p>
        </w:tc>
        <w:tc>
          <w:tcPr>
            <w:tcW w:w="960" w:type="dxa"/>
            <w:vAlign w:val="bottom"/>
            <w:tcBorders>
              <w:bottom w:val="single" w:sz="8" w:color="DC202E"/>
            </w:tcBorders>
          </w:tcPr>
          <w:p>
            <w:pPr>
              <w:spacing w:after="0"/>
              <w:rPr>
                <w:sz w:val="24"/>
                <w:szCs w:val="24"/>
                <w:color w:val="auto"/>
              </w:rPr>
            </w:pPr>
          </w:p>
        </w:tc>
        <w:tc>
          <w:tcPr>
            <w:tcW w:w="1040" w:type="dxa"/>
            <w:vAlign w:val="bottom"/>
            <w:tcBorders>
              <w:bottom w:val="single" w:sz="8" w:color="DC202E"/>
            </w:tcBorders>
            <w:gridSpan w:val="3"/>
            <w:vMerge w:val="continue"/>
          </w:tcPr>
          <w:p>
            <w:pPr>
              <w:spacing w:after="0"/>
              <w:rPr>
                <w:sz w:val="24"/>
                <w:szCs w:val="24"/>
                <w:color w:val="auto"/>
              </w:rPr>
            </w:pPr>
          </w:p>
        </w:tc>
        <w:tc>
          <w:tcPr>
            <w:tcW w:w="960" w:type="dxa"/>
            <w:vAlign w:val="bottom"/>
            <w:tcBorders>
              <w:bottom w:val="single" w:sz="8" w:color="DC202E"/>
            </w:tcBorders>
          </w:tcPr>
          <w:p>
            <w:pPr>
              <w:spacing w:after="0"/>
              <w:rPr>
                <w:sz w:val="24"/>
                <w:szCs w:val="24"/>
                <w:color w:val="auto"/>
              </w:rPr>
            </w:pPr>
          </w:p>
        </w:tc>
        <w:tc>
          <w:tcPr>
            <w:tcW w:w="100" w:type="dxa"/>
            <w:vAlign w:val="bottom"/>
            <w:tcBorders>
              <w:bottom w:val="single" w:sz="8" w:color="DC202E"/>
            </w:tcBorders>
          </w:tcPr>
          <w:p>
            <w:pPr>
              <w:spacing w:after="0"/>
              <w:rPr>
                <w:sz w:val="24"/>
                <w:szCs w:val="24"/>
                <w:color w:val="auto"/>
              </w:rPr>
            </w:pPr>
          </w:p>
        </w:tc>
        <w:tc>
          <w:tcPr>
            <w:tcW w:w="300" w:type="dxa"/>
            <w:vAlign w:val="bottom"/>
            <w:tcBorders>
              <w:bottom w:val="single" w:sz="8" w:color="DC202E"/>
            </w:tcBorders>
          </w:tcPr>
          <w:p>
            <w:pPr>
              <w:spacing w:after="0"/>
              <w:rPr>
                <w:sz w:val="24"/>
                <w:szCs w:val="24"/>
                <w:color w:val="auto"/>
              </w:rPr>
            </w:pPr>
          </w:p>
        </w:tc>
        <w:tc>
          <w:tcPr>
            <w:tcW w:w="1140" w:type="dxa"/>
            <w:vAlign w:val="bottom"/>
            <w:tcBorders>
              <w:bottom w:val="single" w:sz="8" w:color="DC202E"/>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0" w:type="dxa"/>
            <w:vAlign w:val="bottom"/>
          </w:tcPr>
          <w:p>
            <w:pPr>
              <w:spacing w:after="0"/>
              <w:rPr>
                <w:sz w:val="17"/>
                <w:szCs w:val="17"/>
                <w:color w:val="auto"/>
              </w:rPr>
            </w:pPr>
          </w:p>
        </w:tc>
        <w:tc>
          <w:tcPr>
            <w:tcW w:w="880" w:type="dxa"/>
            <w:vAlign w:val="bottom"/>
            <w:tcBorders>
              <w:bottom w:val="single" w:sz="8" w:color="DC202E"/>
            </w:tcBorders>
          </w:tcPr>
          <w:p>
            <w:pPr>
              <w:spacing w:after="0"/>
              <w:rPr>
                <w:sz w:val="17"/>
                <w:szCs w:val="17"/>
                <w:color w:val="auto"/>
              </w:rPr>
            </w:pPr>
          </w:p>
        </w:tc>
        <w:tc>
          <w:tcPr>
            <w:tcW w:w="540" w:type="dxa"/>
            <w:vAlign w:val="bottom"/>
            <w:tcBorders>
              <w:bottom w:val="single" w:sz="8" w:color="DC202E"/>
            </w:tcBorders>
          </w:tcPr>
          <w:p>
            <w:pPr>
              <w:spacing w:after="0"/>
              <w:rPr>
                <w:sz w:val="17"/>
                <w:szCs w:val="17"/>
                <w:color w:val="auto"/>
              </w:rPr>
            </w:pPr>
          </w:p>
        </w:tc>
        <w:tc>
          <w:tcPr>
            <w:tcW w:w="120" w:type="dxa"/>
            <w:vAlign w:val="bottom"/>
            <w:tcBorders>
              <w:bottom w:val="single" w:sz="8" w:color="DC202E"/>
            </w:tcBorders>
          </w:tcPr>
          <w:p>
            <w:pPr>
              <w:spacing w:after="0"/>
              <w:rPr>
                <w:sz w:val="17"/>
                <w:szCs w:val="17"/>
                <w:color w:val="auto"/>
              </w:rPr>
            </w:pPr>
          </w:p>
        </w:tc>
        <w:tc>
          <w:tcPr>
            <w:tcW w:w="3060" w:type="dxa"/>
            <w:vAlign w:val="bottom"/>
            <w:tcBorders>
              <w:bottom w:val="single" w:sz="8" w:color="DC202E"/>
            </w:tcBorders>
            <w:gridSpan w:val="6"/>
          </w:tcPr>
          <w:p>
            <w:pPr>
              <w:jc w:val="center"/>
              <w:ind w:right="120"/>
              <w:spacing w:after="0"/>
              <w:rPr>
                <w:sz w:val="20"/>
                <w:szCs w:val="20"/>
                <w:color w:val="auto"/>
              </w:rPr>
            </w:pPr>
            <w:r>
              <w:rPr>
                <w:rFonts w:ascii="Arial" w:cs="Arial" w:eastAsia="Arial" w:hAnsi="Arial"/>
                <w:sz w:val="14"/>
                <w:szCs w:val="14"/>
                <w:b w:val="1"/>
                <w:bCs w:val="1"/>
                <w:color w:val="auto"/>
              </w:rPr>
              <w:t>December 31, 2019</w:t>
            </w:r>
          </w:p>
        </w:tc>
        <w:tc>
          <w:tcPr>
            <w:tcW w:w="300" w:type="dxa"/>
            <w:vAlign w:val="bottom"/>
            <w:tcBorders>
              <w:bottom w:val="single" w:sz="8" w:color="DC202E"/>
            </w:tcBorders>
          </w:tcPr>
          <w:p>
            <w:pPr>
              <w:spacing w:after="0"/>
              <w:rPr>
                <w:sz w:val="17"/>
                <w:szCs w:val="17"/>
                <w:color w:val="auto"/>
              </w:rPr>
            </w:pPr>
          </w:p>
        </w:tc>
        <w:tc>
          <w:tcPr>
            <w:tcW w:w="1140" w:type="dxa"/>
            <w:vAlign w:val="bottom"/>
            <w:tcBorders>
              <w:bottom w:val="single" w:sz="8" w:color="DC202E"/>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Total</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Level 1</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7"/>
                <w:szCs w:val="17"/>
                <w:color w:val="auto"/>
              </w:rPr>
            </w:pPr>
          </w:p>
        </w:tc>
        <w:tc>
          <w:tcPr>
            <w:tcW w:w="1140" w:type="dxa"/>
            <w:vAlign w:val="bottom"/>
          </w:tcPr>
          <w:p>
            <w:pPr>
              <w:jc w:val="right"/>
              <w:ind w:right="392"/>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16"/>
        </w:trPr>
        <w:tc>
          <w:tcPr>
            <w:tcW w:w="5200" w:type="dxa"/>
            <w:vAlign w:val="bottom"/>
            <w:tcBorders>
              <w:top w:val="single" w:sz="8" w:color="DDDDDD"/>
            </w:tcBorders>
            <w:shd w:val="clear" w:color="auto" w:fill="DDDDDD"/>
          </w:tcPr>
          <w:p>
            <w:pPr>
              <w:ind w:left="20"/>
              <w:spacing w:after="0"/>
              <w:rPr>
                <w:sz w:val="20"/>
                <w:szCs w:val="20"/>
                <w:color w:val="auto"/>
              </w:rPr>
            </w:pPr>
            <w:r>
              <w:rPr>
                <w:rFonts w:ascii="Arial" w:cs="Arial" w:eastAsia="Arial" w:hAnsi="Arial"/>
                <w:sz w:val="18"/>
                <w:szCs w:val="18"/>
                <w:color w:val="auto"/>
              </w:rPr>
              <w:t>Equities:</w:t>
            </w:r>
          </w:p>
        </w:tc>
        <w:tc>
          <w:tcPr>
            <w:tcW w:w="880" w:type="dxa"/>
            <w:vAlign w:val="bottom"/>
            <w:tcBorders>
              <w:top w:val="single" w:sz="8" w:color="DC202E"/>
            </w:tcBorders>
            <w:shd w:val="clear" w:color="auto" w:fill="DDDDDD"/>
          </w:tcPr>
          <w:p>
            <w:pPr>
              <w:spacing w:after="0"/>
              <w:rPr>
                <w:sz w:val="18"/>
                <w:szCs w:val="18"/>
                <w:color w:val="auto"/>
              </w:rPr>
            </w:pPr>
          </w:p>
        </w:tc>
        <w:tc>
          <w:tcPr>
            <w:tcW w:w="540" w:type="dxa"/>
            <w:vAlign w:val="bottom"/>
            <w:tcBorders>
              <w:top w:val="single" w:sz="8" w:color="DC202E"/>
            </w:tcBorders>
            <w:shd w:val="clear" w:color="auto" w:fill="DDDDDD"/>
          </w:tcPr>
          <w:p>
            <w:pPr>
              <w:spacing w:after="0"/>
              <w:rPr>
                <w:sz w:val="18"/>
                <w:szCs w:val="18"/>
                <w:color w:val="auto"/>
              </w:rPr>
            </w:pPr>
          </w:p>
        </w:tc>
        <w:tc>
          <w:tcPr>
            <w:tcW w:w="120" w:type="dxa"/>
            <w:vAlign w:val="bottom"/>
            <w:tcBorders>
              <w:top w:val="single" w:sz="8" w:color="DDDDDD"/>
            </w:tcBorders>
            <w:shd w:val="clear" w:color="auto" w:fill="DDDDDD"/>
          </w:tcPr>
          <w:p>
            <w:pPr>
              <w:spacing w:after="0"/>
              <w:rPr>
                <w:sz w:val="18"/>
                <w:szCs w:val="18"/>
                <w:color w:val="auto"/>
              </w:rPr>
            </w:pPr>
          </w:p>
        </w:tc>
        <w:tc>
          <w:tcPr>
            <w:tcW w:w="960" w:type="dxa"/>
            <w:vAlign w:val="bottom"/>
            <w:tcBorders>
              <w:top w:val="single" w:sz="8" w:color="DC202E"/>
            </w:tcBorders>
            <w:shd w:val="clear" w:color="auto" w:fill="DDDDDD"/>
          </w:tcPr>
          <w:p>
            <w:pPr>
              <w:spacing w:after="0"/>
              <w:rPr>
                <w:sz w:val="18"/>
                <w:szCs w:val="18"/>
                <w:color w:val="auto"/>
              </w:rPr>
            </w:pPr>
          </w:p>
        </w:tc>
        <w:tc>
          <w:tcPr>
            <w:tcW w:w="460" w:type="dxa"/>
            <w:vAlign w:val="bottom"/>
            <w:tcBorders>
              <w:top w:val="single" w:sz="8" w:color="DC202E"/>
            </w:tcBorders>
            <w:shd w:val="clear" w:color="auto" w:fill="DDDDDD"/>
          </w:tcPr>
          <w:p>
            <w:pPr>
              <w:spacing w:after="0"/>
              <w:rPr>
                <w:sz w:val="18"/>
                <w:szCs w:val="18"/>
                <w:color w:val="auto"/>
              </w:rPr>
            </w:pPr>
          </w:p>
        </w:tc>
        <w:tc>
          <w:tcPr>
            <w:tcW w:w="100" w:type="dxa"/>
            <w:vAlign w:val="bottom"/>
            <w:tcBorders>
              <w:top w:val="single" w:sz="8" w:color="DDDDDD"/>
            </w:tcBorders>
            <w:shd w:val="clear" w:color="auto" w:fill="DDDDDD"/>
          </w:tcPr>
          <w:p>
            <w:pPr>
              <w:spacing w:after="0"/>
              <w:rPr>
                <w:sz w:val="18"/>
                <w:szCs w:val="18"/>
                <w:color w:val="auto"/>
              </w:rPr>
            </w:pPr>
          </w:p>
        </w:tc>
        <w:tc>
          <w:tcPr>
            <w:tcW w:w="480" w:type="dxa"/>
            <w:vAlign w:val="bottom"/>
            <w:tcBorders>
              <w:top w:val="single" w:sz="8" w:color="DC202E"/>
            </w:tcBorders>
            <w:shd w:val="clear" w:color="auto" w:fill="DDDDDD"/>
          </w:tcPr>
          <w:p>
            <w:pPr>
              <w:spacing w:after="0"/>
              <w:rPr>
                <w:sz w:val="18"/>
                <w:szCs w:val="18"/>
                <w:color w:val="auto"/>
              </w:rPr>
            </w:pPr>
          </w:p>
        </w:tc>
        <w:tc>
          <w:tcPr>
            <w:tcW w:w="960" w:type="dxa"/>
            <w:vAlign w:val="bottom"/>
            <w:tcBorders>
              <w:top w:val="single" w:sz="8" w:color="DC202E"/>
            </w:tcBorders>
            <w:shd w:val="clear" w:color="auto" w:fill="DDDDDD"/>
          </w:tcPr>
          <w:p>
            <w:pPr>
              <w:spacing w:after="0"/>
              <w:rPr>
                <w:sz w:val="18"/>
                <w:szCs w:val="18"/>
                <w:color w:val="auto"/>
              </w:rPr>
            </w:pPr>
          </w:p>
        </w:tc>
        <w:tc>
          <w:tcPr>
            <w:tcW w:w="100" w:type="dxa"/>
            <w:vAlign w:val="bottom"/>
            <w:tcBorders>
              <w:top w:val="single" w:sz="8" w:color="DDDDDD"/>
            </w:tcBorders>
            <w:shd w:val="clear" w:color="auto" w:fill="DDDDDD"/>
          </w:tcPr>
          <w:p>
            <w:pPr>
              <w:spacing w:after="0"/>
              <w:rPr>
                <w:sz w:val="18"/>
                <w:szCs w:val="18"/>
                <w:color w:val="auto"/>
              </w:rPr>
            </w:pPr>
          </w:p>
        </w:tc>
        <w:tc>
          <w:tcPr>
            <w:tcW w:w="300" w:type="dxa"/>
            <w:vAlign w:val="bottom"/>
            <w:tcBorders>
              <w:top w:val="single" w:sz="8" w:color="DC202E"/>
            </w:tcBorders>
            <w:shd w:val="clear" w:color="auto" w:fill="DDDDDD"/>
          </w:tcPr>
          <w:p>
            <w:pPr>
              <w:spacing w:after="0"/>
              <w:rPr>
                <w:sz w:val="18"/>
                <w:szCs w:val="18"/>
                <w:color w:val="auto"/>
              </w:rPr>
            </w:pPr>
          </w:p>
        </w:tc>
        <w:tc>
          <w:tcPr>
            <w:tcW w:w="1140" w:type="dxa"/>
            <w:vAlign w:val="bottom"/>
            <w:tcBorders>
              <w:top w:val="single" w:sz="8" w:color="DC202E"/>
            </w:tcBorders>
            <w:shd w:val="clear" w:color="auto" w:fill="DDDDDD"/>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360"/>
              <w:spacing w:after="0"/>
              <w:rPr>
                <w:sz w:val="20"/>
                <w:szCs w:val="20"/>
                <w:color w:val="auto"/>
              </w:rPr>
            </w:pPr>
            <w:r>
              <w:rPr>
                <w:rFonts w:ascii="Arial" w:cs="Arial" w:eastAsia="Arial" w:hAnsi="Arial"/>
                <w:sz w:val="18"/>
                <w:szCs w:val="18"/>
                <w:color w:val="auto"/>
              </w:rPr>
              <w:t>U.S. equities</w:t>
            </w:r>
          </w:p>
        </w:tc>
        <w:tc>
          <w:tcPr>
            <w:tcW w:w="880" w:type="dxa"/>
            <w:vAlign w:val="bottom"/>
          </w:tcPr>
          <w:p>
            <w:pPr>
              <w:jc w:val="right"/>
              <w:ind w:right="676"/>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149</w:t>
            </w:r>
          </w:p>
        </w:tc>
        <w:tc>
          <w:tcPr>
            <w:tcW w:w="1080" w:type="dxa"/>
            <w:vAlign w:val="bottom"/>
            <w:gridSpan w:val="2"/>
          </w:tcPr>
          <w:p>
            <w:pPr>
              <w:jc w:val="right"/>
              <w:ind w:right="788"/>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shd w:val="clear" w:color="auto" w:fill="DDDDDD"/>
          </w:tcPr>
          <w:p>
            <w:pPr>
              <w:ind w:left="360"/>
              <w:spacing w:after="0"/>
              <w:rPr>
                <w:sz w:val="20"/>
                <w:szCs w:val="20"/>
                <w:color w:val="auto"/>
              </w:rPr>
            </w:pPr>
            <w:r>
              <w:rPr>
                <w:rFonts w:ascii="Arial" w:cs="Arial" w:eastAsia="Arial" w:hAnsi="Arial"/>
                <w:sz w:val="18"/>
                <w:szCs w:val="18"/>
                <w:color w:val="auto"/>
              </w:rPr>
              <w:t>Non-U.S. equities</w:t>
            </w:r>
          </w:p>
        </w:tc>
        <w:tc>
          <w:tcPr>
            <w:tcW w:w="880" w:type="dxa"/>
            <w:vAlign w:val="bottom"/>
            <w:shd w:val="clear" w:color="auto" w:fill="DDDDDD"/>
          </w:tcPr>
          <w:p>
            <w:pPr>
              <w:spacing w:after="0"/>
              <w:rPr>
                <w:sz w:val="19"/>
                <w:szCs w:val="19"/>
                <w:color w:val="auto"/>
              </w:rPr>
            </w:pPr>
          </w:p>
        </w:tc>
        <w:tc>
          <w:tcPr>
            <w:tcW w:w="54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7"/>
              </w:rPr>
              <w:t>1,384</w:t>
            </w:r>
          </w:p>
        </w:tc>
        <w:tc>
          <w:tcPr>
            <w:tcW w:w="120" w:type="dxa"/>
            <w:vAlign w:val="bottom"/>
            <w:shd w:val="clear" w:color="auto" w:fill="DDDDDD"/>
          </w:tcPr>
          <w:p>
            <w:pPr>
              <w:spacing w:after="0"/>
              <w:rPr>
                <w:sz w:val="19"/>
                <w:szCs w:val="19"/>
                <w:color w:val="auto"/>
              </w:rPr>
            </w:pPr>
          </w:p>
        </w:tc>
        <w:tc>
          <w:tcPr>
            <w:tcW w:w="960" w:type="dxa"/>
            <w:vAlign w:val="bottom"/>
            <w:shd w:val="clear" w:color="auto" w:fill="DDDDDD"/>
          </w:tcPr>
          <w:p>
            <w:pPr>
              <w:spacing w:after="0"/>
              <w:rPr>
                <w:sz w:val="19"/>
                <w:szCs w:val="19"/>
                <w:color w:val="auto"/>
              </w:rPr>
            </w:pPr>
          </w:p>
        </w:tc>
        <w:tc>
          <w:tcPr>
            <w:tcW w:w="4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DDDDDD"/>
          </w:tcPr>
          <w:p>
            <w:pPr>
              <w:spacing w:after="0"/>
              <w:rPr>
                <w:sz w:val="19"/>
                <w:szCs w:val="19"/>
                <w:color w:val="auto"/>
              </w:rPr>
            </w:pPr>
          </w:p>
        </w:tc>
        <w:tc>
          <w:tcPr>
            <w:tcW w:w="480" w:type="dxa"/>
            <w:vAlign w:val="bottom"/>
            <w:shd w:val="clear" w:color="auto" w:fill="DDDDDD"/>
          </w:tcPr>
          <w:p>
            <w:pPr>
              <w:spacing w:after="0"/>
              <w:rPr>
                <w:sz w:val="19"/>
                <w:szCs w:val="19"/>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1,330</w:t>
            </w:r>
          </w:p>
        </w:tc>
        <w:tc>
          <w:tcPr>
            <w:tcW w:w="100" w:type="dxa"/>
            <w:vAlign w:val="bottom"/>
            <w:shd w:val="clear" w:color="auto" w:fill="DDDDDD"/>
          </w:tcPr>
          <w:p>
            <w:pPr>
              <w:spacing w:after="0"/>
              <w:rPr>
                <w:sz w:val="19"/>
                <w:szCs w:val="19"/>
                <w:color w:val="auto"/>
              </w:rPr>
            </w:pPr>
          </w:p>
        </w:tc>
        <w:tc>
          <w:tcPr>
            <w:tcW w:w="300" w:type="dxa"/>
            <w:vAlign w:val="bottom"/>
            <w:shd w:val="clear" w:color="auto" w:fill="DDDDDD"/>
          </w:tcPr>
          <w:p>
            <w:pPr>
              <w:spacing w:after="0"/>
              <w:rPr>
                <w:sz w:val="19"/>
                <w:szCs w:val="19"/>
                <w:color w:val="auto"/>
              </w:rPr>
            </w:pPr>
          </w:p>
        </w:tc>
        <w:tc>
          <w:tcPr>
            <w:tcW w:w="11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Fixed income:</w:t>
            </w:r>
          </w:p>
        </w:tc>
        <w:tc>
          <w:tcPr>
            <w:tcW w:w="8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DDDDDD"/>
          </w:tcPr>
          <w:p>
            <w:pPr>
              <w:ind w:left="360"/>
              <w:spacing w:after="0"/>
              <w:rPr>
                <w:sz w:val="20"/>
                <w:szCs w:val="20"/>
                <w:color w:val="auto"/>
              </w:rPr>
            </w:pPr>
            <w:r>
              <w:rPr>
                <w:rFonts w:ascii="Arial" w:cs="Arial" w:eastAsia="Arial" w:hAnsi="Arial"/>
                <w:sz w:val="18"/>
                <w:szCs w:val="18"/>
                <w:color w:val="auto"/>
              </w:rPr>
              <w:t>Short-term investments</w:t>
            </w:r>
          </w:p>
        </w:tc>
        <w:tc>
          <w:tcPr>
            <w:tcW w:w="880" w:type="dxa"/>
            <w:vAlign w:val="bottom"/>
            <w:shd w:val="clear" w:color="auto" w:fill="DDDDDD"/>
          </w:tcPr>
          <w:p>
            <w:pPr>
              <w:spacing w:after="0"/>
              <w:rPr>
                <w:sz w:val="19"/>
                <w:szCs w:val="19"/>
                <w:color w:val="auto"/>
              </w:rPr>
            </w:pPr>
          </w:p>
        </w:tc>
        <w:tc>
          <w:tcPr>
            <w:tcW w:w="5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522</w:t>
            </w:r>
          </w:p>
        </w:tc>
        <w:tc>
          <w:tcPr>
            <w:tcW w:w="120" w:type="dxa"/>
            <w:vAlign w:val="bottom"/>
            <w:shd w:val="clear" w:color="auto" w:fill="DDDDDD"/>
          </w:tcPr>
          <w:p>
            <w:pPr>
              <w:spacing w:after="0"/>
              <w:rPr>
                <w:sz w:val="19"/>
                <w:szCs w:val="19"/>
                <w:color w:val="auto"/>
              </w:rPr>
            </w:pPr>
          </w:p>
        </w:tc>
        <w:tc>
          <w:tcPr>
            <w:tcW w:w="960" w:type="dxa"/>
            <w:vAlign w:val="bottom"/>
            <w:shd w:val="clear" w:color="auto" w:fill="DDDDDD"/>
          </w:tcPr>
          <w:p>
            <w:pPr>
              <w:spacing w:after="0"/>
              <w:rPr>
                <w:sz w:val="19"/>
                <w:szCs w:val="19"/>
                <w:color w:val="auto"/>
              </w:rPr>
            </w:pPr>
          </w:p>
        </w:tc>
        <w:tc>
          <w:tcPr>
            <w:tcW w:w="4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522</w:t>
            </w:r>
          </w:p>
        </w:tc>
        <w:tc>
          <w:tcPr>
            <w:tcW w:w="100" w:type="dxa"/>
            <w:vAlign w:val="bottom"/>
            <w:shd w:val="clear" w:color="auto" w:fill="DDDDDD"/>
          </w:tcPr>
          <w:p>
            <w:pPr>
              <w:spacing w:after="0"/>
              <w:rPr>
                <w:sz w:val="19"/>
                <w:szCs w:val="19"/>
                <w:color w:val="auto"/>
              </w:rPr>
            </w:pPr>
          </w:p>
        </w:tc>
        <w:tc>
          <w:tcPr>
            <w:tcW w:w="480" w:type="dxa"/>
            <w:vAlign w:val="bottom"/>
            <w:shd w:val="clear" w:color="auto" w:fill="DDDDDD"/>
          </w:tcPr>
          <w:p>
            <w:pPr>
              <w:spacing w:after="0"/>
              <w:rPr>
                <w:sz w:val="19"/>
                <w:szCs w:val="19"/>
                <w:color w:val="auto"/>
              </w:rPr>
            </w:pPr>
          </w:p>
        </w:tc>
        <w:tc>
          <w:tcPr>
            <w:tcW w:w="1060" w:type="dxa"/>
            <w:vAlign w:val="bottom"/>
            <w:gridSpan w:val="2"/>
            <w:shd w:val="clear" w:color="auto" w:fill="DDDDDD"/>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DDDDDD"/>
          </w:tcPr>
          <w:p>
            <w:pPr>
              <w:spacing w:after="0"/>
              <w:rPr>
                <w:sz w:val="19"/>
                <w:szCs w:val="19"/>
                <w:color w:val="auto"/>
              </w:rPr>
            </w:pPr>
          </w:p>
        </w:tc>
        <w:tc>
          <w:tcPr>
            <w:tcW w:w="11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tcPr>
          <w:p>
            <w:pPr>
              <w:ind w:left="360"/>
              <w:spacing w:after="0"/>
              <w:rPr>
                <w:sz w:val="20"/>
                <w:szCs w:val="20"/>
                <w:color w:val="auto"/>
              </w:rPr>
            </w:pPr>
            <w:r>
              <w:rPr>
                <w:rFonts w:ascii="Arial" w:cs="Arial" w:eastAsia="Arial" w:hAnsi="Arial"/>
                <w:sz w:val="18"/>
                <w:szCs w:val="18"/>
                <w:color w:val="auto"/>
              </w:rPr>
              <w:t>Government securities</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3,006</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3,006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shd w:val="clear" w:color="auto" w:fill="DDDDDD"/>
          </w:tcPr>
          <w:p>
            <w:pPr>
              <w:ind w:left="360"/>
              <w:spacing w:after="0"/>
              <w:rPr>
                <w:sz w:val="20"/>
                <w:szCs w:val="20"/>
                <w:color w:val="auto"/>
              </w:rPr>
            </w:pPr>
            <w:r>
              <w:rPr>
                <w:rFonts w:ascii="Arial" w:cs="Arial" w:eastAsia="Arial" w:hAnsi="Arial"/>
                <w:sz w:val="18"/>
                <w:szCs w:val="18"/>
                <w:color w:val="auto"/>
              </w:rPr>
              <w:t>Corporate bonds</w:t>
            </w:r>
          </w:p>
        </w:tc>
        <w:tc>
          <w:tcPr>
            <w:tcW w:w="880" w:type="dxa"/>
            <w:vAlign w:val="bottom"/>
            <w:shd w:val="clear" w:color="auto" w:fill="DDDDDD"/>
          </w:tcPr>
          <w:p>
            <w:pPr>
              <w:spacing w:after="0"/>
              <w:rPr>
                <w:sz w:val="19"/>
                <w:szCs w:val="19"/>
                <w:color w:val="auto"/>
              </w:rPr>
            </w:pPr>
          </w:p>
        </w:tc>
        <w:tc>
          <w:tcPr>
            <w:tcW w:w="54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7"/>
              </w:rPr>
              <w:t>1,746</w:t>
            </w:r>
          </w:p>
        </w:tc>
        <w:tc>
          <w:tcPr>
            <w:tcW w:w="120" w:type="dxa"/>
            <w:vAlign w:val="bottom"/>
            <w:shd w:val="clear" w:color="auto" w:fill="DDDDDD"/>
          </w:tcPr>
          <w:p>
            <w:pPr>
              <w:spacing w:after="0"/>
              <w:rPr>
                <w:sz w:val="19"/>
                <w:szCs w:val="19"/>
                <w:color w:val="auto"/>
              </w:rPr>
            </w:pPr>
          </w:p>
        </w:tc>
        <w:tc>
          <w:tcPr>
            <w:tcW w:w="960" w:type="dxa"/>
            <w:vAlign w:val="bottom"/>
            <w:shd w:val="clear" w:color="auto" w:fill="DDDDDD"/>
          </w:tcPr>
          <w:p>
            <w:pPr>
              <w:spacing w:after="0"/>
              <w:rPr>
                <w:sz w:val="19"/>
                <w:szCs w:val="19"/>
                <w:color w:val="auto"/>
              </w:rPr>
            </w:pPr>
          </w:p>
        </w:tc>
        <w:tc>
          <w:tcPr>
            <w:tcW w:w="560" w:type="dxa"/>
            <w:vAlign w:val="bottom"/>
            <w:gridSpan w:val="2"/>
            <w:shd w:val="clear" w:color="auto" w:fill="DDDDDD"/>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DDDDDD"/>
          </w:tcPr>
          <w:p>
            <w:pPr>
              <w:spacing w:after="0"/>
              <w:rPr>
                <w:sz w:val="19"/>
                <w:szCs w:val="19"/>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1,746</w:t>
            </w:r>
          </w:p>
        </w:tc>
        <w:tc>
          <w:tcPr>
            <w:tcW w:w="100" w:type="dxa"/>
            <w:vAlign w:val="bottom"/>
            <w:shd w:val="clear" w:color="auto" w:fill="DDDDDD"/>
          </w:tcPr>
          <w:p>
            <w:pPr>
              <w:spacing w:after="0"/>
              <w:rPr>
                <w:sz w:val="19"/>
                <w:szCs w:val="19"/>
                <w:color w:val="auto"/>
              </w:rPr>
            </w:pPr>
          </w:p>
        </w:tc>
        <w:tc>
          <w:tcPr>
            <w:tcW w:w="300" w:type="dxa"/>
            <w:vAlign w:val="bottom"/>
            <w:shd w:val="clear" w:color="auto" w:fill="DDDDDD"/>
          </w:tcPr>
          <w:p>
            <w:pPr>
              <w:spacing w:after="0"/>
              <w:rPr>
                <w:sz w:val="19"/>
                <w:szCs w:val="19"/>
                <w:color w:val="auto"/>
              </w:rPr>
            </w:pPr>
          </w:p>
        </w:tc>
        <w:tc>
          <w:tcPr>
            <w:tcW w:w="11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tcPr>
          <w:p>
            <w:pPr>
              <w:ind w:left="360"/>
              <w:spacing w:after="0"/>
              <w:rPr>
                <w:sz w:val="20"/>
                <w:szCs w:val="20"/>
                <w:color w:val="auto"/>
              </w:rPr>
            </w:pPr>
            <w:r>
              <w:rPr>
                <w:rFonts w:ascii="Arial" w:cs="Arial" w:eastAsia="Arial" w:hAnsi="Arial"/>
                <w:sz w:val="18"/>
                <w:szCs w:val="18"/>
                <w:color w:val="auto"/>
              </w:rPr>
              <w:t>Mortgage/Asset-backed securities</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shd w:val="clear" w:color="auto" w:fill="DDDDDD"/>
          </w:tcPr>
          <w:p>
            <w:pPr>
              <w:ind w:left="360"/>
              <w:spacing w:after="0"/>
              <w:rPr>
                <w:sz w:val="20"/>
                <w:szCs w:val="20"/>
                <w:color w:val="auto"/>
              </w:rPr>
            </w:pPr>
            <w:r>
              <w:rPr>
                <w:rFonts w:ascii="Arial" w:cs="Arial" w:eastAsia="Arial" w:hAnsi="Arial"/>
                <w:sz w:val="18"/>
                <w:szCs w:val="18"/>
                <w:color w:val="auto"/>
              </w:rPr>
              <w:t>Insurance contracts</w:t>
            </w:r>
          </w:p>
        </w:tc>
        <w:tc>
          <w:tcPr>
            <w:tcW w:w="880" w:type="dxa"/>
            <w:vAlign w:val="bottom"/>
            <w:shd w:val="clear" w:color="auto" w:fill="DDDDDD"/>
          </w:tcPr>
          <w:p>
            <w:pPr>
              <w:spacing w:after="0"/>
              <w:rPr>
                <w:sz w:val="19"/>
                <w:szCs w:val="19"/>
                <w:color w:val="auto"/>
              </w:rPr>
            </w:pPr>
          </w:p>
        </w:tc>
        <w:tc>
          <w:tcPr>
            <w:tcW w:w="5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DDDDDD"/>
          </w:tcPr>
          <w:p>
            <w:pPr>
              <w:spacing w:after="0"/>
              <w:rPr>
                <w:sz w:val="19"/>
                <w:szCs w:val="19"/>
                <w:color w:val="auto"/>
              </w:rPr>
            </w:pPr>
          </w:p>
        </w:tc>
        <w:tc>
          <w:tcPr>
            <w:tcW w:w="960" w:type="dxa"/>
            <w:vAlign w:val="bottom"/>
            <w:shd w:val="clear" w:color="auto" w:fill="DDDDDD"/>
          </w:tcPr>
          <w:p>
            <w:pPr>
              <w:spacing w:after="0"/>
              <w:rPr>
                <w:sz w:val="19"/>
                <w:szCs w:val="19"/>
                <w:color w:val="auto"/>
              </w:rPr>
            </w:pPr>
          </w:p>
        </w:tc>
        <w:tc>
          <w:tcPr>
            <w:tcW w:w="560" w:type="dxa"/>
            <w:vAlign w:val="bottom"/>
            <w:gridSpan w:val="2"/>
            <w:shd w:val="clear" w:color="auto" w:fill="DDDDDD"/>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DDDDDD"/>
          </w:tcPr>
          <w:p>
            <w:pPr>
              <w:spacing w:after="0"/>
              <w:rPr>
                <w:sz w:val="19"/>
                <w:szCs w:val="19"/>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DDDDDD"/>
          </w:tcPr>
          <w:p>
            <w:pPr>
              <w:spacing w:after="0"/>
              <w:rPr>
                <w:sz w:val="19"/>
                <w:szCs w:val="19"/>
                <w:color w:val="auto"/>
              </w:rPr>
            </w:pPr>
          </w:p>
        </w:tc>
        <w:tc>
          <w:tcPr>
            <w:tcW w:w="300" w:type="dxa"/>
            <w:vAlign w:val="bottom"/>
            <w:shd w:val="clear" w:color="auto" w:fill="DDDDDD"/>
          </w:tcPr>
          <w:p>
            <w:pPr>
              <w:spacing w:after="0"/>
              <w:rPr>
                <w:sz w:val="19"/>
                <w:szCs w:val="19"/>
                <w:color w:val="auto"/>
              </w:rPr>
            </w:pPr>
          </w:p>
        </w:tc>
        <w:tc>
          <w:tcPr>
            <w:tcW w:w="11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tcPr>
          <w:p>
            <w:pPr>
              <w:ind w:left="360"/>
              <w:spacing w:after="0"/>
              <w:rPr>
                <w:sz w:val="20"/>
                <w:szCs w:val="20"/>
                <w:color w:val="auto"/>
              </w:rPr>
            </w:pPr>
            <w:r>
              <w:rPr>
                <w:rFonts w:ascii="Arial" w:cs="Arial" w:eastAsia="Arial" w:hAnsi="Arial"/>
                <w:sz w:val="18"/>
                <w:szCs w:val="18"/>
                <w:color w:val="auto"/>
              </w:rPr>
              <w:t>Insurance buy-in contracts</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shd w:val="clear" w:color="auto" w:fill="DDDDDD"/>
          </w:tcPr>
          <w:p>
            <w:pPr>
              <w:ind w:left="20"/>
              <w:spacing w:after="0"/>
              <w:rPr>
                <w:sz w:val="20"/>
                <w:szCs w:val="20"/>
                <w:color w:val="auto"/>
              </w:rPr>
            </w:pPr>
            <w:r>
              <w:rPr>
                <w:rFonts w:ascii="Arial" w:cs="Arial" w:eastAsia="Arial" w:hAnsi="Arial"/>
                <w:sz w:val="18"/>
                <w:szCs w:val="18"/>
                <w:color w:val="auto"/>
              </w:rPr>
              <w:t>Investments in private funds:</w:t>
            </w:r>
          </w:p>
        </w:tc>
        <w:tc>
          <w:tcPr>
            <w:tcW w:w="880" w:type="dxa"/>
            <w:vAlign w:val="bottom"/>
            <w:shd w:val="clear" w:color="auto" w:fill="DDDDDD"/>
          </w:tcPr>
          <w:p>
            <w:pPr>
              <w:spacing w:after="0"/>
              <w:rPr>
                <w:sz w:val="19"/>
                <w:szCs w:val="19"/>
                <w:color w:val="auto"/>
              </w:rPr>
            </w:pPr>
          </w:p>
        </w:tc>
        <w:tc>
          <w:tcPr>
            <w:tcW w:w="54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960" w:type="dxa"/>
            <w:vAlign w:val="bottom"/>
            <w:shd w:val="clear" w:color="auto" w:fill="DDDDDD"/>
          </w:tcPr>
          <w:p>
            <w:pPr>
              <w:spacing w:after="0"/>
              <w:rPr>
                <w:sz w:val="19"/>
                <w:szCs w:val="19"/>
                <w:color w:val="auto"/>
              </w:rPr>
            </w:pPr>
          </w:p>
        </w:tc>
        <w:tc>
          <w:tcPr>
            <w:tcW w:w="46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480" w:type="dxa"/>
            <w:vAlign w:val="bottom"/>
            <w:shd w:val="clear" w:color="auto" w:fill="DDDDDD"/>
          </w:tcPr>
          <w:p>
            <w:pPr>
              <w:spacing w:after="0"/>
              <w:rPr>
                <w:sz w:val="19"/>
                <w:szCs w:val="19"/>
                <w:color w:val="auto"/>
              </w:rPr>
            </w:pPr>
          </w:p>
        </w:tc>
        <w:tc>
          <w:tcPr>
            <w:tcW w:w="96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300" w:type="dxa"/>
            <w:vAlign w:val="bottom"/>
            <w:shd w:val="clear" w:color="auto" w:fill="DDDDDD"/>
          </w:tcPr>
          <w:p>
            <w:pPr>
              <w:spacing w:after="0"/>
              <w:rPr>
                <w:sz w:val="19"/>
                <w:szCs w:val="19"/>
                <w:color w:val="auto"/>
              </w:rPr>
            </w:pPr>
          </w:p>
        </w:tc>
        <w:tc>
          <w:tcPr>
            <w:tcW w:w="114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360"/>
              <w:spacing w:after="0"/>
              <w:rPr>
                <w:sz w:val="20"/>
                <w:szCs w:val="20"/>
                <w:color w:val="auto"/>
              </w:rPr>
            </w:pPr>
            <w:r>
              <w:rPr>
                <w:rFonts w:ascii="Arial" w:cs="Arial" w:eastAsia="Arial" w:hAnsi="Arial"/>
                <w:sz w:val="18"/>
                <w:szCs w:val="18"/>
                <w:color w:val="auto"/>
              </w:rPr>
              <w:t>Private funds</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9"/>
        </w:trPr>
        <w:tc>
          <w:tcPr>
            <w:tcW w:w="5200" w:type="dxa"/>
            <w:vAlign w:val="bottom"/>
            <w:shd w:val="clear" w:color="auto" w:fill="DDDDDD"/>
          </w:tcPr>
          <w:p>
            <w:pPr>
              <w:ind w:left="360"/>
              <w:spacing w:after="0"/>
              <w:rPr>
                <w:sz w:val="20"/>
                <w:szCs w:val="20"/>
                <w:color w:val="auto"/>
              </w:rPr>
            </w:pPr>
            <w:r>
              <w:rPr>
                <w:rFonts w:ascii="Arial" w:cs="Arial" w:eastAsia="Arial" w:hAnsi="Arial"/>
                <w:sz w:val="18"/>
                <w:szCs w:val="18"/>
                <w:color w:val="auto"/>
              </w:rPr>
              <w:t>Real estate funds</w:t>
            </w:r>
          </w:p>
        </w:tc>
        <w:tc>
          <w:tcPr>
            <w:tcW w:w="880" w:type="dxa"/>
            <w:vAlign w:val="bottom"/>
            <w:tcBorders>
              <w:bottom w:val="single" w:sz="8" w:color="auto"/>
            </w:tcBorders>
            <w:shd w:val="clear" w:color="auto" w:fill="DDDDDD"/>
          </w:tcPr>
          <w:p>
            <w:pPr>
              <w:spacing w:after="0"/>
              <w:rPr>
                <w:sz w:val="19"/>
                <w:szCs w:val="19"/>
                <w:color w:val="auto"/>
              </w:rPr>
            </w:pPr>
          </w:p>
        </w:tc>
        <w:tc>
          <w:tcPr>
            <w:tcW w:w="5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DDDDDD"/>
          </w:tcPr>
          <w:p>
            <w:pPr>
              <w:spacing w:after="0"/>
              <w:rPr>
                <w:sz w:val="19"/>
                <w:szCs w:val="19"/>
                <w:color w:val="auto"/>
              </w:rPr>
            </w:pPr>
          </w:p>
        </w:tc>
        <w:tc>
          <w:tcPr>
            <w:tcW w:w="960" w:type="dxa"/>
            <w:vAlign w:val="bottom"/>
            <w:tcBorders>
              <w:bottom w:val="single" w:sz="8" w:color="auto"/>
            </w:tcBorders>
            <w:shd w:val="clear" w:color="auto" w:fill="DDDDDD"/>
          </w:tcPr>
          <w:p>
            <w:pPr>
              <w:spacing w:after="0"/>
              <w:rPr>
                <w:sz w:val="19"/>
                <w:szCs w:val="19"/>
                <w:color w:val="auto"/>
              </w:rPr>
            </w:pPr>
          </w:p>
        </w:tc>
        <w:tc>
          <w:tcPr>
            <w:tcW w:w="4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DDDDD"/>
          </w:tcPr>
          <w:p>
            <w:pPr>
              <w:spacing w:after="0"/>
              <w:rPr>
                <w:sz w:val="19"/>
                <w:szCs w:val="19"/>
                <w:color w:val="auto"/>
              </w:rPr>
            </w:pPr>
          </w:p>
        </w:tc>
        <w:tc>
          <w:tcPr>
            <w:tcW w:w="480" w:type="dxa"/>
            <w:vAlign w:val="bottom"/>
            <w:tcBorders>
              <w:bottom w:val="single" w:sz="8" w:color="auto"/>
            </w:tcBorders>
            <w:shd w:val="clear" w:color="auto" w:fill="DDDDDD"/>
          </w:tcPr>
          <w:p>
            <w:pPr>
              <w:spacing w:after="0"/>
              <w:rPr>
                <w:sz w:val="19"/>
                <w:szCs w:val="19"/>
                <w:color w:val="auto"/>
              </w:rPr>
            </w:pPr>
          </w:p>
        </w:tc>
        <w:tc>
          <w:tcPr>
            <w:tcW w:w="9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DDDDD"/>
          </w:tcPr>
          <w:p>
            <w:pPr>
              <w:spacing w:after="0"/>
              <w:rPr>
                <w:sz w:val="19"/>
                <w:szCs w:val="19"/>
                <w:color w:val="auto"/>
              </w:rPr>
            </w:pPr>
          </w:p>
        </w:tc>
        <w:tc>
          <w:tcPr>
            <w:tcW w:w="300" w:type="dxa"/>
            <w:vAlign w:val="bottom"/>
            <w:tcBorders>
              <w:bottom w:val="single" w:sz="8" w:color="auto"/>
            </w:tcBorders>
            <w:shd w:val="clear" w:color="auto" w:fill="DDDDDD"/>
          </w:tcPr>
          <w:p>
            <w:pPr>
              <w:spacing w:after="0"/>
              <w:rPr>
                <w:sz w:val="19"/>
                <w:szCs w:val="19"/>
                <w:color w:val="auto"/>
              </w:rPr>
            </w:pPr>
          </w:p>
        </w:tc>
        <w:tc>
          <w:tcPr>
            <w:tcW w:w="1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Total</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7,230</w:t>
            </w:r>
          </w:p>
        </w:tc>
        <w:tc>
          <w:tcPr>
            <w:tcW w:w="1080" w:type="dxa"/>
            <w:vAlign w:val="bottom"/>
            <w:gridSpan w:val="2"/>
          </w:tcPr>
          <w:p>
            <w:pPr>
              <w:jc w:val="right"/>
              <w:ind w:right="788"/>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576</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6,470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09"/>
        </w:trPr>
        <w:tc>
          <w:tcPr>
            <w:tcW w:w="5200" w:type="dxa"/>
            <w:vAlign w:val="bottom"/>
            <w:tcBorders>
              <w:top w:val="single" w:sz="8" w:color="DDDDDD"/>
            </w:tcBorders>
            <w:shd w:val="clear" w:color="auto" w:fill="DDDDDD"/>
          </w:tcPr>
          <w:p>
            <w:pPr>
              <w:ind w:left="20"/>
              <w:spacing w:after="0"/>
              <w:rPr>
                <w:sz w:val="20"/>
                <w:szCs w:val="20"/>
                <w:color w:val="auto"/>
              </w:rPr>
            </w:pPr>
            <w:r>
              <w:rPr>
                <w:rFonts w:ascii="Arial" w:cs="Arial" w:eastAsia="Arial" w:hAnsi="Arial"/>
                <w:sz w:val="18"/>
                <w:szCs w:val="18"/>
                <w:color w:val="auto"/>
              </w:rPr>
              <w:t>Investments measured at NAV:</w:t>
            </w:r>
          </w:p>
        </w:tc>
        <w:tc>
          <w:tcPr>
            <w:tcW w:w="880" w:type="dxa"/>
            <w:vAlign w:val="bottom"/>
            <w:tcBorders>
              <w:top w:val="single" w:sz="8" w:color="auto"/>
            </w:tcBorders>
            <w:shd w:val="clear" w:color="auto" w:fill="DDDDDD"/>
          </w:tcPr>
          <w:p>
            <w:pPr>
              <w:spacing w:after="0"/>
              <w:rPr>
                <w:sz w:val="18"/>
                <w:szCs w:val="18"/>
                <w:color w:val="auto"/>
              </w:rPr>
            </w:pPr>
          </w:p>
        </w:tc>
        <w:tc>
          <w:tcPr>
            <w:tcW w:w="540" w:type="dxa"/>
            <w:vAlign w:val="bottom"/>
            <w:tcBorders>
              <w:top w:val="single" w:sz="8" w:color="auto"/>
            </w:tcBorders>
            <w:shd w:val="clear" w:color="auto" w:fill="DDDDDD"/>
          </w:tcPr>
          <w:p>
            <w:pPr>
              <w:spacing w:after="0"/>
              <w:rPr>
                <w:sz w:val="18"/>
                <w:szCs w:val="18"/>
                <w:color w:val="auto"/>
              </w:rPr>
            </w:pPr>
          </w:p>
        </w:tc>
        <w:tc>
          <w:tcPr>
            <w:tcW w:w="120" w:type="dxa"/>
            <w:vAlign w:val="bottom"/>
            <w:tcBorders>
              <w:top w:val="single" w:sz="8" w:color="DDDDDD"/>
            </w:tcBorders>
            <w:shd w:val="clear" w:color="auto" w:fill="DDDDDD"/>
          </w:tcPr>
          <w:p>
            <w:pPr>
              <w:spacing w:after="0"/>
              <w:rPr>
                <w:sz w:val="18"/>
                <w:szCs w:val="18"/>
                <w:color w:val="auto"/>
              </w:rPr>
            </w:pPr>
          </w:p>
        </w:tc>
        <w:tc>
          <w:tcPr>
            <w:tcW w:w="960" w:type="dxa"/>
            <w:vAlign w:val="bottom"/>
            <w:tcBorders>
              <w:top w:val="single" w:sz="8" w:color="auto"/>
            </w:tcBorders>
            <w:shd w:val="clear" w:color="auto" w:fill="DDDDDD"/>
          </w:tcPr>
          <w:p>
            <w:pPr>
              <w:spacing w:after="0"/>
              <w:rPr>
                <w:sz w:val="18"/>
                <w:szCs w:val="18"/>
                <w:color w:val="auto"/>
              </w:rPr>
            </w:pPr>
          </w:p>
        </w:tc>
        <w:tc>
          <w:tcPr>
            <w:tcW w:w="460" w:type="dxa"/>
            <w:vAlign w:val="bottom"/>
            <w:tcBorders>
              <w:top w:val="single" w:sz="8" w:color="auto"/>
            </w:tcBorders>
            <w:shd w:val="clear" w:color="auto" w:fill="DDDDDD"/>
          </w:tcPr>
          <w:p>
            <w:pPr>
              <w:spacing w:after="0"/>
              <w:rPr>
                <w:sz w:val="18"/>
                <w:szCs w:val="18"/>
                <w:color w:val="auto"/>
              </w:rPr>
            </w:pPr>
          </w:p>
        </w:tc>
        <w:tc>
          <w:tcPr>
            <w:tcW w:w="100" w:type="dxa"/>
            <w:vAlign w:val="bottom"/>
            <w:tcBorders>
              <w:top w:val="single" w:sz="8" w:color="DDDDDD"/>
            </w:tcBorders>
            <w:shd w:val="clear" w:color="auto" w:fill="DDDDDD"/>
          </w:tcPr>
          <w:p>
            <w:pPr>
              <w:spacing w:after="0"/>
              <w:rPr>
                <w:sz w:val="18"/>
                <w:szCs w:val="18"/>
                <w:color w:val="auto"/>
              </w:rPr>
            </w:pPr>
          </w:p>
        </w:tc>
        <w:tc>
          <w:tcPr>
            <w:tcW w:w="480" w:type="dxa"/>
            <w:vAlign w:val="bottom"/>
            <w:tcBorders>
              <w:top w:val="single" w:sz="8" w:color="auto"/>
            </w:tcBorders>
            <w:shd w:val="clear" w:color="auto" w:fill="DDDDDD"/>
          </w:tcPr>
          <w:p>
            <w:pPr>
              <w:spacing w:after="0"/>
              <w:rPr>
                <w:sz w:val="18"/>
                <w:szCs w:val="18"/>
                <w:color w:val="auto"/>
              </w:rPr>
            </w:pPr>
          </w:p>
        </w:tc>
        <w:tc>
          <w:tcPr>
            <w:tcW w:w="960" w:type="dxa"/>
            <w:vAlign w:val="bottom"/>
            <w:tcBorders>
              <w:top w:val="single" w:sz="8" w:color="auto"/>
            </w:tcBorders>
            <w:shd w:val="clear" w:color="auto" w:fill="DDDDDD"/>
          </w:tcPr>
          <w:p>
            <w:pPr>
              <w:spacing w:after="0"/>
              <w:rPr>
                <w:sz w:val="18"/>
                <w:szCs w:val="18"/>
                <w:color w:val="auto"/>
              </w:rPr>
            </w:pPr>
          </w:p>
        </w:tc>
        <w:tc>
          <w:tcPr>
            <w:tcW w:w="100" w:type="dxa"/>
            <w:vAlign w:val="bottom"/>
            <w:tcBorders>
              <w:top w:val="single" w:sz="8" w:color="DDDDDD"/>
            </w:tcBorders>
            <w:shd w:val="clear" w:color="auto" w:fill="DDDDDD"/>
          </w:tcPr>
          <w:p>
            <w:pPr>
              <w:spacing w:after="0"/>
              <w:rPr>
                <w:sz w:val="18"/>
                <w:szCs w:val="18"/>
                <w:color w:val="auto"/>
              </w:rPr>
            </w:pPr>
          </w:p>
        </w:tc>
        <w:tc>
          <w:tcPr>
            <w:tcW w:w="300" w:type="dxa"/>
            <w:vAlign w:val="bottom"/>
            <w:tcBorders>
              <w:top w:val="single" w:sz="8" w:color="auto"/>
            </w:tcBorders>
            <w:shd w:val="clear" w:color="auto" w:fill="DDDDDD"/>
          </w:tcPr>
          <w:p>
            <w:pPr>
              <w:spacing w:after="0"/>
              <w:rPr>
                <w:sz w:val="18"/>
                <w:szCs w:val="18"/>
                <w:color w:val="auto"/>
              </w:rPr>
            </w:pPr>
          </w:p>
        </w:tc>
        <w:tc>
          <w:tcPr>
            <w:tcW w:w="1140" w:type="dxa"/>
            <w:vAlign w:val="bottom"/>
            <w:tcBorders>
              <w:top w:val="single" w:sz="8" w:color="auto"/>
            </w:tcBorders>
            <w:shd w:val="clear" w:color="auto" w:fill="DDDDDD"/>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360"/>
              <w:spacing w:after="0"/>
              <w:rPr>
                <w:sz w:val="20"/>
                <w:szCs w:val="20"/>
                <w:color w:val="auto"/>
              </w:rPr>
            </w:pPr>
            <w:r>
              <w:rPr>
                <w:rFonts w:ascii="Arial" w:cs="Arial" w:eastAsia="Arial" w:hAnsi="Arial"/>
                <w:sz w:val="18"/>
                <w:szCs w:val="18"/>
                <w:color w:val="auto"/>
              </w:rPr>
              <w:t>Private funds</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DDDDDD"/>
          </w:tcPr>
          <w:p>
            <w:pPr>
              <w:ind w:left="360"/>
              <w:spacing w:after="0"/>
              <w:rPr>
                <w:sz w:val="20"/>
                <w:szCs w:val="20"/>
                <w:color w:val="auto"/>
              </w:rPr>
            </w:pPr>
            <w:r>
              <w:rPr>
                <w:rFonts w:ascii="Arial" w:cs="Arial" w:eastAsia="Arial" w:hAnsi="Arial"/>
                <w:sz w:val="18"/>
                <w:szCs w:val="18"/>
                <w:color w:val="auto"/>
              </w:rPr>
              <w:t>Real estate funds</w:t>
            </w:r>
          </w:p>
        </w:tc>
        <w:tc>
          <w:tcPr>
            <w:tcW w:w="880" w:type="dxa"/>
            <w:vAlign w:val="bottom"/>
            <w:tcBorders>
              <w:bottom w:val="single" w:sz="8" w:color="auto"/>
            </w:tcBorders>
            <w:shd w:val="clear" w:color="auto" w:fill="DDDDDD"/>
          </w:tcPr>
          <w:p>
            <w:pPr>
              <w:spacing w:after="0"/>
              <w:rPr>
                <w:sz w:val="19"/>
                <w:szCs w:val="19"/>
                <w:color w:val="auto"/>
              </w:rPr>
            </w:pPr>
          </w:p>
        </w:tc>
        <w:tc>
          <w:tcPr>
            <w:tcW w:w="5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DDDDDD"/>
          </w:tcPr>
          <w:p>
            <w:pPr>
              <w:spacing w:after="0"/>
              <w:rPr>
                <w:sz w:val="19"/>
                <w:szCs w:val="19"/>
                <w:color w:val="auto"/>
              </w:rPr>
            </w:pPr>
          </w:p>
        </w:tc>
        <w:tc>
          <w:tcPr>
            <w:tcW w:w="960" w:type="dxa"/>
            <w:vAlign w:val="bottom"/>
            <w:shd w:val="clear" w:color="auto" w:fill="DDDDDD"/>
          </w:tcPr>
          <w:p>
            <w:pPr>
              <w:spacing w:after="0"/>
              <w:rPr>
                <w:sz w:val="19"/>
                <w:szCs w:val="19"/>
                <w:color w:val="auto"/>
              </w:rPr>
            </w:pPr>
          </w:p>
        </w:tc>
        <w:tc>
          <w:tcPr>
            <w:tcW w:w="46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480" w:type="dxa"/>
            <w:vAlign w:val="bottom"/>
            <w:shd w:val="clear" w:color="auto" w:fill="DDDDDD"/>
          </w:tcPr>
          <w:p>
            <w:pPr>
              <w:spacing w:after="0"/>
              <w:rPr>
                <w:sz w:val="19"/>
                <w:szCs w:val="19"/>
                <w:color w:val="auto"/>
              </w:rPr>
            </w:pPr>
          </w:p>
        </w:tc>
        <w:tc>
          <w:tcPr>
            <w:tcW w:w="96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300" w:type="dxa"/>
            <w:vAlign w:val="bottom"/>
            <w:shd w:val="clear" w:color="auto" w:fill="DDDDDD"/>
          </w:tcPr>
          <w:p>
            <w:pPr>
              <w:spacing w:after="0"/>
              <w:rPr>
                <w:sz w:val="19"/>
                <w:szCs w:val="19"/>
                <w:color w:val="auto"/>
              </w:rPr>
            </w:pPr>
          </w:p>
        </w:tc>
        <w:tc>
          <w:tcPr>
            <w:tcW w:w="114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Total assets at fair value</w:t>
            </w:r>
          </w:p>
        </w:tc>
        <w:tc>
          <w:tcPr>
            <w:tcW w:w="880" w:type="dxa"/>
            <w:vAlign w:val="bottom"/>
            <w:tcBorders>
              <w:bottom w:val="single" w:sz="8" w:color="auto"/>
            </w:tcBorders>
          </w:tcPr>
          <w:p>
            <w:pPr>
              <w:jc w:val="right"/>
              <w:ind w:right="67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7,307</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102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changes in the fair value of Level 3 assets for both U.S. and Non-U.S. plans: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440" w:type="dxa"/>
            <w:vAlign w:val="bottom"/>
          </w:tcPr>
          <w:p>
            <w:pPr>
              <w:spacing w:after="0"/>
              <w:rPr>
                <w:sz w:val="17"/>
                <w:szCs w:val="17"/>
                <w:color w:val="auto"/>
              </w:rPr>
            </w:pPr>
          </w:p>
        </w:tc>
        <w:tc>
          <w:tcPr>
            <w:tcW w:w="160" w:type="dxa"/>
            <w:vAlign w:val="bottom"/>
            <w:tcBorders>
              <w:bottom w:val="single" w:sz="8" w:color="DC202E"/>
            </w:tcBorders>
          </w:tcPr>
          <w:p>
            <w:pPr>
              <w:spacing w:after="0"/>
              <w:rPr>
                <w:sz w:val="17"/>
                <w:szCs w:val="17"/>
                <w:color w:val="auto"/>
              </w:rPr>
            </w:pPr>
          </w:p>
        </w:tc>
        <w:tc>
          <w:tcPr>
            <w:tcW w:w="2340" w:type="dxa"/>
            <w:vAlign w:val="bottom"/>
            <w:tcBorders>
              <w:bottom w:val="single" w:sz="8" w:color="DC202E"/>
            </w:tcBorders>
            <w:gridSpan w:val="4"/>
          </w:tcPr>
          <w:p>
            <w:pPr>
              <w:jc w:val="right"/>
              <w:ind w:right="793"/>
              <w:spacing w:after="0"/>
              <w:rPr>
                <w:sz w:val="20"/>
                <w:szCs w:val="20"/>
                <w:color w:val="auto"/>
              </w:rPr>
            </w:pPr>
            <w:r>
              <w:rPr>
                <w:rFonts w:ascii="Arial" w:cs="Arial" w:eastAsia="Arial" w:hAnsi="Arial"/>
                <w:sz w:val="14"/>
                <w:szCs w:val="14"/>
                <w:b w:val="1"/>
                <w:bCs w:val="1"/>
                <w:color w:val="auto"/>
              </w:rPr>
              <w:t>U.S. Plans</w:t>
            </w:r>
          </w:p>
        </w:tc>
        <w:tc>
          <w:tcPr>
            <w:tcW w:w="460" w:type="dxa"/>
            <w:vAlign w:val="bottom"/>
          </w:tcPr>
          <w:p>
            <w:pPr>
              <w:spacing w:after="0"/>
              <w:rPr>
                <w:sz w:val="17"/>
                <w:szCs w:val="17"/>
                <w:color w:val="auto"/>
              </w:rPr>
            </w:pPr>
          </w:p>
        </w:tc>
        <w:tc>
          <w:tcPr>
            <w:tcW w:w="240" w:type="dxa"/>
            <w:vAlign w:val="bottom"/>
            <w:tcBorders>
              <w:bottom w:val="single" w:sz="8" w:color="EE2724"/>
            </w:tcBorders>
          </w:tcPr>
          <w:p>
            <w:pPr>
              <w:spacing w:after="0"/>
              <w:rPr>
                <w:sz w:val="17"/>
                <w:szCs w:val="17"/>
                <w:color w:val="auto"/>
              </w:rPr>
            </w:pPr>
          </w:p>
        </w:tc>
        <w:tc>
          <w:tcPr>
            <w:tcW w:w="960" w:type="dxa"/>
            <w:vAlign w:val="bottom"/>
            <w:tcBorders>
              <w:bottom w:val="single" w:sz="8" w:color="EE2724"/>
            </w:tcBorders>
          </w:tcPr>
          <w:p>
            <w:pPr>
              <w:spacing w:after="0"/>
              <w:rPr>
                <w:sz w:val="17"/>
                <w:szCs w:val="17"/>
                <w:color w:val="auto"/>
              </w:rPr>
            </w:pPr>
          </w:p>
        </w:tc>
        <w:tc>
          <w:tcPr>
            <w:tcW w:w="100" w:type="dxa"/>
            <w:vAlign w:val="bottom"/>
            <w:tcBorders>
              <w:bottom w:val="single" w:sz="8" w:color="EE2724"/>
            </w:tcBorders>
          </w:tcPr>
          <w:p>
            <w:pPr>
              <w:spacing w:after="0"/>
              <w:rPr>
                <w:sz w:val="17"/>
                <w:szCs w:val="17"/>
                <w:color w:val="auto"/>
              </w:rPr>
            </w:pPr>
          </w:p>
        </w:tc>
        <w:tc>
          <w:tcPr>
            <w:tcW w:w="1280" w:type="dxa"/>
            <w:vAlign w:val="bottom"/>
            <w:tcBorders>
              <w:bottom w:val="single" w:sz="8" w:color="EE2724"/>
            </w:tcBorders>
            <w:gridSpan w:val="3"/>
          </w:tcPr>
          <w:p>
            <w:pPr>
              <w:jc w:val="center"/>
              <w:ind w:right="80"/>
              <w:spacing w:after="0"/>
              <w:rPr>
                <w:sz w:val="20"/>
                <w:szCs w:val="20"/>
                <w:color w:val="auto"/>
              </w:rPr>
            </w:pPr>
            <w:r>
              <w:rPr>
                <w:rFonts w:ascii="Arial" w:cs="Arial" w:eastAsia="Arial" w:hAnsi="Arial"/>
                <w:sz w:val="14"/>
                <w:szCs w:val="14"/>
                <w:b w:val="1"/>
                <w:bCs w:val="1"/>
                <w:color w:val="auto"/>
              </w:rPr>
              <w:t>Non-U.S. Plans</w:t>
            </w:r>
          </w:p>
        </w:tc>
        <w:tc>
          <w:tcPr>
            <w:tcW w:w="160" w:type="dxa"/>
            <w:vAlign w:val="bottom"/>
            <w:tcBorders>
              <w:bottom w:val="single" w:sz="8" w:color="EE2724"/>
            </w:tcBorders>
          </w:tcPr>
          <w:p>
            <w:pPr>
              <w:spacing w:after="0"/>
              <w:rPr>
                <w:sz w:val="17"/>
                <w:szCs w:val="17"/>
                <w:color w:val="auto"/>
              </w:rPr>
            </w:pPr>
          </w:p>
        </w:tc>
        <w:tc>
          <w:tcPr>
            <w:tcW w:w="1040" w:type="dxa"/>
            <w:vAlign w:val="bottom"/>
            <w:tcBorders>
              <w:bottom w:val="single" w:sz="8" w:color="EE2724"/>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Direct</w:t>
            </w:r>
          </w:p>
        </w:tc>
        <w:tc>
          <w:tcPr>
            <w:tcW w:w="160" w:type="dxa"/>
            <w:vAlign w:val="bottom"/>
          </w:tcPr>
          <w:p>
            <w:pPr>
              <w:spacing w:after="0"/>
              <w:rPr>
                <w:sz w:val="16"/>
                <w:szCs w:val="16"/>
                <w:color w:val="auto"/>
              </w:rPr>
            </w:pPr>
          </w:p>
        </w:tc>
        <w:tc>
          <w:tcPr>
            <w:tcW w:w="1480" w:type="dxa"/>
            <w:vAlign w:val="bottom"/>
            <w:gridSpan w:val="2"/>
            <w:vMerge w:val="restart"/>
          </w:tcPr>
          <w:p>
            <w:pPr>
              <w:jc w:val="center"/>
              <w:ind w:right="620"/>
              <w:spacing w:after="0"/>
              <w:rPr>
                <w:sz w:val="20"/>
                <w:szCs w:val="20"/>
                <w:color w:val="auto"/>
              </w:rPr>
            </w:pPr>
            <w:r>
              <w:rPr>
                <w:rFonts w:ascii="Arial" w:cs="Arial" w:eastAsia="Arial" w:hAnsi="Arial"/>
                <w:sz w:val="14"/>
                <w:szCs w:val="14"/>
                <w:b w:val="1"/>
                <w:bCs w:val="1"/>
                <w:color w:val="auto"/>
              </w:rPr>
              <w:t>Real Estate</w:t>
            </w:r>
          </w:p>
        </w:tc>
        <w:tc>
          <w:tcPr>
            <w:tcW w:w="240" w:type="dxa"/>
            <w:vAlign w:val="bottom"/>
          </w:tcPr>
          <w:p>
            <w:pPr>
              <w:spacing w:after="0"/>
              <w:rPr>
                <w:sz w:val="16"/>
                <w:szCs w:val="16"/>
                <w:color w:val="auto"/>
              </w:rPr>
            </w:pPr>
          </w:p>
        </w:tc>
        <w:tc>
          <w:tcPr>
            <w:tcW w:w="10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Private</w:t>
            </w:r>
          </w:p>
        </w:tc>
        <w:tc>
          <w:tcPr>
            <w:tcW w:w="160" w:type="dxa"/>
            <w:vAlign w:val="bottom"/>
          </w:tcPr>
          <w:p>
            <w:pPr>
              <w:spacing w:after="0"/>
              <w:rPr>
                <w:sz w:val="16"/>
                <w:szCs w:val="16"/>
                <w:color w:val="auto"/>
              </w:rPr>
            </w:pPr>
          </w:p>
        </w:tc>
        <w:tc>
          <w:tcPr>
            <w:tcW w:w="11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Real Estate</w:t>
            </w:r>
          </w:p>
        </w:tc>
        <w:tc>
          <w:tcPr>
            <w:tcW w:w="12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Insurance Buy-</w:t>
            </w:r>
          </w:p>
        </w:tc>
        <w:tc>
          <w:tcPr>
            <w:tcW w:w="0" w:type="dxa"/>
            <w:vAlign w:val="bottom"/>
          </w:tcPr>
          <w:p>
            <w:pPr>
              <w:spacing w:after="0"/>
              <w:rPr>
                <w:sz w:val="1"/>
                <w:szCs w:val="1"/>
                <w:color w:val="auto"/>
              </w:rPr>
            </w:pPr>
          </w:p>
        </w:tc>
      </w:tr>
      <w:tr>
        <w:trPr>
          <w:trHeight w:val="135"/>
        </w:trPr>
        <w:tc>
          <w:tcPr>
            <w:tcW w:w="4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Private</w:t>
            </w:r>
          </w:p>
        </w:tc>
        <w:tc>
          <w:tcPr>
            <w:tcW w:w="160" w:type="dxa"/>
            <w:vAlign w:val="bottom"/>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4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Investments</w:t>
            </w:r>
          </w:p>
        </w:tc>
        <w:tc>
          <w:tcPr>
            <w:tcW w:w="160" w:type="dxa"/>
            <w:vAlign w:val="bottom"/>
          </w:tcPr>
          <w:p>
            <w:pPr>
              <w:spacing w:after="0"/>
              <w:rPr>
                <w:sz w:val="15"/>
                <w:szCs w:val="15"/>
                <w:color w:val="auto"/>
              </w:rPr>
            </w:pPr>
          </w:p>
        </w:tc>
        <w:tc>
          <w:tcPr>
            <w:tcW w:w="14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rPr>
              <w:t>Properties</w:t>
            </w:r>
          </w:p>
        </w:tc>
        <w:tc>
          <w:tcPr>
            <w:tcW w:w="240" w:type="dxa"/>
            <w:vAlign w:val="bottom"/>
          </w:tcPr>
          <w:p>
            <w:pPr>
              <w:spacing w:after="0"/>
              <w:rPr>
                <w:sz w:val="15"/>
                <w:szCs w:val="15"/>
                <w:color w:val="auto"/>
              </w:rPr>
            </w:pPr>
          </w:p>
        </w:tc>
        <w:tc>
          <w:tcPr>
            <w:tcW w:w="1060" w:type="dxa"/>
            <w:vAlign w:val="bottom"/>
            <w:gridSpan w:val="2"/>
          </w:tcPr>
          <w:p>
            <w:pPr>
              <w:ind w:left="140"/>
              <w:spacing w:after="0"/>
              <w:rPr>
                <w:sz w:val="20"/>
                <w:szCs w:val="20"/>
                <w:color w:val="auto"/>
              </w:rPr>
            </w:pPr>
            <w:r>
              <w:rPr>
                <w:rFonts w:ascii="Arial" w:cs="Arial" w:eastAsia="Arial" w:hAnsi="Arial"/>
                <w:sz w:val="14"/>
                <w:szCs w:val="14"/>
                <w:b w:val="1"/>
                <w:bCs w:val="1"/>
                <w:color w:val="auto"/>
              </w:rPr>
              <w:t>Funds</w:t>
            </w:r>
          </w:p>
        </w:tc>
        <w:tc>
          <w:tcPr>
            <w:tcW w:w="16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Funds</w:t>
            </w:r>
          </w:p>
        </w:tc>
        <w:tc>
          <w:tcPr>
            <w:tcW w:w="160" w:type="dxa"/>
            <w:vAlign w:val="bottom"/>
          </w:tcPr>
          <w:p>
            <w:pPr>
              <w:spacing w:after="0"/>
              <w:rPr>
                <w:sz w:val="15"/>
                <w:szCs w:val="15"/>
                <w:color w:val="auto"/>
              </w:rPr>
            </w:pPr>
          </w:p>
        </w:tc>
        <w:tc>
          <w:tcPr>
            <w:tcW w:w="1040" w:type="dxa"/>
            <w:vAlign w:val="bottom"/>
          </w:tcPr>
          <w:p>
            <w:pPr>
              <w:jc w:val="right"/>
              <w:ind w:right="92"/>
              <w:spacing w:after="0"/>
              <w:rPr>
                <w:sz w:val="20"/>
                <w:szCs w:val="20"/>
                <w:color w:val="auto"/>
              </w:rPr>
            </w:pPr>
            <w:r>
              <w:rPr>
                <w:rFonts w:ascii="Arial" w:cs="Arial" w:eastAsia="Arial" w:hAnsi="Arial"/>
                <w:sz w:val="14"/>
                <w:szCs w:val="14"/>
                <w:b w:val="1"/>
                <w:bCs w:val="1"/>
                <w:color w:val="auto"/>
              </w:rPr>
              <w:t>in Contracts</w:t>
            </w:r>
          </w:p>
        </w:tc>
        <w:tc>
          <w:tcPr>
            <w:tcW w:w="0" w:type="dxa"/>
            <w:vAlign w:val="bottom"/>
          </w:tcPr>
          <w:p>
            <w:pPr>
              <w:spacing w:after="0"/>
              <w:rPr>
                <w:sz w:val="1"/>
                <w:szCs w:val="1"/>
                <w:color w:val="auto"/>
              </w:rPr>
            </w:pPr>
          </w:p>
        </w:tc>
      </w:tr>
      <w:tr>
        <w:trPr>
          <w:trHeight w:val="229"/>
        </w:trPr>
        <w:tc>
          <w:tcPr>
            <w:tcW w:w="4440" w:type="dxa"/>
            <w:vAlign w:val="bottom"/>
            <w:tcBorders>
              <w:top w:val="single" w:sz="8" w:color="DDDDDD"/>
            </w:tcBorders>
            <w:shd w:val="clear" w:color="auto" w:fill="DDDDDD"/>
          </w:tcPr>
          <w:p>
            <w:pPr>
              <w:ind w:left="20"/>
              <w:spacing w:after="0"/>
              <w:rPr>
                <w:sz w:val="20"/>
                <w:szCs w:val="20"/>
                <w:color w:val="auto"/>
              </w:rPr>
            </w:pPr>
            <w:r>
              <w:rPr>
                <w:rFonts w:ascii="Arial" w:cs="Arial" w:eastAsia="Arial" w:hAnsi="Arial"/>
                <w:sz w:val="18"/>
                <w:szCs w:val="18"/>
                <w:color w:val="auto"/>
              </w:rPr>
              <w:t>Balance at December 31, 2018</w:t>
            </w:r>
          </w:p>
        </w:tc>
        <w:tc>
          <w:tcPr>
            <w:tcW w:w="160" w:type="dxa"/>
            <w:vAlign w:val="bottom"/>
            <w:tcBorders>
              <w:top w:val="single" w:sz="8" w:color="DC202E"/>
            </w:tcBorders>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DC202E"/>
            </w:tcBorders>
            <w:shd w:val="clear" w:color="auto" w:fill="DDDDDD"/>
          </w:tcPr>
          <w:p>
            <w:pPr>
              <w:jc w:val="right"/>
              <w:spacing w:after="0"/>
              <w:rPr>
                <w:sz w:val="20"/>
                <w:szCs w:val="20"/>
                <w:color w:val="auto"/>
              </w:rPr>
            </w:pPr>
            <w:r>
              <w:rPr>
                <w:rFonts w:ascii="Arial" w:cs="Arial" w:eastAsia="Arial" w:hAnsi="Arial"/>
                <w:sz w:val="18"/>
                <w:szCs w:val="18"/>
                <w:color w:val="auto"/>
              </w:rPr>
              <w:t>829</w:t>
            </w:r>
          </w:p>
        </w:tc>
        <w:tc>
          <w:tcPr>
            <w:tcW w:w="100" w:type="dxa"/>
            <w:vAlign w:val="bottom"/>
            <w:tcBorders>
              <w:top w:val="single" w:sz="8" w:color="DDDDDD"/>
            </w:tcBorders>
            <w:shd w:val="clear" w:color="auto" w:fill="DDDDDD"/>
          </w:tcPr>
          <w:p>
            <w:pPr>
              <w:spacing w:after="0"/>
              <w:rPr>
                <w:sz w:val="19"/>
                <w:szCs w:val="19"/>
                <w:color w:val="auto"/>
              </w:rPr>
            </w:pPr>
          </w:p>
        </w:tc>
        <w:tc>
          <w:tcPr>
            <w:tcW w:w="160" w:type="dxa"/>
            <w:vAlign w:val="bottom"/>
            <w:tcBorders>
              <w:top w:val="single" w:sz="8" w:color="DC202E"/>
            </w:tcBorders>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DC202E"/>
            </w:tcBorders>
            <w:shd w:val="clear" w:color="auto" w:fill="DDDDDD"/>
          </w:tcPr>
          <w:p>
            <w:pPr>
              <w:jc w:val="right"/>
              <w:spacing w:after="0"/>
              <w:rPr>
                <w:sz w:val="20"/>
                <w:szCs w:val="20"/>
                <w:color w:val="auto"/>
              </w:rPr>
            </w:pPr>
            <w:r>
              <w:rPr>
                <w:rFonts w:ascii="Arial" w:cs="Arial" w:eastAsia="Arial" w:hAnsi="Arial"/>
                <w:sz w:val="18"/>
                <w:szCs w:val="18"/>
                <w:color w:val="auto"/>
              </w:rPr>
              <w:t>657</w:t>
            </w:r>
          </w:p>
        </w:tc>
        <w:tc>
          <w:tcPr>
            <w:tcW w:w="460" w:type="dxa"/>
            <w:vAlign w:val="bottom"/>
            <w:tcBorders>
              <w:top w:val="single" w:sz="8" w:color="DDDDDD"/>
            </w:tcBorders>
            <w:shd w:val="clear" w:color="auto" w:fill="DDDDDD"/>
          </w:tcPr>
          <w:p>
            <w:pPr>
              <w:spacing w:after="0"/>
              <w:rPr>
                <w:sz w:val="19"/>
                <w:szCs w:val="19"/>
                <w:color w:val="auto"/>
              </w:rPr>
            </w:pPr>
          </w:p>
        </w:tc>
        <w:tc>
          <w:tcPr>
            <w:tcW w:w="240" w:type="dxa"/>
            <w:vAlign w:val="bottom"/>
            <w:tcBorders>
              <w:top w:val="single" w:sz="8" w:color="DC202E"/>
            </w:tcBorders>
            <w:shd w:val="clear" w:color="auto" w:fill="DDDDDD"/>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DC202E"/>
            </w:tcBorders>
            <w:shd w:val="clear" w:color="auto" w:fill="DDDDDD"/>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top w:val="single" w:sz="8" w:color="DDDDDD"/>
            </w:tcBorders>
            <w:shd w:val="clear" w:color="auto" w:fill="DDDDDD"/>
          </w:tcPr>
          <w:p>
            <w:pPr>
              <w:spacing w:after="0"/>
              <w:rPr>
                <w:sz w:val="19"/>
                <w:szCs w:val="19"/>
                <w:color w:val="auto"/>
              </w:rPr>
            </w:pPr>
          </w:p>
        </w:tc>
        <w:tc>
          <w:tcPr>
            <w:tcW w:w="160" w:type="dxa"/>
            <w:vAlign w:val="bottom"/>
            <w:tcBorders>
              <w:top w:val="single" w:sz="8" w:color="DC202E"/>
            </w:tcBorders>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DC202E"/>
            </w:tcBorders>
            <w:shd w:val="clear" w:color="auto" w:fill="DDDDDD"/>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top w:val="single" w:sz="8" w:color="DDDDDD"/>
            </w:tcBorders>
            <w:shd w:val="clear" w:color="auto" w:fill="DDDDDD"/>
          </w:tcPr>
          <w:p>
            <w:pPr>
              <w:spacing w:after="0"/>
              <w:rPr>
                <w:sz w:val="19"/>
                <w:szCs w:val="19"/>
                <w:color w:val="auto"/>
              </w:rPr>
            </w:pPr>
          </w:p>
        </w:tc>
        <w:tc>
          <w:tcPr>
            <w:tcW w:w="160" w:type="dxa"/>
            <w:vAlign w:val="bottom"/>
            <w:tcBorders>
              <w:top w:val="single" w:sz="8" w:color="DC202E"/>
            </w:tcBorders>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DC202E"/>
            </w:tcBorders>
            <w:shd w:val="clear" w:color="auto" w:fill="DDDDDD"/>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color w:val="auto"/>
              </w:rPr>
              <w:t>Actual return on plan assets:</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shd w:val="clear" w:color="auto" w:fill="DDDDDD"/>
          </w:tcPr>
          <w:p>
            <w:pPr>
              <w:ind w:left="360"/>
              <w:spacing w:after="0"/>
              <w:rPr>
                <w:sz w:val="20"/>
                <w:szCs w:val="20"/>
                <w:color w:val="auto"/>
              </w:rPr>
            </w:pPr>
            <w:r>
              <w:rPr>
                <w:rFonts w:ascii="Arial" w:cs="Arial" w:eastAsia="Arial" w:hAnsi="Arial"/>
                <w:sz w:val="18"/>
                <w:szCs w:val="18"/>
                <w:color w:val="auto"/>
              </w:rPr>
              <w:t>Relating to assets still held at year-end</w:t>
            </w:r>
          </w:p>
        </w:tc>
        <w:tc>
          <w:tcPr>
            <w:tcW w:w="160" w:type="dxa"/>
            <w:vAlign w:val="bottom"/>
            <w:shd w:val="clear" w:color="auto" w:fill="DDDDDD"/>
          </w:tcPr>
          <w:p>
            <w:pPr>
              <w:spacing w:after="0"/>
              <w:rPr>
                <w:sz w:val="19"/>
                <w:szCs w:val="19"/>
                <w:color w:val="auto"/>
              </w:rPr>
            </w:pPr>
          </w:p>
        </w:tc>
        <w:tc>
          <w:tcPr>
            <w:tcW w:w="10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DDDDDD"/>
          </w:tcPr>
          <w:p>
            <w:pPr>
              <w:spacing w:after="0"/>
              <w:rPr>
                <w:sz w:val="19"/>
                <w:szCs w:val="19"/>
                <w:color w:val="auto"/>
              </w:rPr>
            </w:pPr>
          </w:p>
        </w:tc>
        <w:tc>
          <w:tcPr>
            <w:tcW w:w="160" w:type="dxa"/>
            <w:vAlign w:val="bottom"/>
            <w:shd w:val="clear" w:color="auto" w:fill="DDDDDD"/>
          </w:tcPr>
          <w:p>
            <w:pPr>
              <w:spacing w:after="0"/>
              <w:rPr>
                <w:sz w:val="19"/>
                <w:szCs w:val="19"/>
                <w:color w:val="auto"/>
              </w:rPr>
            </w:pPr>
          </w:p>
        </w:tc>
        <w:tc>
          <w:tcPr>
            <w:tcW w:w="10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40</w:t>
            </w:r>
          </w:p>
        </w:tc>
        <w:tc>
          <w:tcPr>
            <w:tcW w:w="460" w:type="dxa"/>
            <w:vAlign w:val="bottom"/>
            <w:shd w:val="clear" w:color="auto" w:fill="DDDDDD"/>
          </w:tcPr>
          <w:p>
            <w:pPr>
              <w:spacing w:after="0"/>
              <w:rPr>
                <w:sz w:val="19"/>
                <w:szCs w:val="19"/>
                <w:color w:val="auto"/>
              </w:rPr>
            </w:pPr>
          </w:p>
        </w:tc>
        <w:tc>
          <w:tcPr>
            <w:tcW w:w="240" w:type="dxa"/>
            <w:vAlign w:val="bottom"/>
            <w:shd w:val="clear" w:color="auto" w:fill="DDDDDD"/>
          </w:tcPr>
          <w:p>
            <w:pPr>
              <w:spacing w:after="0"/>
              <w:rPr>
                <w:sz w:val="19"/>
                <w:szCs w:val="19"/>
                <w:color w:val="auto"/>
              </w:rPr>
            </w:pPr>
          </w:p>
        </w:tc>
        <w:tc>
          <w:tcPr>
            <w:tcW w:w="1060" w:type="dxa"/>
            <w:vAlign w:val="bottom"/>
            <w:gridSpan w:val="2"/>
            <w:shd w:val="clear" w:color="auto" w:fill="DDDDDD"/>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DDDDDD"/>
          </w:tcPr>
          <w:p>
            <w:pPr>
              <w:spacing w:after="0"/>
              <w:rPr>
                <w:sz w:val="19"/>
                <w:szCs w:val="19"/>
                <w:color w:val="auto"/>
              </w:rPr>
            </w:pPr>
          </w:p>
        </w:tc>
        <w:tc>
          <w:tcPr>
            <w:tcW w:w="10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DDDDDD"/>
          </w:tcPr>
          <w:p>
            <w:pPr>
              <w:spacing w:after="0"/>
              <w:rPr>
                <w:sz w:val="19"/>
                <w:szCs w:val="19"/>
                <w:color w:val="auto"/>
              </w:rPr>
            </w:pPr>
          </w:p>
        </w:tc>
        <w:tc>
          <w:tcPr>
            <w:tcW w:w="160" w:type="dxa"/>
            <w:vAlign w:val="bottom"/>
            <w:shd w:val="clear" w:color="auto" w:fill="DDDDDD"/>
          </w:tcPr>
          <w:p>
            <w:pPr>
              <w:spacing w:after="0"/>
              <w:rPr>
                <w:sz w:val="19"/>
                <w:szCs w:val="19"/>
                <w:color w:val="auto"/>
              </w:rPr>
            </w:pPr>
          </w:p>
        </w:tc>
        <w:tc>
          <w:tcPr>
            <w:tcW w:w="10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440" w:type="dxa"/>
            <w:vAlign w:val="bottom"/>
          </w:tcPr>
          <w:p>
            <w:pPr>
              <w:ind w:left="360"/>
              <w:spacing w:after="0"/>
              <w:rPr>
                <w:sz w:val="20"/>
                <w:szCs w:val="20"/>
                <w:color w:val="auto"/>
              </w:rPr>
            </w:pPr>
            <w:r>
              <w:rPr>
                <w:rFonts w:ascii="Arial" w:cs="Arial" w:eastAsia="Arial" w:hAnsi="Arial"/>
                <w:sz w:val="18"/>
                <w:szCs w:val="18"/>
                <w:color w:val="auto"/>
              </w:rPr>
              <w:t>Relating to assets sold during the year</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w:t>
            </w: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40" w:type="dxa"/>
            <w:vAlign w:val="bottom"/>
            <w:shd w:val="clear" w:color="auto" w:fill="DDDDDD"/>
          </w:tcPr>
          <w:p>
            <w:pPr>
              <w:ind w:left="20"/>
              <w:spacing w:after="0"/>
              <w:rPr>
                <w:sz w:val="20"/>
                <w:szCs w:val="20"/>
                <w:color w:val="auto"/>
              </w:rPr>
            </w:pPr>
            <w:r>
              <w:rPr>
                <w:rFonts w:ascii="Arial" w:cs="Arial" w:eastAsia="Arial" w:hAnsi="Arial"/>
                <w:sz w:val="18"/>
                <w:szCs w:val="18"/>
                <w:color w:val="auto"/>
              </w:rPr>
              <w:t>Purchases</w:t>
            </w:r>
          </w:p>
        </w:tc>
        <w:tc>
          <w:tcPr>
            <w:tcW w:w="160" w:type="dxa"/>
            <w:vAlign w:val="bottom"/>
            <w:shd w:val="clear" w:color="auto" w:fill="DDDDDD"/>
          </w:tcPr>
          <w:p>
            <w:pPr>
              <w:spacing w:after="0"/>
              <w:rPr>
                <w:sz w:val="19"/>
                <w:szCs w:val="19"/>
                <w:color w:val="auto"/>
              </w:rPr>
            </w:pPr>
          </w:p>
        </w:tc>
        <w:tc>
          <w:tcPr>
            <w:tcW w:w="10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DDDDDD"/>
          </w:tcPr>
          <w:p>
            <w:pPr>
              <w:spacing w:after="0"/>
              <w:rPr>
                <w:sz w:val="19"/>
                <w:szCs w:val="19"/>
                <w:color w:val="auto"/>
              </w:rPr>
            </w:pPr>
          </w:p>
        </w:tc>
        <w:tc>
          <w:tcPr>
            <w:tcW w:w="160" w:type="dxa"/>
            <w:vAlign w:val="bottom"/>
            <w:shd w:val="clear" w:color="auto" w:fill="DDDDDD"/>
          </w:tcPr>
          <w:p>
            <w:pPr>
              <w:spacing w:after="0"/>
              <w:rPr>
                <w:sz w:val="19"/>
                <w:szCs w:val="19"/>
                <w:color w:val="auto"/>
              </w:rPr>
            </w:pPr>
          </w:p>
        </w:tc>
        <w:tc>
          <w:tcPr>
            <w:tcW w:w="10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48</w:t>
            </w:r>
          </w:p>
        </w:tc>
        <w:tc>
          <w:tcPr>
            <w:tcW w:w="460" w:type="dxa"/>
            <w:vAlign w:val="bottom"/>
            <w:shd w:val="clear" w:color="auto" w:fill="DDDDDD"/>
          </w:tcPr>
          <w:p>
            <w:pPr>
              <w:spacing w:after="0"/>
              <w:rPr>
                <w:sz w:val="19"/>
                <w:szCs w:val="19"/>
                <w:color w:val="auto"/>
              </w:rPr>
            </w:pPr>
          </w:p>
        </w:tc>
        <w:tc>
          <w:tcPr>
            <w:tcW w:w="240" w:type="dxa"/>
            <w:vAlign w:val="bottom"/>
            <w:shd w:val="clear" w:color="auto" w:fill="DDDDDD"/>
          </w:tcPr>
          <w:p>
            <w:pPr>
              <w:spacing w:after="0"/>
              <w:rPr>
                <w:sz w:val="19"/>
                <w:szCs w:val="19"/>
                <w:color w:val="auto"/>
              </w:rPr>
            </w:pPr>
          </w:p>
        </w:tc>
        <w:tc>
          <w:tcPr>
            <w:tcW w:w="1060" w:type="dxa"/>
            <w:vAlign w:val="bottom"/>
            <w:gridSpan w:val="2"/>
            <w:shd w:val="clear" w:color="auto" w:fill="DDDDDD"/>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DDDDDD"/>
          </w:tcPr>
          <w:p>
            <w:pPr>
              <w:spacing w:after="0"/>
              <w:rPr>
                <w:sz w:val="19"/>
                <w:szCs w:val="19"/>
                <w:color w:val="auto"/>
              </w:rPr>
            </w:pPr>
          </w:p>
        </w:tc>
        <w:tc>
          <w:tcPr>
            <w:tcW w:w="1120" w:type="dxa"/>
            <w:vAlign w:val="bottom"/>
            <w:gridSpan w:val="2"/>
            <w:shd w:val="clear" w:color="auto" w:fill="DDDDDD"/>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DDDDDD"/>
          </w:tcPr>
          <w:p>
            <w:pPr>
              <w:spacing w:after="0"/>
              <w:rPr>
                <w:sz w:val="19"/>
                <w:szCs w:val="19"/>
                <w:color w:val="auto"/>
              </w:rPr>
            </w:pPr>
          </w:p>
        </w:tc>
        <w:tc>
          <w:tcPr>
            <w:tcW w:w="10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440" w:type="dxa"/>
            <w:vAlign w:val="bottom"/>
          </w:tcPr>
          <w:p>
            <w:pPr>
              <w:ind w:left="20"/>
              <w:spacing w:after="0"/>
              <w:rPr>
                <w:sz w:val="20"/>
                <w:szCs w:val="20"/>
                <w:color w:val="auto"/>
              </w:rPr>
            </w:pPr>
            <w:r>
              <w:rPr>
                <w:rFonts w:ascii="Arial" w:cs="Arial" w:eastAsia="Arial" w:hAnsi="Arial"/>
                <w:sz w:val="18"/>
                <w:szCs w:val="18"/>
                <w:color w:val="auto"/>
              </w:rPr>
              <w:t>Sales and settlements</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(103)</w:t>
            </w: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440" w:type="dxa"/>
            <w:vAlign w:val="bottom"/>
            <w:tcBorders>
              <w:top w:val="single" w:sz="8" w:color="DDDDDD"/>
            </w:tcBorders>
            <w:shd w:val="clear" w:color="auto" w:fill="DDDDDD"/>
          </w:tcPr>
          <w:p>
            <w:pPr>
              <w:ind w:left="20"/>
              <w:spacing w:after="0"/>
              <w:rPr>
                <w:sz w:val="20"/>
                <w:szCs w:val="20"/>
                <w:color w:val="auto"/>
              </w:rPr>
            </w:pPr>
            <w:r>
              <w:rPr>
                <w:rFonts w:ascii="Arial" w:cs="Arial" w:eastAsia="Arial" w:hAnsi="Arial"/>
                <w:sz w:val="18"/>
                <w:szCs w:val="18"/>
                <w:color w:val="auto"/>
              </w:rPr>
              <w:t>Balance at December 31, 2019</w:t>
            </w:r>
          </w:p>
        </w:tc>
        <w:tc>
          <w:tcPr>
            <w:tcW w:w="160" w:type="dxa"/>
            <w:vAlign w:val="bottom"/>
            <w:tcBorders>
              <w:top w:val="single" w:sz="8" w:color="auto"/>
            </w:tcBorders>
            <w:shd w:val="clear" w:color="auto" w:fill="DDDDDD"/>
          </w:tcPr>
          <w:p>
            <w:pPr>
              <w:spacing w:after="0"/>
              <w:rPr>
                <w:sz w:val="19"/>
                <w:szCs w:val="19"/>
                <w:color w:val="auto"/>
              </w:rPr>
            </w:pPr>
          </w:p>
        </w:tc>
        <w:tc>
          <w:tcPr>
            <w:tcW w:w="1060" w:type="dxa"/>
            <w:vAlign w:val="bottom"/>
            <w:tcBorders>
              <w:top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950</w:t>
            </w:r>
          </w:p>
        </w:tc>
        <w:tc>
          <w:tcPr>
            <w:tcW w:w="100" w:type="dxa"/>
            <w:vAlign w:val="bottom"/>
            <w:tcBorders>
              <w:top w:val="single" w:sz="8" w:color="DDDDDD"/>
            </w:tcBorders>
            <w:shd w:val="clear" w:color="auto" w:fill="DDDDDD"/>
          </w:tcPr>
          <w:p>
            <w:pPr>
              <w:spacing w:after="0"/>
              <w:rPr>
                <w:sz w:val="19"/>
                <w:szCs w:val="19"/>
                <w:color w:val="auto"/>
              </w:rPr>
            </w:pPr>
          </w:p>
        </w:tc>
        <w:tc>
          <w:tcPr>
            <w:tcW w:w="160" w:type="dxa"/>
            <w:vAlign w:val="bottom"/>
            <w:tcBorders>
              <w:top w:val="single" w:sz="8" w:color="auto"/>
            </w:tcBorders>
            <w:shd w:val="clear" w:color="auto" w:fill="DDDDDD"/>
          </w:tcPr>
          <w:p>
            <w:pPr>
              <w:spacing w:after="0"/>
              <w:rPr>
                <w:sz w:val="19"/>
                <w:szCs w:val="19"/>
                <w:color w:val="auto"/>
              </w:rPr>
            </w:pPr>
          </w:p>
        </w:tc>
        <w:tc>
          <w:tcPr>
            <w:tcW w:w="1020" w:type="dxa"/>
            <w:vAlign w:val="bottom"/>
            <w:tcBorders>
              <w:top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619</w:t>
            </w:r>
          </w:p>
        </w:tc>
        <w:tc>
          <w:tcPr>
            <w:tcW w:w="460" w:type="dxa"/>
            <w:vAlign w:val="bottom"/>
            <w:tcBorders>
              <w:top w:val="single" w:sz="8" w:color="DDDDDD"/>
            </w:tcBorders>
            <w:shd w:val="clear" w:color="auto" w:fill="DDDDDD"/>
          </w:tcPr>
          <w:p>
            <w:pPr>
              <w:spacing w:after="0"/>
              <w:rPr>
                <w:sz w:val="19"/>
                <w:szCs w:val="19"/>
                <w:color w:val="auto"/>
              </w:rPr>
            </w:pPr>
          </w:p>
        </w:tc>
        <w:tc>
          <w:tcPr>
            <w:tcW w:w="240" w:type="dxa"/>
            <w:vAlign w:val="bottom"/>
            <w:tcBorders>
              <w:top w:val="single" w:sz="8" w:color="auto"/>
            </w:tcBorders>
            <w:shd w:val="clear" w:color="auto" w:fill="DDDDDD"/>
          </w:tcPr>
          <w:p>
            <w:pPr>
              <w:spacing w:after="0"/>
              <w:rPr>
                <w:sz w:val="19"/>
                <w:szCs w:val="19"/>
                <w:color w:val="auto"/>
              </w:rPr>
            </w:pPr>
          </w:p>
        </w:tc>
        <w:tc>
          <w:tcPr>
            <w:tcW w:w="960" w:type="dxa"/>
            <w:vAlign w:val="bottom"/>
            <w:tcBorders>
              <w:top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top w:val="single" w:sz="8" w:color="DDDDDD"/>
            </w:tcBorders>
            <w:shd w:val="clear" w:color="auto" w:fill="DDDDDD"/>
          </w:tcPr>
          <w:p>
            <w:pPr>
              <w:spacing w:after="0"/>
              <w:rPr>
                <w:sz w:val="19"/>
                <w:szCs w:val="19"/>
                <w:color w:val="auto"/>
              </w:rPr>
            </w:pPr>
          </w:p>
        </w:tc>
        <w:tc>
          <w:tcPr>
            <w:tcW w:w="160" w:type="dxa"/>
            <w:vAlign w:val="bottom"/>
            <w:tcBorders>
              <w:top w:val="single" w:sz="8" w:color="auto"/>
            </w:tcBorders>
            <w:shd w:val="clear" w:color="auto" w:fill="DDDDDD"/>
          </w:tcPr>
          <w:p>
            <w:pPr>
              <w:spacing w:after="0"/>
              <w:rPr>
                <w:sz w:val="19"/>
                <w:szCs w:val="19"/>
                <w:color w:val="auto"/>
              </w:rPr>
            </w:pPr>
          </w:p>
        </w:tc>
        <w:tc>
          <w:tcPr>
            <w:tcW w:w="1020" w:type="dxa"/>
            <w:vAlign w:val="bottom"/>
            <w:tcBorders>
              <w:top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top w:val="single" w:sz="8" w:color="DDDDDD"/>
            </w:tcBorders>
            <w:shd w:val="clear" w:color="auto" w:fill="DDDDDD"/>
          </w:tcPr>
          <w:p>
            <w:pPr>
              <w:spacing w:after="0"/>
              <w:rPr>
                <w:sz w:val="19"/>
                <w:szCs w:val="19"/>
                <w:color w:val="auto"/>
              </w:rPr>
            </w:pPr>
          </w:p>
        </w:tc>
        <w:tc>
          <w:tcPr>
            <w:tcW w:w="160" w:type="dxa"/>
            <w:vAlign w:val="bottom"/>
            <w:tcBorders>
              <w:top w:val="single" w:sz="8" w:color="auto"/>
            </w:tcBorders>
            <w:shd w:val="clear" w:color="auto" w:fill="DDDDDD"/>
          </w:tcPr>
          <w:p>
            <w:pPr>
              <w:spacing w:after="0"/>
              <w:rPr>
                <w:sz w:val="19"/>
                <w:szCs w:val="19"/>
                <w:color w:val="auto"/>
              </w:rPr>
            </w:pPr>
          </w:p>
        </w:tc>
        <w:tc>
          <w:tcPr>
            <w:tcW w:w="1040" w:type="dxa"/>
            <w:vAlign w:val="bottom"/>
            <w:tcBorders>
              <w:top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440" w:type="dxa"/>
            <w:vAlign w:val="bottom"/>
          </w:tcPr>
          <w:p>
            <w:pPr>
              <w:ind w:left="20"/>
              <w:spacing w:after="0"/>
              <w:rPr>
                <w:sz w:val="20"/>
                <w:szCs w:val="20"/>
                <w:color w:val="auto"/>
              </w:rPr>
            </w:pPr>
            <w:r>
              <w:rPr>
                <w:rFonts w:ascii="Arial" w:cs="Arial" w:eastAsia="Arial" w:hAnsi="Arial"/>
                <w:sz w:val="18"/>
                <w:szCs w:val="18"/>
                <w:color w:val="auto"/>
              </w:rPr>
              <w:t>Actual return on plan assets:</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DDDDDD"/>
          </w:tcPr>
          <w:p>
            <w:pPr>
              <w:ind w:left="360"/>
              <w:spacing w:after="0"/>
              <w:rPr>
                <w:sz w:val="20"/>
                <w:szCs w:val="20"/>
                <w:color w:val="auto"/>
              </w:rPr>
            </w:pPr>
            <w:r>
              <w:rPr>
                <w:rFonts w:ascii="Arial" w:cs="Arial" w:eastAsia="Arial" w:hAnsi="Arial"/>
                <w:sz w:val="18"/>
                <w:szCs w:val="18"/>
                <w:color w:val="auto"/>
              </w:rPr>
              <w:t>Relating to assets still held at year-end</w:t>
            </w:r>
          </w:p>
        </w:tc>
        <w:tc>
          <w:tcPr>
            <w:tcW w:w="160" w:type="dxa"/>
            <w:vAlign w:val="bottom"/>
            <w:shd w:val="clear" w:color="auto" w:fill="DDDDDD"/>
          </w:tcPr>
          <w:p>
            <w:pPr>
              <w:spacing w:after="0"/>
              <w:rPr>
                <w:sz w:val="19"/>
                <w:szCs w:val="19"/>
                <w:color w:val="auto"/>
              </w:rPr>
            </w:pPr>
          </w:p>
        </w:tc>
        <w:tc>
          <w:tcPr>
            <w:tcW w:w="10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DDDDDD"/>
          </w:tcPr>
          <w:p>
            <w:pPr>
              <w:spacing w:after="0"/>
              <w:rPr>
                <w:sz w:val="19"/>
                <w:szCs w:val="19"/>
                <w:color w:val="auto"/>
              </w:rPr>
            </w:pPr>
          </w:p>
        </w:tc>
        <w:tc>
          <w:tcPr>
            <w:tcW w:w="160" w:type="dxa"/>
            <w:vAlign w:val="bottom"/>
            <w:shd w:val="clear" w:color="auto" w:fill="DDDDDD"/>
          </w:tcPr>
          <w:p>
            <w:pPr>
              <w:spacing w:after="0"/>
              <w:rPr>
                <w:sz w:val="19"/>
                <w:szCs w:val="19"/>
                <w:color w:val="auto"/>
              </w:rPr>
            </w:pPr>
          </w:p>
        </w:tc>
        <w:tc>
          <w:tcPr>
            <w:tcW w:w="10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(4)</w:t>
            </w:r>
          </w:p>
        </w:tc>
        <w:tc>
          <w:tcPr>
            <w:tcW w:w="460" w:type="dxa"/>
            <w:vAlign w:val="bottom"/>
            <w:shd w:val="clear" w:color="auto" w:fill="DDDDDD"/>
          </w:tcPr>
          <w:p>
            <w:pPr>
              <w:spacing w:after="0"/>
              <w:rPr>
                <w:sz w:val="19"/>
                <w:szCs w:val="19"/>
                <w:color w:val="auto"/>
              </w:rPr>
            </w:pPr>
          </w:p>
        </w:tc>
        <w:tc>
          <w:tcPr>
            <w:tcW w:w="240" w:type="dxa"/>
            <w:vAlign w:val="bottom"/>
            <w:shd w:val="clear" w:color="auto" w:fill="DDDDDD"/>
          </w:tcPr>
          <w:p>
            <w:pPr>
              <w:spacing w:after="0"/>
              <w:rPr>
                <w:sz w:val="19"/>
                <w:szCs w:val="19"/>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DDDDDD"/>
          </w:tcPr>
          <w:p>
            <w:pPr>
              <w:spacing w:after="0"/>
              <w:rPr>
                <w:sz w:val="19"/>
                <w:szCs w:val="19"/>
                <w:color w:val="auto"/>
              </w:rPr>
            </w:pPr>
          </w:p>
        </w:tc>
        <w:tc>
          <w:tcPr>
            <w:tcW w:w="160" w:type="dxa"/>
            <w:vAlign w:val="bottom"/>
            <w:shd w:val="clear" w:color="auto" w:fill="DDDDDD"/>
          </w:tcPr>
          <w:p>
            <w:pPr>
              <w:spacing w:after="0"/>
              <w:rPr>
                <w:sz w:val="19"/>
                <w:szCs w:val="19"/>
                <w:color w:val="auto"/>
              </w:rPr>
            </w:pPr>
          </w:p>
        </w:tc>
        <w:tc>
          <w:tcPr>
            <w:tcW w:w="10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DDDDDD"/>
          </w:tcPr>
          <w:p>
            <w:pPr>
              <w:spacing w:after="0"/>
              <w:rPr>
                <w:sz w:val="19"/>
                <w:szCs w:val="19"/>
                <w:color w:val="auto"/>
              </w:rPr>
            </w:pPr>
          </w:p>
        </w:tc>
        <w:tc>
          <w:tcPr>
            <w:tcW w:w="160" w:type="dxa"/>
            <w:vAlign w:val="bottom"/>
            <w:shd w:val="clear" w:color="auto" w:fill="DDDDDD"/>
          </w:tcPr>
          <w:p>
            <w:pPr>
              <w:spacing w:after="0"/>
              <w:rPr>
                <w:sz w:val="19"/>
                <w:szCs w:val="19"/>
                <w:color w:val="auto"/>
              </w:rPr>
            </w:pPr>
          </w:p>
        </w:tc>
        <w:tc>
          <w:tcPr>
            <w:tcW w:w="10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440" w:type="dxa"/>
            <w:vAlign w:val="bottom"/>
          </w:tcPr>
          <w:p>
            <w:pPr>
              <w:ind w:left="360"/>
              <w:spacing w:after="0"/>
              <w:rPr>
                <w:sz w:val="20"/>
                <w:szCs w:val="20"/>
                <w:color w:val="auto"/>
              </w:rPr>
            </w:pPr>
            <w:r>
              <w:rPr>
                <w:rFonts w:ascii="Arial" w:cs="Arial" w:eastAsia="Arial" w:hAnsi="Arial"/>
                <w:sz w:val="18"/>
                <w:szCs w:val="18"/>
                <w:color w:val="auto"/>
              </w:rPr>
              <w:t>Relating to assets sold during the year</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440" w:type="dxa"/>
            <w:vAlign w:val="bottom"/>
            <w:shd w:val="clear" w:color="auto" w:fill="DDDDDD"/>
          </w:tcPr>
          <w:p>
            <w:pPr>
              <w:ind w:left="20"/>
              <w:spacing w:after="0"/>
              <w:rPr>
                <w:sz w:val="20"/>
                <w:szCs w:val="20"/>
                <w:color w:val="auto"/>
              </w:rPr>
            </w:pPr>
            <w:r>
              <w:rPr>
                <w:rFonts w:ascii="Arial" w:cs="Arial" w:eastAsia="Arial" w:hAnsi="Arial"/>
                <w:sz w:val="18"/>
                <w:szCs w:val="18"/>
                <w:color w:val="auto"/>
              </w:rPr>
              <w:t>Purchases</w:t>
            </w:r>
          </w:p>
        </w:tc>
        <w:tc>
          <w:tcPr>
            <w:tcW w:w="160" w:type="dxa"/>
            <w:vAlign w:val="bottom"/>
            <w:shd w:val="clear" w:color="auto" w:fill="DDDDDD"/>
          </w:tcPr>
          <w:p>
            <w:pPr>
              <w:spacing w:after="0"/>
              <w:rPr>
                <w:sz w:val="19"/>
                <w:szCs w:val="19"/>
                <w:color w:val="auto"/>
              </w:rPr>
            </w:pPr>
          </w:p>
        </w:tc>
        <w:tc>
          <w:tcPr>
            <w:tcW w:w="10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DDDDDD"/>
          </w:tcPr>
          <w:p>
            <w:pPr>
              <w:spacing w:after="0"/>
              <w:rPr>
                <w:sz w:val="19"/>
                <w:szCs w:val="19"/>
                <w:color w:val="auto"/>
              </w:rPr>
            </w:pPr>
          </w:p>
        </w:tc>
        <w:tc>
          <w:tcPr>
            <w:tcW w:w="160" w:type="dxa"/>
            <w:vAlign w:val="bottom"/>
            <w:shd w:val="clear" w:color="auto" w:fill="DDDDDD"/>
          </w:tcPr>
          <w:p>
            <w:pPr>
              <w:spacing w:after="0"/>
              <w:rPr>
                <w:sz w:val="19"/>
                <w:szCs w:val="19"/>
                <w:color w:val="auto"/>
              </w:rPr>
            </w:pPr>
          </w:p>
        </w:tc>
        <w:tc>
          <w:tcPr>
            <w:tcW w:w="10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59</w:t>
            </w:r>
          </w:p>
        </w:tc>
        <w:tc>
          <w:tcPr>
            <w:tcW w:w="460" w:type="dxa"/>
            <w:vAlign w:val="bottom"/>
            <w:shd w:val="clear" w:color="auto" w:fill="DDDDDD"/>
          </w:tcPr>
          <w:p>
            <w:pPr>
              <w:spacing w:after="0"/>
              <w:rPr>
                <w:sz w:val="19"/>
                <w:szCs w:val="19"/>
                <w:color w:val="auto"/>
              </w:rPr>
            </w:pPr>
          </w:p>
        </w:tc>
        <w:tc>
          <w:tcPr>
            <w:tcW w:w="240" w:type="dxa"/>
            <w:vAlign w:val="bottom"/>
            <w:shd w:val="clear" w:color="auto" w:fill="DDDDDD"/>
          </w:tcPr>
          <w:p>
            <w:pPr>
              <w:spacing w:after="0"/>
              <w:rPr>
                <w:sz w:val="19"/>
                <w:szCs w:val="19"/>
                <w:color w:val="auto"/>
              </w:rPr>
            </w:pPr>
          </w:p>
        </w:tc>
        <w:tc>
          <w:tcPr>
            <w:tcW w:w="1060" w:type="dxa"/>
            <w:vAlign w:val="bottom"/>
            <w:gridSpan w:val="2"/>
            <w:shd w:val="clear" w:color="auto" w:fill="DDDDDD"/>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DDDDDD"/>
          </w:tcPr>
          <w:p>
            <w:pPr>
              <w:spacing w:after="0"/>
              <w:rPr>
                <w:sz w:val="19"/>
                <w:szCs w:val="19"/>
                <w:color w:val="auto"/>
              </w:rPr>
            </w:pPr>
          </w:p>
        </w:tc>
        <w:tc>
          <w:tcPr>
            <w:tcW w:w="1120" w:type="dxa"/>
            <w:vAlign w:val="bottom"/>
            <w:gridSpan w:val="2"/>
            <w:shd w:val="clear" w:color="auto" w:fill="DDDDDD"/>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DDDDDD"/>
          </w:tcPr>
          <w:p>
            <w:pPr>
              <w:spacing w:after="0"/>
              <w:rPr>
                <w:sz w:val="19"/>
                <w:szCs w:val="19"/>
                <w:color w:val="auto"/>
              </w:rPr>
            </w:pPr>
          </w:p>
        </w:tc>
        <w:tc>
          <w:tcPr>
            <w:tcW w:w="10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color w:val="auto"/>
              </w:rPr>
              <w:t>Sales and settlements</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w:t>
            </w: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440" w:type="dxa"/>
            <w:vAlign w:val="bottom"/>
            <w:tcBorders>
              <w:top w:val="single" w:sz="8" w:color="DDDDDD"/>
              <w:bottom w:val="single" w:sz="8" w:color="DDDDDD"/>
            </w:tcBorders>
            <w:shd w:val="clear" w:color="auto" w:fill="DDDDDD"/>
          </w:tcPr>
          <w:p>
            <w:pPr>
              <w:ind w:left="20"/>
              <w:spacing w:after="0"/>
              <w:rPr>
                <w:sz w:val="20"/>
                <w:szCs w:val="20"/>
                <w:color w:val="auto"/>
              </w:rPr>
            </w:pPr>
            <w:r>
              <w:rPr>
                <w:rFonts w:ascii="Arial" w:cs="Arial" w:eastAsia="Arial" w:hAnsi="Arial"/>
                <w:sz w:val="18"/>
                <w:szCs w:val="18"/>
                <w:color w:val="auto"/>
              </w:rPr>
              <w:t>Balance at December 31, 2020</w:t>
            </w:r>
          </w:p>
        </w:tc>
        <w:tc>
          <w:tcPr>
            <w:tcW w:w="16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1,220</w:t>
            </w:r>
          </w:p>
        </w:tc>
        <w:tc>
          <w:tcPr>
            <w:tcW w:w="100" w:type="dxa"/>
            <w:vAlign w:val="bottom"/>
            <w:tcBorders>
              <w:top w:val="single" w:sz="8" w:color="DDDDDD"/>
              <w:bottom w:val="single" w:sz="8" w:color="DDDDDD"/>
            </w:tcBorders>
            <w:shd w:val="clear" w:color="auto" w:fill="DDDDDD"/>
          </w:tcPr>
          <w:p>
            <w:pPr>
              <w:spacing w:after="0"/>
              <w:rPr>
                <w:sz w:val="21"/>
                <w:szCs w:val="21"/>
                <w:color w:val="auto"/>
              </w:rPr>
            </w:pPr>
          </w:p>
        </w:tc>
        <w:tc>
          <w:tcPr>
            <w:tcW w:w="16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651</w:t>
            </w:r>
          </w:p>
        </w:tc>
        <w:tc>
          <w:tcPr>
            <w:tcW w:w="460" w:type="dxa"/>
            <w:vAlign w:val="bottom"/>
            <w:tcBorders>
              <w:top w:val="single" w:sz="8" w:color="DDDDDD"/>
              <w:bottom w:val="single" w:sz="8" w:color="DDDDDD"/>
            </w:tcBorders>
            <w:shd w:val="clear" w:color="auto" w:fill="DDDDDD"/>
          </w:tcPr>
          <w:p>
            <w:pPr>
              <w:spacing w:after="0"/>
              <w:rPr>
                <w:sz w:val="21"/>
                <w:szCs w:val="21"/>
                <w:color w:val="auto"/>
              </w:rPr>
            </w:pPr>
          </w:p>
        </w:tc>
        <w:tc>
          <w:tcPr>
            <w:tcW w:w="240" w:type="dxa"/>
            <w:vAlign w:val="bottom"/>
            <w:tcBorders>
              <w:top w:val="single" w:sz="8" w:color="auto"/>
              <w:bottom w:val="single" w:sz="8" w:color="auto"/>
            </w:tcBorders>
            <w:shd w:val="clear" w:color="auto" w:fill="DDDDDD"/>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top w:val="single" w:sz="8" w:color="DDDDDD"/>
              <w:bottom w:val="single" w:sz="8" w:color="DDDDDD"/>
            </w:tcBorders>
            <w:shd w:val="clear" w:color="auto" w:fill="DDDDDD"/>
          </w:tcPr>
          <w:p>
            <w:pPr>
              <w:spacing w:after="0"/>
              <w:rPr>
                <w:sz w:val="21"/>
                <w:szCs w:val="21"/>
                <w:color w:val="auto"/>
              </w:rPr>
            </w:pPr>
          </w:p>
        </w:tc>
        <w:tc>
          <w:tcPr>
            <w:tcW w:w="16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Borders>
              <w:top w:val="single" w:sz="8" w:color="DDDDDD"/>
              <w:bottom w:val="single" w:sz="8" w:color="DDDDDD"/>
            </w:tcBorders>
            <w:shd w:val="clear" w:color="auto" w:fill="DDDDDD"/>
          </w:tcPr>
          <w:p>
            <w:pPr>
              <w:spacing w:after="0"/>
              <w:rPr>
                <w:sz w:val="21"/>
                <w:szCs w:val="21"/>
                <w:color w:val="auto"/>
              </w:rPr>
            </w:pPr>
          </w:p>
        </w:tc>
        <w:tc>
          <w:tcPr>
            <w:tcW w:w="16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0"/>
        </w:trPr>
        <w:tc>
          <w:tcPr>
            <w:tcW w:w="4440" w:type="dxa"/>
            <w:vAlign w:val="bottom"/>
            <w:tcBorders>
              <w:top w:val="single" w:sz="8" w:color="DDDDDD"/>
            </w:tcBorders>
          </w:tcPr>
          <w:p>
            <w:pPr>
              <w:spacing w:after="0" w:line="20" w:lineRule="exact"/>
              <w:rPr>
                <w:sz w:val="1"/>
                <w:szCs w:val="1"/>
                <w:color w:val="auto"/>
              </w:rPr>
            </w:pPr>
          </w:p>
        </w:tc>
        <w:tc>
          <w:tcPr>
            <w:tcW w:w="160" w:type="dxa"/>
            <w:vAlign w:val="bottom"/>
            <w:tcBorders>
              <w:top w:val="single" w:sz="8" w:color="DDDDDD"/>
              <w:bottom w:val="single" w:sz="8" w:color="auto"/>
            </w:tcBorders>
          </w:tcPr>
          <w:p>
            <w:pPr>
              <w:spacing w:after="0" w:line="20" w:lineRule="exact"/>
              <w:rPr>
                <w:sz w:val="1"/>
                <w:szCs w:val="1"/>
                <w:color w:val="auto"/>
              </w:rPr>
            </w:pPr>
          </w:p>
        </w:tc>
        <w:tc>
          <w:tcPr>
            <w:tcW w:w="1060" w:type="dxa"/>
            <w:vAlign w:val="bottom"/>
            <w:tcBorders>
              <w:top w:val="single" w:sz="8" w:color="DDDDDD"/>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160" w:type="dxa"/>
            <w:vAlign w:val="bottom"/>
            <w:tcBorders>
              <w:top w:val="single" w:sz="8" w:color="DDDDDD"/>
              <w:bottom w:val="single" w:sz="8" w:color="auto"/>
            </w:tcBorders>
          </w:tcPr>
          <w:p>
            <w:pPr>
              <w:spacing w:after="0" w:line="20" w:lineRule="exact"/>
              <w:rPr>
                <w:sz w:val="1"/>
                <w:szCs w:val="1"/>
                <w:color w:val="auto"/>
              </w:rPr>
            </w:pPr>
          </w:p>
        </w:tc>
        <w:tc>
          <w:tcPr>
            <w:tcW w:w="1020" w:type="dxa"/>
            <w:vAlign w:val="bottom"/>
            <w:tcBorders>
              <w:top w:val="single" w:sz="8" w:color="DDDDDD"/>
              <w:bottom w:val="single" w:sz="8" w:color="auto"/>
            </w:tcBorders>
          </w:tcPr>
          <w:p>
            <w:pPr>
              <w:spacing w:after="0" w:line="20" w:lineRule="exact"/>
              <w:rPr>
                <w:sz w:val="1"/>
                <w:szCs w:val="1"/>
                <w:color w:val="auto"/>
              </w:rPr>
            </w:pPr>
          </w:p>
        </w:tc>
        <w:tc>
          <w:tcPr>
            <w:tcW w:w="460" w:type="dxa"/>
            <w:vAlign w:val="bottom"/>
            <w:tcBorders>
              <w:top w:val="single" w:sz="8" w:color="DDDDDD"/>
            </w:tcBorders>
          </w:tcPr>
          <w:p>
            <w:pPr>
              <w:spacing w:after="0" w:line="20" w:lineRule="exact"/>
              <w:rPr>
                <w:sz w:val="1"/>
                <w:szCs w:val="1"/>
                <w:color w:val="auto"/>
              </w:rPr>
            </w:pPr>
          </w:p>
        </w:tc>
        <w:tc>
          <w:tcPr>
            <w:tcW w:w="240" w:type="dxa"/>
            <w:vAlign w:val="bottom"/>
            <w:tcBorders>
              <w:top w:val="single" w:sz="8" w:color="DDDDDD"/>
              <w:bottom w:val="single" w:sz="8" w:color="auto"/>
            </w:tcBorders>
          </w:tcPr>
          <w:p>
            <w:pPr>
              <w:spacing w:after="0" w:line="20" w:lineRule="exact"/>
              <w:rPr>
                <w:sz w:val="1"/>
                <w:szCs w:val="1"/>
                <w:color w:val="auto"/>
              </w:rPr>
            </w:pPr>
          </w:p>
        </w:tc>
        <w:tc>
          <w:tcPr>
            <w:tcW w:w="960" w:type="dxa"/>
            <w:vAlign w:val="bottom"/>
            <w:tcBorders>
              <w:top w:val="single" w:sz="8" w:color="DDDDDD"/>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160" w:type="dxa"/>
            <w:vAlign w:val="bottom"/>
            <w:tcBorders>
              <w:top w:val="single" w:sz="8" w:color="DDDDDD"/>
              <w:bottom w:val="single" w:sz="8" w:color="auto"/>
            </w:tcBorders>
          </w:tcPr>
          <w:p>
            <w:pPr>
              <w:spacing w:after="0" w:line="20" w:lineRule="exact"/>
              <w:rPr>
                <w:sz w:val="1"/>
                <w:szCs w:val="1"/>
                <w:color w:val="auto"/>
              </w:rPr>
            </w:pPr>
          </w:p>
        </w:tc>
        <w:tc>
          <w:tcPr>
            <w:tcW w:w="1020" w:type="dxa"/>
            <w:vAlign w:val="bottom"/>
            <w:tcBorders>
              <w:top w:val="single" w:sz="8" w:color="DDDDDD"/>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160" w:type="dxa"/>
            <w:vAlign w:val="bottom"/>
            <w:tcBorders>
              <w:top w:val="single" w:sz="8" w:color="DDDDDD"/>
              <w:bottom w:val="single" w:sz="8" w:color="auto"/>
            </w:tcBorders>
          </w:tcPr>
          <w:p>
            <w:pPr>
              <w:spacing w:after="0" w:line="20" w:lineRule="exact"/>
              <w:rPr>
                <w:sz w:val="1"/>
                <w:szCs w:val="1"/>
                <w:color w:val="auto"/>
              </w:rPr>
            </w:pPr>
          </w:p>
        </w:tc>
        <w:tc>
          <w:tcPr>
            <w:tcW w:w="1040" w:type="dxa"/>
            <w:vAlign w:val="bottom"/>
            <w:tcBorders>
              <w:top w:val="single" w:sz="8" w:color="DDDDD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enters into futures contracts to gain exposure to certain markets. Sufficient cash or cash equivalents are held by our pension plans to cover the notional value of the futures contracts. At December 31, 2020 and 2019, our U.S. plans had contracts with notional amounts of $3,673 million and $ 4,463 million. At December 31, 2020 and 2019, our non-U.S. plans had contracts with notional amounts of $564 million and $479 million. In both our U.S. and non-U.S. pension plans, the notional derivative exposure is related to outstanding equity and fixed income futures contracts.</w:t>
      </w:r>
    </w:p>
    <w:p>
      <w:pPr>
        <w:spacing w:after="0" w:line="9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Common stocks, preferred stocks, real estate investment trusts, and short-term investments are valued at the closing price reported in the active market in which the individual securities are traded. Corporate bonds, mortgages/asset-backed securities, and government securities are valued either by using pricing models, bids provided by brokers or dealers, quoted prices of securities with similar characteristics or discounted cash flows and as such include adjustments for certain risks that may not be observable such as credit and liquidity risks. Certain securities are held in collective trust funds which are valued using net asset values provided by the administrators of the funds. Investments in private equity, debt, real estate and hedge funds and direct private investments are valued at estimated fair value based on quarterly financial information received from the investment advisor and/or general partner. Investments in real estate properties are valued on a quarterly basis using the income approach. Valuation estimates are periodically supplemented by third party appraisals. The insurance buy-in contracts represent policies held by the Honeywell UK Pension Scheme, whereby the cost of providing pension benefits to plan participants is funded by the policies. The cash flows from the policies are intended to match the pension benefits. The fair value of these policies is based on an estimate of the policies' exit price.</w:t>
      </w:r>
    </w:p>
    <w:p>
      <w:pPr>
        <w:spacing w:after="0" w:line="10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Company's funding policy for qualified defined benefit pension plans is to contribute amounts at least sufficient to satisfy regulatory funding standards. In 2020, 2019, and 2018, we were not required to make contributions to our U.S. pension plans and no contributions were made. We are not required to make any contributions to our U.S. pension plans in 2021. In 2020, contributions of $109 million were made to our non-U.S. pension plans to satisfy regulatory funding requirements. In 2021, we expect to make contributions of cash and/or marketable securities of approximately $85 million to our non-U.S. pension plans to satisfy regulatory funding standards. Contributions for both our U.S. and non-U.S. pension plans do not reflect benefits paid directly from Company assets.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103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5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Benefit payments, including amounts to be paid from Company assets, and reflecting expected future service, as appropriate, are expected to be paid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920" w:type="dxa"/>
            <w:vAlign w:val="bottom"/>
            <w:tcBorders>
              <w:bottom w:val="single" w:sz="8" w:color="DDDDDD"/>
            </w:tcBorders>
          </w:tcPr>
          <w:p>
            <w:pPr>
              <w:spacing w:after="0"/>
              <w:rPr>
                <w:sz w:val="17"/>
                <w:szCs w:val="17"/>
                <w:color w:val="auto"/>
              </w:rPr>
            </w:pPr>
          </w:p>
        </w:tc>
        <w:tc>
          <w:tcPr>
            <w:tcW w:w="1500" w:type="dxa"/>
            <w:vAlign w:val="bottom"/>
            <w:tcBorders>
              <w:bottom w:val="single" w:sz="8" w:color="DC202E"/>
            </w:tcBorders>
          </w:tcPr>
          <w:p>
            <w:pPr>
              <w:jc w:val="right"/>
              <w:ind w:right="19"/>
              <w:spacing w:after="0"/>
              <w:rPr>
                <w:sz w:val="20"/>
                <w:szCs w:val="20"/>
                <w:color w:val="auto"/>
              </w:rPr>
            </w:pPr>
            <w:r>
              <w:rPr>
                <w:rFonts w:ascii="Arial" w:cs="Arial" w:eastAsia="Arial" w:hAnsi="Arial"/>
                <w:sz w:val="14"/>
                <w:szCs w:val="14"/>
                <w:b w:val="1"/>
                <w:bCs w:val="1"/>
                <w:color w:val="auto"/>
              </w:rPr>
              <w:t>U.S. Plans</w:t>
            </w:r>
          </w:p>
        </w:tc>
        <w:tc>
          <w:tcPr>
            <w:tcW w:w="600" w:type="dxa"/>
            <w:vAlign w:val="bottom"/>
            <w:tcBorders>
              <w:bottom w:val="single" w:sz="8" w:color="DC202E"/>
            </w:tcBorders>
          </w:tcPr>
          <w:p>
            <w:pPr>
              <w:spacing w:after="0"/>
              <w:rPr>
                <w:sz w:val="17"/>
                <w:szCs w:val="17"/>
                <w:color w:val="auto"/>
              </w:rPr>
            </w:pPr>
          </w:p>
        </w:tc>
        <w:tc>
          <w:tcPr>
            <w:tcW w:w="120" w:type="dxa"/>
            <w:vAlign w:val="bottom"/>
            <w:tcBorders>
              <w:bottom w:val="single" w:sz="8" w:color="DDDDDD"/>
            </w:tcBorders>
          </w:tcPr>
          <w:p>
            <w:pPr>
              <w:spacing w:after="0"/>
              <w:rPr>
                <w:sz w:val="17"/>
                <w:szCs w:val="17"/>
                <w:color w:val="auto"/>
              </w:rPr>
            </w:pPr>
          </w:p>
        </w:tc>
        <w:tc>
          <w:tcPr>
            <w:tcW w:w="320" w:type="dxa"/>
            <w:vAlign w:val="bottom"/>
            <w:tcBorders>
              <w:bottom w:val="single" w:sz="8" w:color="DC202E"/>
            </w:tcBorders>
          </w:tcPr>
          <w:p>
            <w:pPr>
              <w:spacing w:after="0"/>
              <w:rPr>
                <w:sz w:val="17"/>
                <w:szCs w:val="17"/>
                <w:color w:val="auto"/>
              </w:rPr>
            </w:pPr>
          </w:p>
        </w:tc>
        <w:tc>
          <w:tcPr>
            <w:tcW w:w="1780" w:type="dxa"/>
            <w:vAlign w:val="bottom"/>
            <w:tcBorders>
              <w:bottom w:val="single" w:sz="8" w:color="DC202E"/>
            </w:tcBorders>
          </w:tcPr>
          <w:p>
            <w:pPr>
              <w:jc w:val="right"/>
              <w:ind w:right="453"/>
              <w:spacing w:after="0"/>
              <w:rPr>
                <w:sz w:val="20"/>
                <w:szCs w:val="20"/>
                <w:color w:val="auto"/>
              </w:rPr>
            </w:pPr>
            <w:r>
              <w:rPr>
                <w:rFonts w:ascii="Arial" w:cs="Arial" w:eastAsia="Arial" w:hAnsi="Arial"/>
                <w:sz w:val="14"/>
                <w:szCs w:val="14"/>
                <w:b w:val="1"/>
                <w:bCs w:val="1"/>
                <w:color w:val="auto"/>
              </w:rPr>
              <w:t>Non-U.S. Plans</w:t>
            </w:r>
          </w:p>
        </w:tc>
      </w:tr>
      <w:tr>
        <w:trPr>
          <w:trHeight w:val="230"/>
        </w:trPr>
        <w:tc>
          <w:tcPr>
            <w:tcW w:w="6920" w:type="dxa"/>
            <w:vAlign w:val="bottom"/>
            <w:shd w:val="clear" w:color="auto" w:fill="DDDDDD"/>
          </w:tcPr>
          <w:p>
            <w:pPr>
              <w:ind w:left="20"/>
              <w:spacing w:after="0"/>
              <w:rPr>
                <w:sz w:val="20"/>
                <w:szCs w:val="20"/>
                <w:color w:val="auto"/>
              </w:rPr>
            </w:pPr>
            <w:r>
              <w:rPr>
                <w:rFonts w:ascii="Arial" w:cs="Arial" w:eastAsia="Arial" w:hAnsi="Arial"/>
                <w:sz w:val="18"/>
                <w:szCs w:val="18"/>
                <w:color w:val="auto"/>
              </w:rPr>
              <w:t>2021</w:t>
            </w:r>
          </w:p>
        </w:tc>
        <w:tc>
          <w:tcPr>
            <w:tcW w:w="1500" w:type="dxa"/>
            <w:vAlign w:val="bottom"/>
            <w:shd w:val="clear" w:color="auto" w:fill="DDDDDD"/>
          </w:tcPr>
          <w:p>
            <w:pPr>
              <w:jc w:val="right"/>
              <w:ind w:right="1299"/>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1,147</w:t>
            </w:r>
          </w:p>
        </w:tc>
        <w:tc>
          <w:tcPr>
            <w:tcW w:w="120" w:type="dxa"/>
            <w:vAlign w:val="bottom"/>
            <w:shd w:val="clear" w:color="auto" w:fill="DDDDDD"/>
          </w:tcPr>
          <w:p>
            <w:pPr>
              <w:spacing w:after="0"/>
              <w:rPr>
                <w:sz w:val="19"/>
                <w:szCs w:val="19"/>
                <w:color w:val="auto"/>
              </w:rPr>
            </w:pPr>
          </w:p>
        </w:tc>
        <w:tc>
          <w:tcPr>
            <w:tcW w:w="320" w:type="dxa"/>
            <w:vAlign w:val="bottom"/>
            <w:shd w:val="clear" w:color="auto" w:fill="DDDDDD"/>
          </w:tcPr>
          <w:p>
            <w:pPr>
              <w:jc w:val="right"/>
              <w:ind w:right="11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240</w:t>
            </w:r>
          </w:p>
        </w:tc>
      </w:tr>
      <w:tr>
        <w:trPr>
          <w:trHeight w:val="229"/>
        </w:trPr>
        <w:tc>
          <w:tcPr>
            <w:tcW w:w="6920" w:type="dxa"/>
            <w:vAlign w:val="bottom"/>
          </w:tcPr>
          <w:p>
            <w:pPr>
              <w:ind w:left="20"/>
              <w:spacing w:after="0"/>
              <w:rPr>
                <w:sz w:val="20"/>
                <w:szCs w:val="20"/>
                <w:color w:val="auto"/>
              </w:rPr>
            </w:pPr>
            <w:r>
              <w:rPr>
                <w:rFonts w:ascii="Arial" w:cs="Arial" w:eastAsia="Arial" w:hAnsi="Arial"/>
                <w:sz w:val="18"/>
                <w:szCs w:val="18"/>
                <w:color w:val="auto"/>
              </w:rPr>
              <w:t>2022</w:t>
            </w:r>
          </w:p>
        </w:tc>
        <w:tc>
          <w:tcPr>
            <w:tcW w:w="15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1,143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242</w:t>
            </w:r>
          </w:p>
        </w:tc>
      </w:tr>
      <w:tr>
        <w:trPr>
          <w:trHeight w:val="229"/>
        </w:trPr>
        <w:tc>
          <w:tcPr>
            <w:tcW w:w="6920" w:type="dxa"/>
            <w:vAlign w:val="bottom"/>
            <w:shd w:val="clear" w:color="auto" w:fill="DDDDDD"/>
          </w:tcPr>
          <w:p>
            <w:pPr>
              <w:ind w:left="20"/>
              <w:spacing w:after="0"/>
              <w:rPr>
                <w:sz w:val="20"/>
                <w:szCs w:val="20"/>
                <w:color w:val="auto"/>
              </w:rPr>
            </w:pPr>
            <w:r>
              <w:rPr>
                <w:rFonts w:ascii="Arial" w:cs="Arial" w:eastAsia="Arial" w:hAnsi="Arial"/>
                <w:sz w:val="18"/>
                <w:szCs w:val="18"/>
                <w:color w:val="auto"/>
              </w:rPr>
              <w:t>2023</w:t>
            </w:r>
          </w:p>
        </w:tc>
        <w:tc>
          <w:tcPr>
            <w:tcW w:w="1500" w:type="dxa"/>
            <w:vAlign w:val="bottom"/>
            <w:shd w:val="clear" w:color="auto" w:fill="DDDDDD"/>
          </w:tcPr>
          <w:p>
            <w:pPr>
              <w:spacing w:after="0"/>
              <w:rPr>
                <w:sz w:val="19"/>
                <w:szCs w:val="19"/>
                <w:color w:val="auto"/>
              </w:rPr>
            </w:pPr>
          </w:p>
        </w:tc>
        <w:tc>
          <w:tcPr>
            <w:tcW w:w="6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1,139</w:t>
            </w:r>
          </w:p>
        </w:tc>
        <w:tc>
          <w:tcPr>
            <w:tcW w:w="120" w:type="dxa"/>
            <w:vAlign w:val="bottom"/>
            <w:shd w:val="clear" w:color="auto" w:fill="DDDDDD"/>
          </w:tcPr>
          <w:p>
            <w:pPr>
              <w:spacing w:after="0"/>
              <w:rPr>
                <w:sz w:val="19"/>
                <w:szCs w:val="19"/>
                <w:color w:val="auto"/>
              </w:rPr>
            </w:pPr>
          </w:p>
        </w:tc>
        <w:tc>
          <w:tcPr>
            <w:tcW w:w="320" w:type="dxa"/>
            <w:vAlign w:val="bottom"/>
            <w:shd w:val="clear" w:color="auto" w:fill="DDDDDD"/>
          </w:tcPr>
          <w:p>
            <w:pPr>
              <w:spacing w:after="0"/>
              <w:rPr>
                <w:sz w:val="19"/>
                <w:szCs w:val="19"/>
                <w:color w:val="auto"/>
              </w:rPr>
            </w:pPr>
          </w:p>
        </w:tc>
        <w:tc>
          <w:tcPr>
            <w:tcW w:w="17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247</w:t>
            </w:r>
          </w:p>
        </w:tc>
      </w:tr>
      <w:tr>
        <w:trPr>
          <w:trHeight w:val="230"/>
        </w:trPr>
        <w:tc>
          <w:tcPr>
            <w:tcW w:w="6920" w:type="dxa"/>
            <w:vAlign w:val="bottom"/>
          </w:tcPr>
          <w:p>
            <w:pPr>
              <w:ind w:left="20"/>
              <w:spacing w:after="0"/>
              <w:rPr>
                <w:sz w:val="20"/>
                <w:szCs w:val="20"/>
                <w:color w:val="auto"/>
              </w:rPr>
            </w:pPr>
            <w:r>
              <w:rPr>
                <w:rFonts w:ascii="Arial" w:cs="Arial" w:eastAsia="Arial" w:hAnsi="Arial"/>
                <w:sz w:val="18"/>
                <w:szCs w:val="18"/>
                <w:color w:val="auto"/>
              </w:rPr>
              <w:t>2024</w:t>
            </w:r>
          </w:p>
        </w:tc>
        <w:tc>
          <w:tcPr>
            <w:tcW w:w="15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1,130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252</w:t>
            </w:r>
          </w:p>
        </w:tc>
      </w:tr>
      <w:tr>
        <w:trPr>
          <w:trHeight w:val="229"/>
        </w:trPr>
        <w:tc>
          <w:tcPr>
            <w:tcW w:w="6920" w:type="dxa"/>
            <w:vAlign w:val="bottom"/>
            <w:shd w:val="clear" w:color="auto" w:fill="DDDDDD"/>
          </w:tcPr>
          <w:p>
            <w:pPr>
              <w:ind w:left="20"/>
              <w:spacing w:after="0"/>
              <w:rPr>
                <w:sz w:val="20"/>
                <w:szCs w:val="20"/>
                <w:color w:val="auto"/>
              </w:rPr>
            </w:pPr>
            <w:r>
              <w:rPr>
                <w:rFonts w:ascii="Arial" w:cs="Arial" w:eastAsia="Arial" w:hAnsi="Arial"/>
                <w:sz w:val="18"/>
                <w:szCs w:val="18"/>
                <w:color w:val="auto"/>
              </w:rPr>
              <w:t>2025</w:t>
            </w:r>
          </w:p>
        </w:tc>
        <w:tc>
          <w:tcPr>
            <w:tcW w:w="1500" w:type="dxa"/>
            <w:vAlign w:val="bottom"/>
            <w:shd w:val="clear" w:color="auto" w:fill="DDDDDD"/>
          </w:tcPr>
          <w:p>
            <w:pPr>
              <w:spacing w:after="0"/>
              <w:rPr>
                <w:sz w:val="19"/>
                <w:szCs w:val="19"/>
                <w:color w:val="auto"/>
              </w:rPr>
            </w:pPr>
          </w:p>
        </w:tc>
        <w:tc>
          <w:tcPr>
            <w:tcW w:w="6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1,116</w:t>
            </w:r>
          </w:p>
        </w:tc>
        <w:tc>
          <w:tcPr>
            <w:tcW w:w="120" w:type="dxa"/>
            <w:vAlign w:val="bottom"/>
            <w:shd w:val="clear" w:color="auto" w:fill="DDDDDD"/>
          </w:tcPr>
          <w:p>
            <w:pPr>
              <w:spacing w:after="0"/>
              <w:rPr>
                <w:sz w:val="19"/>
                <w:szCs w:val="19"/>
                <w:color w:val="auto"/>
              </w:rPr>
            </w:pPr>
          </w:p>
        </w:tc>
        <w:tc>
          <w:tcPr>
            <w:tcW w:w="320" w:type="dxa"/>
            <w:vAlign w:val="bottom"/>
            <w:shd w:val="clear" w:color="auto" w:fill="DDDDDD"/>
          </w:tcPr>
          <w:p>
            <w:pPr>
              <w:spacing w:after="0"/>
              <w:rPr>
                <w:sz w:val="19"/>
                <w:szCs w:val="19"/>
                <w:color w:val="auto"/>
              </w:rPr>
            </w:pPr>
          </w:p>
        </w:tc>
        <w:tc>
          <w:tcPr>
            <w:tcW w:w="17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257</w:t>
            </w:r>
          </w:p>
        </w:tc>
      </w:tr>
      <w:tr>
        <w:trPr>
          <w:trHeight w:val="230"/>
        </w:trPr>
        <w:tc>
          <w:tcPr>
            <w:tcW w:w="6920" w:type="dxa"/>
            <w:vAlign w:val="bottom"/>
          </w:tcPr>
          <w:p>
            <w:pPr>
              <w:ind w:left="20"/>
              <w:spacing w:after="0"/>
              <w:rPr>
                <w:sz w:val="20"/>
                <w:szCs w:val="20"/>
                <w:color w:val="auto"/>
              </w:rPr>
            </w:pPr>
            <w:r>
              <w:rPr>
                <w:rFonts w:ascii="Arial" w:cs="Arial" w:eastAsia="Arial" w:hAnsi="Arial"/>
                <w:sz w:val="18"/>
                <w:szCs w:val="18"/>
                <w:color w:val="auto"/>
              </w:rPr>
              <w:t>2026-2030</w:t>
            </w:r>
          </w:p>
        </w:tc>
        <w:tc>
          <w:tcPr>
            <w:tcW w:w="15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5,246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1,365</w:t>
            </w:r>
          </w:p>
        </w:tc>
      </w:tr>
    </w:tbl>
    <w:p>
      <w:pPr>
        <w:spacing w:after="0" w:line="3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POSTRETIREMENT BENEFITS</w:t>
      </w:r>
    </w:p>
    <w:p>
      <w:pPr>
        <w:spacing w:after="0" w:line="212" w:lineRule="exact"/>
        <w:rPr>
          <w:sz w:val="20"/>
          <w:szCs w:val="20"/>
          <w:color w:val="auto"/>
        </w:rPr>
      </w:pPr>
    </w:p>
    <w:p>
      <w:pPr>
        <w:ind w:left="872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17780</wp:posOffset>
            </wp:positionV>
            <wp:extent cx="256349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2563495" cy="17145"/>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420" w:type="dxa"/>
            <w:vAlign w:val="bottom"/>
            <w:gridSpan w:val="2"/>
          </w:tcPr>
          <w:p>
            <w:pPr>
              <w:ind w:left="7980"/>
              <w:spacing w:after="0"/>
              <w:rPr>
                <w:sz w:val="20"/>
                <w:szCs w:val="20"/>
                <w:color w:val="auto"/>
              </w:rPr>
            </w:pPr>
            <w:r>
              <w:rPr>
                <w:rFonts w:ascii="Arial" w:cs="Arial" w:eastAsia="Arial" w:hAnsi="Arial"/>
                <w:sz w:val="14"/>
                <w:szCs w:val="14"/>
                <w:b w:val="1"/>
                <w:bCs w:val="1"/>
                <w:color w:val="auto"/>
              </w:rPr>
              <w:t>2020</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jc w:val="right"/>
              <w:ind w:right="755"/>
              <w:spacing w:after="0"/>
              <w:rPr>
                <w:sz w:val="20"/>
                <w:szCs w:val="20"/>
                <w:color w:val="auto"/>
              </w:rPr>
            </w:pPr>
            <w:r>
              <w:rPr>
                <w:rFonts w:ascii="Arial" w:cs="Arial" w:eastAsia="Arial" w:hAnsi="Arial"/>
                <w:sz w:val="14"/>
                <w:szCs w:val="14"/>
                <w:b w:val="1"/>
                <w:bCs w:val="1"/>
                <w:color w:val="auto"/>
              </w:rPr>
              <w:t>2019</w:t>
            </w:r>
          </w:p>
        </w:tc>
      </w:tr>
      <w:tr>
        <w:trPr>
          <w:trHeight w:val="216"/>
        </w:trPr>
        <w:tc>
          <w:tcPr>
            <w:tcW w:w="7180" w:type="dxa"/>
            <w:vAlign w:val="bottom"/>
            <w:tcBorders>
              <w:top w:val="single" w:sz="8" w:color="DDDDDD"/>
            </w:tcBorders>
            <w:shd w:val="clear" w:color="auto" w:fill="DDDDDD"/>
          </w:tcPr>
          <w:p>
            <w:pPr>
              <w:ind w:left="20"/>
              <w:spacing w:after="0"/>
              <w:rPr>
                <w:sz w:val="20"/>
                <w:szCs w:val="20"/>
                <w:color w:val="auto"/>
              </w:rPr>
            </w:pPr>
            <w:r>
              <w:rPr>
                <w:rFonts w:ascii="Arial" w:cs="Arial" w:eastAsia="Arial" w:hAnsi="Arial"/>
                <w:sz w:val="18"/>
                <w:szCs w:val="18"/>
                <w:color w:val="auto"/>
              </w:rPr>
              <w:t>Assumed health care cost trend rate:</w:t>
            </w:r>
          </w:p>
        </w:tc>
        <w:tc>
          <w:tcPr>
            <w:tcW w:w="1240" w:type="dxa"/>
            <w:vAlign w:val="bottom"/>
            <w:tcBorders>
              <w:top w:val="single" w:sz="8" w:color="DC202E"/>
            </w:tcBorders>
            <w:shd w:val="clear" w:color="auto" w:fill="DDDDDD"/>
          </w:tcPr>
          <w:p>
            <w:pPr>
              <w:spacing w:after="0"/>
              <w:rPr>
                <w:sz w:val="18"/>
                <w:szCs w:val="18"/>
                <w:color w:val="auto"/>
              </w:rPr>
            </w:pPr>
          </w:p>
        </w:tc>
        <w:tc>
          <w:tcPr>
            <w:tcW w:w="700" w:type="dxa"/>
            <w:vAlign w:val="bottom"/>
            <w:tcBorders>
              <w:top w:val="single" w:sz="8" w:color="DC202E"/>
            </w:tcBorders>
            <w:shd w:val="clear" w:color="auto" w:fill="DDDDDD"/>
          </w:tcPr>
          <w:p>
            <w:pPr>
              <w:spacing w:after="0"/>
              <w:rPr>
                <w:sz w:val="18"/>
                <w:szCs w:val="18"/>
                <w:color w:val="auto"/>
              </w:rPr>
            </w:pPr>
          </w:p>
        </w:tc>
        <w:tc>
          <w:tcPr>
            <w:tcW w:w="100" w:type="dxa"/>
            <w:vAlign w:val="bottom"/>
            <w:tcBorders>
              <w:top w:val="single" w:sz="8" w:color="DDDDDD"/>
            </w:tcBorders>
            <w:shd w:val="clear" w:color="auto" w:fill="DDDDDD"/>
          </w:tcPr>
          <w:p>
            <w:pPr>
              <w:spacing w:after="0"/>
              <w:rPr>
                <w:sz w:val="18"/>
                <w:szCs w:val="18"/>
                <w:color w:val="auto"/>
              </w:rPr>
            </w:pPr>
          </w:p>
        </w:tc>
        <w:tc>
          <w:tcPr>
            <w:tcW w:w="2000" w:type="dxa"/>
            <w:vAlign w:val="bottom"/>
            <w:tcBorders>
              <w:top w:val="single" w:sz="8" w:color="DC202E"/>
            </w:tcBorders>
            <w:shd w:val="clear" w:color="auto" w:fill="DDDDDD"/>
          </w:tcPr>
          <w:p>
            <w:pPr>
              <w:spacing w:after="0"/>
              <w:rPr>
                <w:sz w:val="18"/>
                <w:szCs w:val="18"/>
                <w:color w:val="auto"/>
              </w:rPr>
            </w:pPr>
          </w:p>
        </w:tc>
      </w:tr>
      <w:tr>
        <w:trPr>
          <w:trHeight w:val="229"/>
        </w:trPr>
        <w:tc>
          <w:tcPr>
            <w:tcW w:w="8420" w:type="dxa"/>
            <w:vAlign w:val="bottom"/>
            <w:gridSpan w:val="2"/>
          </w:tcPr>
          <w:p>
            <w:pPr>
              <w:ind w:left="360"/>
              <w:spacing w:after="0"/>
              <w:rPr>
                <w:sz w:val="20"/>
                <w:szCs w:val="20"/>
                <w:color w:val="auto"/>
              </w:rPr>
            </w:pPr>
            <w:r>
              <w:rPr>
                <w:rFonts w:ascii="Arial" w:cs="Arial" w:eastAsia="Arial" w:hAnsi="Arial"/>
                <w:sz w:val="18"/>
                <w:szCs w:val="18"/>
                <w:color w:val="auto"/>
              </w:rPr>
              <w:t>Health care cost trend rate assumed for next year</w:t>
            </w:r>
          </w:p>
        </w:tc>
        <w:tc>
          <w:tcPr>
            <w:tcW w:w="700" w:type="dxa"/>
            <w:vAlign w:val="bottom"/>
          </w:tcPr>
          <w:p>
            <w:pPr>
              <w:jc w:val="right"/>
              <w:spacing w:after="0"/>
              <w:rPr>
                <w:sz w:val="20"/>
                <w:szCs w:val="20"/>
                <w:color w:val="auto"/>
              </w:rPr>
            </w:pPr>
            <w:r>
              <w:rPr>
                <w:rFonts w:ascii="Arial" w:cs="Arial" w:eastAsia="Arial" w:hAnsi="Arial"/>
                <w:sz w:val="18"/>
                <w:szCs w:val="18"/>
                <w:color w:val="auto"/>
              </w:rPr>
              <w:t>7.00 %</w:t>
            </w:r>
          </w:p>
        </w:tc>
        <w:tc>
          <w:tcPr>
            <w:tcW w:w="1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7.00 %</w:t>
            </w:r>
          </w:p>
        </w:tc>
      </w:tr>
      <w:tr>
        <w:trPr>
          <w:trHeight w:val="230"/>
        </w:trPr>
        <w:tc>
          <w:tcPr>
            <w:tcW w:w="8420" w:type="dxa"/>
            <w:vAlign w:val="bottom"/>
            <w:gridSpan w:val="2"/>
            <w:shd w:val="clear" w:color="auto" w:fill="DDDDDD"/>
          </w:tcPr>
          <w:p>
            <w:pPr>
              <w:ind w:left="360"/>
              <w:spacing w:after="0"/>
              <w:rPr>
                <w:sz w:val="20"/>
                <w:szCs w:val="20"/>
                <w:color w:val="auto"/>
              </w:rPr>
            </w:pPr>
            <w:r>
              <w:rPr>
                <w:rFonts w:ascii="Arial" w:cs="Arial" w:eastAsia="Arial" w:hAnsi="Arial"/>
                <w:sz w:val="18"/>
                <w:szCs w:val="18"/>
                <w:color w:val="auto"/>
              </w:rPr>
              <w:t>Rate that the cost trend rate gradually declines to</w:t>
            </w:r>
          </w:p>
        </w:tc>
        <w:tc>
          <w:tcPr>
            <w:tcW w:w="7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5.00 %</w:t>
            </w:r>
          </w:p>
        </w:tc>
        <w:tc>
          <w:tcPr>
            <w:tcW w:w="100" w:type="dxa"/>
            <w:vAlign w:val="bottom"/>
            <w:shd w:val="clear" w:color="auto" w:fill="DDDDDD"/>
          </w:tcPr>
          <w:p>
            <w:pPr>
              <w:spacing w:after="0"/>
              <w:rPr>
                <w:sz w:val="19"/>
                <w:szCs w:val="19"/>
                <w:color w:val="auto"/>
              </w:rPr>
            </w:pPr>
          </w:p>
        </w:tc>
        <w:tc>
          <w:tcPr>
            <w:tcW w:w="20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5.00 %</w:t>
            </w:r>
          </w:p>
        </w:tc>
      </w:tr>
      <w:tr>
        <w:trPr>
          <w:trHeight w:val="229"/>
        </w:trPr>
        <w:tc>
          <w:tcPr>
            <w:tcW w:w="8420" w:type="dxa"/>
            <w:vAlign w:val="bottom"/>
            <w:gridSpan w:val="2"/>
          </w:tcPr>
          <w:p>
            <w:pPr>
              <w:ind w:left="360"/>
              <w:spacing w:after="0"/>
              <w:rPr>
                <w:sz w:val="20"/>
                <w:szCs w:val="20"/>
                <w:color w:val="auto"/>
              </w:rPr>
            </w:pPr>
            <w:r>
              <w:rPr>
                <w:rFonts w:ascii="Arial" w:cs="Arial" w:eastAsia="Arial" w:hAnsi="Arial"/>
                <w:sz w:val="18"/>
                <w:szCs w:val="18"/>
                <w:color w:val="auto"/>
              </w:rPr>
              <w:t>Year that the rate reaches the rate it is assumed to remain at</w:t>
            </w:r>
          </w:p>
        </w:tc>
        <w:tc>
          <w:tcPr>
            <w:tcW w:w="700" w:type="dxa"/>
            <w:vAlign w:val="bottom"/>
          </w:tcPr>
          <w:p>
            <w:pPr>
              <w:jc w:val="right"/>
              <w:spacing w:after="0"/>
              <w:rPr>
                <w:sz w:val="20"/>
                <w:szCs w:val="20"/>
                <w:color w:val="auto"/>
              </w:rPr>
            </w:pPr>
            <w:r>
              <w:rPr>
                <w:rFonts w:ascii="Arial" w:cs="Arial" w:eastAsia="Arial" w:hAnsi="Arial"/>
                <w:sz w:val="18"/>
                <w:szCs w:val="18"/>
                <w:color w:val="auto"/>
              </w:rPr>
              <w:t>2029</w:t>
            </w:r>
          </w:p>
        </w:tc>
        <w:tc>
          <w:tcPr>
            <w:tcW w:w="1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2029</w:t>
            </w: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Benefit payments reflecting expected future service, as appropriate, are expected to be paid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1820" w:type="dxa"/>
            <w:vAlign w:val="bottom"/>
          </w:tcPr>
          <w:p>
            <w:pPr>
              <w:ind w:left="500"/>
              <w:spacing w:after="0"/>
              <w:rPr>
                <w:sz w:val="20"/>
                <w:szCs w:val="20"/>
                <w:color w:val="auto"/>
              </w:rPr>
            </w:pPr>
            <w:r>
              <w:rPr>
                <w:rFonts w:ascii="Arial" w:cs="Arial" w:eastAsia="Arial" w:hAnsi="Arial"/>
                <w:sz w:val="14"/>
                <w:szCs w:val="14"/>
                <w:b w:val="1"/>
                <w:bCs w:val="1"/>
                <w:color w:val="auto"/>
              </w:rPr>
              <w:t>Without Impact of</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00" w:type="dxa"/>
            <w:vAlign w:val="bottom"/>
          </w:tcPr>
          <w:p>
            <w:pPr>
              <w:jc w:val="right"/>
              <w:ind w:right="815"/>
              <w:spacing w:after="0"/>
              <w:rPr>
                <w:sz w:val="20"/>
                <w:szCs w:val="20"/>
                <w:color w:val="auto"/>
              </w:rPr>
            </w:pPr>
            <w:r>
              <w:rPr>
                <w:rFonts w:ascii="Arial" w:cs="Arial" w:eastAsia="Arial" w:hAnsi="Arial"/>
                <w:sz w:val="14"/>
                <w:szCs w:val="14"/>
                <w:b w:val="1"/>
                <w:bCs w:val="1"/>
                <w:color w:val="auto"/>
              </w:rPr>
              <w:t>Net of</w:t>
            </w:r>
          </w:p>
        </w:tc>
      </w:tr>
      <w:tr>
        <w:trPr>
          <w:trHeight w:val="183"/>
        </w:trPr>
        <w:tc>
          <w:tcPr>
            <w:tcW w:w="6700" w:type="dxa"/>
            <w:vAlign w:val="bottom"/>
            <w:tcBorders>
              <w:bottom w:val="single" w:sz="8" w:color="DDDDDD"/>
            </w:tcBorders>
          </w:tcPr>
          <w:p>
            <w:pPr>
              <w:spacing w:after="0"/>
              <w:rPr>
                <w:sz w:val="15"/>
                <w:szCs w:val="15"/>
                <w:color w:val="auto"/>
              </w:rPr>
            </w:pPr>
          </w:p>
        </w:tc>
        <w:tc>
          <w:tcPr>
            <w:tcW w:w="1820" w:type="dxa"/>
            <w:vAlign w:val="bottom"/>
            <w:tcBorders>
              <w:bottom w:val="single" w:sz="8" w:color="DC202E"/>
            </w:tcBorders>
          </w:tcPr>
          <w:p>
            <w:pPr>
              <w:ind w:left="500"/>
              <w:spacing w:after="0"/>
              <w:rPr>
                <w:sz w:val="20"/>
                <w:szCs w:val="20"/>
                <w:color w:val="auto"/>
              </w:rPr>
            </w:pPr>
            <w:r>
              <w:rPr>
                <w:rFonts w:ascii="Arial" w:cs="Arial" w:eastAsia="Arial" w:hAnsi="Arial"/>
                <w:sz w:val="14"/>
                <w:szCs w:val="14"/>
                <w:b w:val="1"/>
                <w:bCs w:val="1"/>
                <w:color w:val="auto"/>
              </w:rPr>
              <w:t>Medicare Subsidy</w:t>
            </w:r>
          </w:p>
        </w:tc>
        <w:tc>
          <w:tcPr>
            <w:tcW w:w="380" w:type="dxa"/>
            <w:vAlign w:val="bottom"/>
            <w:tcBorders>
              <w:bottom w:val="single" w:sz="8" w:color="DC202E"/>
            </w:tcBorders>
          </w:tcPr>
          <w:p>
            <w:pPr>
              <w:spacing w:after="0"/>
              <w:rPr>
                <w:sz w:val="15"/>
                <w:szCs w:val="15"/>
                <w:color w:val="auto"/>
              </w:rPr>
            </w:pPr>
          </w:p>
        </w:tc>
        <w:tc>
          <w:tcPr>
            <w:tcW w:w="120" w:type="dxa"/>
            <w:vAlign w:val="bottom"/>
            <w:tcBorders>
              <w:bottom w:val="single" w:sz="8" w:color="DDDDDD"/>
            </w:tcBorders>
          </w:tcPr>
          <w:p>
            <w:pPr>
              <w:spacing w:after="0"/>
              <w:rPr>
                <w:sz w:val="15"/>
                <w:szCs w:val="15"/>
                <w:color w:val="auto"/>
              </w:rPr>
            </w:pPr>
          </w:p>
        </w:tc>
        <w:tc>
          <w:tcPr>
            <w:tcW w:w="300" w:type="dxa"/>
            <w:vAlign w:val="bottom"/>
            <w:tcBorders>
              <w:bottom w:val="single" w:sz="8" w:color="DC202E"/>
            </w:tcBorders>
          </w:tcPr>
          <w:p>
            <w:pPr>
              <w:spacing w:after="0"/>
              <w:rPr>
                <w:sz w:val="15"/>
                <w:szCs w:val="15"/>
                <w:color w:val="auto"/>
              </w:rPr>
            </w:pPr>
          </w:p>
        </w:tc>
        <w:tc>
          <w:tcPr>
            <w:tcW w:w="1900" w:type="dxa"/>
            <w:vAlign w:val="bottom"/>
            <w:tcBorders>
              <w:bottom w:val="single" w:sz="8" w:color="DC202E"/>
            </w:tcBorders>
          </w:tcPr>
          <w:p>
            <w:pPr>
              <w:jc w:val="right"/>
              <w:ind w:right="415"/>
              <w:spacing w:after="0"/>
              <w:rPr>
                <w:sz w:val="20"/>
                <w:szCs w:val="20"/>
                <w:color w:val="auto"/>
              </w:rPr>
            </w:pPr>
            <w:r>
              <w:rPr>
                <w:rFonts w:ascii="Arial" w:cs="Arial" w:eastAsia="Arial" w:hAnsi="Arial"/>
                <w:sz w:val="14"/>
                <w:szCs w:val="14"/>
                <w:b w:val="1"/>
                <w:bCs w:val="1"/>
                <w:color w:val="auto"/>
              </w:rPr>
              <w:t>Medicare Subsidy</w:t>
            </w:r>
          </w:p>
        </w:tc>
      </w:tr>
      <w:tr>
        <w:trPr>
          <w:trHeight w:val="230"/>
        </w:trPr>
        <w:tc>
          <w:tcPr>
            <w:tcW w:w="6700" w:type="dxa"/>
            <w:vAlign w:val="bottom"/>
            <w:shd w:val="clear" w:color="auto" w:fill="DDDDDD"/>
          </w:tcPr>
          <w:p>
            <w:pPr>
              <w:ind w:left="20"/>
              <w:spacing w:after="0"/>
              <w:rPr>
                <w:sz w:val="20"/>
                <w:szCs w:val="20"/>
                <w:color w:val="auto"/>
              </w:rPr>
            </w:pPr>
            <w:r>
              <w:rPr>
                <w:rFonts w:ascii="Arial" w:cs="Arial" w:eastAsia="Arial" w:hAnsi="Arial"/>
                <w:sz w:val="18"/>
                <w:szCs w:val="18"/>
                <w:color w:val="auto"/>
              </w:rPr>
              <w:t>2021</w:t>
            </w:r>
          </w:p>
        </w:tc>
        <w:tc>
          <w:tcPr>
            <w:tcW w:w="1820" w:type="dxa"/>
            <w:vAlign w:val="bottom"/>
            <w:shd w:val="clear" w:color="auto" w:fill="DDDDDD"/>
          </w:tcPr>
          <w:p>
            <w:pPr>
              <w:jc w:val="right"/>
              <w:ind w:right="1622"/>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DDDDDD"/>
          </w:tcPr>
          <w:p>
            <w:pPr>
              <w:spacing w:after="0"/>
              <w:rPr>
                <w:sz w:val="19"/>
                <w:szCs w:val="19"/>
                <w:color w:val="auto"/>
              </w:rPr>
            </w:pPr>
          </w:p>
        </w:tc>
        <w:tc>
          <w:tcPr>
            <w:tcW w:w="300" w:type="dxa"/>
            <w:vAlign w:val="bottom"/>
            <w:shd w:val="clear" w:color="auto" w:fill="DDDDDD"/>
          </w:tcPr>
          <w:p>
            <w:pPr>
              <w:jc w:val="right"/>
              <w:ind w:right="90"/>
              <w:spacing w:after="0"/>
              <w:rPr>
                <w:sz w:val="20"/>
                <w:szCs w:val="20"/>
                <w:color w:val="auto"/>
              </w:rPr>
            </w:pPr>
            <w:r>
              <w:rPr>
                <w:rFonts w:ascii="Arial" w:cs="Arial" w:eastAsia="Arial" w:hAnsi="Arial"/>
                <w:sz w:val="18"/>
                <w:szCs w:val="18"/>
                <w:color w:val="auto"/>
                <w:w w:val="99"/>
              </w:rPr>
              <w:t>$</w:t>
            </w:r>
          </w:p>
        </w:tc>
        <w:tc>
          <w:tcPr>
            <w:tcW w:w="19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27</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2022</w:t>
            </w:r>
          </w:p>
        </w:tc>
        <w:tc>
          <w:tcPr>
            <w:tcW w:w="18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6700" w:type="dxa"/>
            <w:vAlign w:val="bottom"/>
            <w:shd w:val="clear" w:color="auto" w:fill="DDDDDD"/>
          </w:tcPr>
          <w:p>
            <w:pPr>
              <w:ind w:left="20"/>
              <w:spacing w:after="0"/>
              <w:rPr>
                <w:sz w:val="20"/>
                <w:szCs w:val="20"/>
                <w:color w:val="auto"/>
              </w:rPr>
            </w:pPr>
            <w:r>
              <w:rPr>
                <w:rFonts w:ascii="Arial" w:cs="Arial" w:eastAsia="Arial" w:hAnsi="Arial"/>
                <w:sz w:val="18"/>
                <w:szCs w:val="18"/>
                <w:color w:val="auto"/>
              </w:rPr>
              <w:t>2023</w:t>
            </w:r>
          </w:p>
        </w:tc>
        <w:tc>
          <w:tcPr>
            <w:tcW w:w="1820" w:type="dxa"/>
            <w:vAlign w:val="bottom"/>
            <w:shd w:val="clear" w:color="auto" w:fill="DDDDDD"/>
          </w:tcPr>
          <w:p>
            <w:pPr>
              <w:spacing w:after="0"/>
              <w:rPr>
                <w:sz w:val="19"/>
                <w:szCs w:val="19"/>
                <w:color w:val="auto"/>
              </w:rPr>
            </w:pPr>
          </w:p>
        </w:tc>
        <w:tc>
          <w:tcPr>
            <w:tcW w:w="3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DDDDDD"/>
          </w:tcPr>
          <w:p>
            <w:pPr>
              <w:spacing w:after="0"/>
              <w:rPr>
                <w:sz w:val="19"/>
                <w:szCs w:val="19"/>
                <w:color w:val="auto"/>
              </w:rPr>
            </w:pPr>
          </w:p>
        </w:tc>
        <w:tc>
          <w:tcPr>
            <w:tcW w:w="300" w:type="dxa"/>
            <w:vAlign w:val="bottom"/>
            <w:shd w:val="clear" w:color="auto" w:fill="DDDDDD"/>
          </w:tcPr>
          <w:p>
            <w:pPr>
              <w:spacing w:after="0"/>
              <w:rPr>
                <w:sz w:val="19"/>
                <w:szCs w:val="19"/>
                <w:color w:val="auto"/>
              </w:rPr>
            </w:pPr>
          </w:p>
        </w:tc>
        <w:tc>
          <w:tcPr>
            <w:tcW w:w="19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2024</w:t>
            </w:r>
          </w:p>
        </w:tc>
        <w:tc>
          <w:tcPr>
            <w:tcW w:w="18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6700" w:type="dxa"/>
            <w:vAlign w:val="bottom"/>
            <w:shd w:val="clear" w:color="auto" w:fill="DDDDDD"/>
          </w:tcPr>
          <w:p>
            <w:pPr>
              <w:ind w:left="20"/>
              <w:spacing w:after="0"/>
              <w:rPr>
                <w:sz w:val="20"/>
                <w:szCs w:val="20"/>
                <w:color w:val="auto"/>
              </w:rPr>
            </w:pPr>
            <w:r>
              <w:rPr>
                <w:rFonts w:ascii="Arial" w:cs="Arial" w:eastAsia="Arial" w:hAnsi="Arial"/>
                <w:sz w:val="18"/>
                <w:szCs w:val="18"/>
                <w:color w:val="auto"/>
              </w:rPr>
              <w:t>2025</w:t>
            </w:r>
          </w:p>
        </w:tc>
        <w:tc>
          <w:tcPr>
            <w:tcW w:w="1820" w:type="dxa"/>
            <w:vAlign w:val="bottom"/>
            <w:shd w:val="clear" w:color="auto" w:fill="DDDDDD"/>
          </w:tcPr>
          <w:p>
            <w:pPr>
              <w:spacing w:after="0"/>
              <w:rPr>
                <w:sz w:val="19"/>
                <w:szCs w:val="19"/>
                <w:color w:val="auto"/>
              </w:rPr>
            </w:pPr>
          </w:p>
        </w:tc>
        <w:tc>
          <w:tcPr>
            <w:tcW w:w="3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DDDDDD"/>
          </w:tcPr>
          <w:p>
            <w:pPr>
              <w:spacing w:after="0"/>
              <w:rPr>
                <w:sz w:val="19"/>
                <w:szCs w:val="19"/>
                <w:color w:val="auto"/>
              </w:rPr>
            </w:pPr>
          </w:p>
        </w:tc>
        <w:tc>
          <w:tcPr>
            <w:tcW w:w="300" w:type="dxa"/>
            <w:vAlign w:val="bottom"/>
            <w:shd w:val="clear" w:color="auto" w:fill="DDDDDD"/>
          </w:tcPr>
          <w:p>
            <w:pPr>
              <w:spacing w:after="0"/>
              <w:rPr>
                <w:sz w:val="19"/>
                <w:szCs w:val="19"/>
                <w:color w:val="auto"/>
              </w:rPr>
            </w:pPr>
          </w:p>
        </w:tc>
        <w:tc>
          <w:tcPr>
            <w:tcW w:w="19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2026-2030</w:t>
            </w:r>
          </w:p>
        </w:tc>
        <w:tc>
          <w:tcPr>
            <w:tcW w:w="18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57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104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9"/>
          <w:szCs w:val="29"/>
          <w:b w:val="1"/>
          <w:bCs w:val="1"/>
          <w:color w:val="DC202E"/>
        </w:rPr>
        <w:t>NOTE 22. OTHER (INCOME) EXPENSE</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00" w:type="dxa"/>
            <w:vAlign w:val="bottom"/>
          </w:tcPr>
          <w:p>
            <w:pPr>
              <w:spacing w:after="0"/>
              <w:rPr>
                <w:sz w:val="17"/>
                <w:szCs w:val="17"/>
                <w:color w:val="auto"/>
              </w:rPr>
            </w:pPr>
          </w:p>
        </w:tc>
        <w:tc>
          <w:tcPr>
            <w:tcW w:w="940" w:type="dxa"/>
            <w:vAlign w:val="bottom"/>
            <w:tcBorders>
              <w:bottom w:val="single" w:sz="8" w:color="DC202E"/>
            </w:tcBorders>
          </w:tcPr>
          <w:p>
            <w:pPr>
              <w:spacing w:after="0"/>
              <w:rPr>
                <w:sz w:val="17"/>
                <w:szCs w:val="17"/>
                <w:color w:val="auto"/>
              </w:rPr>
            </w:pPr>
          </w:p>
        </w:tc>
        <w:tc>
          <w:tcPr>
            <w:tcW w:w="2500" w:type="dxa"/>
            <w:vAlign w:val="bottom"/>
            <w:tcBorders>
              <w:bottom w:val="single" w:sz="8" w:color="DC202E"/>
            </w:tcBorders>
            <w:gridSpan w:val="6"/>
          </w:tcPr>
          <w:p>
            <w:pPr>
              <w:jc w:val="right"/>
              <w:ind w:right="150"/>
              <w:spacing w:after="0"/>
              <w:rPr>
                <w:sz w:val="20"/>
                <w:szCs w:val="20"/>
                <w:color w:val="auto"/>
              </w:rPr>
            </w:pPr>
            <w:r>
              <w:rPr>
                <w:rFonts w:ascii="Arial" w:cs="Arial" w:eastAsia="Arial" w:hAnsi="Arial"/>
                <w:sz w:val="14"/>
                <w:szCs w:val="14"/>
                <w:b w:val="1"/>
                <w:bCs w:val="1"/>
                <w:color w:val="auto"/>
              </w:rPr>
              <w:t>Years Ended December 31,</w:t>
            </w:r>
          </w:p>
        </w:tc>
        <w:tc>
          <w:tcPr>
            <w:tcW w:w="1100" w:type="dxa"/>
            <w:vAlign w:val="bottom"/>
            <w:tcBorders>
              <w:bottom w:val="single" w:sz="8" w:color="DC202E"/>
            </w:tcBorders>
          </w:tcPr>
          <w:p>
            <w:pPr>
              <w:spacing w:after="0"/>
              <w:rPr>
                <w:sz w:val="17"/>
                <w:szCs w:val="17"/>
                <w:color w:val="auto"/>
              </w:rPr>
            </w:pPr>
          </w:p>
        </w:tc>
      </w:tr>
      <w:tr>
        <w:trPr>
          <w:trHeight w:val="196"/>
        </w:trPr>
        <w:tc>
          <w:tcPr>
            <w:tcW w:w="6700" w:type="dxa"/>
            <w:vAlign w:val="bottom"/>
            <w:tcBorders>
              <w:bottom w:val="single" w:sz="8" w:color="DDDDDD"/>
            </w:tcBorders>
          </w:tcPr>
          <w:p>
            <w:pPr>
              <w:spacing w:after="0"/>
              <w:rPr>
                <w:sz w:val="17"/>
                <w:szCs w:val="17"/>
                <w:color w:val="auto"/>
              </w:rPr>
            </w:pPr>
          </w:p>
        </w:tc>
        <w:tc>
          <w:tcPr>
            <w:tcW w:w="94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DC202E"/>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340" w:type="dxa"/>
            <w:vAlign w:val="bottom"/>
            <w:tcBorders>
              <w:bottom w:val="single" w:sz="8" w:color="DC202E"/>
            </w:tcBorders>
          </w:tcPr>
          <w:p>
            <w:pPr>
              <w:spacing w:after="0"/>
              <w:rPr>
                <w:sz w:val="17"/>
                <w:szCs w:val="17"/>
                <w:color w:val="auto"/>
              </w:rPr>
            </w:pPr>
          </w:p>
        </w:tc>
        <w:tc>
          <w:tcPr>
            <w:tcW w:w="1100" w:type="dxa"/>
            <w:vAlign w:val="bottom"/>
            <w:tcBorders>
              <w:bottom w:val="single" w:sz="8" w:color="DC202E"/>
            </w:tcBorders>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DDDDDD"/>
            </w:tcBorders>
          </w:tcPr>
          <w:p>
            <w:pPr>
              <w:spacing w:after="0"/>
              <w:rPr>
                <w:sz w:val="17"/>
                <w:szCs w:val="17"/>
                <w:color w:val="auto"/>
              </w:rPr>
            </w:pPr>
          </w:p>
        </w:tc>
        <w:tc>
          <w:tcPr>
            <w:tcW w:w="340" w:type="dxa"/>
            <w:vAlign w:val="bottom"/>
            <w:tcBorders>
              <w:bottom w:val="single" w:sz="8" w:color="DC202E"/>
            </w:tcBorders>
          </w:tcPr>
          <w:p>
            <w:pPr>
              <w:spacing w:after="0"/>
              <w:rPr>
                <w:sz w:val="17"/>
                <w:szCs w:val="17"/>
                <w:color w:val="auto"/>
              </w:rPr>
            </w:pPr>
          </w:p>
        </w:tc>
        <w:tc>
          <w:tcPr>
            <w:tcW w:w="1100" w:type="dxa"/>
            <w:vAlign w:val="bottom"/>
            <w:tcBorders>
              <w:bottom w:val="single" w:sz="8" w:color="DC202E"/>
            </w:tcBorders>
          </w:tcPr>
          <w:p>
            <w:pPr>
              <w:jc w:val="right"/>
              <w:ind w:right="472"/>
              <w:spacing w:after="0"/>
              <w:rPr>
                <w:sz w:val="20"/>
                <w:szCs w:val="20"/>
                <w:color w:val="auto"/>
              </w:rPr>
            </w:pPr>
            <w:r>
              <w:rPr>
                <w:rFonts w:ascii="Arial" w:cs="Arial" w:eastAsia="Arial" w:hAnsi="Arial"/>
                <w:sz w:val="14"/>
                <w:szCs w:val="14"/>
                <w:b w:val="1"/>
                <w:bCs w:val="1"/>
                <w:color w:val="auto"/>
              </w:rPr>
              <w:t>2018</w:t>
            </w:r>
          </w:p>
        </w:tc>
      </w:tr>
      <w:tr>
        <w:trPr>
          <w:trHeight w:val="229"/>
        </w:trPr>
        <w:tc>
          <w:tcPr>
            <w:tcW w:w="6700" w:type="dxa"/>
            <w:vAlign w:val="bottom"/>
            <w:shd w:val="clear" w:color="auto" w:fill="DDDDDD"/>
          </w:tcPr>
          <w:p>
            <w:pPr>
              <w:ind w:left="20"/>
              <w:spacing w:after="0"/>
              <w:rPr>
                <w:sz w:val="20"/>
                <w:szCs w:val="20"/>
                <w:color w:val="auto"/>
              </w:rPr>
            </w:pPr>
            <w:r>
              <w:rPr>
                <w:rFonts w:ascii="Arial" w:cs="Arial" w:eastAsia="Arial" w:hAnsi="Arial"/>
                <w:sz w:val="18"/>
                <w:szCs w:val="18"/>
                <w:color w:val="auto"/>
              </w:rPr>
              <w:t>Interest income</w:t>
            </w:r>
          </w:p>
        </w:tc>
        <w:tc>
          <w:tcPr>
            <w:tcW w:w="940" w:type="dxa"/>
            <w:vAlign w:val="bottom"/>
            <w:shd w:val="clear" w:color="auto" w:fill="DDDDDD"/>
          </w:tcPr>
          <w:p>
            <w:pPr>
              <w:jc w:val="right"/>
              <w:ind w:right="736"/>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DDDDDD"/>
          </w:tcPr>
          <w:p>
            <w:pPr>
              <w:spacing w:after="0"/>
              <w:rPr>
                <w:sz w:val="19"/>
                <w:szCs w:val="19"/>
                <w:color w:val="auto"/>
              </w:rPr>
            </w:pPr>
          </w:p>
        </w:tc>
        <w:tc>
          <w:tcPr>
            <w:tcW w:w="3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(255)</w:t>
            </w:r>
          </w:p>
        </w:tc>
        <w:tc>
          <w:tcPr>
            <w:tcW w:w="120" w:type="dxa"/>
            <w:vAlign w:val="bottom"/>
            <w:shd w:val="clear" w:color="auto" w:fill="DDDDDD"/>
          </w:tcPr>
          <w:p>
            <w:pPr>
              <w:spacing w:after="0"/>
              <w:rPr>
                <w:sz w:val="19"/>
                <w:szCs w:val="19"/>
                <w:color w:val="auto"/>
              </w:rPr>
            </w:pPr>
          </w:p>
        </w:tc>
        <w:tc>
          <w:tcPr>
            <w:tcW w:w="3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(217)</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Pension ongoing income—non-service</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(1,165)</w:t>
            </w:r>
          </w:p>
        </w:tc>
      </w:tr>
      <w:tr>
        <w:trPr>
          <w:trHeight w:val="229"/>
        </w:trPr>
        <w:tc>
          <w:tcPr>
            <w:tcW w:w="6700" w:type="dxa"/>
            <w:vAlign w:val="bottom"/>
            <w:shd w:val="clear" w:color="auto" w:fill="DDDDDD"/>
          </w:tcPr>
          <w:p>
            <w:pPr>
              <w:ind w:left="20"/>
              <w:spacing w:after="0"/>
              <w:rPr>
                <w:sz w:val="20"/>
                <w:szCs w:val="20"/>
                <w:color w:val="auto"/>
              </w:rPr>
            </w:pPr>
            <w:r>
              <w:rPr>
                <w:rFonts w:ascii="Arial" w:cs="Arial" w:eastAsia="Arial" w:hAnsi="Arial"/>
                <w:sz w:val="18"/>
                <w:szCs w:val="18"/>
                <w:color w:val="auto"/>
              </w:rPr>
              <w:t>Other postretirement income—non-service</w:t>
            </w:r>
          </w:p>
        </w:tc>
        <w:tc>
          <w:tcPr>
            <w:tcW w:w="940" w:type="dxa"/>
            <w:vAlign w:val="bottom"/>
            <w:shd w:val="clear" w:color="auto" w:fill="DDDDDD"/>
          </w:tcPr>
          <w:p>
            <w:pPr>
              <w:spacing w:after="0"/>
              <w:rPr>
                <w:sz w:val="19"/>
                <w:szCs w:val="19"/>
                <w:color w:val="auto"/>
              </w:rPr>
            </w:pPr>
          </w:p>
        </w:tc>
        <w:tc>
          <w:tcPr>
            <w:tcW w:w="5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(32)</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Equity income of affiliated companies</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6700" w:type="dxa"/>
            <w:vAlign w:val="bottom"/>
            <w:shd w:val="clear" w:color="auto" w:fill="DDDDDD"/>
          </w:tcPr>
          <w:p>
            <w:pPr>
              <w:ind w:left="20"/>
              <w:spacing w:after="0"/>
              <w:rPr>
                <w:sz w:val="20"/>
                <w:szCs w:val="20"/>
                <w:color w:val="auto"/>
              </w:rPr>
            </w:pPr>
            <w:r>
              <w:rPr>
                <w:rFonts w:ascii="Arial" w:cs="Arial" w:eastAsia="Arial" w:hAnsi="Arial"/>
                <w:sz w:val="18"/>
                <w:szCs w:val="18"/>
                <w:color w:val="auto"/>
              </w:rPr>
              <w:t>Loss (gain) on sale of non-strategic business and assets</w:t>
            </w:r>
          </w:p>
        </w:tc>
        <w:tc>
          <w:tcPr>
            <w:tcW w:w="940" w:type="dxa"/>
            <w:vAlign w:val="bottom"/>
            <w:shd w:val="clear" w:color="auto" w:fill="DDDDDD"/>
          </w:tcPr>
          <w:p>
            <w:pPr>
              <w:spacing w:after="0"/>
              <w:rPr>
                <w:sz w:val="19"/>
                <w:szCs w:val="19"/>
                <w:color w:val="auto"/>
              </w:rPr>
            </w:pPr>
          </w:p>
        </w:tc>
        <w:tc>
          <w:tcPr>
            <w:tcW w:w="5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Foreign exchange</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30"/>
        </w:trPr>
        <w:tc>
          <w:tcPr>
            <w:tcW w:w="6700" w:type="dxa"/>
            <w:vAlign w:val="bottom"/>
            <w:shd w:val="clear" w:color="auto" w:fill="DDDDDD"/>
          </w:tcPr>
          <w:p>
            <w:pPr>
              <w:ind w:left="20"/>
              <w:spacing w:after="0"/>
              <w:rPr>
                <w:sz w:val="20"/>
                <w:szCs w:val="20"/>
                <w:color w:val="auto"/>
              </w:rPr>
            </w:pPr>
            <w:r>
              <w:rPr>
                <w:rFonts w:ascii="Arial" w:cs="Arial" w:eastAsia="Arial" w:hAnsi="Arial"/>
                <w:sz w:val="18"/>
                <w:szCs w:val="18"/>
                <w:color w:val="auto"/>
              </w:rPr>
              <w:t>Separation costs</w:t>
            </w:r>
          </w:p>
        </w:tc>
        <w:tc>
          <w:tcPr>
            <w:tcW w:w="940" w:type="dxa"/>
            <w:vAlign w:val="bottom"/>
            <w:shd w:val="clear" w:color="auto" w:fill="DDDDDD"/>
          </w:tcPr>
          <w:p>
            <w:pPr>
              <w:spacing w:after="0"/>
              <w:rPr>
                <w:sz w:val="19"/>
                <w:szCs w:val="19"/>
                <w:color w:val="auto"/>
              </w:rPr>
            </w:pPr>
          </w:p>
        </w:tc>
        <w:tc>
          <w:tcPr>
            <w:tcW w:w="600" w:type="dxa"/>
            <w:vAlign w:val="bottom"/>
            <w:gridSpan w:val="2"/>
            <w:shd w:val="clear" w:color="auto" w:fill="DDDDDD"/>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DDDDDD"/>
          </w:tcPr>
          <w:p>
            <w:pPr>
              <w:spacing w:after="0"/>
              <w:rPr>
                <w:sz w:val="19"/>
                <w:szCs w:val="19"/>
                <w:color w:val="auto"/>
              </w:rPr>
            </w:pPr>
          </w:p>
        </w:tc>
        <w:tc>
          <w:tcPr>
            <w:tcW w:w="1220" w:type="dxa"/>
            <w:vAlign w:val="bottom"/>
            <w:gridSpan w:val="2"/>
            <w:shd w:val="clear" w:color="auto" w:fill="DDDDDD"/>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321</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Reimbursement receivables charge</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00" w:type="dxa"/>
            <w:vAlign w:val="bottom"/>
            <w:shd w:val="clear" w:color="auto" w:fill="DDDDDD"/>
          </w:tcPr>
          <w:p>
            <w:pPr>
              <w:ind w:left="20"/>
              <w:spacing w:after="0"/>
              <w:rPr>
                <w:sz w:val="20"/>
                <w:szCs w:val="20"/>
                <w:color w:val="auto"/>
              </w:rPr>
            </w:pPr>
            <w:r>
              <w:rPr>
                <w:rFonts w:ascii="Arial" w:cs="Arial" w:eastAsia="Arial" w:hAnsi="Arial"/>
                <w:sz w:val="18"/>
                <w:szCs w:val="18"/>
                <w:color w:val="auto"/>
              </w:rPr>
              <w:t>Other (net)</w:t>
            </w:r>
          </w:p>
        </w:tc>
        <w:tc>
          <w:tcPr>
            <w:tcW w:w="940" w:type="dxa"/>
            <w:vAlign w:val="bottom"/>
            <w:tcBorders>
              <w:bottom w:val="single" w:sz="8" w:color="auto"/>
            </w:tcBorders>
            <w:shd w:val="clear" w:color="auto" w:fill="DDDDDD"/>
          </w:tcPr>
          <w:p>
            <w:pPr>
              <w:spacing w:after="0"/>
              <w:rPr>
                <w:sz w:val="19"/>
                <w:szCs w:val="19"/>
                <w:color w:val="auto"/>
              </w:rPr>
            </w:pPr>
          </w:p>
        </w:tc>
        <w:tc>
          <w:tcPr>
            <w:tcW w:w="5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DDDDDD"/>
          </w:tcPr>
          <w:p>
            <w:pPr>
              <w:spacing w:after="0"/>
              <w:rPr>
                <w:sz w:val="19"/>
                <w:szCs w:val="19"/>
                <w:color w:val="auto"/>
              </w:rPr>
            </w:pPr>
          </w:p>
        </w:tc>
        <w:tc>
          <w:tcPr>
            <w:tcW w:w="340" w:type="dxa"/>
            <w:vAlign w:val="bottom"/>
            <w:tcBorders>
              <w:bottom w:val="single" w:sz="8" w:color="auto"/>
            </w:tcBorders>
            <w:shd w:val="clear" w:color="auto" w:fill="DDDDDD"/>
          </w:tcPr>
          <w:p>
            <w:pPr>
              <w:spacing w:after="0"/>
              <w:rPr>
                <w:sz w:val="19"/>
                <w:szCs w:val="19"/>
                <w:color w:val="auto"/>
              </w:rPr>
            </w:pPr>
          </w:p>
        </w:tc>
        <w:tc>
          <w:tcPr>
            <w:tcW w:w="11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DDDDDD"/>
          </w:tcPr>
          <w:p>
            <w:pPr>
              <w:spacing w:after="0"/>
              <w:rPr>
                <w:sz w:val="19"/>
                <w:szCs w:val="19"/>
                <w:color w:val="auto"/>
              </w:rPr>
            </w:pPr>
          </w:p>
        </w:tc>
        <w:tc>
          <w:tcPr>
            <w:tcW w:w="340" w:type="dxa"/>
            <w:vAlign w:val="bottom"/>
            <w:tcBorders>
              <w:bottom w:val="single" w:sz="8" w:color="auto"/>
            </w:tcBorders>
            <w:shd w:val="clear" w:color="auto" w:fill="DDDDDD"/>
          </w:tcPr>
          <w:p>
            <w:pPr>
              <w:spacing w:after="0"/>
              <w:rPr>
                <w:sz w:val="19"/>
                <w:szCs w:val="19"/>
                <w:color w:val="auto"/>
              </w:rPr>
            </w:pPr>
          </w:p>
        </w:tc>
        <w:tc>
          <w:tcPr>
            <w:tcW w:w="11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57</w:t>
            </w:r>
          </w:p>
        </w:tc>
      </w:tr>
      <w:tr>
        <w:trPr>
          <w:trHeight w:val="223"/>
        </w:trPr>
        <w:tc>
          <w:tcPr>
            <w:tcW w:w="6700" w:type="dxa"/>
            <w:vAlign w:val="bottom"/>
          </w:tcPr>
          <w:p>
            <w:pPr>
              <w:spacing w:after="0"/>
              <w:rPr>
                <w:sz w:val="19"/>
                <w:szCs w:val="19"/>
                <w:color w:val="auto"/>
              </w:rPr>
            </w:pPr>
          </w:p>
        </w:tc>
        <w:tc>
          <w:tcPr>
            <w:tcW w:w="940" w:type="dxa"/>
            <w:vAlign w:val="bottom"/>
            <w:tcBorders>
              <w:bottom w:val="single" w:sz="8" w:color="auto"/>
            </w:tcBorders>
          </w:tcPr>
          <w:p>
            <w:pPr>
              <w:jc w:val="right"/>
              <w:ind w:right="73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(1,065)</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(1,149)</w:t>
            </w:r>
          </w:p>
        </w:tc>
      </w:tr>
      <w:tr>
        <w:trPr>
          <w:trHeight w:val="20"/>
        </w:trPr>
        <w:tc>
          <w:tcPr>
            <w:tcW w:w="67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Separation costs are associated with the spin-offs of the Company's Homes and Global Distribution business and Transportation Systems business, and are primarily associated with third party services.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on the reimbursement receivables related to Garrett, see Note 20 Commitments and Contingencies.</w:t>
      </w:r>
    </w:p>
    <w:p>
      <w:pPr>
        <w:spacing w:after="0" w:line="11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For the year ended December 31, 2018, Other (net) includes asset impairments in Corporate related to the write-down of a legacy property in connection with its planned disposition. See Note 4 Repositioning and Other Charges.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105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9"/>
          <w:szCs w:val="29"/>
          <w:b w:val="1"/>
          <w:bCs w:val="1"/>
          <w:color w:val="DC202E"/>
        </w:rPr>
        <w:t>NOTE 23. SEGMENT FINANCIAL DATA</w:t>
      </w:r>
    </w:p>
    <w:p>
      <w:pPr>
        <w:spacing w:after="0" w:line="15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Honeywell globally manages its business operations through four reportable operating segments. Segment information is consistent with how management reviews the businesses, makes investing and resource allocation decisions and assesses operating performance.</w:t>
      </w:r>
    </w:p>
    <w:p>
      <w:pPr>
        <w:spacing w:after="0" w:line="9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Honeywell’s senior management evaluates segment performance based on segment profit. Each segment’s profit is measured as segment income (loss) before taxes excluding general corporate unallocated expense, interest and other financial charges, stock compensation expense, pension and other postretirement income (expense), repositioning and other charges, and other items within Other (income) expense.</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00" w:type="dxa"/>
            <w:vAlign w:val="bottom"/>
          </w:tcPr>
          <w:p>
            <w:pPr>
              <w:spacing w:after="0"/>
              <w:rPr>
                <w:sz w:val="17"/>
                <w:szCs w:val="17"/>
                <w:color w:val="auto"/>
              </w:rPr>
            </w:pPr>
          </w:p>
        </w:tc>
        <w:tc>
          <w:tcPr>
            <w:tcW w:w="340" w:type="dxa"/>
            <w:vAlign w:val="bottom"/>
            <w:tcBorders>
              <w:bottom w:val="single" w:sz="8" w:color="DC202E"/>
            </w:tcBorders>
          </w:tcPr>
          <w:p>
            <w:pPr>
              <w:spacing w:after="0"/>
              <w:rPr>
                <w:sz w:val="17"/>
                <w:szCs w:val="17"/>
                <w:color w:val="auto"/>
              </w:rPr>
            </w:pPr>
          </w:p>
        </w:tc>
        <w:tc>
          <w:tcPr>
            <w:tcW w:w="3100" w:type="dxa"/>
            <w:vAlign w:val="bottom"/>
            <w:tcBorders>
              <w:bottom w:val="single" w:sz="8" w:color="DC202E"/>
            </w:tcBorders>
            <w:gridSpan w:val="6"/>
          </w:tcPr>
          <w:p>
            <w:pPr>
              <w:jc w:val="right"/>
              <w:ind w:right="170"/>
              <w:spacing w:after="0"/>
              <w:rPr>
                <w:sz w:val="20"/>
                <w:szCs w:val="20"/>
                <w:color w:val="auto"/>
              </w:rPr>
            </w:pPr>
            <w:r>
              <w:rPr>
                <w:rFonts w:ascii="Arial" w:cs="Arial" w:eastAsia="Arial" w:hAnsi="Arial"/>
                <w:sz w:val="14"/>
                <w:szCs w:val="14"/>
                <w:b w:val="1"/>
                <w:bCs w:val="1"/>
                <w:color w:val="auto"/>
              </w:rPr>
              <w:t>Years Ended December 31,</w:t>
            </w:r>
          </w:p>
        </w:tc>
        <w:tc>
          <w:tcPr>
            <w:tcW w:w="1100" w:type="dxa"/>
            <w:vAlign w:val="bottom"/>
            <w:tcBorders>
              <w:bottom w:val="single" w:sz="8" w:color="DC202E"/>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700" w:type="dxa"/>
            <w:vAlign w:val="bottom"/>
            <w:tcBorders>
              <w:bottom w:val="single" w:sz="8" w:color="DDDDDD"/>
            </w:tcBorders>
          </w:tcPr>
          <w:p>
            <w:pPr>
              <w:spacing w:after="0"/>
              <w:rPr>
                <w:sz w:val="21"/>
                <w:szCs w:val="21"/>
                <w:color w:val="auto"/>
              </w:rPr>
            </w:pPr>
          </w:p>
        </w:tc>
        <w:tc>
          <w:tcPr>
            <w:tcW w:w="340" w:type="dxa"/>
            <w:vAlign w:val="bottom"/>
            <w:tcBorders>
              <w:bottom w:val="single" w:sz="8" w:color="DC202E"/>
            </w:tcBorders>
          </w:tcPr>
          <w:p>
            <w:pPr>
              <w:spacing w:after="0"/>
              <w:rPr>
                <w:sz w:val="21"/>
                <w:szCs w:val="21"/>
                <w:color w:val="auto"/>
              </w:rPr>
            </w:pPr>
          </w:p>
        </w:tc>
        <w:tc>
          <w:tcPr>
            <w:tcW w:w="1100" w:type="dxa"/>
            <w:vAlign w:val="bottom"/>
            <w:tcBorders>
              <w:bottom w:val="single" w:sz="8" w:color="DC202E"/>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DDDDDD"/>
            </w:tcBorders>
          </w:tcPr>
          <w:p>
            <w:pPr>
              <w:spacing w:after="0"/>
              <w:rPr>
                <w:sz w:val="21"/>
                <w:szCs w:val="21"/>
                <w:color w:val="auto"/>
              </w:rPr>
            </w:pPr>
          </w:p>
        </w:tc>
        <w:tc>
          <w:tcPr>
            <w:tcW w:w="340" w:type="dxa"/>
            <w:vAlign w:val="bottom"/>
            <w:tcBorders>
              <w:bottom w:val="single" w:sz="8" w:color="DC202E"/>
            </w:tcBorders>
          </w:tcPr>
          <w:p>
            <w:pPr>
              <w:spacing w:after="0"/>
              <w:rPr>
                <w:sz w:val="21"/>
                <w:szCs w:val="21"/>
                <w:color w:val="auto"/>
              </w:rPr>
            </w:pPr>
          </w:p>
        </w:tc>
        <w:tc>
          <w:tcPr>
            <w:tcW w:w="1100" w:type="dxa"/>
            <w:vAlign w:val="bottom"/>
            <w:tcBorders>
              <w:bottom w:val="single" w:sz="8" w:color="DC202E"/>
            </w:tcBorders>
          </w:tcPr>
          <w:p>
            <w:pPr>
              <w:jc w:val="right"/>
              <w:ind w:right="47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DDDDDD"/>
            </w:tcBorders>
          </w:tcPr>
          <w:p>
            <w:pPr>
              <w:spacing w:after="0"/>
              <w:rPr>
                <w:sz w:val="21"/>
                <w:szCs w:val="21"/>
                <w:color w:val="auto"/>
              </w:rPr>
            </w:pPr>
          </w:p>
        </w:tc>
        <w:tc>
          <w:tcPr>
            <w:tcW w:w="340" w:type="dxa"/>
            <w:vAlign w:val="bottom"/>
            <w:tcBorders>
              <w:bottom w:val="single" w:sz="8" w:color="DC202E"/>
            </w:tcBorders>
          </w:tcPr>
          <w:p>
            <w:pPr>
              <w:spacing w:after="0"/>
              <w:rPr>
                <w:sz w:val="21"/>
                <w:szCs w:val="21"/>
                <w:color w:val="auto"/>
              </w:rPr>
            </w:pPr>
          </w:p>
        </w:tc>
        <w:tc>
          <w:tcPr>
            <w:tcW w:w="1100" w:type="dxa"/>
            <w:vAlign w:val="bottom"/>
            <w:tcBorders>
              <w:bottom w:val="single" w:sz="8" w:color="DC202E"/>
            </w:tcBorders>
          </w:tcPr>
          <w:p>
            <w:pPr>
              <w:jc w:val="right"/>
              <w:ind w:right="47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6"/>
        </w:trPr>
        <w:tc>
          <w:tcPr>
            <w:tcW w:w="6700" w:type="dxa"/>
            <w:vAlign w:val="bottom"/>
            <w:shd w:val="clear" w:color="auto" w:fill="DDDDDD"/>
          </w:tcPr>
          <w:p>
            <w:pPr>
              <w:ind w:left="20"/>
              <w:spacing w:after="0"/>
              <w:rPr>
                <w:sz w:val="20"/>
                <w:szCs w:val="20"/>
                <w:color w:val="auto"/>
              </w:rPr>
            </w:pPr>
            <w:r>
              <w:rPr>
                <w:rFonts w:ascii="Arial" w:cs="Arial" w:eastAsia="Arial" w:hAnsi="Arial"/>
                <w:sz w:val="18"/>
                <w:szCs w:val="18"/>
                <w:color w:val="auto"/>
              </w:rPr>
              <w:t>Net Sales</w:t>
            </w:r>
          </w:p>
        </w:tc>
        <w:tc>
          <w:tcPr>
            <w:tcW w:w="340" w:type="dxa"/>
            <w:vAlign w:val="bottom"/>
            <w:shd w:val="clear" w:color="auto" w:fill="DDDDDD"/>
          </w:tcPr>
          <w:p>
            <w:pPr>
              <w:spacing w:after="0"/>
              <w:rPr>
                <w:sz w:val="18"/>
                <w:szCs w:val="18"/>
                <w:color w:val="auto"/>
              </w:rPr>
            </w:pPr>
          </w:p>
        </w:tc>
        <w:tc>
          <w:tcPr>
            <w:tcW w:w="110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340" w:type="dxa"/>
            <w:vAlign w:val="bottom"/>
            <w:shd w:val="clear" w:color="auto" w:fill="DDDDDD"/>
          </w:tcPr>
          <w:p>
            <w:pPr>
              <w:spacing w:after="0"/>
              <w:rPr>
                <w:sz w:val="18"/>
                <w:szCs w:val="18"/>
                <w:color w:val="auto"/>
              </w:rPr>
            </w:pPr>
          </w:p>
        </w:tc>
        <w:tc>
          <w:tcPr>
            <w:tcW w:w="110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340" w:type="dxa"/>
            <w:vAlign w:val="bottom"/>
            <w:shd w:val="clear" w:color="auto" w:fill="DDDDDD"/>
          </w:tcPr>
          <w:p>
            <w:pPr>
              <w:spacing w:after="0"/>
              <w:rPr>
                <w:sz w:val="18"/>
                <w:szCs w:val="18"/>
                <w:color w:val="auto"/>
              </w:rPr>
            </w:pPr>
          </w:p>
        </w:tc>
        <w:tc>
          <w:tcPr>
            <w:tcW w:w="1100" w:type="dxa"/>
            <w:vAlign w:val="bottom"/>
            <w:shd w:val="clear" w:color="auto" w:fill="DDDDDD"/>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Aerospace</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DDDDDD"/>
          </w:tcPr>
          <w:p>
            <w:pPr>
              <w:ind w:left="360"/>
              <w:spacing w:after="0"/>
              <w:rPr>
                <w:sz w:val="20"/>
                <w:szCs w:val="20"/>
                <w:color w:val="auto"/>
              </w:rPr>
            </w:pPr>
            <w:r>
              <w:rPr>
                <w:rFonts w:ascii="Arial" w:cs="Arial" w:eastAsia="Arial" w:hAnsi="Arial"/>
                <w:sz w:val="18"/>
                <w:szCs w:val="18"/>
                <w:color w:val="auto"/>
              </w:rPr>
              <w:t>Product</w:t>
            </w:r>
          </w:p>
        </w:tc>
        <w:tc>
          <w:tcPr>
            <w:tcW w:w="34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7,194</w:t>
            </w:r>
          </w:p>
        </w:tc>
        <w:tc>
          <w:tcPr>
            <w:tcW w:w="100" w:type="dxa"/>
            <w:vAlign w:val="bottom"/>
            <w:shd w:val="clear" w:color="auto" w:fill="DDDDDD"/>
          </w:tcPr>
          <w:p>
            <w:pPr>
              <w:spacing w:after="0"/>
              <w:rPr>
                <w:sz w:val="19"/>
                <w:szCs w:val="19"/>
                <w:color w:val="auto"/>
              </w:rPr>
            </w:pPr>
          </w:p>
        </w:tc>
        <w:tc>
          <w:tcPr>
            <w:tcW w:w="3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8,766</w:t>
            </w:r>
          </w:p>
        </w:tc>
        <w:tc>
          <w:tcPr>
            <w:tcW w:w="120" w:type="dxa"/>
            <w:vAlign w:val="bottom"/>
            <w:shd w:val="clear" w:color="auto" w:fill="DDDDDD"/>
          </w:tcPr>
          <w:p>
            <w:pPr>
              <w:spacing w:after="0"/>
              <w:rPr>
                <w:sz w:val="19"/>
                <w:szCs w:val="19"/>
                <w:color w:val="auto"/>
              </w:rPr>
            </w:pPr>
          </w:p>
        </w:tc>
        <w:tc>
          <w:tcPr>
            <w:tcW w:w="3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10,415</w:t>
            </w:r>
          </w:p>
        </w:tc>
        <w:tc>
          <w:tcPr>
            <w:tcW w:w="0" w:type="dxa"/>
            <w:vAlign w:val="bottom"/>
          </w:tcPr>
          <w:p>
            <w:pPr>
              <w:spacing w:after="0"/>
              <w:rPr>
                <w:sz w:val="1"/>
                <w:szCs w:val="1"/>
                <w:color w:val="auto"/>
              </w:rPr>
            </w:pPr>
          </w:p>
        </w:tc>
      </w:tr>
      <w:tr>
        <w:trPr>
          <w:trHeight w:val="229"/>
        </w:trPr>
        <w:tc>
          <w:tcPr>
            <w:tcW w:w="6700" w:type="dxa"/>
            <w:vAlign w:val="bottom"/>
            <w:tcBorders>
              <w:bottom w:val="single" w:sz="8" w:color="DDDDDD"/>
            </w:tcBorders>
          </w:tcPr>
          <w:p>
            <w:pPr>
              <w:ind w:left="360"/>
              <w:spacing w:after="0"/>
              <w:rPr>
                <w:sz w:val="20"/>
                <w:szCs w:val="20"/>
                <w:color w:val="auto"/>
              </w:rPr>
            </w:pPr>
            <w:r>
              <w:rPr>
                <w:rFonts w:ascii="Arial" w:cs="Arial" w:eastAsia="Arial" w:hAnsi="Arial"/>
                <w:sz w:val="18"/>
                <w:szCs w:val="18"/>
                <w:color w:val="auto"/>
              </w:rPr>
              <w:t>Service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4,350</w:t>
            </w:r>
          </w:p>
        </w:tc>
        <w:tc>
          <w:tcPr>
            <w:tcW w:w="100" w:type="dxa"/>
            <w:vAlign w:val="bottom"/>
            <w:tcBorders>
              <w:bottom w:val="single" w:sz="8" w:color="DDDDDD"/>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5,288</w:t>
            </w:r>
          </w:p>
        </w:tc>
        <w:tc>
          <w:tcPr>
            <w:tcW w:w="120" w:type="dxa"/>
            <w:vAlign w:val="bottom"/>
            <w:tcBorders>
              <w:bottom w:val="single" w:sz="8" w:color="DDDDDD"/>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5,078</w:t>
            </w:r>
          </w:p>
        </w:tc>
        <w:tc>
          <w:tcPr>
            <w:tcW w:w="0" w:type="dxa"/>
            <w:vAlign w:val="bottom"/>
          </w:tcPr>
          <w:p>
            <w:pPr>
              <w:spacing w:after="0"/>
              <w:rPr>
                <w:sz w:val="1"/>
                <w:szCs w:val="1"/>
                <w:color w:val="auto"/>
              </w:rPr>
            </w:pPr>
          </w:p>
        </w:tc>
      </w:tr>
      <w:tr>
        <w:trPr>
          <w:trHeight w:val="223"/>
        </w:trPr>
        <w:tc>
          <w:tcPr>
            <w:tcW w:w="6700" w:type="dxa"/>
            <w:vAlign w:val="bottom"/>
            <w:shd w:val="clear" w:color="auto" w:fill="DDDDDD"/>
          </w:tcPr>
          <w:p>
            <w:pPr>
              <w:ind w:left="680"/>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11,544</w:t>
            </w:r>
          </w:p>
        </w:tc>
        <w:tc>
          <w:tcPr>
            <w:tcW w:w="10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14,054</w:t>
            </w:r>
          </w:p>
        </w:tc>
        <w:tc>
          <w:tcPr>
            <w:tcW w:w="12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15,493</w:t>
            </w: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Honeywell Building Technologies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DDDDDD"/>
          </w:tcPr>
          <w:p>
            <w:pPr>
              <w:ind w:left="360"/>
              <w:spacing w:after="0"/>
              <w:rPr>
                <w:sz w:val="20"/>
                <w:szCs w:val="20"/>
                <w:color w:val="auto"/>
              </w:rPr>
            </w:pPr>
            <w:r>
              <w:rPr>
                <w:rFonts w:ascii="Arial" w:cs="Arial" w:eastAsia="Arial" w:hAnsi="Arial"/>
                <w:sz w:val="18"/>
                <w:szCs w:val="18"/>
                <w:color w:val="auto"/>
              </w:rPr>
              <w:t>Product</w:t>
            </w: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3,868</w:t>
            </w:r>
          </w:p>
        </w:tc>
        <w:tc>
          <w:tcPr>
            <w:tcW w:w="10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4,395</w:t>
            </w:r>
          </w:p>
        </w:tc>
        <w:tc>
          <w:tcPr>
            <w:tcW w:w="12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7,868</w:t>
            </w:r>
          </w:p>
        </w:tc>
        <w:tc>
          <w:tcPr>
            <w:tcW w:w="0" w:type="dxa"/>
            <w:vAlign w:val="bottom"/>
          </w:tcPr>
          <w:p>
            <w:pPr>
              <w:spacing w:after="0"/>
              <w:rPr>
                <w:sz w:val="1"/>
                <w:szCs w:val="1"/>
                <w:color w:val="auto"/>
              </w:rPr>
            </w:pPr>
          </w:p>
        </w:tc>
      </w:tr>
      <w:tr>
        <w:trPr>
          <w:trHeight w:val="230"/>
        </w:trPr>
        <w:tc>
          <w:tcPr>
            <w:tcW w:w="6700" w:type="dxa"/>
            <w:vAlign w:val="bottom"/>
            <w:tcBorders>
              <w:bottom w:val="single" w:sz="8" w:color="DDDDDD"/>
            </w:tcBorders>
          </w:tcPr>
          <w:p>
            <w:pPr>
              <w:ind w:left="360"/>
              <w:spacing w:after="0"/>
              <w:rPr>
                <w:sz w:val="20"/>
                <w:szCs w:val="20"/>
                <w:color w:val="auto"/>
              </w:rPr>
            </w:pPr>
            <w:r>
              <w:rPr>
                <w:rFonts w:ascii="Arial" w:cs="Arial" w:eastAsia="Arial" w:hAnsi="Arial"/>
                <w:sz w:val="18"/>
                <w:szCs w:val="18"/>
                <w:color w:val="auto"/>
              </w:rPr>
              <w:t>Service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1,321</w:t>
            </w:r>
          </w:p>
        </w:tc>
        <w:tc>
          <w:tcPr>
            <w:tcW w:w="100" w:type="dxa"/>
            <w:vAlign w:val="bottom"/>
            <w:tcBorders>
              <w:bottom w:val="single" w:sz="8" w:color="DDDDDD"/>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1,322</w:t>
            </w:r>
          </w:p>
        </w:tc>
        <w:tc>
          <w:tcPr>
            <w:tcW w:w="120" w:type="dxa"/>
            <w:vAlign w:val="bottom"/>
            <w:tcBorders>
              <w:bottom w:val="single" w:sz="8" w:color="DDDDDD"/>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1,430</w:t>
            </w:r>
          </w:p>
        </w:tc>
        <w:tc>
          <w:tcPr>
            <w:tcW w:w="0" w:type="dxa"/>
            <w:vAlign w:val="bottom"/>
          </w:tcPr>
          <w:p>
            <w:pPr>
              <w:spacing w:after="0"/>
              <w:rPr>
                <w:sz w:val="1"/>
                <w:szCs w:val="1"/>
                <w:color w:val="auto"/>
              </w:rPr>
            </w:pPr>
          </w:p>
        </w:tc>
      </w:tr>
      <w:tr>
        <w:trPr>
          <w:trHeight w:val="223"/>
        </w:trPr>
        <w:tc>
          <w:tcPr>
            <w:tcW w:w="6700" w:type="dxa"/>
            <w:vAlign w:val="bottom"/>
            <w:shd w:val="clear" w:color="auto" w:fill="DDDDDD"/>
          </w:tcPr>
          <w:p>
            <w:pPr>
              <w:ind w:left="680"/>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5,189</w:t>
            </w:r>
          </w:p>
        </w:tc>
        <w:tc>
          <w:tcPr>
            <w:tcW w:w="10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5,717</w:t>
            </w:r>
          </w:p>
        </w:tc>
        <w:tc>
          <w:tcPr>
            <w:tcW w:w="12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9,298</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Performance Materials and Technologies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DDDDDD"/>
          </w:tcPr>
          <w:p>
            <w:pPr>
              <w:ind w:left="360"/>
              <w:spacing w:after="0"/>
              <w:rPr>
                <w:sz w:val="20"/>
                <w:szCs w:val="20"/>
                <w:color w:val="auto"/>
              </w:rPr>
            </w:pPr>
            <w:r>
              <w:rPr>
                <w:rFonts w:ascii="Arial" w:cs="Arial" w:eastAsia="Arial" w:hAnsi="Arial"/>
                <w:sz w:val="18"/>
                <w:szCs w:val="18"/>
                <w:color w:val="auto"/>
              </w:rPr>
              <w:t>Product</w:t>
            </w: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7,548</w:t>
            </w:r>
          </w:p>
        </w:tc>
        <w:tc>
          <w:tcPr>
            <w:tcW w:w="10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8,732</w:t>
            </w:r>
          </w:p>
        </w:tc>
        <w:tc>
          <w:tcPr>
            <w:tcW w:w="12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8,589</w:t>
            </w:r>
          </w:p>
        </w:tc>
        <w:tc>
          <w:tcPr>
            <w:tcW w:w="0" w:type="dxa"/>
            <w:vAlign w:val="bottom"/>
          </w:tcPr>
          <w:p>
            <w:pPr>
              <w:spacing w:after="0"/>
              <w:rPr>
                <w:sz w:val="1"/>
                <w:szCs w:val="1"/>
                <w:color w:val="auto"/>
              </w:rPr>
            </w:pPr>
          </w:p>
        </w:tc>
      </w:tr>
      <w:tr>
        <w:trPr>
          <w:trHeight w:val="230"/>
        </w:trPr>
        <w:tc>
          <w:tcPr>
            <w:tcW w:w="6700" w:type="dxa"/>
            <w:vAlign w:val="bottom"/>
            <w:tcBorders>
              <w:bottom w:val="single" w:sz="8" w:color="DDDDDD"/>
            </w:tcBorders>
          </w:tcPr>
          <w:p>
            <w:pPr>
              <w:ind w:left="360"/>
              <w:spacing w:after="0"/>
              <w:rPr>
                <w:sz w:val="20"/>
                <w:szCs w:val="20"/>
                <w:color w:val="auto"/>
              </w:rPr>
            </w:pPr>
            <w:r>
              <w:rPr>
                <w:rFonts w:ascii="Arial" w:cs="Arial" w:eastAsia="Arial" w:hAnsi="Arial"/>
                <w:sz w:val="18"/>
                <w:szCs w:val="18"/>
                <w:color w:val="auto"/>
              </w:rPr>
              <w:t>Service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1,875</w:t>
            </w:r>
          </w:p>
        </w:tc>
        <w:tc>
          <w:tcPr>
            <w:tcW w:w="100" w:type="dxa"/>
            <w:vAlign w:val="bottom"/>
            <w:tcBorders>
              <w:bottom w:val="single" w:sz="8" w:color="DDDDDD"/>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2,102</w:t>
            </w:r>
          </w:p>
        </w:tc>
        <w:tc>
          <w:tcPr>
            <w:tcW w:w="120" w:type="dxa"/>
            <w:vAlign w:val="bottom"/>
            <w:tcBorders>
              <w:bottom w:val="single" w:sz="8" w:color="DDDDDD"/>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2,085</w:t>
            </w:r>
          </w:p>
        </w:tc>
        <w:tc>
          <w:tcPr>
            <w:tcW w:w="0" w:type="dxa"/>
            <w:vAlign w:val="bottom"/>
          </w:tcPr>
          <w:p>
            <w:pPr>
              <w:spacing w:after="0"/>
              <w:rPr>
                <w:sz w:val="1"/>
                <w:szCs w:val="1"/>
                <w:color w:val="auto"/>
              </w:rPr>
            </w:pPr>
          </w:p>
        </w:tc>
      </w:tr>
      <w:tr>
        <w:trPr>
          <w:trHeight w:val="223"/>
        </w:trPr>
        <w:tc>
          <w:tcPr>
            <w:tcW w:w="6700" w:type="dxa"/>
            <w:vAlign w:val="bottom"/>
            <w:shd w:val="clear" w:color="auto" w:fill="DDDDDD"/>
          </w:tcPr>
          <w:p>
            <w:pPr>
              <w:ind w:left="680"/>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9,423</w:t>
            </w:r>
          </w:p>
        </w:tc>
        <w:tc>
          <w:tcPr>
            <w:tcW w:w="10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10,834</w:t>
            </w:r>
          </w:p>
        </w:tc>
        <w:tc>
          <w:tcPr>
            <w:tcW w:w="12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10,674</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Safety and Productivity Solutions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DDDDDD"/>
          </w:tcPr>
          <w:p>
            <w:pPr>
              <w:ind w:left="360"/>
              <w:spacing w:after="0"/>
              <w:rPr>
                <w:sz w:val="20"/>
                <w:szCs w:val="20"/>
                <w:color w:val="auto"/>
              </w:rPr>
            </w:pPr>
            <w:r>
              <w:rPr>
                <w:rFonts w:ascii="Arial" w:cs="Arial" w:eastAsia="Arial" w:hAnsi="Arial"/>
                <w:sz w:val="18"/>
                <w:szCs w:val="18"/>
                <w:color w:val="auto"/>
              </w:rPr>
              <w:t>Product</w:t>
            </w: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6,127</w:t>
            </w:r>
          </w:p>
        </w:tc>
        <w:tc>
          <w:tcPr>
            <w:tcW w:w="10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5,736</w:t>
            </w:r>
          </w:p>
        </w:tc>
        <w:tc>
          <w:tcPr>
            <w:tcW w:w="12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5,976</w:t>
            </w:r>
          </w:p>
        </w:tc>
        <w:tc>
          <w:tcPr>
            <w:tcW w:w="0" w:type="dxa"/>
            <w:vAlign w:val="bottom"/>
          </w:tcPr>
          <w:p>
            <w:pPr>
              <w:spacing w:after="0"/>
              <w:rPr>
                <w:sz w:val="1"/>
                <w:szCs w:val="1"/>
                <w:color w:val="auto"/>
              </w:rPr>
            </w:pPr>
          </w:p>
        </w:tc>
      </w:tr>
      <w:tr>
        <w:trPr>
          <w:trHeight w:val="229"/>
        </w:trPr>
        <w:tc>
          <w:tcPr>
            <w:tcW w:w="6700" w:type="dxa"/>
            <w:vAlign w:val="bottom"/>
            <w:tcBorders>
              <w:bottom w:val="single" w:sz="8" w:color="DDDDDD"/>
            </w:tcBorders>
          </w:tcPr>
          <w:p>
            <w:pPr>
              <w:ind w:left="360"/>
              <w:spacing w:after="0"/>
              <w:rPr>
                <w:sz w:val="20"/>
                <w:szCs w:val="20"/>
                <w:color w:val="auto"/>
              </w:rPr>
            </w:pPr>
            <w:r>
              <w:rPr>
                <w:rFonts w:ascii="Arial" w:cs="Arial" w:eastAsia="Arial" w:hAnsi="Arial"/>
                <w:sz w:val="18"/>
                <w:szCs w:val="18"/>
                <w:color w:val="auto"/>
              </w:rPr>
              <w:t>Service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Borders>
              <w:bottom w:val="single" w:sz="8" w:color="DDDDDD"/>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w:t>
            </w:r>
          </w:p>
        </w:tc>
        <w:tc>
          <w:tcPr>
            <w:tcW w:w="120" w:type="dxa"/>
            <w:vAlign w:val="bottom"/>
            <w:tcBorders>
              <w:bottom w:val="single" w:sz="8" w:color="DDDDDD"/>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23"/>
        </w:trPr>
        <w:tc>
          <w:tcPr>
            <w:tcW w:w="6700" w:type="dxa"/>
            <w:vAlign w:val="bottom"/>
            <w:shd w:val="clear" w:color="auto" w:fill="DDDDDD"/>
          </w:tcPr>
          <w:p>
            <w:pPr>
              <w:ind w:left="68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DDDDDD"/>
          </w:tcPr>
          <w:p>
            <w:pPr>
              <w:spacing w:after="0"/>
              <w:rPr>
                <w:sz w:val="19"/>
                <w:szCs w:val="19"/>
                <w:color w:val="auto"/>
              </w:rPr>
            </w:pPr>
          </w:p>
        </w:tc>
        <w:tc>
          <w:tcPr>
            <w:tcW w:w="11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6,481</w:t>
            </w:r>
          </w:p>
        </w:tc>
        <w:tc>
          <w:tcPr>
            <w:tcW w:w="100" w:type="dxa"/>
            <w:vAlign w:val="bottom"/>
            <w:shd w:val="clear" w:color="auto" w:fill="DDDDDD"/>
          </w:tcPr>
          <w:p>
            <w:pPr>
              <w:spacing w:after="0"/>
              <w:rPr>
                <w:sz w:val="19"/>
                <w:szCs w:val="19"/>
                <w:color w:val="auto"/>
              </w:rPr>
            </w:pPr>
          </w:p>
        </w:tc>
        <w:tc>
          <w:tcPr>
            <w:tcW w:w="340" w:type="dxa"/>
            <w:vAlign w:val="bottom"/>
            <w:tcBorders>
              <w:bottom w:val="single" w:sz="8" w:color="auto"/>
            </w:tcBorders>
            <w:shd w:val="clear" w:color="auto" w:fill="DDDDDD"/>
          </w:tcPr>
          <w:p>
            <w:pPr>
              <w:spacing w:after="0"/>
              <w:rPr>
                <w:sz w:val="19"/>
                <w:szCs w:val="19"/>
                <w:color w:val="auto"/>
              </w:rPr>
            </w:pPr>
          </w:p>
        </w:tc>
        <w:tc>
          <w:tcPr>
            <w:tcW w:w="11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6,104</w:t>
            </w:r>
          </w:p>
        </w:tc>
        <w:tc>
          <w:tcPr>
            <w:tcW w:w="120" w:type="dxa"/>
            <w:vAlign w:val="bottom"/>
            <w:shd w:val="clear" w:color="auto" w:fill="DDDDDD"/>
          </w:tcPr>
          <w:p>
            <w:pPr>
              <w:spacing w:after="0"/>
              <w:rPr>
                <w:sz w:val="19"/>
                <w:szCs w:val="19"/>
                <w:color w:val="auto"/>
              </w:rPr>
            </w:pPr>
          </w:p>
        </w:tc>
        <w:tc>
          <w:tcPr>
            <w:tcW w:w="340" w:type="dxa"/>
            <w:vAlign w:val="bottom"/>
            <w:tcBorders>
              <w:bottom w:val="single" w:sz="8" w:color="auto"/>
            </w:tcBorders>
            <w:shd w:val="clear" w:color="auto" w:fill="DDDDDD"/>
          </w:tcPr>
          <w:p>
            <w:pPr>
              <w:spacing w:after="0"/>
              <w:rPr>
                <w:sz w:val="19"/>
                <w:szCs w:val="19"/>
                <w:color w:val="auto"/>
              </w:rPr>
            </w:pPr>
          </w:p>
        </w:tc>
        <w:tc>
          <w:tcPr>
            <w:tcW w:w="11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6,337</w:t>
            </w:r>
          </w:p>
        </w:tc>
        <w:tc>
          <w:tcPr>
            <w:tcW w:w="0" w:type="dxa"/>
            <w:vAlign w:val="bottom"/>
          </w:tcPr>
          <w:p>
            <w:pPr>
              <w:spacing w:after="0"/>
              <w:rPr>
                <w:sz w:val="1"/>
                <w:szCs w:val="1"/>
                <w:color w:val="auto"/>
              </w:rPr>
            </w:pPr>
          </w:p>
        </w:tc>
      </w:tr>
      <w:tr>
        <w:trPr>
          <w:trHeight w:val="223"/>
        </w:trPr>
        <w:tc>
          <w:tcPr>
            <w:tcW w:w="67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32,637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36,709</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41,802</w:t>
            </w:r>
          </w:p>
        </w:tc>
        <w:tc>
          <w:tcPr>
            <w:tcW w:w="0" w:type="dxa"/>
            <w:vAlign w:val="bottom"/>
          </w:tcPr>
          <w:p>
            <w:pPr>
              <w:spacing w:after="0"/>
              <w:rPr>
                <w:sz w:val="1"/>
                <w:szCs w:val="1"/>
                <w:color w:val="auto"/>
              </w:rPr>
            </w:pPr>
          </w:p>
        </w:tc>
      </w:tr>
      <w:tr>
        <w:trPr>
          <w:trHeight w:val="20"/>
        </w:trPr>
        <w:tc>
          <w:tcPr>
            <w:tcW w:w="6700" w:type="dxa"/>
            <w:vAlign w:val="bottom"/>
            <w:tcBorders>
              <w:bottom w:val="single" w:sz="8" w:color="DDDDDD"/>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DDDDD"/>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DDDDD"/>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00" w:type="dxa"/>
            <w:vAlign w:val="bottom"/>
            <w:shd w:val="clear" w:color="auto" w:fill="DDDDDD"/>
          </w:tcPr>
          <w:p>
            <w:pPr>
              <w:ind w:left="20"/>
              <w:spacing w:after="0" w:line="196" w:lineRule="exact"/>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DDDDDD"/>
          </w:tcPr>
          <w:p>
            <w:pPr>
              <w:spacing w:after="0"/>
              <w:rPr>
                <w:sz w:val="17"/>
                <w:szCs w:val="17"/>
                <w:color w:val="auto"/>
              </w:rPr>
            </w:pPr>
          </w:p>
        </w:tc>
        <w:tc>
          <w:tcPr>
            <w:tcW w:w="110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340" w:type="dxa"/>
            <w:vAlign w:val="bottom"/>
            <w:shd w:val="clear" w:color="auto" w:fill="DDDDDD"/>
          </w:tcPr>
          <w:p>
            <w:pPr>
              <w:spacing w:after="0"/>
              <w:rPr>
                <w:sz w:val="17"/>
                <w:szCs w:val="17"/>
                <w:color w:val="auto"/>
              </w:rPr>
            </w:pPr>
          </w:p>
        </w:tc>
        <w:tc>
          <w:tcPr>
            <w:tcW w:w="110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340" w:type="dxa"/>
            <w:vAlign w:val="bottom"/>
            <w:shd w:val="clear" w:color="auto" w:fill="DDDDDD"/>
          </w:tcPr>
          <w:p>
            <w:pPr>
              <w:spacing w:after="0"/>
              <w:rPr>
                <w:sz w:val="17"/>
                <w:szCs w:val="17"/>
                <w:color w:val="auto"/>
              </w:rPr>
            </w:pPr>
          </w:p>
        </w:tc>
        <w:tc>
          <w:tcPr>
            <w:tcW w:w="1100" w:type="dxa"/>
            <w:vAlign w:val="bottom"/>
            <w:shd w:val="clear" w:color="auto" w:fill="DDDDDD"/>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360"/>
              <w:spacing w:after="0"/>
              <w:rPr>
                <w:sz w:val="20"/>
                <w:szCs w:val="20"/>
                <w:color w:val="auto"/>
              </w:rPr>
            </w:pPr>
            <w:r>
              <w:rPr>
                <w:rFonts w:ascii="Arial" w:cs="Arial" w:eastAsia="Arial" w:hAnsi="Arial"/>
                <w:sz w:val="18"/>
                <w:szCs w:val="18"/>
                <w:color w:val="auto"/>
              </w:rPr>
              <w:t>Aerospace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30"/>
        </w:trPr>
        <w:tc>
          <w:tcPr>
            <w:tcW w:w="6700" w:type="dxa"/>
            <w:vAlign w:val="bottom"/>
            <w:shd w:val="clear" w:color="auto" w:fill="DDDDDD"/>
          </w:tcPr>
          <w:p>
            <w:pPr>
              <w:ind w:left="360"/>
              <w:spacing w:after="0"/>
              <w:rPr>
                <w:sz w:val="20"/>
                <w:szCs w:val="20"/>
                <w:color w:val="auto"/>
              </w:rPr>
            </w:pPr>
            <w:r>
              <w:rPr>
                <w:rFonts w:ascii="Arial" w:cs="Arial" w:eastAsia="Arial" w:hAnsi="Arial"/>
                <w:sz w:val="18"/>
                <w:szCs w:val="18"/>
                <w:color w:val="auto"/>
              </w:rPr>
              <w:t>Honeywell Building Technologies</w:t>
            </w: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63</w:t>
            </w:r>
          </w:p>
        </w:tc>
        <w:tc>
          <w:tcPr>
            <w:tcW w:w="12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30"/>
        </w:trPr>
        <w:tc>
          <w:tcPr>
            <w:tcW w:w="6700" w:type="dxa"/>
            <w:vAlign w:val="bottom"/>
          </w:tcPr>
          <w:p>
            <w:pPr>
              <w:ind w:left="360"/>
              <w:spacing w:after="0"/>
              <w:rPr>
                <w:sz w:val="20"/>
                <w:szCs w:val="20"/>
                <w:color w:val="auto"/>
              </w:rPr>
            </w:pPr>
            <w:r>
              <w:rPr>
                <w:rFonts w:ascii="Arial" w:cs="Arial" w:eastAsia="Arial" w:hAnsi="Arial"/>
                <w:sz w:val="18"/>
                <w:szCs w:val="18"/>
                <w:color w:val="auto"/>
              </w:rPr>
              <w:t>Performance Materials and Technologies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29"/>
        </w:trPr>
        <w:tc>
          <w:tcPr>
            <w:tcW w:w="6700" w:type="dxa"/>
            <w:vAlign w:val="bottom"/>
            <w:shd w:val="clear" w:color="auto" w:fill="DDDDDD"/>
          </w:tcPr>
          <w:p>
            <w:pPr>
              <w:ind w:left="360"/>
              <w:spacing w:after="0"/>
              <w:rPr>
                <w:sz w:val="20"/>
                <w:szCs w:val="20"/>
                <w:color w:val="auto"/>
              </w:rPr>
            </w:pPr>
            <w:r>
              <w:rPr>
                <w:rFonts w:ascii="Arial" w:cs="Arial" w:eastAsia="Arial" w:hAnsi="Arial"/>
                <w:sz w:val="18"/>
                <w:szCs w:val="18"/>
                <w:color w:val="auto"/>
              </w:rPr>
              <w:t>Safety and Productivity Solutions</w:t>
            </w: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222</w:t>
            </w:r>
          </w:p>
        </w:tc>
        <w:tc>
          <w:tcPr>
            <w:tcW w:w="12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30"/>
        </w:trPr>
        <w:tc>
          <w:tcPr>
            <w:tcW w:w="6700" w:type="dxa"/>
            <w:vAlign w:val="bottom"/>
            <w:tcBorders>
              <w:bottom w:val="single" w:sz="8" w:color="DDDDDD"/>
            </w:tcBorders>
          </w:tcPr>
          <w:p>
            <w:pPr>
              <w:ind w:left="360"/>
              <w:spacing w:after="0"/>
              <w:rPr>
                <w:sz w:val="20"/>
                <w:szCs w:val="20"/>
                <w:color w:val="auto"/>
              </w:rPr>
            </w:pPr>
            <w:r>
              <w:rPr>
                <w:rFonts w:ascii="Arial" w:cs="Arial" w:eastAsia="Arial" w:hAnsi="Arial"/>
                <w:sz w:val="18"/>
                <w:szCs w:val="18"/>
                <w:color w:val="auto"/>
              </w:rPr>
              <w:t>Corporate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DDDDDD"/>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DDDDDD"/>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48"/>
        </w:trPr>
        <w:tc>
          <w:tcPr>
            <w:tcW w:w="6700" w:type="dxa"/>
            <w:vAlign w:val="bottom"/>
            <w:tcBorders>
              <w:bottom w:val="single" w:sz="8" w:color="DDDDDD"/>
            </w:tcBorders>
            <w:shd w:val="clear" w:color="auto" w:fill="DDDDDD"/>
          </w:tcPr>
          <w:p>
            <w:pPr>
              <w:spacing w:after="0"/>
              <w:rPr>
                <w:sz w:val="21"/>
                <w:szCs w:val="21"/>
                <w:color w:val="auto"/>
              </w:rPr>
            </w:pPr>
          </w:p>
        </w:tc>
        <w:tc>
          <w:tcPr>
            <w:tcW w:w="340" w:type="dxa"/>
            <w:vAlign w:val="bottom"/>
            <w:tcBorders>
              <w:bottom w:val="single" w:sz="8" w:color="auto"/>
            </w:tcBorders>
            <w:shd w:val="clear" w:color="auto" w:fill="DDDDDD"/>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1,003</w:t>
            </w:r>
          </w:p>
        </w:tc>
        <w:tc>
          <w:tcPr>
            <w:tcW w:w="100" w:type="dxa"/>
            <w:vAlign w:val="bottom"/>
            <w:tcBorders>
              <w:bottom w:val="single" w:sz="8" w:color="DDDDDD"/>
            </w:tcBorders>
            <w:shd w:val="clear" w:color="auto" w:fill="DDDDDD"/>
          </w:tcPr>
          <w:p>
            <w:pPr>
              <w:spacing w:after="0"/>
              <w:rPr>
                <w:sz w:val="21"/>
                <w:szCs w:val="21"/>
                <w:color w:val="auto"/>
              </w:rPr>
            </w:pPr>
          </w:p>
        </w:tc>
        <w:tc>
          <w:tcPr>
            <w:tcW w:w="340" w:type="dxa"/>
            <w:vAlign w:val="bottom"/>
            <w:tcBorders>
              <w:bottom w:val="single" w:sz="8" w:color="auto"/>
            </w:tcBorders>
            <w:shd w:val="clear" w:color="auto" w:fill="DDDDDD"/>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1,088</w:t>
            </w:r>
          </w:p>
        </w:tc>
        <w:tc>
          <w:tcPr>
            <w:tcW w:w="120" w:type="dxa"/>
            <w:vAlign w:val="bottom"/>
            <w:tcBorders>
              <w:bottom w:val="single" w:sz="8" w:color="DDDDDD"/>
            </w:tcBorders>
            <w:shd w:val="clear" w:color="auto" w:fill="DDDDDD"/>
          </w:tcPr>
          <w:p>
            <w:pPr>
              <w:spacing w:after="0"/>
              <w:rPr>
                <w:sz w:val="21"/>
                <w:szCs w:val="21"/>
                <w:color w:val="auto"/>
              </w:rPr>
            </w:pPr>
          </w:p>
        </w:tc>
        <w:tc>
          <w:tcPr>
            <w:tcW w:w="340" w:type="dxa"/>
            <w:vAlign w:val="bottom"/>
            <w:tcBorders>
              <w:bottom w:val="single" w:sz="8" w:color="auto"/>
            </w:tcBorders>
            <w:shd w:val="clear" w:color="auto" w:fill="DDDDDD"/>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r>
        <w:trPr>
          <w:trHeight w:val="20"/>
        </w:trPr>
        <w:tc>
          <w:tcPr>
            <w:tcW w:w="6700" w:type="dxa"/>
            <w:vAlign w:val="bottom"/>
            <w:tcBorders>
              <w:top w:val="single" w:sz="8" w:color="DDDDDD"/>
              <w:bottom w:val="single" w:sz="8" w:color="DDDDDD"/>
            </w:tcBorders>
            <w:vMerge w:val="restart"/>
          </w:tcPr>
          <w:p>
            <w:pPr>
              <w:ind w:left="20"/>
              <w:spacing w:after="0"/>
              <w:rPr>
                <w:sz w:val="20"/>
                <w:szCs w:val="20"/>
                <w:color w:val="auto"/>
              </w:rPr>
            </w:pPr>
            <w:r>
              <w:rPr>
                <w:rFonts w:ascii="Arial" w:cs="Arial" w:eastAsia="Arial" w:hAnsi="Arial"/>
                <w:sz w:val="18"/>
                <w:szCs w:val="18"/>
                <w:color w:val="auto"/>
              </w:rPr>
              <w:t>Segment Profit</w:t>
            </w:r>
          </w:p>
        </w:tc>
        <w:tc>
          <w:tcPr>
            <w:tcW w:w="340" w:type="dxa"/>
            <w:vAlign w:val="bottom"/>
            <w:tcBorders>
              <w:top w:val="single" w:sz="8" w:color="DDDDDD"/>
              <w:bottom w:val="single" w:sz="8" w:color="auto"/>
            </w:tcBorders>
          </w:tcPr>
          <w:p>
            <w:pPr>
              <w:spacing w:after="0" w:line="20" w:lineRule="exact"/>
              <w:rPr>
                <w:sz w:val="1"/>
                <w:szCs w:val="1"/>
                <w:color w:val="auto"/>
              </w:rPr>
            </w:pPr>
          </w:p>
        </w:tc>
        <w:tc>
          <w:tcPr>
            <w:tcW w:w="1100" w:type="dxa"/>
            <w:vAlign w:val="bottom"/>
            <w:tcBorders>
              <w:top w:val="single" w:sz="8" w:color="DDDDDD"/>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340" w:type="dxa"/>
            <w:vAlign w:val="bottom"/>
            <w:tcBorders>
              <w:top w:val="single" w:sz="8" w:color="DDDDDD"/>
              <w:bottom w:val="single" w:sz="8" w:color="auto"/>
            </w:tcBorders>
          </w:tcPr>
          <w:p>
            <w:pPr>
              <w:spacing w:after="0" w:line="20" w:lineRule="exact"/>
              <w:rPr>
                <w:sz w:val="1"/>
                <w:szCs w:val="1"/>
                <w:color w:val="auto"/>
              </w:rPr>
            </w:pPr>
          </w:p>
        </w:tc>
        <w:tc>
          <w:tcPr>
            <w:tcW w:w="1100" w:type="dxa"/>
            <w:vAlign w:val="bottom"/>
            <w:tcBorders>
              <w:top w:val="single" w:sz="8" w:color="DDDDDD"/>
              <w:bottom w:val="single" w:sz="8" w:color="auto"/>
            </w:tcBorders>
          </w:tcPr>
          <w:p>
            <w:pPr>
              <w:spacing w:after="0" w:line="20" w:lineRule="exact"/>
              <w:rPr>
                <w:sz w:val="1"/>
                <w:szCs w:val="1"/>
                <w:color w:val="auto"/>
              </w:rPr>
            </w:pPr>
          </w:p>
        </w:tc>
        <w:tc>
          <w:tcPr>
            <w:tcW w:w="120" w:type="dxa"/>
            <w:vAlign w:val="bottom"/>
            <w:tcBorders>
              <w:top w:val="single" w:sz="8" w:color="DDDDDD"/>
            </w:tcBorders>
          </w:tcPr>
          <w:p>
            <w:pPr>
              <w:spacing w:after="0" w:line="20" w:lineRule="exact"/>
              <w:rPr>
                <w:sz w:val="1"/>
                <w:szCs w:val="1"/>
                <w:color w:val="auto"/>
              </w:rPr>
            </w:pPr>
          </w:p>
        </w:tc>
        <w:tc>
          <w:tcPr>
            <w:tcW w:w="340" w:type="dxa"/>
            <w:vAlign w:val="bottom"/>
            <w:tcBorders>
              <w:top w:val="single" w:sz="8" w:color="DDDDDD"/>
              <w:bottom w:val="single" w:sz="8" w:color="auto"/>
            </w:tcBorders>
          </w:tcPr>
          <w:p>
            <w:pPr>
              <w:spacing w:after="0" w:line="20" w:lineRule="exact"/>
              <w:rPr>
                <w:sz w:val="1"/>
                <w:szCs w:val="1"/>
                <w:color w:val="auto"/>
              </w:rPr>
            </w:pPr>
          </w:p>
        </w:tc>
        <w:tc>
          <w:tcPr>
            <w:tcW w:w="1100" w:type="dxa"/>
            <w:vAlign w:val="bottom"/>
            <w:tcBorders>
              <w:top w:val="single" w:sz="8" w:color="DDDDD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7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DDDDDD"/>
          </w:tcPr>
          <w:p>
            <w:pPr>
              <w:ind w:left="360"/>
              <w:spacing w:after="0"/>
              <w:rPr>
                <w:sz w:val="20"/>
                <w:szCs w:val="20"/>
                <w:color w:val="auto"/>
              </w:rPr>
            </w:pPr>
            <w:r>
              <w:rPr>
                <w:rFonts w:ascii="Arial" w:cs="Arial" w:eastAsia="Arial" w:hAnsi="Arial"/>
                <w:sz w:val="18"/>
                <w:szCs w:val="18"/>
                <w:color w:val="auto"/>
              </w:rPr>
              <w:t>Aerospace</w:t>
            </w:r>
          </w:p>
        </w:tc>
        <w:tc>
          <w:tcPr>
            <w:tcW w:w="34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2,904</w:t>
            </w:r>
          </w:p>
        </w:tc>
        <w:tc>
          <w:tcPr>
            <w:tcW w:w="100" w:type="dxa"/>
            <w:vAlign w:val="bottom"/>
            <w:shd w:val="clear" w:color="auto" w:fill="DDDDDD"/>
          </w:tcPr>
          <w:p>
            <w:pPr>
              <w:spacing w:after="0"/>
              <w:rPr>
                <w:sz w:val="19"/>
                <w:szCs w:val="19"/>
                <w:color w:val="auto"/>
              </w:rPr>
            </w:pPr>
          </w:p>
        </w:tc>
        <w:tc>
          <w:tcPr>
            <w:tcW w:w="3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3,607</w:t>
            </w:r>
          </w:p>
        </w:tc>
        <w:tc>
          <w:tcPr>
            <w:tcW w:w="120" w:type="dxa"/>
            <w:vAlign w:val="bottom"/>
            <w:shd w:val="clear" w:color="auto" w:fill="DDDDDD"/>
          </w:tcPr>
          <w:p>
            <w:pPr>
              <w:spacing w:after="0"/>
              <w:rPr>
                <w:sz w:val="19"/>
                <w:szCs w:val="19"/>
                <w:color w:val="auto"/>
              </w:rPr>
            </w:pPr>
          </w:p>
        </w:tc>
        <w:tc>
          <w:tcPr>
            <w:tcW w:w="3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3,503</w:t>
            </w:r>
          </w:p>
        </w:tc>
        <w:tc>
          <w:tcPr>
            <w:tcW w:w="0" w:type="dxa"/>
            <w:vAlign w:val="bottom"/>
          </w:tcPr>
          <w:p>
            <w:pPr>
              <w:spacing w:after="0"/>
              <w:rPr>
                <w:sz w:val="1"/>
                <w:szCs w:val="1"/>
                <w:color w:val="auto"/>
              </w:rPr>
            </w:pPr>
          </w:p>
        </w:tc>
      </w:tr>
      <w:tr>
        <w:trPr>
          <w:trHeight w:val="229"/>
        </w:trPr>
        <w:tc>
          <w:tcPr>
            <w:tcW w:w="6700" w:type="dxa"/>
            <w:vAlign w:val="bottom"/>
          </w:tcPr>
          <w:p>
            <w:pPr>
              <w:ind w:left="360"/>
              <w:spacing w:after="0"/>
              <w:rPr>
                <w:sz w:val="20"/>
                <w:szCs w:val="20"/>
                <w:color w:val="auto"/>
              </w:rPr>
            </w:pPr>
            <w:r>
              <w:rPr>
                <w:rFonts w:ascii="Arial" w:cs="Arial" w:eastAsia="Arial" w:hAnsi="Arial"/>
                <w:sz w:val="18"/>
                <w:szCs w:val="18"/>
                <w:color w:val="auto"/>
              </w:rPr>
              <w:t>Honeywell Building Technologies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1,165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1,608</w:t>
            </w:r>
          </w:p>
        </w:tc>
        <w:tc>
          <w:tcPr>
            <w:tcW w:w="0" w:type="dxa"/>
            <w:vAlign w:val="bottom"/>
          </w:tcPr>
          <w:p>
            <w:pPr>
              <w:spacing w:after="0"/>
              <w:rPr>
                <w:sz w:val="1"/>
                <w:szCs w:val="1"/>
                <w:color w:val="auto"/>
              </w:rPr>
            </w:pPr>
          </w:p>
        </w:tc>
      </w:tr>
      <w:tr>
        <w:trPr>
          <w:trHeight w:val="230"/>
        </w:trPr>
        <w:tc>
          <w:tcPr>
            <w:tcW w:w="6700" w:type="dxa"/>
            <w:vAlign w:val="bottom"/>
            <w:shd w:val="clear" w:color="auto" w:fill="DDDDDD"/>
          </w:tcPr>
          <w:p>
            <w:pPr>
              <w:ind w:left="360"/>
              <w:spacing w:after="0"/>
              <w:rPr>
                <w:sz w:val="20"/>
                <w:szCs w:val="20"/>
                <w:color w:val="auto"/>
              </w:rPr>
            </w:pPr>
            <w:r>
              <w:rPr>
                <w:rFonts w:ascii="Arial" w:cs="Arial" w:eastAsia="Arial" w:hAnsi="Arial"/>
                <w:sz w:val="18"/>
                <w:szCs w:val="18"/>
                <w:color w:val="auto"/>
              </w:rPr>
              <w:t>Performance Materials and Technologies</w:t>
            </w: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1,851</w:t>
            </w:r>
          </w:p>
        </w:tc>
        <w:tc>
          <w:tcPr>
            <w:tcW w:w="10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2,433</w:t>
            </w:r>
          </w:p>
        </w:tc>
        <w:tc>
          <w:tcPr>
            <w:tcW w:w="12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2,328</w:t>
            </w:r>
          </w:p>
        </w:tc>
        <w:tc>
          <w:tcPr>
            <w:tcW w:w="0" w:type="dxa"/>
            <w:vAlign w:val="bottom"/>
          </w:tcPr>
          <w:p>
            <w:pPr>
              <w:spacing w:after="0"/>
              <w:rPr>
                <w:sz w:val="1"/>
                <w:szCs w:val="1"/>
                <w:color w:val="auto"/>
              </w:rPr>
            </w:pPr>
          </w:p>
        </w:tc>
      </w:tr>
      <w:tr>
        <w:trPr>
          <w:trHeight w:val="230"/>
        </w:trPr>
        <w:tc>
          <w:tcPr>
            <w:tcW w:w="6700" w:type="dxa"/>
            <w:vAlign w:val="bottom"/>
          </w:tcPr>
          <w:p>
            <w:pPr>
              <w:ind w:left="360"/>
              <w:spacing w:after="0"/>
              <w:rPr>
                <w:sz w:val="20"/>
                <w:szCs w:val="20"/>
                <w:color w:val="auto"/>
              </w:rPr>
            </w:pPr>
            <w:r>
              <w:rPr>
                <w:rFonts w:ascii="Arial" w:cs="Arial" w:eastAsia="Arial" w:hAnsi="Arial"/>
                <w:sz w:val="18"/>
                <w:szCs w:val="18"/>
                <w:color w:val="auto"/>
              </w:rPr>
              <w:t>Safety and Productivity Solutions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1,032</w:t>
            </w:r>
          </w:p>
        </w:tc>
        <w:tc>
          <w:tcPr>
            <w:tcW w:w="0" w:type="dxa"/>
            <w:vAlign w:val="bottom"/>
          </w:tcPr>
          <w:p>
            <w:pPr>
              <w:spacing w:after="0"/>
              <w:rPr>
                <w:sz w:val="1"/>
                <w:szCs w:val="1"/>
                <w:color w:val="auto"/>
              </w:rPr>
            </w:pPr>
          </w:p>
        </w:tc>
      </w:tr>
      <w:tr>
        <w:trPr>
          <w:trHeight w:val="230"/>
        </w:trPr>
        <w:tc>
          <w:tcPr>
            <w:tcW w:w="6700" w:type="dxa"/>
            <w:vAlign w:val="bottom"/>
            <w:shd w:val="clear" w:color="auto" w:fill="DDDDDD"/>
          </w:tcPr>
          <w:p>
            <w:pPr>
              <w:ind w:left="360"/>
              <w:spacing w:after="0"/>
              <w:rPr>
                <w:sz w:val="20"/>
                <w:szCs w:val="20"/>
                <w:color w:val="auto"/>
              </w:rPr>
            </w:pPr>
            <w:r>
              <w:rPr>
                <w:rFonts w:ascii="Arial" w:cs="Arial" w:eastAsia="Arial" w:hAnsi="Arial"/>
                <w:sz w:val="18"/>
                <w:szCs w:val="18"/>
                <w:color w:val="auto"/>
              </w:rPr>
              <w:t>Corporate</w:t>
            </w:r>
          </w:p>
        </w:tc>
        <w:tc>
          <w:tcPr>
            <w:tcW w:w="340" w:type="dxa"/>
            <w:vAlign w:val="bottom"/>
            <w:tcBorders>
              <w:bottom w:val="single" w:sz="8" w:color="auto"/>
            </w:tcBorders>
            <w:shd w:val="clear" w:color="auto" w:fill="DDDDDD"/>
          </w:tcPr>
          <w:p>
            <w:pPr>
              <w:spacing w:after="0"/>
              <w:rPr>
                <w:sz w:val="19"/>
                <w:szCs w:val="19"/>
                <w:color w:val="auto"/>
              </w:rPr>
            </w:pPr>
          </w:p>
        </w:tc>
        <w:tc>
          <w:tcPr>
            <w:tcW w:w="11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DDDDDD"/>
          </w:tcPr>
          <w:p>
            <w:pPr>
              <w:spacing w:after="0"/>
              <w:rPr>
                <w:sz w:val="19"/>
                <w:szCs w:val="19"/>
                <w:color w:val="auto"/>
              </w:rPr>
            </w:pPr>
          </w:p>
        </w:tc>
        <w:tc>
          <w:tcPr>
            <w:tcW w:w="340" w:type="dxa"/>
            <w:vAlign w:val="bottom"/>
            <w:tcBorders>
              <w:bottom w:val="single" w:sz="8" w:color="auto"/>
            </w:tcBorders>
            <w:shd w:val="clear" w:color="auto" w:fill="DDDDDD"/>
          </w:tcPr>
          <w:p>
            <w:pPr>
              <w:spacing w:after="0"/>
              <w:rPr>
                <w:sz w:val="19"/>
                <w:szCs w:val="19"/>
                <w:color w:val="auto"/>
              </w:rPr>
            </w:pPr>
          </w:p>
        </w:tc>
        <w:tc>
          <w:tcPr>
            <w:tcW w:w="11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(256)</w:t>
            </w:r>
          </w:p>
        </w:tc>
        <w:tc>
          <w:tcPr>
            <w:tcW w:w="120" w:type="dxa"/>
            <w:vAlign w:val="bottom"/>
            <w:shd w:val="clear" w:color="auto" w:fill="DDDDDD"/>
          </w:tcPr>
          <w:p>
            <w:pPr>
              <w:spacing w:after="0"/>
              <w:rPr>
                <w:sz w:val="19"/>
                <w:szCs w:val="19"/>
                <w:color w:val="auto"/>
              </w:rPr>
            </w:pPr>
          </w:p>
        </w:tc>
        <w:tc>
          <w:tcPr>
            <w:tcW w:w="340" w:type="dxa"/>
            <w:vAlign w:val="bottom"/>
            <w:tcBorders>
              <w:bottom w:val="single" w:sz="8" w:color="auto"/>
            </w:tcBorders>
            <w:shd w:val="clear" w:color="auto" w:fill="DDDDDD"/>
          </w:tcPr>
          <w:p>
            <w:pPr>
              <w:spacing w:after="0"/>
              <w:rPr>
                <w:sz w:val="19"/>
                <w:szCs w:val="19"/>
                <w:color w:val="auto"/>
              </w:rPr>
            </w:pPr>
          </w:p>
        </w:tc>
        <w:tc>
          <w:tcPr>
            <w:tcW w:w="11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23"/>
        </w:trPr>
        <w:tc>
          <w:tcPr>
            <w:tcW w:w="67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7,739</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8,190</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106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00" w:type="dxa"/>
            <w:vAlign w:val="bottom"/>
          </w:tcPr>
          <w:p>
            <w:pPr>
              <w:spacing w:after="0"/>
              <w:rPr>
                <w:sz w:val="17"/>
                <w:szCs w:val="17"/>
                <w:color w:val="auto"/>
              </w:rPr>
            </w:pPr>
          </w:p>
        </w:tc>
        <w:tc>
          <w:tcPr>
            <w:tcW w:w="340" w:type="dxa"/>
            <w:vAlign w:val="bottom"/>
            <w:tcBorders>
              <w:bottom w:val="single" w:sz="8" w:color="DC202E"/>
            </w:tcBorders>
          </w:tcPr>
          <w:p>
            <w:pPr>
              <w:spacing w:after="0"/>
              <w:rPr>
                <w:sz w:val="17"/>
                <w:szCs w:val="17"/>
                <w:color w:val="auto"/>
              </w:rPr>
            </w:pPr>
          </w:p>
        </w:tc>
        <w:tc>
          <w:tcPr>
            <w:tcW w:w="3100" w:type="dxa"/>
            <w:vAlign w:val="bottom"/>
            <w:tcBorders>
              <w:bottom w:val="single" w:sz="8" w:color="DC202E"/>
            </w:tcBorders>
            <w:gridSpan w:val="6"/>
          </w:tcPr>
          <w:p>
            <w:pPr>
              <w:jc w:val="center"/>
              <w:ind w:left="653"/>
              <w:spacing w:after="0"/>
              <w:rPr>
                <w:sz w:val="20"/>
                <w:szCs w:val="20"/>
                <w:color w:val="auto"/>
              </w:rPr>
            </w:pPr>
            <w:r>
              <w:rPr>
                <w:rFonts w:ascii="Arial" w:cs="Arial" w:eastAsia="Arial" w:hAnsi="Arial"/>
                <w:sz w:val="14"/>
                <w:szCs w:val="14"/>
                <w:b w:val="1"/>
                <w:bCs w:val="1"/>
                <w:color w:val="auto"/>
              </w:rPr>
              <w:t>Years Ended December 31,</w:t>
            </w:r>
          </w:p>
        </w:tc>
        <w:tc>
          <w:tcPr>
            <w:tcW w:w="1100" w:type="dxa"/>
            <w:vAlign w:val="bottom"/>
            <w:tcBorders>
              <w:bottom w:val="single" w:sz="8" w:color="DC202E"/>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700" w:type="dxa"/>
            <w:vAlign w:val="bottom"/>
            <w:tcBorders>
              <w:bottom w:val="single" w:sz="8" w:color="DDDDDD"/>
            </w:tcBorders>
          </w:tcPr>
          <w:p>
            <w:pPr>
              <w:spacing w:after="0"/>
              <w:rPr>
                <w:sz w:val="21"/>
                <w:szCs w:val="21"/>
                <w:color w:val="auto"/>
              </w:rPr>
            </w:pPr>
          </w:p>
        </w:tc>
        <w:tc>
          <w:tcPr>
            <w:tcW w:w="340" w:type="dxa"/>
            <w:vAlign w:val="bottom"/>
            <w:tcBorders>
              <w:bottom w:val="single" w:sz="8" w:color="DC202E"/>
            </w:tcBorders>
          </w:tcPr>
          <w:p>
            <w:pPr>
              <w:spacing w:after="0"/>
              <w:rPr>
                <w:sz w:val="21"/>
                <w:szCs w:val="21"/>
                <w:color w:val="auto"/>
              </w:rPr>
            </w:pPr>
          </w:p>
        </w:tc>
        <w:tc>
          <w:tcPr>
            <w:tcW w:w="1100" w:type="dxa"/>
            <w:vAlign w:val="bottom"/>
            <w:tcBorders>
              <w:bottom w:val="single" w:sz="8" w:color="DC202E"/>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DDDDDD"/>
            </w:tcBorders>
          </w:tcPr>
          <w:p>
            <w:pPr>
              <w:spacing w:after="0"/>
              <w:rPr>
                <w:sz w:val="21"/>
                <w:szCs w:val="21"/>
                <w:color w:val="auto"/>
              </w:rPr>
            </w:pPr>
          </w:p>
        </w:tc>
        <w:tc>
          <w:tcPr>
            <w:tcW w:w="340" w:type="dxa"/>
            <w:vAlign w:val="bottom"/>
            <w:tcBorders>
              <w:bottom w:val="single" w:sz="8" w:color="DC202E"/>
            </w:tcBorders>
          </w:tcPr>
          <w:p>
            <w:pPr>
              <w:spacing w:after="0"/>
              <w:rPr>
                <w:sz w:val="21"/>
                <w:szCs w:val="21"/>
                <w:color w:val="auto"/>
              </w:rPr>
            </w:pPr>
          </w:p>
        </w:tc>
        <w:tc>
          <w:tcPr>
            <w:tcW w:w="1100" w:type="dxa"/>
            <w:vAlign w:val="bottom"/>
            <w:tcBorders>
              <w:bottom w:val="single" w:sz="8" w:color="DC202E"/>
            </w:tcBorders>
          </w:tcPr>
          <w:p>
            <w:pPr>
              <w:jc w:val="center"/>
              <w:ind w:right="2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DDDDDD"/>
            </w:tcBorders>
          </w:tcPr>
          <w:p>
            <w:pPr>
              <w:spacing w:after="0"/>
              <w:rPr>
                <w:sz w:val="21"/>
                <w:szCs w:val="21"/>
                <w:color w:val="auto"/>
              </w:rPr>
            </w:pPr>
          </w:p>
        </w:tc>
        <w:tc>
          <w:tcPr>
            <w:tcW w:w="340" w:type="dxa"/>
            <w:vAlign w:val="bottom"/>
            <w:tcBorders>
              <w:bottom w:val="single" w:sz="8" w:color="DC202E"/>
            </w:tcBorders>
          </w:tcPr>
          <w:p>
            <w:pPr>
              <w:spacing w:after="0"/>
              <w:rPr>
                <w:sz w:val="21"/>
                <w:szCs w:val="21"/>
                <w:color w:val="auto"/>
              </w:rPr>
            </w:pPr>
          </w:p>
        </w:tc>
        <w:tc>
          <w:tcPr>
            <w:tcW w:w="1100" w:type="dxa"/>
            <w:vAlign w:val="bottom"/>
            <w:tcBorders>
              <w:bottom w:val="single" w:sz="8" w:color="DC202E"/>
            </w:tcBorders>
          </w:tcPr>
          <w:p>
            <w:pPr>
              <w:jc w:val="right"/>
              <w:ind w:right="47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6"/>
        </w:trPr>
        <w:tc>
          <w:tcPr>
            <w:tcW w:w="6700" w:type="dxa"/>
            <w:vAlign w:val="bottom"/>
            <w:shd w:val="clear" w:color="auto" w:fill="DDDDDD"/>
          </w:tcPr>
          <w:p>
            <w:pPr>
              <w:ind w:left="20"/>
              <w:spacing w:after="0"/>
              <w:rPr>
                <w:sz w:val="20"/>
                <w:szCs w:val="20"/>
                <w:color w:val="auto"/>
              </w:rPr>
            </w:pPr>
            <w:r>
              <w:rPr>
                <w:rFonts w:ascii="Arial" w:cs="Arial" w:eastAsia="Arial" w:hAnsi="Arial"/>
                <w:sz w:val="18"/>
                <w:szCs w:val="18"/>
                <w:color w:val="auto"/>
              </w:rPr>
              <w:t>Capital expenditures</w:t>
            </w:r>
          </w:p>
        </w:tc>
        <w:tc>
          <w:tcPr>
            <w:tcW w:w="340" w:type="dxa"/>
            <w:vAlign w:val="bottom"/>
            <w:shd w:val="clear" w:color="auto" w:fill="DDDDDD"/>
          </w:tcPr>
          <w:p>
            <w:pPr>
              <w:spacing w:after="0"/>
              <w:rPr>
                <w:sz w:val="18"/>
                <w:szCs w:val="18"/>
                <w:color w:val="auto"/>
              </w:rPr>
            </w:pPr>
          </w:p>
        </w:tc>
        <w:tc>
          <w:tcPr>
            <w:tcW w:w="110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340" w:type="dxa"/>
            <w:vAlign w:val="bottom"/>
            <w:shd w:val="clear" w:color="auto" w:fill="DDDDDD"/>
          </w:tcPr>
          <w:p>
            <w:pPr>
              <w:spacing w:after="0"/>
              <w:rPr>
                <w:sz w:val="18"/>
                <w:szCs w:val="18"/>
                <w:color w:val="auto"/>
              </w:rPr>
            </w:pPr>
          </w:p>
        </w:tc>
        <w:tc>
          <w:tcPr>
            <w:tcW w:w="110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340" w:type="dxa"/>
            <w:vAlign w:val="bottom"/>
            <w:shd w:val="clear" w:color="auto" w:fill="DDDDDD"/>
          </w:tcPr>
          <w:p>
            <w:pPr>
              <w:spacing w:after="0"/>
              <w:rPr>
                <w:sz w:val="18"/>
                <w:szCs w:val="18"/>
                <w:color w:val="auto"/>
              </w:rPr>
            </w:pPr>
          </w:p>
        </w:tc>
        <w:tc>
          <w:tcPr>
            <w:tcW w:w="1100" w:type="dxa"/>
            <w:vAlign w:val="bottom"/>
            <w:shd w:val="clear" w:color="auto" w:fill="DDDDDD"/>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360"/>
              <w:spacing w:after="0"/>
              <w:rPr>
                <w:sz w:val="20"/>
                <w:szCs w:val="20"/>
                <w:color w:val="auto"/>
              </w:rPr>
            </w:pPr>
            <w:r>
              <w:rPr>
                <w:rFonts w:ascii="Arial" w:cs="Arial" w:eastAsia="Arial" w:hAnsi="Arial"/>
                <w:sz w:val="18"/>
                <w:szCs w:val="18"/>
                <w:color w:val="auto"/>
              </w:rPr>
              <w:t>Aerospace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30"/>
        </w:trPr>
        <w:tc>
          <w:tcPr>
            <w:tcW w:w="6700" w:type="dxa"/>
            <w:vAlign w:val="bottom"/>
            <w:shd w:val="clear" w:color="auto" w:fill="DDDDDD"/>
          </w:tcPr>
          <w:p>
            <w:pPr>
              <w:ind w:left="360"/>
              <w:spacing w:after="0"/>
              <w:rPr>
                <w:sz w:val="20"/>
                <w:szCs w:val="20"/>
                <w:color w:val="auto"/>
              </w:rPr>
            </w:pPr>
            <w:r>
              <w:rPr>
                <w:rFonts w:ascii="Arial" w:cs="Arial" w:eastAsia="Arial" w:hAnsi="Arial"/>
                <w:sz w:val="18"/>
                <w:szCs w:val="18"/>
                <w:color w:val="auto"/>
              </w:rPr>
              <w:t>Honeywell Building Technologies</w:t>
            </w: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29"/>
        </w:trPr>
        <w:tc>
          <w:tcPr>
            <w:tcW w:w="6700" w:type="dxa"/>
            <w:vAlign w:val="bottom"/>
          </w:tcPr>
          <w:p>
            <w:pPr>
              <w:ind w:left="360"/>
              <w:spacing w:after="0"/>
              <w:rPr>
                <w:sz w:val="20"/>
                <w:szCs w:val="20"/>
                <w:color w:val="auto"/>
              </w:rPr>
            </w:pPr>
            <w:r>
              <w:rPr>
                <w:rFonts w:ascii="Arial" w:cs="Arial" w:eastAsia="Arial" w:hAnsi="Arial"/>
                <w:sz w:val="18"/>
                <w:szCs w:val="18"/>
                <w:color w:val="auto"/>
              </w:rPr>
              <w:t>Performance Materials and Technologies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29"/>
        </w:trPr>
        <w:tc>
          <w:tcPr>
            <w:tcW w:w="6700" w:type="dxa"/>
            <w:vAlign w:val="bottom"/>
            <w:shd w:val="clear" w:color="auto" w:fill="DDDDDD"/>
          </w:tcPr>
          <w:p>
            <w:pPr>
              <w:ind w:left="360"/>
              <w:spacing w:after="0"/>
              <w:rPr>
                <w:sz w:val="20"/>
                <w:szCs w:val="20"/>
                <w:color w:val="auto"/>
              </w:rPr>
            </w:pPr>
            <w:r>
              <w:rPr>
                <w:rFonts w:ascii="Arial" w:cs="Arial" w:eastAsia="Arial" w:hAnsi="Arial"/>
                <w:sz w:val="18"/>
                <w:szCs w:val="18"/>
                <w:color w:val="auto"/>
              </w:rPr>
              <w:t>Safety and Productivity Solutions</w:t>
            </w: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288</w:t>
            </w:r>
          </w:p>
        </w:tc>
        <w:tc>
          <w:tcPr>
            <w:tcW w:w="10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30"/>
        </w:trPr>
        <w:tc>
          <w:tcPr>
            <w:tcW w:w="6700" w:type="dxa"/>
            <w:vAlign w:val="bottom"/>
            <w:tcBorders>
              <w:bottom w:val="single" w:sz="8" w:color="DDDDDD"/>
            </w:tcBorders>
          </w:tcPr>
          <w:p>
            <w:pPr>
              <w:ind w:left="360"/>
              <w:spacing w:after="0"/>
              <w:rPr>
                <w:sz w:val="20"/>
                <w:szCs w:val="20"/>
                <w:color w:val="auto"/>
              </w:rPr>
            </w:pPr>
            <w:r>
              <w:rPr>
                <w:rFonts w:ascii="Arial" w:cs="Arial" w:eastAsia="Arial" w:hAnsi="Arial"/>
                <w:sz w:val="18"/>
                <w:szCs w:val="18"/>
                <w:color w:val="auto"/>
              </w:rPr>
              <w:t>Corporate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DDDDDD"/>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DDDDDD"/>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48"/>
        </w:trPr>
        <w:tc>
          <w:tcPr>
            <w:tcW w:w="6700" w:type="dxa"/>
            <w:vAlign w:val="bottom"/>
            <w:tcBorders>
              <w:bottom w:val="single" w:sz="8" w:color="DDDDDD"/>
            </w:tcBorders>
            <w:shd w:val="clear" w:color="auto" w:fill="DDDDDD"/>
          </w:tcPr>
          <w:p>
            <w:pPr>
              <w:spacing w:after="0"/>
              <w:rPr>
                <w:sz w:val="21"/>
                <w:szCs w:val="21"/>
                <w:color w:val="auto"/>
              </w:rPr>
            </w:pPr>
          </w:p>
        </w:tc>
        <w:tc>
          <w:tcPr>
            <w:tcW w:w="340" w:type="dxa"/>
            <w:vAlign w:val="bottom"/>
            <w:tcBorders>
              <w:bottom w:val="single" w:sz="8" w:color="auto"/>
            </w:tcBorders>
            <w:shd w:val="clear" w:color="auto" w:fill="DDDDDD"/>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906</w:t>
            </w:r>
          </w:p>
        </w:tc>
        <w:tc>
          <w:tcPr>
            <w:tcW w:w="100" w:type="dxa"/>
            <w:vAlign w:val="bottom"/>
            <w:tcBorders>
              <w:bottom w:val="single" w:sz="8" w:color="DDDDDD"/>
            </w:tcBorders>
            <w:shd w:val="clear" w:color="auto" w:fill="DDDDDD"/>
          </w:tcPr>
          <w:p>
            <w:pPr>
              <w:spacing w:after="0"/>
              <w:rPr>
                <w:sz w:val="21"/>
                <w:szCs w:val="21"/>
                <w:color w:val="auto"/>
              </w:rPr>
            </w:pPr>
          </w:p>
        </w:tc>
        <w:tc>
          <w:tcPr>
            <w:tcW w:w="340" w:type="dxa"/>
            <w:vAlign w:val="bottom"/>
            <w:tcBorders>
              <w:bottom w:val="single" w:sz="8" w:color="auto"/>
            </w:tcBorders>
            <w:shd w:val="clear" w:color="auto" w:fill="DDDDDD"/>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839</w:t>
            </w:r>
          </w:p>
        </w:tc>
        <w:tc>
          <w:tcPr>
            <w:tcW w:w="120" w:type="dxa"/>
            <w:vAlign w:val="bottom"/>
            <w:tcBorders>
              <w:bottom w:val="single" w:sz="8" w:color="DDDDDD"/>
            </w:tcBorders>
            <w:shd w:val="clear" w:color="auto" w:fill="DDDDDD"/>
          </w:tcPr>
          <w:p>
            <w:pPr>
              <w:spacing w:after="0"/>
              <w:rPr>
                <w:sz w:val="21"/>
                <w:szCs w:val="21"/>
                <w:color w:val="auto"/>
              </w:rPr>
            </w:pPr>
          </w:p>
        </w:tc>
        <w:tc>
          <w:tcPr>
            <w:tcW w:w="340" w:type="dxa"/>
            <w:vAlign w:val="bottom"/>
            <w:tcBorders>
              <w:bottom w:val="single" w:sz="8" w:color="auto"/>
            </w:tcBorders>
            <w:shd w:val="clear" w:color="auto" w:fill="DDDDDD"/>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0"/>
        </w:trPr>
        <w:tc>
          <w:tcPr>
            <w:tcW w:w="6700" w:type="dxa"/>
            <w:vAlign w:val="bottom"/>
            <w:tcBorders>
              <w:top w:val="single" w:sz="8" w:color="DDDDDD"/>
              <w:bottom w:val="single" w:sz="8" w:color="DDDDDD"/>
            </w:tcBorders>
            <w:vMerge w:val="restart"/>
          </w:tcPr>
          <w:p>
            <w:pPr>
              <w:ind w:left="20"/>
              <w:spacing w:after="0"/>
              <w:rPr>
                <w:sz w:val="20"/>
                <w:szCs w:val="20"/>
                <w:color w:val="auto"/>
              </w:rPr>
            </w:pPr>
            <w:r>
              <w:rPr>
                <w:rFonts w:ascii="Arial" w:cs="Arial" w:eastAsia="Arial" w:hAnsi="Arial"/>
                <w:sz w:val="18"/>
                <w:szCs w:val="18"/>
                <w:color w:val="auto"/>
              </w:rPr>
              <w:t>Total Assets</w:t>
            </w:r>
          </w:p>
        </w:tc>
        <w:tc>
          <w:tcPr>
            <w:tcW w:w="340" w:type="dxa"/>
            <w:vAlign w:val="bottom"/>
            <w:tcBorders>
              <w:top w:val="single" w:sz="8" w:color="DDDDDD"/>
              <w:bottom w:val="single" w:sz="8" w:color="auto"/>
            </w:tcBorders>
          </w:tcPr>
          <w:p>
            <w:pPr>
              <w:spacing w:after="0" w:line="20" w:lineRule="exact"/>
              <w:rPr>
                <w:sz w:val="1"/>
                <w:szCs w:val="1"/>
                <w:color w:val="auto"/>
              </w:rPr>
            </w:pPr>
          </w:p>
        </w:tc>
        <w:tc>
          <w:tcPr>
            <w:tcW w:w="1100" w:type="dxa"/>
            <w:vAlign w:val="bottom"/>
            <w:tcBorders>
              <w:top w:val="single" w:sz="8" w:color="DDDDDD"/>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340" w:type="dxa"/>
            <w:vAlign w:val="bottom"/>
            <w:tcBorders>
              <w:top w:val="single" w:sz="8" w:color="DDDDDD"/>
              <w:bottom w:val="single" w:sz="8" w:color="auto"/>
            </w:tcBorders>
          </w:tcPr>
          <w:p>
            <w:pPr>
              <w:spacing w:after="0" w:line="20" w:lineRule="exact"/>
              <w:rPr>
                <w:sz w:val="1"/>
                <w:szCs w:val="1"/>
                <w:color w:val="auto"/>
              </w:rPr>
            </w:pPr>
          </w:p>
        </w:tc>
        <w:tc>
          <w:tcPr>
            <w:tcW w:w="1100" w:type="dxa"/>
            <w:vAlign w:val="bottom"/>
            <w:tcBorders>
              <w:top w:val="single" w:sz="8" w:color="DDDDDD"/>
              <w:bottom w:val="single" w:sz="8" w:color="auto"/>
            </w:tcBorders>
          </w:tcPr>
          <w:p>
            <w:pPr>
              <w:spacing w:after="0" w:line="20" w:lineRule="exact"/>
              <w:rPr>
                <w:sz w:val="1"/>
                <w:szCs w:val="1"/>
                <w:color w:val="auto"/>
              </w:rPr>
            </w:pPr>
          </w:p>
        </w:tc>
        <w:tc>
          <w:tcPr>
            <w:tcW w:w="120" w:type="dxa"/>
            <w:vAlign w:val="bottom"/>
            <w:tcBorders>
              <w:top w:val="single" w:sz="8" w:color="DDDDDD"/>
            </w:tcBorders>
          </w:tcPr>
          <w:p>
            <w:pPr>
              <w:spacing w:after="0" w:line="20" w:lineRule="exact"/>
              <w:rPr>
                <w:sz w:val="1"/>
                <w:szCs w:val="1"/>
                <w:color w:val="auto"/>
              </w:rPr>
            </w:pPr>
          </w:p>
        </w:tc>
        <w:tc>
          <w:tcPr>
            <w:tcW w:w="340" w:type="dxa"/>
            <w:vAlign w:val="bottom"/>
            <w:tcBorders>
              <w:top w:val="single" w:sz="8" w:color="DDDDDD"/>
              <w:bottom w:val="single" w:sz="8" w:color="auto"/>
            </w:tcBorders>
          </w:tcPr>
          <w:p>
            <w:pPr>
              <w:spacing w:after="0" w:line="20" w:lineRule="exact"/>
              <w:rPr>
                <w:sz w:val="1"/>
                <w:szCs w:val="1"/>
                <w:color w:val="auto"/>
              </w:rPr>
            </w:pPr>
          </w:p>
        </w:tc>
        <w:tc>
          <w:tcPr>
            <w:tcW w:w="1100" w:type="dxa"/>
            <w:vAlign w:val="bottom"/>
            <w:tcBorders>
              <w:top w:val="single" w:sz="8" w:color="DDDDD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7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DDDDDD"/>
          </w:tcPr>
          <w:p>
            <w:pPr>
              <w:ind w:left="360"/>
              <w:spacing w:after="0"/>
              <w:rPr>
                <w:sz w:val="20"/>
                <w:szCs w:val="20"/>
                <w:color w:val="auto"/>
              </w:rPr>
            </w:pPr>
            <w:r>
              <w:rPr>
                <w:rFonts w:ascii="Arial" w:cs="Arial" w:eastAsia="Arial" w:hAnsi="Arial"/>
                <w:sz w:val="18"/>
                <w:szCs w:val="18"/>
                <w:color w:val="auto"/>
              </w:rPr>
              <w:t>Aerospace</w:t>
            </w:r>
          </w:p>
        </w:tc>
        <w:tc>
          <w:tcPr>
            <w:tcW w:w="34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11,035</w:t>
            </w:r>
          </w:p>
        </w:tc>
        <w:tc>
          <w:tcPr>
            <w:tcW w:w="100" w:type="dxa"/>
            <w:vAlign w:val="bottom"/>
            <w:shd w:val="clear" w:color="auto" w:fill="DDDDDD"/>
          </w:tcPr>
          <w:p>
            <w:pPr>
              <w:spacing w:after="0"/>
              <w:rPr>
                <w:sz w:val="19"/>
                <w:szCs w:val="19"/>
                <w:color w:val="auto"/>
              </w:rPr>
            </w:pPr>
          </w:p>
        </w:tc>
        <w:tc>
          <w:tcPr>
            <w:tcW w:w="3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11,378</w:t>
            </w:r>
          </w:p>
        </w:tc>
        <w:tc>
          <w:tcPr>
            <w:tcW w:w="120" w:type="dxa"/>
            <w:vAlign w:val="bottom"/>
            <w:shd w:val="clear" w:color="auto" w:fill="DDDDDD"/>
          </w:tcPr>
          <w:p>
            <w:pPr>
              <w:spacing w:after="0"/>
              <w:rPr>
                <w:sz w:val="19"/>
                <w:szCs w:val="19"/>
                <w:color w:val="auto"/>
              </w:rPr>
            </w:pPr>
          </w:p>
        </w:tc>
        <w:tc>
          <w:tcPr>
            <w:tcW w:w="3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11,234</w:t>
            </w:r>
          </w:p>
        </w:tc>
        <w:tc>
          <w:tcPr>
            <w:tcW w:w="0" w:type="dxa"/>
            <w:vAlign w:val="bottom"/>
          </w:tcPr>
          <w:p>
            <w:pPr>
              <w:spacing w:after="0"/>
              <w:rPr>
                <w:sz w:val="1"/>
                <w:szCs w:val="1"/>
                <w:color w:val="auto"/>
              </w:rPr>
            </w:pPr>
          </w:p>
        </w:tc>
      </w:tr>
      <w:tr>
        <w:trPr>
          <w:trHeight w:val="230"/>
        </w:trPr>
        <w:tc>
          <w:tcPr>
            <w:tcW w:w="6700" w:type="dxa"/>
            <w:vAlign w:val="bottom"/>
          </w:tcPr>
          <w:p>
            <w:pPr>
              <w:ind w:left="360"/>
              <w:spacing w:after="0"/>
              <w:rPr>
                <w:sz w:val="20"/>
                <w:szCs w:val="20"/>
                <w:color w:val="auto"/>
              </w:rPr>
            </w:pPr>
            <w:r>
              <w:rPr>
                <w:rFonts w:ascii="Arial" w:cs="Arial" w:eastAsia="Arial" w:hAnsi="Arial"/>
                <w:sz w:val="18"/>
                <w:szCs w:val="18"/>
                <w:color w:val="auto"/>
              </w:rPr>
              <w:t>Honeywell Building Technologies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5,968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6,010</w:t>
            </w:r>
          </w:p>
        </w:tc>
        <w:tc>
          <w:tcPr>
            <w:tcW w:w="0" w:type="dxa"/>
            <w:vAlign w:val="bottom"/>
          </w:tcPr>
          <w:p>
            <w:pPr>
              <w:spacing w:after="0"/>
              <w:rPr>
                <w:sz w:val="1"/>
                <w:szCs w:val="1"/>
                <w:color w:val="auto"/>
              </w:rPr>
            </w:pPr>
          </w:p>
        </w:tc>
      </w:tr>
      <w:tr>
        <w:trPr>
          <w:trHeight w:val="229"/>
        </w:trPr>
        <w:tc>
          <w:tcPr>
            <w:tcW w:w="6700" w:type="dxa"/>
            <w:vAlign w:val="bottom"/>
            <w:shd w:val="clear" w:color="auto" w:fill="DDDDDD"/>
          </w:tcPr>
          <w:p>
            <w:pPr>
              <w:ind w:left="360"/>
              <w:spacing w:after="0"/>
              <w:rPr>
                <w:sz w:val="20"/>
                <w:szCs w:val="20"/>
                <w:color w:val="auto"/>
              </w:rPr>
            </w:pPr>
            <w:r>
              <w:rPr>
                <w:rFonts w:ascii="Arial" w:cs="Arial" w:eastAsia="Arial" w:hAnsi="Arial"/>
                <w:sz w:val="18"/>
                <w:szCs w:val="18"/>
                <w:color w:val="auto"/>
              </w:rPr>
              <w:t>Performance Materials and Technologies</w:t>
            </w: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16,772</w:t>
            </w:r>
          </w:p>
        </w:tc>
        <w:tc>
          <w:tcPr>
            <w:tcW w:w="10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16,888</w:t>
            </w:r>
          </w:p>
        </w:tc>
        <w:tc>
          <w:tcPr>
            <w:tcW w:w="12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17,827</w:t>
            </w:r>
          </w:p>
        </w:tc>
        <w:tc>
          <w:tcPr>
            <w:tcW w:w="0" w:type="dxa"/>
            <w:vAlign w:val="bottom"/>
          </w:tcPr>
          <w:p>
            <w:pPr>
              <w:spacing w:after="0"/>
              <w:rPr>
                <w:sz w:val="1"/>
                <w:szCs w:val="1"/>
                <w:color w:val="auto"/>
              </w:rPr>
            </w:pPr>
          </w:p>
        </w:tc>
      </w:tr>
      <w:tr>
        <w:trPr>
          <w:trHeight w:val="230"/>
        </w:trPr>
        <w:tc>
          <w:tcPr>
            <w:tcW w:w="6700" w:type="dxa"/>
            <w:vAlign w:val="bottom"/>
          </w:tcPr>
          <w:p>
            <w:pPr>
              <w:ind w:left="360"/>
              <w:spacing w:after="0"/>
              <w:rPr>
                <w:sz w:val="20"/>
                <w:szCs w:val="20"/>
                <w:color w:val="auto"/>
              </w:rPr>
            </w:pPr>
            <w:r>
              <w:rPr>
                <w:rFonts w:ascii="Arial" w:cs="Arial" w:eastAsia="Arial" w:hAnsi="Arial"/>
                <w:sz w:val="18"/>
                <w:szCs w:val="18"/>
                <w:color w:val="auto"/>
              </w:rPr>
              <w:t>Safety and Productivity Solutions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10,640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9,888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9,886</w:t>
            </w:r>
          </w:p>
        </w:tc>
        <w:tc>
          <w:tcPr>
            <w:tcW w:w="0" w:type="dxa"/>
            <w:vAlign w:val="bottom"/>
          </w:tcPr>
          <w:p>
            <w:pPr>
              <w:spacing w:after="0"/>
              <w:rPr>
                <w:sz w:val="1"/>
                <w:szCs w:val="1"/>
                <w:color w:val="auto"/>
              </w:rPr>
            </w:pPr>
          </w:p>
        </w:tc>
      </w:tr>
      <w:tr>
        <w:trPr>
          <w:trHeight w:val="229"/>
        </w:trPr>
        <w:tc>
          <w:tcPr>
            <w:tcW w:w="6700" w:type="dxa"/>
            <w:vAlign w:val="bottom"/>
            <w:shd w:val="clear" w:color="auto" w:fill="DDDDDD"/>
          </w:tcPr>
          <w:p>
            <w:pPr>
              <w:ind w:left="360"/>
              <w:spacing w:after="0"/>
              <w:rPr>
                <w:sz w:val="20"/>
                <w:szCs w:val="20"/>
                <w:color w:val="auto"/>
              </w:rPr>
            </w:pPr>
            <w:r>
              <w:rPr>
                <w:rFonts w:ascii="Arial" w:cs="Arial" w:eastAsia="Arial" w:hAnsi="Arial"/>
                <w:sz w:val="18"/>
                <w:szCs w:val="18"/>
                <w:color w:val="auto"/>
              </w:rPr>
              <w:t>Corporate</w:t>
            </w:r>
          </w:p>
        </w:tc>
        <w:tc>
          <w:tcPr>
            <w:tcW w:w="340" w:type="dxa"/>
            <w:vAlign w:val="bottom"/>
            <w:tcBorders>
              <w:bottom w:val="single" w:sz="8" w:color="auto"/>
            </w:tcBorders>
            <w:shd w:val="clear" w:color="auto" w:fill="DDDDDD"/>
          </w:tcPr>
          <w:p>
            <w:pPr>
              <w:spacing w:after="0"/>
              <w:rPr>
                <w:sz w:val="19"/>
                <w:szCs w:val="19"/>
                <w:color w:val="auto"/>
              </w:rPr>
            </w:pPr>
          </w:p>
        </w:tc>
        <w:tc>
          <w:tcPr>
            <w:tcW w:w="11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19,788</w:t>
            </w:r>
          </w:p>
        </w:tc>
        <w:tc>
          <w:tcPr>
            <w:tcW w:w="100" w:type="dxa"/>
            <w:vAlign w:val="bottom"/>
            <w:shd w:val="clear" w:color="auto" w:fill="DDDDDD"/>
          </w:tcPr>
          <w:p>
            <w:pPr>
              <w:spacing w:after="0"/>
              <w:rPr>
                <w:sz w:val="19"/>
                <w:szCs w:val="19"/>
                <w:color w:val="auto"/>
              </w:rPr>
            </w:pPr>
          </w:p>
        </w:tc>
        <w:tc>
          <w:tcPr>
            <w:tcW w:w="340" w:type="dxa"/>
            <w:vAlign w:val="bottom"/>
            <w:tcBorders>
              <w:bottom w:val="single" w:sz="8" w:color="auto"/>
            </w:tcBorders>
            <w:shd w:val="clear" w:color="auto" w:fill="DDDDDD"/>
          </w:tcPr>
          <w:p>
            <w:pPr>
              <w:spacing w:after="0"/>
              <w:rPr>
                <w:sz w:val="19"/>
                <w:szCs w:val="19"/>
                <w:color w:val="auto"/>
              </w:rPr>
            </w:pPr>
          </w:p>
        </w:tc>
        <w:tc>
          <w:tcPr>
            <w:tcW w:w="11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14,557</w:t>
            </w:r>
          </w:p>
        </w:tc>
        <w:tc>
          <w:tcPr>
            <w:tcW w:w="120" w:type="dxa"/>
            <w:vAlign w:val="bottom"/>
            <w:shd w:val="clear" w:color="auto" w:fill="DDDDDD"/>
          </w:tcPr>
          <w:p>
            <w:pPr>
              <w:spacing w:after="0"/>
              <w:rPr>
                <w:sz w:val="19"/>
                <w:szCs w:val="19"/>
                <w:color w:val="auto"/>
              </w:rPr>
            </w:pPr>
          </w:p>
        </w:tc>
        <w:tc>
          <w:tcPr>
            <w:tcW w:w="340" w:type="dxa"/>
            <w:vAlign w:val="bottom"/>
            <w:tcBorders>
              <w:bottom w:val="single" w:sz="8" w:color="auto"/>
            </w:tcBorders>
            <w:shd w:val="clear" w:color="auto" w:fill="DDDDDD"/>
          </w:tcPr>
          <w:p>
            <w:pPr>
              <w:spacing w:after="0"/>
              <w:rPr>
                <w:sz w:val="19"/>
                <w:szCs w:val="19"/>
                <w:color w:val="auto"/>
              </w:rPr>
            </w:pPr>
          </w:p>
        </w:tc>
        <w:tc>
          <w:tcPr>
            <w:tcW w:w="11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12,816</w:t>
            </w:r>
          </w:p>
        </w:tc>
        <w:tc>
          <w:tcPr>
            <w:tcW w:w="0" w:type="dxa"/>
            <w:vAlign w:val="bottom"/>
          </w:tcPr>
          <w:p>
            <w:pPr>
              <w:spacing w:after="0"/>
              <w:rPr>
                <w:sz w:val="1"/>
                <w:szCs w:val="1"/>
                <w:color w:val="auto"/>
              </w:rPr>
            </w:pPr>
          </w:p>
        </w:tc>
      </w:tr>
      <w:tr>
        <w:trPr>
          <w:trHeight w:val="223"/>
        </w:trPr>
        <w:tc>
          <w:tcPr>
            <w:tcW w:w="67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64,586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58,679</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57,773</w:t>
            </w:r>
          </w:p>
        </w:tc>
        <w:tc>
          <w:tcPr>
            <w:tcW w:w="0" w:type="dxa"/>
            <w:vAlign w:val="bottom"/>
          </w:tcPr>
          <w:p>
            <w:pPr>
              <w:spacing w:after="0"/>
              <w:rPr>
                <w:sz w:val="1"/>
                <w:szCs w:val="1"/>
                <w:color w:val="auto"/>
              </w:rPr>
            </w:pPr>
          </w:p>
        </w:tc>
      </w:tr>
      <w:tr>
        <w:trPr>
          <w:trHeight w:val="21"/>
        </w:trPr>
        <w:tc>
          <w:tcPr>
            <w:tcW w:w="6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7040" w:type="dxa"/>
            <w:vAlign w:val="bottom"/>
            <w:gridSpan w:val="2"/>
          </w:tcPr>
          <w:p>
            <w:pPr>
              <w:spacing w:after="0"/>
              <w:rPr>
                <w:sz w:val="20"/>
                <w:szCs w:val="20"/>
                <w:color w:val="auto"/>
              </w:rPr>
            </w:pPr>
            <w:r>
              <w:rPr>
                <w:rFonts w:ascii="Arial" w:cs="Arial" w:eastAsia="Arial" w:hAnsi="Arial"/>
                <w:sz w:val="18"/>
                <w:szCs w:val="18"/>
                <w:color w:val="auto"/>
              </w:rPr>
              <w:t>A reconciliation of segment profit to consolidated income before taxes are as follows:</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6700" w:type="dxa"/>
            <w:vAlign w:val="bottom"/>
          </w:tcPr>
          <w:p>
            <w:pPr>
              <w:spacing w:after="0"/>
              <w:rPr>
                <w:sz w:val="24"/>
                <w:szCs w:val="24"/>
                <w:color w:val="auto"/>
              </w:rPr>
            </w:pPr>
          </w:p>
        </w:tc>
        <w:tc>
          <w:tcPr>
            <w:tcW w:w="340" w:type="dxa"/>
            <w:vAlign w:val="bottom"/>
            <w:tcBorders>
              <w:bottom w:val="single" w:sz="8" w:color="DC202E"/>
            </w:tcBorders>
          </w:tcPr>
          <w:p>
            <w:pPr>
              <w:spacing w:after="0"/>
              <w:rPr>
                <w:sz w:val="24"/>
                <w:szCs w:val="24"/>
                <w:color w:val="auto"/>
              </w:rPr>
            </w:pPr>
          </w:p>
        </w:tc>
        <w:tc>
          <w:tcPr>
            <w:tcW w:w="3100" w:type="dxa"/>
            <w:vAlign w:val="bottom"/>
            <w:tcBorders>
              <w:bottom w:val="single" w:sz="8" w:color="DC202E"/>
            </w:tcBorders>
            <w:gridSpan w:val="6"/>
          </w:tcPr>
          <w:p>
            <w:pPr>
              <w:jc w:val="center"/>
              <w:ind w:left="653"/>
              <w:spacing w:after="0"/>
              <w:rPr>
                <w:sz w:val="20"/>
                <w:szCs w:val="20"/>
                <w:color w:val="auto"/>
              </w:rPr>
            </w:pPr>
            <w:r>
              <w:rPr>
                <w:rFonts w:ascii="Arial" w:cs="Arial" w:eastAsia="Arial" w:hAnsi="Arial"/>
                <w:sz w:val="14"/>
                <w:szCs w:val="14"/>
                <w:b w:val="1"/>
                <w:bCs w:val="1"/>
                <w:color w:val="auto"/>
              </w:rPr>
              <w:t>Years Ended December 31,</w:t>
            </w:r>
          </w:p>
        </w:tc>
        <w:tc>
          <w:tcPr>
            <w:tcW w:w="1100" w:type="dxa"/>
            <w:vAlign w:val="bottom"/>
            <w:tcBorders>
              <w:bottom w:val="single" w:sz="8" w:color="DC202E"/>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700" w:type="dxa"/>
            <w:vAlign w:val="bottom"/>
            <w:tcBorders>
              <w:bottom w:val="single" w:sz="8" w:color="DDDDDD"/>
            </w:tcBorders>
          </w:tcPr>
          <w:p>
            <w:pPr>
              <w:spacing w:after="0"/>
              <w:rPr>
                <w:sz w:val="21"/>
                <w:szCs w:val="21"/>
                <w:color w:val="auto"/>
              </w:rPr>
            </w:pPr>
          </w:p>
        </w:tc>
        <w:tc>
          <w:tcPr>
            <w:tcW w:w="340" w:type="dxa"/>
            <w:vAlign w:val="bottom"/>
            <w:tcBorders>
              <w:bottom w:val="single" w:sz="8" w:color="DC202E"/>
            </w:tcBorders>
          </w:tcPr>
          <w:p>
            <w:pPr>
              <w:spacing w:after="0"/>
              <w:rPr>
                <w:sz w:val="21"/>
                <w:szCs w:val="21"/>
                <w:color w:val="auto"/>
              </w:rPr>
            </w:pPr>
          </w:p>
        </w:tc>
        <w:tc>
          <w:tcPr>
            <w:tcW w:w="1100" w:type="dxa"/>
            <w:vAlign w:val="bottom"/>
            <w:tcBorders>
              <w:bottom w:val="single" w:sz="8" w:color="DC202E"/>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DDDDDD"/>
            </w:tcBorders>
          </w:tcPr>
          <w:p>
            <w:pPr>
              <w:spacing w:after="0"/>
              <w:rPr>
                <w:sz w:val="21"/>
                <w:szCs w:val="21"/>
                <w:color w:val="auto"/>
              </w:rPr>
            </w:pPr>
          </w:p>
        </w:tc>
        <w:tc>
          <w:tcPr>
            <w:tcW w:w="340" w:type="dxa"/>
            <w:vAlign w:val="bottom"/>
            <w:tcBorders>
              <w:bottom w:val="single" w:sz="8" w:color="DC202E"/>
            </w:tcBorders>
          </w:tcPr>
          <w:p>
            <w:pPr>
              <w:spacing w:after="0"/>
              <w:rPr>
                <w:sz w:val="21"/>
                <w:szCs w:val="21"/>
                <w:color w:val="auto"/>
              </w:rPr>
            </w:pPr>
          </w:p>
        </w:tc>
        <w:tc>
          <w:tcPr>
            <w:tcW w:w="1100" w:type="dxa"/>
            <w:vAlign w:val="bottom"/>
            <w:tcBorders>
              <w:bottom w:val="single" w:sz="8" w:color="DC202E"/>
            </w:tcBorders>
          </w:tcPr>
          <w:p>
            <w:pPr>
              <w:jc w:val="center"/>
              <w:ind w:right="2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DDDDDD"/>
            </w:tcBorders>
          </w:tcPr>
          <w:p>
            <w:pPr>
              <w:spacing w:after="0"/>
              <w:rPr>
                <w:sz w:val="21"/>
                <w:szCs w:val="21"/>
                <w:color w:val="auto"/>
              </w:rPr>
            </w:pPr>
          </w:p>
        </w:tc>
        <w:tc>
          <w:tcPr>
            <w:tcW w:w="340" w:type="dxa"/>
            <w:vAlign w:val="bottom"/>
            <w:tcBorders>
              <w:bottom w:val="single" w:sz="8" w:color="DC202E"/>
            </w:tcBorders>
          </w:tcPr>
          <w:p>
            <w:pPr>
              <w:spacing w:after="0"/>
              <w:rPr>
                <w:sz w:val="21"/>
                <w:szCs w:val="21"/>
                <w:color w:val="auto"/>
              </w:rPr>
            </w:pPr>
          </w:p>
        </w:tc>
        <w:tc>
          <w:tcPr>
            <w:tcW w:w="1100" w:type="dxa"/>
            <w:vAlign w:val="bottom"/>
            <w:tcBorders>
              <w:bottom w:val="single" w:sz="8" w:color="DC202E"/>
            </w:tcBorders>
          </w:tcPr>
          <w:p>
            <w:pPr>
              <w:jc w:val="right"/>
              <w:ind w:right="47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9"/>
        </w:trPr>
        <w:tc>
          <w:tcPr>
            <w:tcW w:w="6700" w:type="dxa"/>
            <w:vAlign w:val="bottom"/>
            <w:shd w:val="clear" w:color="auto" w:fill="DDDDDD"/>
          </w:tcPr>
          <w:p>
            <w:pPr>
              <w:ind w:left="20"/>
              <w:spacing w:after="0"/>
              <w:rPr>
                <w:sz w:val="20"/>
                <w:szCs w:val="20"/>
                <w:color w:val="auto"/>
              </w:rPr>
            </w:pPr>
            <w:r>
              <w:rPr>
                <w:rFonts w:ascii="Arial" w:cs="Arial" w:eastAsia="Arial" w:hAnsi="Arial"/>
                <w:sz w:val="18"/>
                <w:szCs w:val="18"/>
                <w:color w:val="auto"/>
              </w:rPr>
              <w:t>Segment Profit</w:t>
            </w:r>
          </w:p>
        </w:tc>
        <w:tc>
          <w:tcPr>
            <w:tcW w:w="34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6,665</w:t>
            </w:r>
          </w:p>
        </w:tc>
        <w:tc>
          <w:tcPr>
            <w:tcW w:w="100" w:type="dxa"/>
            <w:vAlign w:val="bottom"/>
            <w:shd w:val="clear" w:color="auto" w:fill="DDDDDD"/>
          </w:tcPr>
          <w:p>
            <w:pPr>
              <w:spacing w:after="0"/>
              <w:rPr>
                <w:sz w:val="19"/>
                <w:szCs w:val="19"/>
                <w:color w:val="auto"/>
              </w:rPr>
            </w:pPr>
          </w:p>
        </w:tc>
        <w:tc>
          <w:tcPr>
            <w:tcW w:w="3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7,739</w:t>
            </w:r>
          </w:p>
        </w:tc>
        <w:tc>
          <w:tcPr>
            <w:tcW w:w="120" w:type="dxa"/>
            <w:vAlign w:val="bottom"/>
            <w:shd w:val="clear" w:color="auto" w:fill="DDDDDD"/>
          </w:tcPr>
          <w:p>
            <w:pPr>
              <w:spacing w:after="0"/>
              <w:rPr>
                <w:sz w:val="19"/>
                <w:szCs w:val="19"/>
                <w:color w:val="auto"/>
              </w:rPr>
            </w:pPr>
          </w:p>
        </w:tc>
        <w:tc>
          <w:tcPr>
            <w:tcW w:w="3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8,190</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Interest and other financial charges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30"/>
        </w:trPr>
        <w:tc>
          <w:tcPr>
            <w:tcW w:w="6700" w:type="dxa"/>
            <w:vAlign w:val="bottom"/>
            <w:shd w:val="clear" w:color="auto" w:fill="DDDDDD"/>
          </w:tcPr>
          <w:p>
            <w:pPr>
              <w:ind w:left="20"/>
              <w:spacing w:after="0" w:line="230" w:lineRule="exact"/>
              <w:rPr>
                <w:sz w:val="20"/>
                <w:szCs w:val="20"/>
                <w:color w:val="auto"/>
              </w:rPr>
            </w:pPr>
            <w:r>
              <w:rPr>
                <w:rFonts w:ascii="Arial" w:cs="Arial" w:eastAsia="Arial" w:hAnsi="Arial"/>
                <w:sz w:val="18"/>
                <w:szCs w:val="18"/>
                <w:color w:val="auto"/>
              </w:rPr>
              <w:t>Stock compensation expense</w:t>
            </w:r>
            <w:r>
              <w:rPr>
                <w:rFonts w:ascii="Arial" w:cs="Arial" w:eastAsia="Arial" w:hAnsi="Arial"/>
                <w:sz w:val="23"/>
                <w:szCs w:val="23"/>
                <w:color w:val="auto"/>
                <w:vertAlign w:val="superscript"/>
              </w:rPr>
              <w:t>(1)</w:t>
            </w: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line="230" w:lineRule="exact"/>
              <w:rPr>
                <w:sz w:val="20"/>
                <w:szCs w:val="20"/>
                <w:color w:val="auto"/>
              </w:rPr>
            </w:pPr>
            <w:r>
              <w:rPr>
                <w:rFonts w:ascii="Arial" w:cs="Arial" w:eastAsia="Arial" w:hAnsi="Arial"/>
                <w:sz w:val="18"/>
                <w:szCs w:val="18"/>
                <w:color w:val="auto"/>
              </w:rPr>
              <w:t>Pension ongoing income (expense)</w:t>
            </w:r>
            <w:r>
              <w:rPr>
                <w:rFonts w:ascii="Arial" w:cs="Arial" w:eastAsia="Arial" w:hAnsi="Arial"/>
                <w:sz w:val="23"/>
                <w:szCs w:val="23"/>
                <w:color w:val="auto"/>
                <w:vertAlign w:val="superscript"/>
              </w:rPr>
              <w:t>(2)</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29"/>
        </w:trPr>
        <w:tc>
          <w:tcPr>
            <w:tcW w:w="6700" w:type="dxa"/>
            <w:vAlign w:val="bottom"/>
            <w:shd w:val="clear" w:color="auto" w:fill="DDDDDD"/>
          </w:tcPr>
          <w:p>
            <w:pPr>
              <w:ind w:left="20"/>
              <w:spacing w:after="0" w:line="230" w:lineRule="exact"/>
              <w:rPr>
                <w:sz w:val="20"/>
                <w:szCs w:val="20"/>
                <w:color w:val="auto"/>
              </w:rPr>
            </w:pPr>
            <w:r>
              <w:rPr>
                <w:rFonts w:ascii="Arial" w:cs="Arial" w:eastAsia="Arial" w:hAnsi="Arial"/>
                <w:sz w:val="18"/>
                <w:szCs w:val="18"/>
                <w:color w:val="auto"/>
              </w:rPr>
              <w:t>Pension mark-to-market expense</w:t>
            </w:r>
            <w:r>
              <w:rPr>
                <w:rFonts w:ascii="Arial" w:cs="Arial" w:eastAsia="Arial" w:hAnsi="Arial"/>
                <w:sz w:val="23"/>
                <w:szCs w:val="23"/>
                <w:color w:val="auto"/>
                <w:vertAlign w:val="superscript"/>
              </w:rPr>
              <w:t>(2)</w:t>
            </w: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line="230" w:lineRule="exact"/>
              <w:rPr>
                <w:sz w:val="20"/>
                <w:szCs w:val="20"/>
                <w:color w:val="auto"/>
              </w:rPr>
            </w:pPr>
            <w:r>
              <w:rPr>
                <w:rFonts w:ascii="Arial" w:cs="Arial" w:eastAsia="Arial" w:hAnsi="Arial"/>
                <w:sz w:val="18"/>
                <w:szCs w:val="18"/>
                <w:color w:val="auto"/>
              </w:rPr>
              <w:t>Other postretirement income</w:t>
            </w:r>
            <w:r>
              <w:rPr>
                <w:rFonts w:ascii="Arial" w:cs="Arial" w:eastAsia="Arial" w:hAnsi="Arial"/>
                <w:sz w:val="23"/>
                <w:szCs w:val="23"/>
                <w:color w:val="auto"/>
                <w:vertAlign w:val="superscript"/>
              </w:rPr>
              <w:t>(2)</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6700" w:type="dxa"/>
            <w:vAlign w:val="bottom"/>
            <w:shd w:val="clear" w:color="auto" w:fill="DDDDDD"/>
          </w:tcPr>
          <w:p>
            <w:pPr>
              <w:ind w:left="20"/>
              <w:spacing w:after="0" w:line="230" w:lineRule="exact"/>
              <w:rPr>
                <w:sz w:val="20"/>
                <w:szCs w:val="20"/>
                <w:color w:val="auto"/>
              </w:rPr>
            </w:pPr>
            <w:r>
              <w:rPr>
                <w:rFonts w:ascii="Arial" w:cs="Arial" w:eastAsia="Arial" w:hAnsi="Arial"/>
                <w:sz w:val="18"/>
                <w:szCs w:val="18"/>
                <w:color w:val="auto"/>
              </w:rPr>
              <w:t>Repositioning and other charges</w:t>
            </w:r>
            <w:r>
              <w:rPr>
                <w:rFonts w:ascii="Arial" w:cs="Arial" w:eastAsia="Arial" w:hAnsi="Arial"/>
                <w:sz w:val="23"/>
                <w:szCs w:val="23"/>
                <w:color w:val="auto"/>
                <w:vertAlign w:val="superscript"/>
              </w:rPr>
              <w:t>(3)</w:t>
            </w: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(575)</w:t>
            </w:r>
          </w:p>
        </w:tc>
        <w:tc>
          <w:tcPr>
            <w:tcW w:w="10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(546)</w:t>
            </w:r>
          </w:p>
        </w:tc>
        <w:tc>
          <w:tcPr>
            <w:tcW w:w="12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(1,091)</w:t>
            </w:r>
          </w:p>
        </w:tc>
        <w:tc>
          <w:tcPr>
            <w:tcW w:w="0" w:type="dxa"/>
            <w:vAlign w:val="bottom"/>
          </w:tcPr>
          <w:p>
            <w:pPr>
              <w:spacing w:after="0"/>
              <w:rPr>
                <w:sz w:val="1"/>
                <w:szCs w:val="1"/>
                <w:color w:val="auto"/>
              </w:rPr>
            </w:pPr>
          </w:p>
        </w:tc>
      </w:tr>
      <w:tr>
        <w:trPr>
          <w:trHeight w:val="230"/>
        </w:trPr>
        <w:tc>
          <w:tcPr>
            <w:tcW w:w="6700" w:type="dxa"/>
            <w:vAlign w:val="bottom"/>
            <w:tcBorders>
              <w:bottom w:val="single" w:sz="8" w:color="DDDDDD"/>
            </w:tcBorders>
          </w:tcPr>
          <w:p>
            <w:pPr>
              <w:ind w:left="20"/>
              <w:spacing w:after="0" w:line="230" w:lineRule="exact"/>
              <w:rPr>
                <w:sz w:val="20"/>
                <w:szCs w:val="20"/>
                <w:color w:val="auto"/>
              </w:rPr>
            </w:pPr>
            <w:r>
              <w:rPr>
                <w:rFonts w:ascii="Arial" w:cs="Arial" w:eastAsia="Arial" w:hAnsi="Arial"/>
                <w:sz w:val="18"/>
                <w:szCs w:val="18"/>
                <w:color w:val="auto"/>
              </w:rPr>
              <w:t>Other</w:t>
            </w:r>
            <w:r>
              <w:rPr>
                <w:rFonts w:ascii="Arial" w:cs="Arial" w:eastAsia="Arial" w:hAnsi="Arial"/>
                <w:sz w:val="23"/>
                <w:szCs w:val="23"/>
                <w:color w:val="auto"/>
                <w:vertAlign w:val="superscript"/>
              </w:rPr>
              <w:t>(4)</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Borders>
              <w:bottom w:val="single" w:sz="8" w:color="DDDDDD"/>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120" w:type="dxa"/>
            <w:vAlign w:val="bottom"/>
            <w:tcBorders>
              <w:bottom w:val="single" w:sz="8" w:color="DDDDDD"/>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48"/>
        </w:trPr>
        <w:tc>
          <w:tcPr>
            <w:tcW w:w="670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8"/>
                <w:szCs w:val="18"/>
                <w:color w:val="auto"/>
              </w:rPr>
              <w:t>Income before taxes</w:t>
            </w:r>
          </w:p>
        </w:tc>
        <w:tc>
          <w:tcPr>
            <w:tcW w:w="340" w:type="dxa"/>
            <w:vAlign w:val="bottom"/>
            <w:tcBorders>
              <w:bottom w:val="single" w:sz="8" w:color="auto"/>
            </w:tcBorders>
            <w:shd w:val="clear" w:color="auto" w:fill="DDDDDD"/>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6,012</w:t>
            </w:r>
          </w:p>
        </w:tc>
        <w:tc>
          <w:tcPr>
            <w:tcW w:w="100" w:type="dxa"/>
            <w:vAlign w:val="bottom"/>
            <w:tcBorders>
              <w:bottom w:val="single" w:sz="8" w:color="DDDDDD"/>
            </w:tcBorders>
            <w:shd w:val="clear" w:color="auto" w:fill="DDDDDD"/>
          </w:tcPr>
          <w:p>
            <w:pPr>
              <w:spacing w:after="0"/>
              <w:rPr>
                <w:sz w:val="21"/>
                <w:szCs w:val="21"/>
                <w:color w:val="auto"/>
              </w:rPr>
            </w:pPr>
          </w:p>
        </w:tc>
        <w:tc>
          <w:tcPr>
            <w:tcW w:w="340" w:type="dxa"/>
            <w:vAlign w:val="bottom"/>
            <w:tcBorders>
              <w:bottom w:val="single" w:sz="8" w:color="auto"/>
            </w:tcBorders>
            <w:shd w:val="clear" w:color="auto" w:fill="DDDDDD"/>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7,559</w:t>
            </w:r>
          </w:p>
        </w:tc>
        <w:tc>
          <w:tcPr>
            <w:tcW w:w="120" w:type="dxa"/>
            <w:vAlign w:val="bottom"/>
            <w:tcBorders>
              <w:bottom w:val="single" w:sz="8" w:color="DDDDDD"/>
            </w:tcBorders>
            <w:shd w:val="clear" w:color="auto" w:fill="DDDDDD"/>
          </w:tcPr>
          <w:p>
            <w:pPr>
              <w:spacing w:after="0"/>
              <w:rPr>
                <w:sz w:val="21"/>
                <w:szCs w:val="21"/>
                <w:color w:val="auto"/>
              </w:rPr>
            </w:pPr>
          </w:p>
        </w:tc>
        <w:tc>
          <w:tcPr>
            <w:tcW w:w="340" w:type="dxa"/>
            <w:vAlign w:val="bottom"/>
            <w:tcBorders>
              <w:bottom w:val="single" w:sz="8" w:color="auto"/>
            </w:tcBorders>
            <w:shd w:val="clear" w:color="auto" w:fill="DDDDDD"/>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7,487</w:t>
            </w:r>
          </w:p>
        </w:tc>
        <w:tc>
          <w:tcPr>
            <w:tcW w:w="0" w:type="dxa"/>
            <w:vAlign w:val="bottom"/>
          </w:tcPr>
          <w:p>
            <w:pPr>
              <w:spacing w:after="0"/>
              <w:rPr>
                <w:sz w:val="1"/>
                <w:szCs w:val="1"/>
                <w:color w:val="auto"/>
              </w:rPr>
            </w:pPr>
          </w:p>
        </w:tc>
      </w:tr>
      <w:tr>
        <w:trPr>
          <w:trHeight w:val="20"/>
        </w:trPr>
        <w:tc>
          <w:tcPr>
            <w:tcW w:w="6700" w:type="dxa"/>
            <w:vAlign w:val="bottom"/>
            <w:tcBorders>
              <w:top w:val="single" w:sz="8" w:color="DDDDDD"/>
            </w:tcBorders>
          </w:tcPr>
          <w:p>
            <w:pPr>
              <w:spacing w:after="0" w:line="20" w:lineRule="exact"/>
              <w:rPr>
                <w:sz w:val="1"/>
                <w:szCs w:val="1"/>
                <w:color w:val="auto"/>
              </w:rPr>
            </w:pPr>
          </w:p>
        </w:tc>
        <w:tc>
          <w:tcPr>
            <w:tcW w:w="340" w:type="dxa"/>
            <w:vAlign w:val="bottom"/>
            <w:tcBorders>
              <w:top w:val="single" w:sz="8" w:color="DDDDDD"/>
              <w:bottom w:val="single" w:sz="8" w:color="auto"/>
            </w:tcBorders>
          </w:tcPr>
          <w:p>
            <w:pPr>
              <w:spacing w:after="0" w:line="20" w:lineRule="exact"/>
              <w:rPr>
                <w:sz w:val="1"/>
                <w:szCs w:val="1"/>
                <w:color w:val="auto"/>
              </w:rPr>
            </w:pPr>
          </w:p>
        </w:tc>
        <w:tc>
          <w:tcPr>
            <w:tcW w:w="1100" w:type="dxa"/>
            <w:vAlign w:val="bottom"/>
            <w:tcBorders>
              <w:top w:val="single" w:sz="8" w:color="DDDDDD"/>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340" w:type="dxa"/>
            <w:vAlign w:val="bottom"/>
            <w:tcBorders>
              <w:top w:val="single" w:sz="8" w:color="DDDDDD"/>
              <w:bottom w:val="single" w:sz="8" w:color="auto"/>
            </w:tcBorders>
          </w:tcPr>
          <w:p>
            <w:pPr>
              <w:spacing w:after="0" w:line="20" w:lineRule="exact"/>
              <w:rPr>
                <w:sz w:val="1"/>
                <w:szCs w:val="1"/>
                <w:color w:val="auto"/>
              </w:rPr>
            </w:pPr>
          </w:p>
        </w:tc>
        <w:tc>
          <w:tcPr>
            <w:tcW w:w="1100" w:type="dxa"/>
            <w:vAlign w:val="bottom"/>
            <w:tcBorders>
              <w:top w:val="single" w:sz="8" w:color="DDDDDD"/>
              <w:bottom w:val="single" w:sz="8" w:color="auto"/>
            </w:tcBorders>
          </w:tcPr>
          <w:p>
            <w:pPr>
              <w:spacing w:after="0" w:line="20" w:lineRule="exact"/>
              <w:rPr>
                <w:sz w:val="1"/>
                <w:szCs w:val="1"/>
                <w:color w:val="auto"/>
              </w:rPr>
            </w:pPr>
          </w:p>
        </w:tc>
        <w:tc>
          <w:tcPr>
            <w:tcW w:w="120" w:type="dxa"/>
            <w:vAlign w:val="bottom"/>
            <w:tcBorders>
              <w:top w:val="single" w:sz="8" w:color="DDDDDD"/>
            </w:tcBorders>
          </w:tcPr>
          <w:p>
            <w:pPr>
              <w:spacing w:after="0" w:line="20" w:lineRule="exact"/>
              <w:rPr>
                <w:sz w:val="1"/>
                <w:szCs w:val="1"/>
                <w:color w:val="auto"/>
              </w:rPr>
            </w:pPr>
          </w:p>
        </w:tc>
        <w:tc>
          <w:tcPr>
            <w:tcW w:w="340" w:type="dxa"/>
            <w:vAlign w:val="bottom"/>
            <w:tcBorders>
              <w:top w:val="single" w:sz="8" w:color="DDDDDD"/>
              <w:bottom w:val="single" w:sz="8" w:color="auto"/>
            </w:tcBorders>
          </w:tcPr>
          <w:p>
            <w:pPr>
              <w:spacing w:after="0" w:line="20" w:lineRule="exact"/>
              <w:rPr>
                <w:sz w:val="1"/>
                <w:szCs w:val="1"/>
                <w:color w:val="auto"/>
              </w:rPr>
            </w:pPr>
          </w:p>
        </w:tc>
        <w:tc>
          <w:tcPr>
            <w:tcW w:w="1100" w:type="dxa"/>
            <w:vAlign w:val="bottom"/>
            <w:tcBorders>
              <w:top w:val="single" w:sz="8" w:color="DDDDD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320" w:hanging="312"/>
        <w:spacing w:after="0"/>
        <w:tabs>
          <w:tab w:leader="none" w:pos="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Amounts included in Selling, general and administrative expenses.</w:t>
      </w:r>
    </w:p>
    <w:p>
      <w:pPr>
        <w:spacing w:after="0" w:line="9" w:lineRule="exact"/>
        <w:rPr>
          <w:rFonts w:ascii="Arial" w:cs="Arial" w:eastAsia="Arial" w:hAnsi="Arial"/>
          <w:sz w:val="18"/>
          <w:szCs w:val="18"/>
          <w:color w:val="auto"/>
        </w:rPr>
      </w:pPr>
    </w:p>
    <w:p>
      <w:pPr>
        <w:ind w:left="340" w:hanging="332"/>
        <w:spacing w:after="0" w:line="250" w:lineRule="auto"/>
        <w:tabs>
          <w:tab w:leader="none" w:pos="33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Amounts included in Cost of products and services sold and Selling, general and administrative expenses (service cost component) and Other (income) expense (non-service cost component).</w:t>
      </w:r>
    </w:p>
    <w:p>
      <w:pPr>
        <w:ind w:left="320" w:hanging="312"/>
        <w:spacing w:after="0"/>
        <w:tabs>
          <w:tab w:leader="none" w:pos="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Amounts included in Cost of products and services sold, Selling, general and administrative expenses, and Other (income) expense.</w:t>
      </w:r>
    </w:p>
    <w:p>
      <w:pPr>
        <w:spacing w:after="0" w:line="9" w:lineRule="exact"/>
        <w:rPr>
          <w:rFonts w:ascii="Arial" w:cs="Arial" w:eastAsia="Arial" w:hAnsi="Arial"/>
          <w:sz w:val="18"/>
          <w:szCs w:val="18"/>
          <w:color w:val="auto"/>
        </w:rPr>
      </w:pPr>
    </w:p>
    <w:p>
      <w:pPr>
        <w:ind w:left="340" w:right="20" w:hanging="332"/>
        <w:spacing w:after="0" w:line="261" w:lineRule="auto"/>
        <w:tabs>
          <w:tab w:leader="none" w:pos="33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Amounts include the other components of Other (income) expense not included within other categories in this reconciliation. Equity income of affiliated companies is included in segment profit.</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107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9"/>
          <w:szCs w:val="29"/>
          <w:b w:val="1"/>
          <w:bCs w:val="1"/>
          <w:color w:val="EE2724"/>
        </w:rPr>
        <w:t>NOTE 24. GEOGRAPHIC AREAS—FINANCIAL DATA</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200" w:type="dxa"/>
            <w:vAlign w:val="bottom"/>
          </w:tcPr>
          <w:p>
            <w:pPr>
              <w:spacing w:after="0"/>
              <w:rPr>
                <w:sz w:val="18"/>
                <w:szCs w:val="18"/>
                <w:color w:val="auto"/>
              </w:rPr>
            </w:pPr>
          </w:p>
        </w:tc>
        <w:tc>
          <w:tcPr>
            <w:tcW w:w="320" w:type="dxa"/>
            <w:vAlign w:val="bottom"/>
            <w:tcBorders>
              <w:bottom w:val="single" w:sz="8" w:color="DC202E"/>
            </w:tcBorders>
          </w:tcPr>
          <w:p>
            <w:pPr>
              <w:spacing w:after="0"/>
              <w:rPr>
                <w:sz w:val="18"/>
                <w:szCs w:val="18"/>
                <w:color w:val="auto"/>
              </w:rPr>
            </w:pPr>
          </w:p>
        </w:tc>
        <w:tc>
          <w:tcPr>
            <w:tcW w:w="1100" w:type="dxa"/>
            <w:vAlign w:val="bottom"/>
            <w:tcBorders>
              <w:bottom w:val="single" w:sz="8" w:color="DC202E"/>
            </w:tcBorders>
          </w:tcPr>
          <w:p>
            <w:pPr>
              <w:spacing w:after="0"/>
              <w:rPr>
                <w:sz w:val="18"/>
                <w:szCs w:val="18"/>
                <w:color w:val="auto"/>
              </w:rPr>
            </w:pPr>
          </w:p>
        </w:tc>
        <w:tc>
          <w:tcPr>
            <w:tcW w:w="100" w:type="dxa"/>
            <w:vAlign w:val="bottom"/>
            <w:tcBorders>
              <w:bottom w:val="single" w:sz="8" w:color="DC202E"/>
            </w:tcBorders>
          </w:tcPr>
          <w:p>
            <w:pPr>
              <w:spacing w:after="0"/>
              <w:rPr>
                <w:sz w:val="18"/>
                <w:szCs w:val="18"/>
                <w:color w:val="auto"/>
              </w:rPr>
            </w:pPr>
          </w:p>
        </w:tc>
        <w:tc>
          <w:tcPr>
            <w:tcW w:w="220" w:type="dxa"/>
            <w:vAlign w:val="bottom"/>
            <w:tcBorders>
              <w:bottom w:val="single" w:sz="8" w:color="DC202E"/>
            </w:tcBorders>
          </w:tcPr>
          <w:p>
            <w:pPr>
              <w:spacing w:after="0"/>
              <w:rPr>
                <w:sz w:val="18"/>
                <w:szCs w:val="18"/>
                <w:color w:val="auto"/>
              </w:rPr>
            </w:pPr>
          </w:p>
        </w:tc>
        <w:tc>
          <w:tcPr>
            <w:tcW w:w="1300" w:type="dxa"/>
            <w:vAlign w:val="bottom"/>
            <w:tcBorders>
              <w:bottom w:val="single" w:sz="8" w:color="DC202E"/>
            </w:tcBorders>
            <w:gridSpan w:val="2"/>
          </w:tcPr>
          <w:p>
            <w:pPr>
              <w:jc w:val="center"/>
              <w:ind w:right="320"/>
              <w:spacing w:after="0"/>
              <w:rPr>
                <w:sz w:val="20"/>
                <w:szCs w:val="20"/>
                <w:color w:val="auto"/>
              </w:rPr>
            </w:pPr>
            <w:r>
              <w:rPr>
                <w:rFonts w:ascii="Arial" w:cs="Arial" w:eastAsia="Arial" w:hAnsi="Arial"/>
                <w:sz w:val="14"/>
                <w:szCs w:val="14"/>
                <w:b w:val="1"/>
                <w:bCs w:val="1"/>
                <w:color w:val="auto"/>
              </w:rPr>
              <w:t>Net Sales</w:t>
            </w:r>
            <w:r>
              <w:rPr>
                <w:rFonts w:ascii="Arial" w:cs="Arial" w:eastAsia="Arial" w:hAnsi="Arial"/>
                <w:sz w:val="18"/>
                <w:szCs w:val="18"/>
                <w:b w:val="1"/>
                <w:bCs w:val="1"/>
                <w:color w:val="auto"/>
                <w:vertAlign w:val="superscript"/>
              </w:rPr>
              <w:t>(1)</w:t>
            </w:r>
          </w:p>
        </w:tc>
        <w:tc>
          <w:tcPr>
            <w:tcW w:w="340" w:type="dxa"/>
            <w:vAlign w:val="bottom"/>
            <w:tcBorders>
              <w:bottom w:val="single" w:sz="8" w:color="DC202E"/>
            </w:tcBorders>
          </w:tcPr>
          <w:p>
            <w:pPr>
              <w:spacing w:after="0"/>
              <w:rPr>
                <w:sz w:val="18"/>
                <w:szCs w:val="18"/>
                <w:color w:val="auto"/>
              </w:rPr>
            </w:pPr>
          </w:p>
        </w:tc>
        <w:tc>
          <w:tcPr>
            <w:tcW w:w="1080" w:type="dxa"/>
            <w:vAlign w:val="bottom"/>
            <w:tcBorders>
              <w:bottom w:val="single" w:sz="8" w:color="DC202E"/>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DC202E"/>
            </w:tcBorders>
          </w:tcPr>
          <w:p>
            <w:pPr>
              <w:spacing w:after="0"/>
              <w:rPr>
                <w:sz w:val="18"/>
                <w:szCs w:val="18"/>
                <w:color w:val="auto"/>
              </w:rPr>
            </w:pPr>
          </w:p>
        </w:tc>
        <w:tc>
          <w:tcPr>
            <w:tcW w:w="1080" w:type="dxa"/>
            <w:vAlign w:val="bottom"/>
            <w:tcBorders>
              <w:bottom w:val="single" w:sz="8" w:color="DC202E"/>
            </w:tcBorders>
          </w:tcPr>
          <w:p>
            <w:pPr>
              <w:spacing w:after="0"/>
              <w:rPr>
                <w:sz w:val="18"/>
                <w:szCs w:val="18"/>
                <w:color w:val="auto"/>
              </w:rPr>
            </w:pPr>
          </w:p>
        </w:tc>
        <w:tc>
          <w:tcPr>
            <w:tcW w:w="120" w:type="dxa"/>
            <w:vAlign w:val="bottom"/>
            <w:tcBorders>
              <w:bottom w:val="single" w:sz="8" w:color="DC202E"/>
            </w:tcBorders>
          </w:tcPr>
          <w:p>
            <w:pPr>
              <w:spacing w:after="0"/>
              <w:rPr>
                <w:sz w:val="18"/>
                <w:szCs w:val="18"/>
                <w:color w:val="auto"/>
              </w:rPr>
            </w:pPr>
          </w:p>
        </w:tc>
        <w:tc>
          <w:tcPr>
            <w:tcW w:w="1520" w:type="dxa"/>
            <w:vAlign w:val="bottom"/>
            <w:tcBorders>
              <w:bottom w:val="single" w:sz="8" w:color="DC202E"/>
            </w:tcBorders>
            <w:gridSpan w:val="3"/>
          </w:tcPr>
          <w:p>
            <w:pPr>
              <w:ind w:left="20"/>
              <w:spacing w:after="0"/>
              <w:rPr>
                <w:sz w:val="20"/>
                <w:szCs w:val="20"/>
                <w:color w:val="auto"/>
              </w:rPr>
            </w:pPr>
            <w:r>
              <w:rPr>
                <w:rFonts w:ascii="Arial" w:cs="Arial" w:eastAsia="Arial" w:hAnsi="Arial"/>
                <w:sz w:val="14"/>
                <w:szCs w:val="14"/>
                <w:b w:val="1"/>
                <w:bCs w:val="1"/>
                <w:color w:val="auto"/>
              </w:rPr>
              <w:t>Long-lived Assets</w:t>
            </w:r>
            <w:r>
              <w:rPr>
                <w:rFonts w:ascii="Arial" w:cs="Arial" w:eastAsia="Arial" w:hAnsi="Arial"/>
                <w:sz w:val="18"/>
                <w:szCs w:val="18"/>
                <w:b w:val="1"/>
                <w:bCs w:val="1"/>
                <w:color w:val="auto"/>
                <w:vertAlign w:val="superscript"/>
              </w:rPr>
              <w:t>(2)</w:t>
            </w:r>
          </w:p>
        </w:tc>
        <w:tc>
          <w:tcPr>
            <w:tcW w:w="340" w:type="dxa"/>
            <w:vAlign w:val="bottom"/>
            <w:tcBorders>
              <w:bottom w:val="single" w:sz="8" w:color="DC202E"/>
            </w:tcBorders>
          </w:tcPr>
          <w:p>
            <w:pPr>
              <w:spacing w:after="0"/>
              <w:rPr>
                <w:sz w:val="18"/>
                <w:szCs w:val="18"/>
                <w:color w:val="auto"/>
              </w:rPr>
            </w:pPr>
          </w:p>
        </w:tc>
        <w:tc>
          <w:tcPr>
            <w:tcW w:w="1080" w:type="dxa"/>
            <w:vAlign w:val="bottom"/>
            <w:tcBorders>
              <w:bottom w:val="single" w:sz="8" w:color="DC202E"/>
            </w:tcBorders>
          </w:tcPr>
          <w:p>
            <w:pPr>
              <w:spacing w:after="0"/>
              <w:rPr>
                <w:sz w:val="18"/>
                <w:szCs w:val="18"/>
                <w:color w:val="auto"/>
              </w:rPr>
            </w:pPr>
          </w:p>
        </w:tc>
      </w:tr>
      <w:tr>
        <w:trPr>
          <w:trHeight w:val="237"/>
        </w:trPr>
        <w:tc>
          <w:tcPr>
            <w:tcW w:w="2200" w:type="dxa"/>
            <w:vAlign w:val="bottom"/>
          </w:tcPr>
          <w:p>
            <w:pPr>
              <w:spacing w:after="0"/>
              <w:rPr>
                <w:sz w:val="20"/>
                <w:szCs w:val="20"/>
                <w:color w:val="auto"/>
              </w:rPr>
            </w:pPr>
          </w:p>
        </w:tc>
        <w:tc>
          <w:tcPr>
            <w:tcW w:w="320" w:type="dxa"/>
            <w:vAlign w:val="bottom"/>
            <w:tcBorders>
              <w:bottom w:val="single" w:sz="8" w:color="DC202E"/>
            </w:tcBorders>
          </w:tcPr>
          <w:p>
            <w:pPr>
              <w:spacing w:after="0"/>
              <w:rPr>
                <w:sz w:val="20"/>
                <w:szCs w:val="20"/>
                <w:color w:val="auto"/>
              </w:rPr>
            </w:pPr>
          </w:p>
        </w:tc>
        <w:tc>
          <w:tcPr>
            <w:tcW w:w="3060" w:type="dxa"/>
            <w:vAlign w:val="bottom"/>
            <w:tcBorders>
              <w:bottom w:val="single" w:sz="8" w:color="DC202E"/>
            </w:tcBorders>
            <w:gridSpan w:val="6"/>
          </w:tcPr>
          <w:p>
            <w:pPr>
              <w:jc w:val="center"/>
              <w:ind w:left="656"/>
              <w:spacing w:after="0"/>
              <w:rPr>
                <w:sz w:val="20"/>
                <w:szCs w:val="20"/>
                <w:color w:val="auto"/>
              </w:rPr>
            </w:pPr>
            <w:r>
              <w:rPr>
                <w:rFonts w:ascii="Arial" w:cs="Arial" w:eastAsia="Arial" w:hAnsi="Arial"/>
                <w:sz w:val="14"/>
                <w:szCs w:val="14"/>
                <w:b w:val="1"/>
                <w:bCs w:val="1"/>
                <w:color w:val="auto"/>
              </w:rPr>
              <w:t>Years Ended December 31,</w:t>
            </w:r>
          </w:p>
        </w:tc>
        <w:tc>
          <w:tcPr>
            <w:tcW w:w="1080" w:type="dxa"/>
            <w:vAlign w:val="bottom"/>
            <w:tcBorders>
              <w:bottom w:val="single" w:sz="8" w:color="DC202E"/>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DC202E"/>
            </w:tcBorders>
          </w:tcPr>
          <w:p>
            <w:pPr>
              <w:spacing w:after="0"/>
              <w:rPr>
                <w:sz w:val="20"/>
                <w:szCs w:val="20"/>
                <w:color w:val="auto"/>
              </w:rPr>
            </w:pPr>
          </w:p>
        </w:tc>
        <w:tc>
          <w:tcPr>
            <w:tcW w:w="3060" w:type="dxa"/>
            <w:vAlign w:val="bottom"/>
            <w:tcBorders>
              <w:bottom w:val="single" w:sz="8" w:color="DC202E"/>
            </w:tcBorders>
            <w:gridSpan w:val="6"/>
          </w:tcPr>
          <w:p>
            <w:pPr>
              <w:jc w:val="right"/>
              <w:ind w:right="150"/>
              <w:spacing w:after="0"/>
              <w:rPr>
                <w:sz w:val="20"/>
                <w:szCs w:val="20"/>
                <w:color w:val="auto"/>
              </w:rPr>
            </w:pPr>
            <w:r>
              <w:rPr>
                <w:rFonts w:ascii="Arial" w:cs="Arial" w:eastAsia="Arial" w:hAnsi="Arial"/>
                <w:sz w:val="14"/>
                <w:szCs w:val="14"/>
                <w:b w:val="1"/>
                <w:bCs w:val="1"/>
                <w:color w:val="auto"/>
              </w:rPr>
              <w:t>Years Ended December 31,</w:t>
            </w:r>
          </w:p>
        </w:tc>
        <w:tc>
          <w:tcPr>
            <w:tcW w:w="1080" w:type="dxa"/>
            <w:vAlign w:val="bottom"/>
            <w:tcBorders>
              <w:bottom w:val="single" w:sz="8" w:color="DC202E"/>
            </w:tcBorders>
          </w:tcPr>
          <w:p>
            <w:pPr>
              <w:spacing w:after="0"/>
              <w:rPr>
                <w:sz w:val="20"/>
                <w:szCs w:val="20"/>
                <w:color w:val="auto"/>
              </w:rPr>
            </w:pPr>
          </w:p>
        </w:tc>
      </w:tr>
      <w:tr>
        <w:trPr>
          <w:trHeight w:val="196"/>
        </w:trPr>
        <w:tc>
          <w:tcPr>
            <w:tcW w:w="2200" w:type="dxa"/>
            <w:vAlign w:val="bottom"/>
            <w:tcBorders>
              <w:bottom w:val="single" w:sz="8" w:color="DDDDDD"/>
            </w:tcBorders>
          </w:tcPr>
          <w:p>
            <w:pPr>
              <w:spacing w:after="0"/>
              <w:rPr>
                <w:sz w:val="17"/>
                <w:szCs w:val="17"/>
                <w:color w:val="auto"/>
              </w:rPr>
            </w:pPr>
          </w:p>
        </w:tc>
        <w:tc>
          <w:tcPr>
            <w:tcW w:w="320" w:type="dxa"/>
            <w:vAlign w:val="bottom"/>
            <w:tcBorders>
              <w:bottom w:val="single" w:sz="8" w:color="DC202E"/>
            </w:tcBorders>
          </w:tcPr>
          <w:p>
            <w:pPr>
              <w:spacing w:after="0"/>
              <w:rPr>
                <w:sz w:val="17"/>
                <w:szCs w:val="17"/>
                <w:color w:val="auto"/>
              </w:rPr>
            </w:pPr>
          </w:p>
        </w:tc>
        <w:tc>
          <w:tcPr>
            <w:tcW w:w="1100" w:type="dxa"/>
            <w:vAlign w:val="bottom"/>
            <w:tcBorders>
              <w:bottom w:val="single" w:sz="8" w:color="DC202E"/>
            </w:tcBorders>
          </w:tcPr>
          <w:p>
            <w:pPr>
              <w:jc w:val="right"/>
              <w:ind w:right="47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DDDDDD"/>
            </w:tcBorders>
          </w:tcPr>
          <w:p>
            <w:pPr>
              <w:spacing w:after="0"/>
              <w:rPr>
                <w:sz w:val="17"/>
                <w:szCs w:val="17"/>
                <w:color w:val="auto"/>
              </w:rPr>
            </w:pPr>
          </w:p>
        </w:tc>
        <w:tc>
          <w:tcPr>
            <w:tcW w:w="220" w:type="dxa"/>
            <w:vAlign w:val="bottom"/>
            <w:tcBorders>
              <w:bottom w:val="single" w:sz="8" w:color="DC202E"/>
            </w:tcBorders>
          </w:tcPr>
          <w:p>
            <w:pPr>
              <w:spacing w:after="0"/>
              <w:rPr>
                <w:sz w:val="17"/>
                <w:szCs w:val="17"/>
                <w:color w:val="auto"/>
              </w:rPr>
            </w:pPr>
          </w:p>
        </w:tc>
        <w:tc>
          <w:tcPr>
            <w:tcW w:w="1200" w:type="dxa"/>
            <w:vAlign w:val="bottom"/>
            <w:tcBorders>
              <w:bottom w:val="single" w:sz="8" w:color="DC202E"/>
            </w:tcBorders>
          </w:tcPr>
          <w:p>
            <w:pPr>
              <w:jc w:val="center"/>
              <w:ind w:right="15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DDDDDD"/>
            </w:tcBorders>
          </w:tcPr>
          <w:p>
            <w:pPr>
              <w:spacing w:after="0"/>
              <w:rPr>
                <w:sz w:val="17"/>
                <w:szCs w:val="17"/>
                <w:color w:val="auto"/>
              </w:rPr>
            </w:pPr>
          </w:p>
        </w:tc>
        <w:tc>
          <w:tcPr>
            <w:tcW w:w="340" w:type="dxa"/>
            <w:vAlign w:val="bottom"/>
            <w:tcBorders>
              <w:bottom w:val="single" w:sz="8" w:color="DC202E"/>
            </w:tcBorders>
          </w:tcPr>
          <w:p>
            <w:pPr>
              <w:spacing w:after="0"/>
              <w:rPr>
                <w:sz w:val="17"/>
                <w:szCs w:val="17"/>
                <w:color w:val="auto"/>
              </w:rPr>
            </w:pPr>
          </w:p>
        </w:tc>
        <w:tc>
          <w:tcPr>
            <w:tcW w:w="1080" w:type="dxa"/>
            <w:vAlign w:val="bottom"/>
            <w:tcBorders>
              <w:bottom w:val="single" w:sz="8" w:color="DC202E"/>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DDDDDD"/>
            </w:tcBorders>
          </w:tcPr>
          <w:p>
            <w:pPr>
              <w:spacing w:after="0"/>
              <w:rPr>
                <w:sz w:val="17"/>
                <w:szCs w:val="17"/>
                <w:color w:val="auto"/>
              </w:rPr>
            </w:pPr>
          </w:p>
        </w:tc>
        <w:tc>
          <w:tcPr>
            <w:tcW w:w="320" w:type="dxa"/>
            <w:vAlign w:val="bottom"/>
            <w:tcBorders>
              <w:bottom w:val="single" w:sz="8" w:color="DC202E"/>
            </w:tcBorders>
          </w:tcPr>
          <w:p>
            <w:pPr>
              <w:spacing w:after="0"/>
              <w:rPr>
                <w:sz w:val="17"/>
                <w:szCs w:val="17"/>
                <w:color w:val="auto"/>
              </w:rPr>
            </w:pPr>
          </w:p>
        </w:tc>
        <w:tc>
          <w:tcPr>
            <w:tcW w:w="1080" w:type="dxa"/>
            <w:vAlign w:val="bottom"/>
            <w:tcBorders>
              <w:bottom w:val="single" w:sz="8" w:color="DC202E"/>
            </w:tcBorders>
          </w:tcPr>
          <w:p>
            <w:pPr>
              <w:jc w:val="right"/>
              <w:ind w:right="45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DDDDDD"/>
            </w:tcBorders>
          </w:tcPr>
          <w:p>
            <w:pPr>
              <w:spacing w:after="0"/>
              <w:rPr>
                <w:sz w:val="17"/>
                <w:szCs w:val="17"/>
                <w:color w:val="auto"/>
              </w:rPr>
            </w:pPr>
          </w:p>
        </w:tc>
        <w:tc>
          <w:tcPr>
            <w:tcW w:w="340" w:type="dxa"/>
            <w:vAlign w:val="bottom"/>
            <w:tcBorders>
              <w:bottom w:val="single" w:sz="8" w:color="DC202E"/>
            </w:tcBorders>
          </w:tcPr>
          <w:p>
            <w:pPr>
              <w:spacing w:after="0"/>
              <w:rPr>
                <w:sz w:val="17"/>
                <w:szCs w:val="17"/>
                <w:color w:val="auto"/>
              </w:rPr>
            </w:pPr>
          </w:p>
        </w:tc>
        <w:tc>
          <w:tcPr>
            <w:tcW w:w="1080" w:type="dxa"/>
            <w:vAlign w:val="bottom"/>
            <w:tcBorders>
              <w:bottom w:val="single" w:sz="8" w:color="DC202E"/>
            </w:tcBorders>
          </w:tcPr>
          <w:p>
            <w:pPr>
              <w:jc w:val="right"/>
              <w:ind w:right="47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DDDDDD"/>
            </w:tcBorders>
          </w:tcPr>
          <w:p>
            <w:pPr>
              <w:spacing w:after="0"/>
              <w:rPr>
                <w:sz w:val="17"/>
                <w:szCs w:val="17"/>
                <w:color w:val="auto"/>
              </w:rPr>
            </w:pPr>
          </w:p>
        </w:tc>
        <w:tc>
          <w:tcPr>
            <w:tcW w:w="340" w:type="dxa"/>
            <w:vAlign w:val="bottom"/>
            <w:tcBorders>
              <w:bottom w:val="single" w:sz="8" w:color="DC202E"/>
            </w:tcBorders>
          </w:tcPr>
          <w:p>
            <w:pPr>
              <w:spacing w:after="0"/>
              <w:rPr>
                <w:sz w:val="17"/>
                <w:szCs w:val="17"/>
                <w:color w:val="auto"/>
              </w:rPr>
            </w:pPr>
          </w:p>
        </w:tc>
        <w:tc>
          <w:tcPr>
            <w:tcW w:w="1080" w:type="dxa"/>
            <w:vAlign w:val="bottom"/>
            <w:tcBorders>
              <w:bottom w:val="single" w:sz="8" w:color="DC202E"/>
            </w:tcBorders>
          </w:tcPr>
          <w:p>
            <w:pPr>
              <w:jc w:val="right"/>
              <w:ind w:right="454"/>
              <w:spacing w:after="0"/>
              <w:rPr>
                <w:sz w:val="20"/>
                <w:szCs w:val="20"/>
                <w:color w:val="auto"/>
              </w:rPr>
            </w:pPr>
            <w:r>
              <w:rPr>
                <w:rFonts w:ascii="Arial" w:cs="Arial" w:eastAsia="Arial" w:hAnsi="Arial"/>
                <w:sz w:val="14"/>
                <w:szCs w:val="14"/>
                <w:b w:val="1"/>
                <w:bCs w:val="1"/>
                <w:color w:val="auto"/>
              </w:rPr>
              <w:t>2018</w:t>
            </w:r>
          </w:p>
        </w:tc>
      </w:tr>
      <w:tr>
        <w:trPr>
          <w:trHeight w:val="230"/>
        </w:trPr>
        <w:tc>
          <w:tcPr>
            <w:tcW w:w="2200" w:type="dxa"/>
            <w:vAlign w:val="bottom"/>
            <w:shd w:val="clear" w:color="auto" w:fill="DDDDDD"/>
          </w:tcPr>
          <w:p>
            <w:pPr>
              <w:ind w:left="20"/>
              <w:spacing w:after="0"/>
              <w:rPr>
                <w:sz w:val="20"/>
                <w:szCs w:val="20"/>
                <w:color w:val="auto"/>
              </w:rPr>
            </w:pPr>
            <w:r>
              <w:rPr>
                <w:rFonts w:ascii="Arial" w:cs="Arial" w:eastAsia="Arial" w:hAnsi="Arial"/>
                <w:sz w:val="18"/>
                <w:szCs w:val="18"/>
                <w:color w:val="auto"/>
              </w:rPr>
              <w:t>United States</w:t>
            </w:r>
          </w:p>
        </w:tc>
        <w:tc>
          <w:tcPr>
            <w:tcW w:w="320" w:type="dxa"/>
            <w:vAlign w:val="bottom"/>
            <w:shd w:val="clear" w:color="auto" w:fill="DDDDDD"/>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19,665</w:t>
            </w:r>
          </w:p>
        </w:tc>
        <w:tc>
          <w:tcPr>
            <w:tcW w:w="100" w:type="dxa"/>
            <w:vAlign w:val="bottom"/>
            <w:shd w:val="clear" w:color="auto" w:fill="DDDDDD"/>
          </w:tcPr>
          <w:p>
            <w:pPr>
              <w:spacing w:after="0"/>
              <w:rPr>
                <w:sz w:val="19"/>
                <w:szCs w:val="19"/>
                <w:color w:val="auto"/>
              </w:rPr>
            </w:pPr>
          </w:p>
        </w:tc>
        <w:tc>
          <w:tcPr>
            <w:tcW w:w="22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21,910</w:t>
            </w:r>
          </w:p>
        </w:tc>
        <w:tc>
          <w:tcPr>
            <w:tcW w:w="100" w:type="dxa"/>
            <w:vAlign w:val="bottom"/>
            <w:shd w:val="clear" w:color="auto" w:fill="DDDDDD"/>
          </w:tcPr>
          <w:p>
            <w:pPr>
              <w:spacing w:after="0"/>
              <w:rPr>
                <w:sz w:val="19"/>
                <w:szCs w:val="19"/>
                <w:color w:val="auto"/>
              </w:rPr>
            </w:pPr>
          </w:p>
        </w:tc>
        <w:tc>
          <w:tcPr>
            <w:tcW w:w="3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23,841</w:t>
            </w:r>
          </w:p>
        </w:tc>
        <w:tc>
          <w:tcPr>
            <w:tcW w:w="120" w:type="dxa"/>
            <w:vAlign w:val="bottom"/>
            <w:shd w:val="clear" w:color="auto" w:fill="DDDDDD"/>
          </w:tcPr>
          <w:p>
            <w:pPr>
              <w:spacing w:after="0"/>
              <w:rPr>
                <w:sz w:val="19"/>
                <w:szCs w:val="19"/>
                <w:color w:val="auto"/>
              </w:rPr>
            </w:pPr>
          </w:p>
        </w:tc>
        <w:tc>
          <w:tcPr>
            <w:tcW w:w="32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3,823</w:t>
            </w:r>
          </w:p>
        </w:tc>
        <w:tc>
          <w:tcPr>
            <w:tcW w:w="120" w:type="dxa"/>
            <w:vAlign w:val="bottom"/>
            <w:shd w:val="clear" w:color="auto" w:fill="DDDDDD"/>
          </w:tcPr>
          <w:p>
            <w:pPr>
              <w:spacing w:after="0"/>
              <w:rPr>
                <w:sz w:val="19"/>
                <w:szCs w:val="19"/>
                <w:color w:val="auto"/>
              </w:rPr>
            </w:pPr>
          </w:p>
        </w:tc>
        <w:tc>
          <w:tcPr>
            <w:tcW w:w="340" w:type="dxa"/>
            <w:vAlign w:val="bottom"/>
            <w:shd w:val="clear" w:color="auto" w:fill="DDDDDD"/>
          </w:tcPr>
          <w:p>
            <w:pPr>
              <w:ind w:lef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3,649</w:t>
            </w:r>
          </w:p>
        </w:tc>
        <w:tc>
          <w:tcPr>
            <w:tcW w:w="100" w:type="dxa"/>
            <w:vAlign w:val="bottom"/>
            <w:shd w:val="clear" w:color="auto" w:fill="DDDDDD"/>
          </w:tcPr>
          <w:p>
            <w:pPr>
              <w:spacing w:after="0"/>
              <w:rPr>
                <w:sz w:val="19"/>
                <w:szCs w:val="19"/>
                <w:color w:val="auto"/>
              </w:rPr>
            </w:pPr>
          </w:p>
        </w:tc>
        <w:tc>
          <w:tcPr>
            <w:tcW w:w="3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3,601</w:t>
            </w:r>
          </w:p>
        </w:tc>
      </w:tr>
      <w:tr>
        <w:trPr>
          <w:trHeight w:val="229"/>
        </w:trPr>
        <w:tc>
          <w:tcPr>
            <w:tcW w:w="2200" w:type="dxa"/>
            <w:vAlign w:val="bottom"/>
          </w:tcPr>
          <w:p>
            <w:pPr>
              <w:ind w:left="20"/>
              <w:spacing w:after="0"/>
              <w:rPr>
                <w:sz w:val="20"/>
                <w:szCs w:val="20"/>
                <w:color w:val="auto"/>
              </w:rPr>
            </w:pPr>
            <w:r>
              <w:rPr>
                <w:rFonts w:ascii="Arial" w:cs="Arial" w:eastAsia="Arial" w:hAnsi="Arial"/>
                <w:sz w:val="18"/>
                <w:szCs w:val="18"/>
                <w:color w:val="auto"/>
              </w:rPr>
              <w:t>Europe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6,356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7,424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10,066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571</w:t>
            </w:r>
          </w:p>
        </w:tc>
      </w:tr>
      <w:tr>
        <w:trPr>
          <w:trHeight w:val="229"/>
        </w:trPr>
        <w:tc>
          <w:tcPr>
            <w:tcW w:w="2200" w:type="dxa"/>
            <w:vAlign w:val="bottom"/>
            <w:shd w:val="clear" w:color="auto" w:fill="DDDDDD"/>
          </w:tcPr>
          <w:p>
            <w:pPr>
              <w:ind w:left="20"/>
              <w:spacing w:after="0"/>
              <w:rPr>
                <w:sz w:val="20"/>
                <w:szCs w:val="20"/>
                <w:color w:val="auto"/>
              </w:rPr>
            </w:pPr>
            <w:r>
              <w:rPr>
                <w:rFonts w:ascii="Arial" w:cs="Arial" w:eastAsia="Arial" w:hAnsi="Arial"/>
                <w:sz w:val="18"/>
                <w:szCs w:val="18"/>
                <w:color w:val="auto"/>
              </w:rPr>
              <w:t>Other International</w:t>
            </w:r>
          </w:p>
        </w:tc>
        <w:tc>
          <w:tcPr>
            <w:tcW w:w="320" w:type="dxa"/>
            <w:vAlign w:val="bottom"/>
            <w:tcBorders>
              <w:bottom w:val="single" w:sz="8" w:color="auto"/>
            </w:tcBorders>
            <w:shd w:val="clear" w:color="auto" w:fill="DDDDDD"/>
          </w:tcPr>
          <w:p>
            <w:pPr>
              <w:spacing w:after="0"/>
              <w:rPr>
                <w:sz w:val="19"/>
                <w:szCs w:val="19"/>
                <w:color w:val="auto"/>
              </w:rPr>
            </w:pPr>
          </w:p>
        </w:tc>
        <w:tc>
          <w:tcPr>
            <w:tcW w:w="11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6,616</w:t>
            </w:r>
          </w:p>
        </w:tc>
        <w:tc>
          <w:tcPr>
            <w:tcW w:w="100" w:type="dxa"/>
            <w:vAlign w:val="bottom"/>
            <w:shd w:val="clear" w:color="auto" w:fill="DDDDDD"/>
          </w:tcPr>
          <w:p>
            <w:pPr>
              <w:spacing w:after="0"/>
              <w:rPr>
                <w:sz w:val="19"/>
                <w:szCs w:val="19"/>
                <w:color w:val="auto"/>
              </w:rPr>
            </w:pPr>
          </w:p>
        </w:tc>
        <w:tc>
          <w:tcPr>
            <w:tcW w:w="220" w:type="dxa"/>
            <w:vAlign w:val="bottom"/>
            <w:tcBorders>
              <w:bottom w:val="single" w:sz="8" w:color="auto"/>
            </w:tcBorders>
            <w:shd w:val="clear" w:color="auto" w:fill="DDDDDD"/>
          </w:tcPr>
          <w:p>
            <w:pPr>
              <w:spacing w:after="0"/>
              <w:rPr>
                <w:sz w:val="19"/>
                <w:szCs w:val="19"/>
                <w:color w:val="auto"/>
              </w:rPr>
            </w:pPr>
          </w:p>
        </w:tc>
        <w:tc>
          <w:tcPr>
            <w:tcW w:w="12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7,375</w:t>
            </w:r>
          </w:p>
        </w:tc>
        <w:tc>
          <w:tcPr>
            <w:tcW w:w="100" w:type="dxa"/>
            <w:vAlign w:val="bottom"/>
            <w:shd w:val="clear" w:color="auto" w:fill="DDDDDD"/>
          </w:tcPr>
          <w:p>
            <w:pPr>
              <w:spacing w:after="0"/>
              <w:rPr>
                <w:sz w:val="19"/>
                <w:szCs w:val="19"/>
                <w:color w:val="auto"/>
              </w:rPr>
            </w:pPr>
          </w:p>
        </w:tc>
        <w:tc>
          <w:tcPr>
            <w:tcW w:w="340" w:type="dxa"/>
            <w:vAlign w:val="bottom"/>
            <w:tcBorders>
              <w:bottom w:val="single" w:sz="8" w:color="auto"/>
            </w:tcBorders>
            <w:shd w:val="clear" w:color="auto" w:fill="DDDDDD"/>
          </w:tcPr>
          <w:p>
            <w:pPr>
              <w:spacing w:after="0"/>
              <w:rPr>
                <w:sz w:val="19"/>
                <w:szCs w:val="19"/>
                <w:color w:val="auto"/>
              </w:rPr>
            </w:pPr>
          </w:p>
        </w:tc>
        <w:tc>
          <w:tcPr>
            <w:tcW w:w="10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7,895</w:t>
            </w:r>
          </w:p>
        </w:tc>
        <w:tc>
          <w:tcPr>
            <w:tcW w:w="120" w:type="dxa"/>
            <w:vAlign w:val="bottom"/>
            <w:shd w:val="clear" w:color="auto" w:fill="DDDDDD"/>
          </w:tcPr>
          <w:p>
            <w:pPr>
              <w:spacing w:after="0"/>
              <w:rPr>
                <w:sz w:val="19"/>
                <w:szCs w:val="19"/>
                <w:color w:val="auto"/>
              </w:rPr>
            </w:pPr>
          </w:p>
        </w:tc>
        <w:tc>
          <w:tcPr>
            <w:tcW w:w="320" w:type="dxa"/>
            <w:vAlign w:val="bottom"/>
            <w:tcBorders>
              <w:bottom w:val="single" w:sz="8" w:color="auto"/>
            </w:tcBorders>
            <w:shd w:val="clear" w:color="auto" w:fill="DDDDDD"/>
          </w:tcPr>
          <w:p>
            <w:pPr>
              <w:spacing w:after="0"/>
              <w:rPr>
                <w:sz w:val="19"/>
                <w:szCs w:val="19"/>
                <w:color w:val="auto"/>
              </w:rPr>
            </w:pPr>
          </w:p>
        </w:tc>
        <w:tc>
          <w:tcPr>
            <w:tcW w:w="10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1,119</w:t>
            </w:r>
          </w:p>
        </w:tc>
        <w:tc>
          <w:tcPr>
            <w:tcW w:w="120" w:type="dxa"/>
            <w:vAlign w:val="bottom"/>
            <w:shd w:val="clear" w:color="auto" w:fill="DDDDDD"/>
          </w:tcPr>
          <w:p>
            <w:pPr>
              <w:spacing w:after="0"/>
              <w:rPr>
                <w:sz w:val="19"/>
                <w:szCs w:val="19"/>
                <w:color w:val="auto"/>
              </w:rPr>
            </w:pPr>
          </w:p>
        </w:tc>
        <w:tc>
          <w:tcPr>
            <w:tcW w:w="340" w:type="dxa"/>
            <w:vAlign w:val="bottom"/>
            <w:tcBorders>
              <w:bottom w:val="single" w:sz="8" w:color="auto"/>
            </w:tcBorders>
            <w:shd w:val="clear" w:color="auto" w:fill="DDDDDD"/>
          </w:tcPr>
          <w:p>
            <w:pPr>
              <w:spacing w:after="0"/>
              <w:rPr>
                <w:sz w:val="19"/>
                <w:szCs w:val="19"/>
                <w:color w:val="auto"/>
              </w:rPr>
            </w:pPr>
          </w:p>
        </w:tc>
        <w:tc>
          <w:tcPr>
            <w:tcW w:w="10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1,097</w:t>
            </w:r>
          </w:p>
        </w:tc>
        <w:tc>
          <w:tcPr>
            <w:tcW w:w="100" w:type="dxa"/>
            <w:vAlign w:val="bottom"/>
            <w:shd w:val="clear" w:color="auto" w:fill="DDDDDD"/>
          </w:tcPr>
          <w:p>
            <w:pPr>
              <w:spacing w:after="0"/>
              <w:rPr>
                <w:sz w:val="19"/>
                <w:szCs w:val="19"/>
                <w:color w:val="auto"/>
              </w:rPr>
            </w:pPr>
          </w:p>
        </w:tc>
        <w:tc>
          <w:tcPr>
            <w:tcW w:w="340" w:type="dxa"/>
            <w:vAlign w:val="bottom"/>
            <w:tcBorders>
              <w:bottom w:val="single" w:sz="8" w:color="auto"/>
            </w:tcBorders>
            <w:shd w:val="clear" w:color="auto" w:fill="DDDDDD"/>
          </w:tcPr>
          <w:p>
            <w:pPr>
              <w:spacing w:after="0"/>
              <w:rPr>
                <w:sz w:val="19"/>
                <w:szCs w:val="19"/>
                <w:color w:val="auto"/>
              </w:rPr>
            </w:pPr>
          </w:p>
        </w:tc>
        <w:tc>
          <w:tcPr>
            <w:tcW w:w="10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1,124</w:t>
            </w:r>
          </w:p>
        </w:tc>
      </w:tr>
      <w:tr>
        <w:trPr>
          <w:trHeight w:val="223"/>
        </w:trPr>
        <w:tc>
          <w:tcPr>
            <w:tcW w:w="22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32,637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36,709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41,802</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5,570</w:t>
            </w:r>
          </w:p>
        </w:tc>
        <w:tc>
          <w:tcPr>
            <w:tcW w:w="120" w:type="dxa"/>
            <w:vAlign w:val="bottom"/>
          </w:tcPr>
          <w:p>
            <w:pPr>
              <w:spacing w:after="0"/>
              <w:rPr>
                <w:sz w:val="19"/>
                <w:szCs w:val="19"/>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5,296</w:t>
            </w:r>
          </w:p>
        </w:tc>
      </w:tr>
      <w:tr>
        <w:trPr>
          <w:trHeight w:val="21"/>
        </w:trPr>
        <w:tc>
          <w:tcPr>
            <w:tcW w:w="2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jc w:val="both"/>
        <w:ind w:left="340" w:hanging="332"/>
        <w:spacing w:after="0" w:line="250" w:lineRule="auto"/>
        <w:tabs>
          <w:tab w:leader="none" w:pos="33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Sales between geographic areas approximate market value and are not significant. Net sales are classified according to their country of origin. Included in United States Net sales are export sales of $4,000 million, $5,415 million and $5,293 million for the years ended December 31, 2020, 2019 and 2018.</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Long-lived assets are comprised of Property, plant and equipment - net.</w:t>
      </w:r>
    </w:p>
    <w:p>
      <w:pPr>
        <w:spacing w:after="0" w:line="294" w:lineRule="exact"/>
        <w:rPr>
          <w:sz w:val="20"/>
          <w:szCs w:val="20"/>
          <w:color w:val="auto"/>
        </w:rPr>
      </w:pPr>
    </w:p>
    <w:p>
      <w:pPr>
        <w:spacing w:after="0"/>
        <w:rPr>
          <w:sz w:val="20"/>
          <w:szCs w:val="20"/>
          <w:color w:val="auto"/>
        </w:rPr>
      </w:pPr>
      <w:r>
        <w:rPr>
          <w:rFonts w:ascii="Arial" w:cs="Arial" w:eastAsia="Arial" w:hAnsi="Arial"/>
          <w:sz w:val="29"/>
          <w:szCs w:val="29"/>
          <w:b w:val="1"/>
          <w:bCs w:val="1"/>
          <w:color w:val="EE2724"/>
        </w:rPr>
        <w:t>NOTE 25. SUPPLEMENTAL CASH FLOW INFORMATION</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20" w:type="dxa"/>
            <w:vAlign w:val="bottom"/>
          </w:tcPr>
          <w:p>
            <w:pPr>
              <w:spacing w:after="0"/>
              <w:rPr>
                <w:sz w:val="17"/>
                <w:szCs w:val="17"/>
                <w:color w:val="auto"/>
              </w:rPr>
            </w:pPr>
          </w:p>
        </w:tc>
        <w:tc>
          <w:tcPr>
            <w:tcW w:w="880" w:type="dxa"/>
            <w:vAlign w:val="bottom"/>
            <w:tcBorders>
              <w:bottom w:val="single" w:sz="8" w:color="DC202E"/>
            </w:tcBorders>
          </w:tcPr>
          <w:p>
            <w:pPr>
              <w:spacing w:after="0"/>
              <w:rPr>
                <w:sz w:val="17"/>
                <w:szCs w:val="17"/>
                <w:color w:val="auto"/>
              </w:rPr>
            </w:pPr>
          </w:p>
        </w:tc>
        <w:tc>
          <w:tcPr>
            <w:tcW w:w="2540" w:type="dxa"/>
            <w:vAlign w:val="bottom"/>
            <w:tcBorders>
              <w:bottom w:val="single" w:sz="8" w:color="DC202E"/>
            </w:tcBorders>
            <w:gridSpan w:val="6"/>
          </w:tcPr>
          <w:p>
            <w:pPr>
              <w:jc w:val="right"/>
              <w:ind w:right="150"/>
              <w:spacing w:after="0"/>
              <w:rPr>
                <w:sz w:val="20"/>
                <w:szCs w:val="20"/>
                <w:color w:val="auto"/>
              </w:rPr>
            </w:pPr>
            <w:r>
              <w:rPr>
                <w:rFonts w:ascii="Arial" w:cs="Arial" w:eastAsia="Arial" w:hAnsi="Arial"/>
                <w:sz w:val="14"/>
                <w:szCs w:val="14"/>
                <w:b w:val="1"/>
                <w:bCs w:val="1"/>
                <w:color w:val="auto"/>
              </w:rPr>
              <w:t>Years Ended December 31,</w:t>
            </w:r>
          </w:p>
        </w:tc>
        <w:tc>
          <w:tcPr>
            <w:tcW w:w="1100" w:type="dxa"/>
            <w:vAlign w:val="bottom"/>
            <w:tcBorders>
              <w:bottom w:val="single" w:sz="8" w:color="DC202E"/>
            </w:tcBorders>
          </w:tcPr>
          <w:p>
            <w:pPr>
              <w:spacing w:after="0"/>
              <w:rPr>
                <w:sz w:val="17"/>
                <w:szCs w:val="17"/>
                <w:color w:val="auto"/>
              </w:rPr>
            </w:pPr>
          </w:p>
        </w:tc>
      </w:tr>
      <w:tr>
        <w:trPr>
          <w:trHeight w:val="250"/>
        </w:trPr>
        <w:tc>
          <w:tcPr>
            <w:tcW w:w="6720" w:type="dxa"/>
            <w:vAlign w:val="bottom"/>
            <w:tcBorders>
              <w:bottom w:val="single" w:sz="8" w:color="DDDDDD"/>
            </w:tcBorders>
          </w:tcPr>
          <w:p>
            <w:pPr>
              <w:spacing w:after="0"/>
              <w:rPr>
                <w:sz w:val="21"/>
                <w:szCs w:val="21"/>
                <w:color w:val="auto"/>
              </w:rPr>
            </w:pPr>
          </w:p>
        </w:tc>
        <w:tc>
          <w:tcPr>
            <w:tcW w:w="88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DC202E"/>
            </w:tcBorders>
          </w:tcPr>
          <w:p>
            <w:pPr>
              <w:spacing w:after="0"/>
              <w:rPr>
                <w:sz w:val="21"/>
                <w:szCs w:val="21"/>
                <w:color w:val="auto"/>
              </w:rPr>
            </w:pPr>
          </w:p>
        </w:tc>
        <w:tc>
          <w:tcPr>
            <w:tcW w:w="120" w:type="dxa"/>
            <w:vAlign w:val="bottom"/>
            <w:tcBorders>
              <w:bottom w:val="single" w:sz="8" w:color="DDDDDD"/>
            </w:tcBorders>
          </w:tcPr>
          <w:p>
            <w:pPr>
              <w:spacing w:after="0"/>
              <w:rPr>
                <w:sz w:val="21"/>
                <w:szCs w:val="21"/>
                <w:color w:val="auto"/>
              </w:rPr>
            </w:pPr>
          </w:p>
        </w:tc>
        <w:tc>
          <w:tcPr>
            <w:tcW w:w="340" w:type="dxa"/>
            <w:vAlign w:val="bottom"/>
            <w:tcBorders>
              <w:bottom w:val="single" w:sz="8" w:color="DC202E"/>
            </w:tcBorders>
          </w:tcPr>
          <w:p>
            <w:pPr>
              <w:spacing w:after="0"/>
              <w:rPr>
                <w:sz w:val="21"/>
                <w:szCs w:val="21"/>
                <w:color w:val="auto"/>
              </w:rPr>
            </w:pPr>
          </w:p>
        </w:tc>
        <w:tc>
          <w:tcPr>
            <w:tcW w:w="1080" w:type="dxa"/>
            <w:vAlign w:val="bottom"/>
            <w:tcBorders>
              <w:bottom w:val="single" w:sz="8" w:color="DC202E"/>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DDDDDD"/>
            </w:tcBorders>
          </w:tcPr>
          <w:p>
            <w:pPr>
              <w:spacing w:after="0"/>
              <w:rPr>
                <w:sz w:val="21"/>
                <w:szCs w:val="21"/>
                <w:color w:val="auto"/>
              </w:rPr>
            </w:pPr>
          </w:p>
        </w:tc>
        <w:tc>
          <w:tcPr>
            <w:tcW w:w="340" w:type="dxa"/>
            <w:vAlign w:val="bottom"/>
            <w:tcBorders>
              <w:bottom w:val="single" w:sz="8" w:color="DC202E"/>
            </w:tcBorders>
          </w:tcPr>
          <w:p>
            <w:pPr>
              <w:spacing w:after="0"/>
              <w:rPr>
                <w:sz w:val="21"/>
                <w:szCs w:val="21"/>
                <w:color w:val="auto"/>
              </w:rPr>
            </w:pPr>
          </w:p>
        </w:tc>
        <w:tc>
          <w:tcPr>
            <w:tcW w:w="1100" w:type="dxa"/>
            <w:vAlign w:val="bottom"/>
            <w:tcBorders>
              <w:bottom w:val="single" w:sz="8" w:color="DC202E"/>
            </w:tcBorders>
          </w:tcPr>
          <w:p>
            <w:pPr>
              <w:jc w:val="right"/>
              <w:ind w:right="472"/>
              <w:spacing w:after="0"/>
              <w:rPr>
                <w:sz w:val="20"/>
                <w:szCs w:val="20"/>
                <w:color w:val="auto"/>
              </w:rPr>
            </w:pPr>
            <w:r>
              <w:rPr>
                <w:rFonts w:ascii="Arial" w:cs="Arial" w:eastAsia="Arial" w:hAnsi="Arial"/>
                <w:sz w:val="14"/>
                <w:szCs w:val="14"/>
                <w:b w:val="1"/>
                <w:bCs w:val="1"/>
                <w:color w:val="auto"/>
              </w:rPr>
              <w:t>2018</w:t>
            </w:r>
          </w:p>
        </w:tc>
      </w:tr>
      <w:tr>
        <w:trPr>
          <w:trHeight w:val="216"/>
        </w:trPr>
        <w:tc>
          <w:tcPr>
            <w:tcW w:w="6720" w:type="dxa"/>
            <w:vAlign w:val="bottom"/>
            <w:shd w:val="clear" w:color="auto" w:fill="DDDDDD"/>
          </w:tcPr>
          <w:p>
            <w:pPr>
              <w:ind w:left="20"/>
              <w:spacing w:after="0"/>
              <w:rPr>
                <w:sz w:val="20"/>
                <w:szCs w:val="20"/>
                <w:color w:val="auto"/>
              </w:rPr>
            </w:pPr>
            <w:r>
              <w:rPr>
                <w:rFonts w:ascii="Arial" w:cs="Arial" w:eastAsia="Arial" w:hAnsi="Arial"/>
                <w:sz w:val="18"/>
                <w:szCs w:val="18"/>
                <w:color w:val="auto"/>
              </w:rPr>
              <w:t>Net payments for repositioning and other charges:</w:t>
            </w:r>
          </w:p>
        </w:tc>
        <w:tc>
          <w:tcPr>
            <w:tcW w:w="880" w:type="dxa"/>
            <w:vAlign w:val="bottom"/>
            <w:shd w:val="clear" w:color="auto" w:fill="DDDDDD"/>
          </w:tcPr>
          <w:p>
            <w:pPr>
              <w:spacing w:after="0"/>
              <w:rPr>
                <w:sz w:val="18"/>
                <w:szCs w:val="18"/>
                <w:color w:val="auto"/>
              </w:rPr>
            </w:pPr>
          </w:p>
        </w:tc>
        <w:tc>
          <w:tcPr>
            <w:tcW w:w="54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340" w:type="dxa"/>
            <w:vAlign w:val="bottom"/>
            <w:shd w:val="clear" w:color="auto" w:fill="DDDDDD"/>
          </w:tcPr>
          <w:p>
            <w:pPr>
              <w:spacing w:after="0"/>
              <w:rPr>
                <w:sz w:val="18"/>
                <w:szCs w:val="18"/>
                <w:color w:val="auto"/>
              </w:rPr>
            </w:pPr>
          </w:p>
        </w:tc>
        <w:tc>
          <w:tcPr>
            <w:tcW w:w="108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340" w:type="dxa"/>
            <w:vAlign w:val="bottom"/>
            <w:shd w:val="clear" w:color="auto" w:fill="DDDDDD"/>
          </w:tcPr>
          <w:p>
            <w:pPr>
              <w:spacing w:after="0"/>
              <w:rPr>
                <w:sz w:val="18"/>
                <w:szCs w:val="18"/>
                <w:color w:val="auto"/>
              </w:rPr>
            </w:pPr>
          </w:p>
        </w:tc>
        <w:tc>
          <w:tcPr>
            <w:tcW w:w="1100" w:type="dxa"/>
            <w:vAlign w:val="bottom"/>
            <w:shd w:val="clear" w:color="auto" w:fill="DDDDDD"/>
          </w:tcPr>
          <w:p>
            <w:pPr>
              <w:spacing w:after="0"/>
              <w:rPr>
                <w:sz w:val="18"/>
                <w:szCs w:val="18"/>
                <w:color w:val="auto"/>
              </w:rPr>
            </w:pPr>
          </w:p>
        </w:tc>
      </w:tr>
      <w:tr>
        <w:trPr>
          <w:trHeight w:val="230"/>
        </w:trPr>
        <w:tc>
          <w:tcPr>
            <w:tcW w:w="6720" w:type="dxa"/>
            <w:vAlign w:val="bottom"/>
          </w:tcPr>
          <w:p>
            <w:pPr>
              <w:ind w:left="360"/>
              <w:spacing w:after="0"/>
              <w:rPr>
                <w:sz w:val="20"/>
                <w:szCs w:val="20"/>
                <w:color w:val="auto"/>
              </w:rPr>
            </w:pPr>
            <w:r>
              <w:rPr>
                <w:rFonts w:ascii="Arial" w:cs="Arial" w:eastAsia="Arial" w:hAnsi="Arial"/>
                <w:sz w:val="18"/>
                <w:szCs w:val="18"/>
                <w:color w:val="auto"/>
              </w:rPr>
              <w:t>Severance and exit cost payments</w:t>
            </w:r>
          </w:p>
        </w:tc>
        <w:tc>
          <w:tcPr>
            <w:tcW w:w="880" w:type="dxa"/>
            <w:vAlign w:val="bottom"/>
          </w:tcPr>
          <w:p>
            <w:pPr>
              <w:jc w:val="right"/>
              <w:ind w:right="675"/>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(564)</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(249)</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(285)</w:t>
            </w:r>
          </w:p>
        </w:tc>
      </w:tr>
      <w:tr>
        <w:trPr>
          <w:trHeight w:val="229"/>
        </w:trPr>
        <w:tc>
          <w:tcPr>
            <w:tcW w:w="6720" w:type="dxa"/>
            <w:vAlign w:val="bottom"/>
            <w:shd w:val="clear" w:color="auto" w:fill="DDDDDD"/>
          </w:tcPr>
          <w:p>
            <w:pPr>
              <w:ind w:left="360"/>
              <w:spacing w:after="0"/>
              <w:rPr>
                <w:sz w:val="20"/>
                <w:szCs w:val="20"/>
                <w:color w:val="auto"/>
              </w:rPr>
            </w:pPr>
            <w:r>
              <w:rPr>
                <w:rFonts w:ascii="Arial" w:cs="Arial" w:eastAsia="Arial" w:hAnsi="Arial"/>
                <w:sz w:val="18"/>
                <w:szCs w:val="18"/>
                <w:color w:val="auto"/>
              </w:rPr>
              <w:t>Environmental payments</w:t>
            </w:r>
          </w:p>
        </w:tc>
        <w:tc>
          <w:tcPr>
            <w:tcW w:w="880" w:type="dxa"/>
            <w:vAlign w:val="bottom"/>
            <w:shd w:val="clear" w:color="auto" w:fill="DDDDDD"/>
          </w:tcPr>
          <w:p>
            <w:pPr>
              <w:spacing w:after="0"/>
              <w:rPr>
                <w:sz w:val="19"/>
                <w:szCs w:val="19"/>
                <w:color w:val="auto"/>
              </w:rPr>
            </w:pPr>
          </w:p>
        </w:tc>
        <w:tc>
          <w:tcPr>
            <w:tcW w:w="5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(216)</w:t>
            </w:r>
          </w:p>
        </w:tc>
        <w:tc>
          <w:tcPr>
            <w:tcW w:w="12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10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(256)</w:t>
            </w:r>
          </w:p>
        </w:tc>
        <w:tc>
          <w:tcPr>
            <w:tcW w:w="12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(218)</w:t>
            </w:r>
          </w:p>
        </w:tc>
      </w:tr>
      <w:tr>
        <w:trPr>
          <w:trHeight w:val="230"/>
        </w:trPr>
        <w:tc>
          <w:tcPr>
            <w:tcW w:w="6720" w:type="dxa"/>
            <w:vAlign w:val="bottom"/>
          </w:tcPr>
          <w:p>
            <w:pPr>
              <w:ind w:left="360"/>
              <w:spacing w:after="0"/>
              <w:rPr>
                <w:sz w:val="20"/>
                <w:szCs w:val="20"/>
                <w:color w:val="auto"/>
              </w:rPr>
            </w:pPr>
            <w:r>
              <w:rPr>
                <w:rFonts w:ascii="Arial" w:cs="Arial" w:eastAsia="Arial" w:hAnsi="Arial"/>
                <w:sz w:val="18"/>
                <w:szCs w:val="18"/>
                <w:color w:val="auto"/>
              </w:rPr>
              <w:t>Reimbursement receipts</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30"/>
        </w:trPr>
        <w:tc>
          <w:tcPr>
            <w:tcW w:w="6720" w:type="dxa"/>
            <w:vAlign w:val="bottom"/>
            <w:shd w:val="clear" w:color="auto" w:fill="DDDDDD"/>
          </w:tcPr>
          <w:p>
            <w:pPr>
              <w:ind w:left="360"/>
              <w:spacing w:after="0"/>
              <w:rPr>
                <w:sz w:val="20"/>
                <w:szCs w:val="20"/>
                <w:color w:val="auto"/>
              </w:rPr>
            </w:pPr>
            <w:r>
              <w:rPr>
                <w:rFonts w:ascii="Arial" w:cs="Arial" w:eastAsia="Arial" w:hAnsi="Arial"/>
                <w:sz w:val="18"/>
                <w:szCs w:val="18"/>
                <w:color w:val="auto"/>
              </w:rPr>
              <w:t>Insurance receipts for asbestos related liabilities</w:t>
            </w:r>
          </w:p>
        </w:tc>
        <w:tc>
          <w:tcPr>
            <w:tcW w:w="880" w:type="dxa"/>
            <w:vAlign w:val="bottom"/>
            <w:shd w:val="clear" w:color="auto" w:fill="DDDDDD"/>
          </w:tcPr>
          <w:p>
            <w:pPr>
              <w:spacing w:after="0"/>
              <w:rPr>
                <w:sz w:val="19"/>
                <w:szCs w:val="19"/>
                <w:color w:val="auto"/>
              </w:rPr>
            </w:pPr>
          </w:p>
        </w:tc>
        <w:tc>
          <w:tcPr>
            <w:tcW w:w="5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58</w:t>
            </w:r>
          </w:p>
        </w:tc>
        <w:tc>
          <w:tcPr>
            <w:tcW w:w="12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10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68</w:t>
            </w:r>
          </w:p>
        </w:tc>
        <w:tc>
          <w:tcPr>
            <w:tcW w:w="12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6720" w:type="dxa"/>
            <w:vAlign w:val="bottom"/>
            <w:tcBorders>
              <w:bottom w:val="single" w:sz="8" w:color="DDDDDD"/>
            </w:tcBorders>
          </w:tcPr>
          <w:p>
            <w:pPr>
              <w:ind w:left="360"/>
              <w:spacing w:after="0"/>
              <w:rPr>
                <w:sz w:val="20"/>
                <w:szCs w:val="20"/>
                <w:color w:val="auto"/>
              </w:rPr>
            </w:pPr>
            <w:r>
              <w:rPr>
                <w:rFonts w:ascii="Arial" w:cs="Arial" w:eastAsia="Arial" w:hAnsi="Arial"/>
                <w:sz w:val="18"/>
                <w:szCs w:val="18"/>
                <w:color w:val="auto"/>
              </w:rPr>
              <w:t>Asbestos related liability payments</w:t>
            </w:r>
          </w:p>
        </w:tc>
        <w:tc>
          <w:tcPr>
            <w:tcW w:w="8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120" w:type="dxa"/>
            <w:vAlign w:val="bottom"/>
            <w:tcBorders>
              <w:bottom w:val="single" w:sz="8" w:color="DDDDDD"/>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Borders>
              <w:bottom w:val="single" w:sz="8" w:color="DDDDDD"/>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w:t>
            </w:r>
          </w:p>
        </w:tc>
      </w:tr>
      <w:tr>
        <w:trPr>
          <w:trHeight w:val="248"/>
        </w:trPr>
        <w:tc>
          <w:tcPr>
            <w:tcW w:w="6720" w:type="dxa"/>
            <w:vAlign w:val="bottom"/>
            <w:tcBorders>
              <w:bottom w:val="single" w:sz="8" w:color="DDDDDD"/>
            </w:tcBorders>
            <w:shd w:val="clear" w:color="auto" w:fill="DDDDDD"/>
          </w:tcPr>
          <w:p>
            <w:pPr>
              <w:spacing w:after="0"/>
              <w:rPr>
                <w:sz w:val="21"/>
                <w:szCs w:val="21"/>
                <w:color w:val="auto"/>
              </w:rPr>
            </w:pPr>
          </w:p>
        </w:tc>
        <w:tc>
          <w:tcPr>
            <w:tcW w:w="880" w:type="dxa"/>
            <w:vAlign w:val="bottom"/>
            <w:tcBorders>
              <w:bottom w:val="single" w:sz="8" w:color="auto"/>
            </w:tcBorders>
            <w:shd w:val="clear" w:color="auto" w:fill="DDDDDD"/>
          </w:tcPr>
          <w:p>
            <w:pPr>
              <w:jc w:val="right"/>
              <w:ind w:right="675"/>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(833)</w:t>
            </w:r>
          </w:p>
        </w:tc>
        <w:tc>
          <w:tcPr>
            <w:tcW w:w="120" w:type="dxa"/>
            <w:vAlign w:val="bottom"/>
            <w:tcBorders>
              <w:bottom w:val="single" w:sz="8" w:color="DDDDDD"/>
            </w:tcBorders>
            <w:shd w:val="clear" w:color="auto" w:fill="DDDDDD"/>
          </w:tcPr>
          <w:p>
            <w:pPr>
              <w:spacing w:after="0"/>
              <w:rPr>
                <w:sz w:val="21"/>
                <w:szCs w:val="21"/>
                <w:color w:val="auto"/>
              </w:rPr>
            </w:pPr>
          </w:p>
        </w:tc>
        <w:tc>
          <w:tcPr>
            <w:tcW w:w="340" w:type="dxa"/>
            <w:vAlign w:val="bottom"/>
            <w:tcBorders>
              <w:bottom w:val="single" w:sz="8" w:color="auto"/>
            </w:tcBorders>
            <w:shd w:val="clear" w:color="auto" w:fill="DDDDDD"/>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(376)</w:t>
            </w:r>
          </w:p>
        </w:tc>
        <w:tc>
          <w:tcPr>
            <w:tcW w:w="120" w:type="dxa"/>
            <w:vAlign w:val="bottom"/>
            <w:tcBorders>
              <w:bottom w:val="single" w:sz="8" w:color="DDDDDD"/>
            </w:tcBorders>
            <w:shd w:val="clear" w:color="auto" w:fill="DDDDDD"/>
          </w:tcPr>
          <w:p>
            <w:pPr>
              <w:spacing w:after="0"/>
              <w:rPr>
                <w:sz w:val="21"/>
                <w:szCs w:val="21"/>
                <w:color w:val="auto"/>
              </w:rPr>
            </w:pPr>
          </w:p>
        </w:tc>
        <w:tc>
          <w:tcPr>
            <w:tcW w:w="340" w:type="dxa"/>
            <w:vAlign w:val="bottom"/>
            <w:tcBorders>
              <w:bottom w:val="single" w:sz="8" w:color="auto"/>
            </w:tcBorders>
            <w:shd w:val="clear" w:color="auto" w:fill="DDDDDD"/>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(652)</w:t>
            </w:r>
          </w:p>
        </w:tc>
      </w:tr>
      <w:tr>
        <w:trPr>
          <w:trHeight w:val="20"/>
        </w:trPr>
        <w:tc>
          <w:tcPr>
            <w:tcW w:w="6720" w:type="dxa"/>
            <w:vAlign w:val="bottom"/>
            <w:tcBorders>
              <w:top w:val="single" w:sz="8" w:color="DDDDDD"/>
            </w:tcBorders>
          </w:tcPr>
          <w:p>
            <w:pPr>
              <w:spacing w:after="0" w:line="20" w:lineRule="exact"/>
              <w:rPr>
                <w:sz w:val="1"/>
                <w:szCs w:val="1"/>
                <w:color w:val="auto"/>
              </w:rPr>
            </w:pPr>
          </w:p>
        </w:tc>
        <w:tc>
          <w:tcPr>
            <w:tcW w:w="880" w:type="dxa"/>
            <w:vAlign w:val="bottom"/>
            <w:tcBorders>
              <w:top w:val="single" w:sz="8" w:color="DDDDDD"/>
              <w:bottom w:val="single" w:sz="8" w:color="auto"/>
            </w:tcBorders>
          </w:tcPr>
          <w:p>
            <w:pPr>
              <w:spacing w:after="0" w:line="20" w:lineRule="exact"/>
              <w:rPr>
                <w:sz w:val="1"/>
                <w:szCs w:val="1"/>
                <w:color w:val="auto"/>
              </w:rPr>
            </w:pPr>
          </w:p>
        </w:tc>
        <w:tc>
          <w:tcPr>
            <w:tcW w:w="540" w:type="dxa"/>
            <w:vAlign w:val="bottom"/>
            <w:tcBorders>
              <w:top w:val="single" w:sz="8" w:color="DDDDDD"/>
              <w:bottom w:val="single" w:sz="8" w:color="auto"/>
            </w:tcBorders>
          </w:tcPr>
          <w:p>
            <w:pPr>
              <w:spacing w:after="0" w:line="20" w:lineRule="exact"/>
              <w:rPr>
                <w:sz w:val="1"/>
                <w:szCs w:val="1"/>
                <w:color w:val="auto"/>
              </w:rPr>
            </w:pPr>
          </w:p>
        </w:tc>
        <w:tc>
          <w:tcPr>
            <w:tcW w:w="120" w:type="dxa"/>
            <w:vAlign w:val="bottom"/>
            <w:tcBorders>
              <w:top w:val="single" w:sz="8" w:color="DDDDDD"/>
            </w:tcBorders>
          </w:tcPr>
          <w:p>
            <w:pPr>
              <w:spacing w:after="0" w:line="20" w:lineRule="exact"/>
              <w:rPr>
                <w:sz w:val="1"/>
                <w:szCs w:val="1"/>
                <w:color w:val="auto"/>
              </w:rPr>
            </w:pPr>
          </w:p>
        </w:tc>
        <w:tc>
          <w:tcPr>
            <w:tcW w:w="340" w:type="dxa"/>
            <w:vAlign w:val="bottom"/>
            <w:tcBorders>
              <w:top w:val="single" w:sz="8" w:color="DDDDDD"/>
              <w:bottom w:val="single" w:sz="8" w:color="auto"/>
            </w:tcBorders>
          </w:tcPr>
          <w:p>
            <w:pPr>
              <w:spacing w:after="0" w:line="20" w:lineRule="exact"/>
              <w:rPr>
                <w:sz w:val="1"/>
                <w:szCs w:val="1"/>
                <w:color w:val="auto"/>
              </w:rPr>
            </w:pPr>
          </w:p>
        </w:tc>
        <w:tc>
          <w:tcPr>
            <w:tcW w:w="1080" w:type="dxa"/>
            <w:vAlign w:val="bottom"/>
            <w:tcBorders>
              <w:top w:val="single" w:sz="8" w:color="DDDDDD"/>
              <w:bottom w:val="single" w:sz="8" w:color="auto"/>
            </w:tcBorders>
          </w:tcPr>
          <w:p>
            <w:pPr>
              <w:spacing w:after="0" w:line="20" w:lineRule="exact"/>
              <w:rPr>
                <w:sz w:val="1"/>
                <w:szCs w:val="1"/>
                <w:color w:val="auto"/>
              </w:rPr>
            </w:pPr>
          </w:p>
        </w:tc>
        <w:tc>
          <w:tcPr>
            <w:tcW w:w="120" w:type="dxa"/>
            <w:vAlign w:val="bottom"/>
            <w:tcBorders>
              <w:top w:val="single" w:sz="8" w:color="DDDDDD"/>
            </w:tcBorders>
          </w:tcPr>
          <w:p>
            <w:pPr>
              <w:spacing w:after="0" w:line="20" w:lineRule="exact"/>
              <w:rPr>
                <w:sz w:val="1"/>
                <w:szCs w:val="1"/>
                <w:color w:val="auto"/>
              </w:rPr>
            </w:pPr>
          </w:p>
        </w:tc>
        <w:tc>
          <w:tcPr>
            <w:tcW w:w="340" w:type="dxa"/>
            <w:vAlign w:val="bottom"/>
            <w:tcBorders>
              <w:top w:val="single" w:sz="8" w:color="DDDDDD"/>
              <w:bottom w:val="single" w:sz="8" w:color="auto"/>
            </w:tcBorders>
          </w:tcPr>
          <w:p>
            <w:pPr>
              <w:spacing w:after="0" w:line="20" w:lineRule="exact"/>
              <w:rPr>
                <w:sz w:val="1"/>
                <w:szCs w:val="1"/>
                <w:color w:val="auto"/>
              </w:rPr>
            </w:pPr>
          </w:p>
        </w:tc>
        <w:tc>
          <w:tcPr>
            <w:tcW w:w="1100" w:type="dxa"/>
            <w:vAlign w:val="bottom"/>
            <w:tcBorders>
              <w:top w:val="single" w:sz="8" w:color="DDDDDD"/>
              <w:bottom w:val="single" w:sz="8" w:color="auto"/>
            </w:tcBorders>
          </w:tcPr>
          <w:p>
            <w:pPr>
              <w:spacing w:after="0" w:line="20" w:lineRule="exact"/>
              <w:rPr>
                <w:sz w:val="1"/>
                <w:szCs w:val="1"/>
                <w:color w:val="auto"/>
              </w:rPr>
            </w:pPr>
          </w:p>
        </w:tc>
      </w:tr>
      <w:tr>
        <w:trPr>
          <w:trHeight w:val="203"/>
        </w:trPr>
        <w:tc>
          <w:tcPr>
            <w:tcW w:w="6720" w:type="dxa"/>
            <w:vAlign w:val="bottom"/>
          </w:tcPr>
          <w:p>
            <w:pPr>
              <w:ind w:left="20"/>
              <w:spacing w:after="0" w:line="203" w:lineRule="exact"/>
              <w:rPr>
                <w:sz w:val="20"/>
                <w:szCs w:val="20"/>
                <w:color w:val="auto"/>
              </w:rPr>
            </w:pPr>
            <w:r>
              <w:rPr>
                <w:rFonts w:ascii="Arial" w:cs="Arial" w:eastAsia="Arial" w:hAnsi="Arial"/>
                <w:sz w:val="18"/>
                <w:szCs w:val="18"/>
                <w:color w:val="auto"/>
              </w:rPr>
              <w:t>Interest paid, net of amounts capitalized</w:t>
            </w:r>
          </w:p>
        </w:tc>
        <w:tc>
          <w:tcPr>
            <w:tcW w:w="880" w:type="dxa"/>
            <w:vAlign w:val="bottom"/>
          </w:tcPr>
          <w:p>
            <w:pPr>
              <w:jc w:val="right"/>
              <w:ind w:right="675"/>
              <w:spacing w:after="0" w:line="203" w:lineRule="exact"/>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line="203" w:lineRule="exact"/>
              <w:rPr>
                <w:sz w:val="20"/>
                <w:szCs w:val="20"/>
                <w:color w:val="auto"/>
              </w:rPr>
            </w:pPr>
            <w:r>
              <w:rPr>
                <w:rFonts w:ascii="Arial" w:cs="Arial" w:eastAsia="Arial" w:hAnsi="Arial"/>
                <w:sz w:val="18"/>
                <w:szCs w:val="18"/>
                <w:color w:val="auto"/>
              </w:rPr>
              <w:t>329</w:t>
            </w:r>
          </w:p>
        </w:tc>
        <w:tc>
          <w:tcPr>
            <w:tcW w:w="120" w:type="dxa"/>
            <w:vAlign w:val="bottom"/>
          </w:tcPr>
          <w:p>
            <w:pPr>
              <w:spacing w:after="0"/>
              <w:rPr>
                <w:sz w:val="17"/>
                <w:szCs w:val="17"/>
                <w:color w:val="auto"/>
              </w:rPr>
            </w:pPr>
          </w:p>
        </w:tc>
        <w:tc>
          <w:tcPr>
            <w:tcW w:w="340" w:type="dxa"/>
            <w:vAlign w:val="bottom"/>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344</w:t>
            </w:r>
          </w:p>
        </w:tc>
        <w:tc>
          <w:tcPr>
            <w:tcW w:w="120" w:type="dxa"/>
            <w:vAlign w:val="bottom"/>
          </w:tcPr>
          <w:p>
            <w:pPr>
              <w:spacing w:after="0"/>
              <w:rPr>
                <w:sz w:val="17"/>
                <w:szCs w:val="17"/>
                <w:color w:val="auto"/>
              </w:rPr>
            </w:pPr>
          </w:p>
        </w:tc>
        <w:tc>
          <w:tcPr>
            <w:tcW w:w="340" w:type="dxa"/>
            <w:vAlign w:val="bottom"/>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line="203" w:lineRule="exact"/>
              <w:rPr>
                <w:sz w:val="20"/>
                <w:szCs w:val="20"/>
                <w:color w:val="auto"/>
              </w:rPr>
            </w:pPr>
            <w:r>
              <w:rPr>
                <w:rFonts w:ascii="Arial" w:cs="Arial" w:eastAsia="Arial" w:hAnsi="Arial"/>
                <w:sz w:val="18"/>
                <w:szCs w:val="18"/>
                <w:color w:val="auto"/>
              </w:rPr>
              <w:t>353</w:t>
            </w:r>
          </w:p>
        </w:tc>
      </w:tr>
      <w:tr>
        <w:trPr>
          <w:trHeight w:val="230"/>
        </w:trPr>
        <w:tc>
          <w:tcPr>
            <w:tcW w:w="6720" w:type="dxa"/>
            <w:vAlign w:val="bottom"/>
            <w:shd w:val="clear" w:color="auto" w:fill="DDDDDD"/>
          </w:tcPr>
          <w:p>
            <w:pPr>
              <w:ind w:left="20"/>
              <w:spacing w:after="0"/>
              <w:rPr>
                <w:sz w:val="20"/>
                <w:szCs w:val="20"/>
                <w:color w:val="auto"/>
              </w:rPr>
            </w:pPr>
            <w:r>
              <w:rPr>
                <w:rFonts w:ascii="Arial" w:cs="Arial" w:eastAsia="Arial" w:hAnsi="Arial"/>
                <w:sz w:val="18"/>
                <w:szCs w:val="18"/>
                <w:color w:val="auto"/>
              </w:rPr>
              <w:t>Income taxes paid, net of refunds</w:t>
            </w:r>
          </w:p>
        </w:tc>
        <w:tc>
          <w:tcPr>
            <w:tcW w:w="880" w:type="dxa"/>
            <w:vAlign w:val="bottom"/>
            <w:shd w:val="clear" w:color="auto" w:fill="DDDDDD"/>
          </w:tcPr>
          <w:p>
            <w:pPr>
              <w:spacing w:after="0"/>
              <w:rPr>
                <w:sz w:val="19"/>
                <w:szCs w:val="19"/>
                <w:color w:val="auto"/>
              </w:rPr>
            </w:pPr>
          </w:p>
        </w:tc>
        <w:tc>
          <w:tcPr>
            <w:tcW w:w="5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1,173</w:t>
            </w:r>
          </w:p>
        </w:tc>
        <w:tc>
          <w:tcPr>
            <w:tcW w:w="12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10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1,564</w:t>
            </w:r>
          </w:p>
        </w:tc>
        <w:tc>
          <w:tcPr>
            <w:tcW w:w="12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1,566</w:t>
            </w: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Non-cash investing and financing activities:</w:t>
            </w:r>
          </w:p>
        </w:tc>
        <w:tc>
          <w:tcPr>
            <w:tcW w:w="8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6720" w:type="dxa"/>
            <w:vAlign w:val="bottom"/>
            <w:shd w:val="clear" w:color="auto" w:fill="DDDDDD"/>
          </w:tcPr>
          <w:p>
            <w:pPr>
              <w:ind w:left="360"/>
              <w:spacing w:after="0"/>
              <w:rPr>
                <w:sz w:val="20"/>
                <w:szCs w:val="20"/>
                <w:color w:val="auto"/>
              </w:rPr>
            </w:pPr>
            <w:r>
              <w:rPr>
                <w:rFonts w:ascii="Arial" w:cs="Arial" w:eastAsia="Arial" w:hAnsi="Arial"/>
                <w:sz w:val="18"/>
                <w:szCs w:val="18"/>
                <w:color w:val="auto"/>
              </w:rPr>
              <w:t>Common stock contributed to savings plans</w:t>
            </w:r>
          </w:p>
        </w:tc>
        <w:tc>
          <w:tcPr>
            <w:tcW w:w="880" w:type="dxa"/>
            <w:vAlign w:val="bottom"/>
            <w:shd w:val="clear" w:color="auto" w:fill="DDDDDD"/>
          </w:tcPr>
          <w:p>
            <w:pPr>
              <w:spacing w:after="0"/>
              <w:rPr>
                <w:sz w:val="19"/>
                <w:szCs w:val="19"/>
                <w:color w:val="auto"/>
              </w:rPr>
            </w:pPr>
          </w:p>
        </w:tc>
        <w:tc>
          <w:tcPr>
            <w:tcW w:w="5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211</w:t>
            </w:r>
          </w:p>
        </w:tc>
        <w:tc>
          <w:tcPr>
            <w:tcW w:w="12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10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52</w:t>
            </w:r>
          </w:p>
        </w:tc>
      </w:tr>
      <w:tr>
        <w:trPr>
          <w:trHeight w:val="230"/>
        </w:trPr>
        <w:tc>
          <w:tcPr>
            <w:tcW w:w="6720" w:type="dxa"/>
            <w:vAlign w:val="bottom"/>
          </w:tcPr>
          <w:p>
            <w:pPr>
              <w:ind w:left="360"/>
              <w:spacing w:after="0"/>
              <w:rPr>
                <w:sz w:val="20"/>
                <w:szCs w:val="20"/>
                <w:color w:val="auto"/>
              </w:rPr>
            </w:pPr>
            <w:r>
              <w:rPr>
                <w:rFonts w:ascii="Arial" w:cs="Arial" w:eastAsia="Arial" w:hAnsi="Arial"/>
                <w:sz w:val="18"/>
                <w:szCs w:val="18"/>
                <w:color w:val="auto"/>
              </w:rPr>
              <w:t>Marketable securities contributed to non-U.S. pension plans</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108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9"/>
          <w:szCs w:val="29"/>
          <w:b w:val="1"/>
          <w:bCs w:val="1"/>
          <w:color w:val="EE2724"/>
        </w:rPr>
        <w:t>NOTE 26. UNAUDITED QUARTERLY FINANCIAL INFORMATION</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680" w:type="dxa"/>
            <w:vAlign w:val="bottom"/>
          </w:tcPr>
          <w:p>
            <w:pPr>
              <w:spacing w:after="0"/>
              <w:rPr>
                <w:sz w:val="17"/>
                <w:szCs w:val="17"/>
                <w:color w:val="auto"/>
              </w:rPr>
            </w:pPr>
          </w:p>
        </w:tc>
        <w:tc>
          <w:tcPr>
            <w:tcW w:w="260" w:type="dxa"/>
            <w:vAlign w:val="bottom"/>
            <w:tcBorders>
              <w:bottom w:val="single" w:sz="8" w:color="DC202E"/>
            </w:tcBorders>
          </w:tcPr>
          <w:p>
            <w:pPr>
              <w:spacing w:after="0"/>
              <w:rPr>
                <w:sz w:val="17"/>
                <w:szCs w:val="17"/>
                <w:color w:val="auto"/>
              </w:rPr>
            </w:pPr>
          </w:p>
        </w:tc>
        <w:tc>
          <w:tcPr>
            <w:tcW w:w="1160" w:type="dxa"/>
            <w:vAlign w:val="bottom"/>
            <w:tcBorders>
              <w:bottom w:val="single" w:sz="8" w:color="DC202E"/>
            </w:tcBorders>
          </w:tcPr>
          <w:p>
            <w:pPr>
              <w:spacing w:after="0"/>
              <w:rPr>
                <w:sz w:val="17"/>
                <w:szCs w:val="17"/>
                <w:color w:val="auto"/>
              </w:rPr>
            </w:pPr>
          </w:p>
        </w:tc>
        <w:tc>
          <w:tcPr>
            <w:tcW w:w="100" w:type="dxa"/>
            <w:vAlign w:val="bottom"/>
            <w:tcBorders>
              <w:bottom w:val="single" w:sz="8" w:color="DC202E"/>
            </w:tcBorders>
          </w:tcPr>
          <w:p>
            <w:pPr>
              <w:spacing w:after="0"/>
              <w:rPr>
                <w:sz w:val="17"/>
                <w:szCs w:val="17"/>
                <w:color w:val="auto"/>
              </w:rPr>
            </w:pPr>
          </w:p>
        </w:tc>
        <w:tc>
          <w:tcPr>
            <w:tcW w:w="280" w:type="dxa"/>
            <w:vAlign w:val="bottom"/>
            <w:tcBorders>
              <w:bottom w:val="single" w:sz="8" w:color="DC202E"/>
            </w:tcBorders>
          </w:tcPr>
          <w:p>
            <w:pPr>
              <w:spacing w:after="0"/>
              <w:rPr>
                <w:sz w:val="17"/>
                <w:szCs w:val="17"/>
                <w:color w:val="auto"/>
              </w:rPr>
            </w:pPr>
          </w:p>
        </w:tc>
        <w:tc>
          <w:tcPr>
            <w:tcW w:w="1140" w:type="dxa"/>
            <w:vAlign w:val="bottom"/>
            <w:tcBorders>
              <w:bottom w:val="single" w:sz="8" w:color="DC202E"/>
            </w:tcBorders>
          </w:tcPr>
          <w:p>
            <w:pPr>
              <w:spacing w:after="0"/>
              <w:rPr>
                <w:sz w:val="17"/>
                <w:szCs w:val="17"/>
                <w:color w:val="auto"/>
              </w:rPr>
            </w:pPr>
          </w:p>
        </w:tc>
        <w:tc>
          <w:tcPr>
            <w:tcW w:w="120" w:type="dxa"/>
            <w:vAlign w:val="bottom"/>
            <w:tcBorders>
              <w:bottom w:val="single" w:sz="8" w:color="DC202E"/>
            </w:tcBorders>
          </w:tcPr>
          <w:p>
            <w:pPr>
              <w:spacing w:after="0"/>
              <w:rPr>
                <w:sz w:val="17"/>
                <w:szCs w:val="17"/>
                <w:color w:val="auto"/>
              </w:rPr>
            </w:pPr>
          </w:p>
        </w:tc>
        <w:tc>
          <w:tcPr>
            <w:tcW w:w="180" w:type="dxa"/>
            <w:vAlign w:val="bottom"/>
            <w:tcBorders>
              <w:bottom w:val="single" w:sz="8" w:color="DC202E"/>
            </w:tcBorders>
          </w:tcPr>
          <w:p>
            <w:pPr>
              <w:spacing w:after="0"/>
              <w:rPr>
                <w:sz w:val="17"/>
                <w:szCs w:val="17"/>
                <w:color w:val="auto"/>
              </w:rPr>
            </w:pPr>
          </w:p>
        </w:tc>
        <w:tc>
          <w:tcPr>
            <w:tcW w:w="1240" w:type="dxa"/>
            <w:vAlign w:val="bottom"/>
            <w:tcBorders>
              <w:bottom w:val="single" w:sz="8" w:color="DC202E"/>
            </w:tcBorders>
          </w:tcPr>
          <w:p>
            <w:pPr>
              <w:jc w:val="center"/>
              <w:ind w:right="7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DC202E"/>
            </w:tcBorders>
          </w:tcPr>
          <w:p>
            <w:pPr>
              <w:spacing w:after="0"/>
              <w:rPr>
                <w:sz w:val="17"/>
                <w:szCs w:val="17"/>
                <w:color w:val="auto"/>
              </w:rPr>
            </w:pPr>
          </w:p>
        </w:tc>
        <w:tc>
          <w:tcPr>
            <w:tcW w:w="200" w:type="dxa"/>
            <w:vAlign w:val="bottom"/>
            <w:tcBorders>
              <w:bottom w:val="single" w:sz="8" w:color="DC202E"/>
            </w:tcBorders>
          </w:tcPr>
          <w:p>
            <w:pPr>
              <w:spacing w:after="0"/>
              <w:rPr>
                <w:sz w:val="17"/>
                <w:szCs w:val="17"/>
                <w:color w:val="auto"/>
              </w:rPr>
            </w:pPr>
          </w:p>
        </w:tc>
        <w:tc>
          <w:tcPr>
            <w:tcW w:w="1240" w:type="dxa"/>
            <w:vAlign w:val="bottom"/>
            <w:tcBorders>
              <w:bottom w:val="single" w:sz="8" w:color="DC202E"/>
            </w:tcBorders>
          </w:tcPr>
          <w:p>
            <w:pPr>
              <w:spacing w:after="0"/>
              <w:rPr>
                <w:sz w:val="17"/>
                <w:szCs w:val="17"/>
                <w:color w:val="auto"/>
              </w:rPr>
            </w:pPr>
          </w:p>
        </w:tc>
        <w:tc>
          <w:tcPr>
            <w:tcW w:w="100" w:type="dxa"/>
            <w:vAlign w:val="bottom"/>
            <w:tcBorders>
              <w:bottom w:val="single" w:sz="8" w:color="DC202E"/>
            </w:tcBorders>
          </w:tcPr>
          <w:p>
            <w:pPr>
              <w:spacing w:after="0"/>
              <w:rPr>
                <w:sz w:val="17"/>
                <w:szCs w:val="17"/>
                <w:color w:val="auto"/>
              </w:rPr>
            </w:pPr>
          </w:p>
        </w:tc>
        <w:tc>
          <w:tcPr>
            <w:tcW w:w="340" w:type="dxa"/>
            <w:vAlign w:val="bottom"/>
            <w:tcBorders>
              <w:bottom w:val="single" w:sz="8" w:color="DC202E"/>
            </w:tcBorders>
          </w:tcPr>
          <w:p>
            <w:pPr>
              <w:spacing w:after="0"/>
              <w:rPr>
                <w:sz w:val="17"/>
                <w:szCs w:val="17"/>
                <w:color w:val="auto"/>
              </w:rPr>
            </w:pPr>
          </w:p>
        </w:tc>
        <w:tc>
          <w:tcPr>
            <w:tcW w:w="1100" w:type="dxa"/>
            <w:vAlign w:val="bottom"/>
            <w:tcBorders>
              <w:bottom w:val="single" w:sz="8" w:color="DC202E"/>
            </w:tcBorders>
          </w:tcPr>
          <w:p>
            <w:pPr>
              <w:spacing w:after="0"/>
              <w:rPr>
                <w:sz w:val="17"/>
                <w:szCs w:val="17"/>
                <w:color w:val="auto"/>
              </w:rPr>
            </w:pPr>
          </w:p>
        </w:tc>
      </w:tr>
      <w:tr>
        <w:trPr>
          <w:trHeight w:val="196"/>
        </w:trPr>
        <w:tc>
          <w:tcPr>
            <w:tcW w:w="3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7"/>
                <w:szCs w:val="17"/>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7"/>
                <w:szCs w:val="17"/>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340" w:type="dxa"/>
            <w:vAlign w:val="bottom"/>
          </w:tcPr>
          <w:p>
            <w:pPr>
              <w:spacing w:after="0"/>
              <w:rPr>
                <w:sz w:val="17"/>
                <w:szCs w:val="17"/>
                <w:color w:val="auto"/>
              </w:rPr>
            </w:pPr>
          </w:p>
        </w:tc>
        <w:tc>
          <w:tcPr>
            <w:tcW w:w="1100" w:type="dxa"/>
            <w:vAlign w:val="bottom"/>
          </w:tcPr>
          <w:p>
            <w:pPr>
              <w:jc w:val="right"/>
              <w:ind w:right="473"/>
              <w:spacing w:after="0"/>
              <w:rPr>
                <w:sz w:val="20"/>
                <w:szCs w:val="20"/>
                <w:color w:val="auto"/>
              </w:rPr>
            </w:pPr>
            <w:r>
              <w:rPr>
                <w:rFonts w:ascii="Arial" w:cs="Arial" w:eastAsia="Arial" w:hAnsi="Arial"/>
                <w:sz w:val="14"/>
                <w:szCs w:val="14"/>
                <w:b w:val="1"/>
                <w:bCs w:val="1"/>
                <w:color w:val="auto"/>
              </w:rPr>
              <w:t>Year</w:t>
            </w:r>
          </w:p>
        </w:tc>
      </w:tr>
      <w:tr>
        <w:trPr>
          <w:trHeight w:val="229"/>
        </w:trPr>
        <w:tc>
          <w:tcPr>
            <w:tcW w:w="3680" w:type="dxa"/>
            <w:vAlign w:val="bottom"/>
            <w:tcBorders>
              <w:top w:val="single" w:sz="8" w:color="DDDDDD"/>
            </w:tcBorders>
            <w:shd w:val="clear" w:color="auto" w:fill="DDDDDD"/>
          </w:tcPr>
          <w:p>
            <w:pPr>
              <w:ind w:left="20"/>
              <w:spacing w:after="0"/>
              <w:rPr>
                <w:sz w:val="20"/>
                <w:szCs w:val="20"/>
                <w:color w:val="auto"/>
              </w:rPr>
            </w:pPr>
            <w:r>
              <w:rPr>
                <w:rFonts w:ascii="Arial" w:cs="Arial" w:eastAsia="Arial" w:hAnsi="Arial"/>
                <w:sz w:val="18"/>
                <w:szCs w:val="18"/>
                <w:color w:val="auto"/>
              </w:rPr>
              <w:t>Net sales</w:t>
            </w:r>
          </w:p>
        </w:tc>
        <w:tc>
          <w:tcPr>
            <w:tcW w:w="260" w:type="dxa"/>
            <w:vAlign w:val="bottom"/>
            <w:tcBorders>
              <w:top w:val="single" w:sz="8" w:color="DC202E"/>
            </w:tcBorders>
            <w:shd w:val="clear" w:color="auto" w:fill="DDDDDD"/>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DC202E"/>
            </w:tcBorders>
            <w:shd w:val="clear" w:color="auto" w:fill="DDDDDD"/>
          </w:tcPr>
          <w:p>
            <w:pPr>
              <w:jc w:val="right"/>
              <w:spacing w:after="0"/>
              <w:rPr>
                <w:sz w:val="20"/>
                <w:szCs w:val="20"/>
                <w:color w:val="auto"/>
              </w:rPr>
            </w:pPr>
            <w:r>
              <w:rPr>
                <w:rFonts w:ascii="Arial" w:cs="Arial" w:eastAsia="Arial" w:hAnsi="Arial"/>
                <w:sz w:val="18"/>
                <w:szCs w:val="18"/>
                <w:color w:val="auto"/>
              </w:rPr>
              <w:t>8,463</w:t>
            </w:r>
          </w:p>
        </w:tc>
        <w:tc>
          <w:tcPr>
            <w:tcW w:w="100" w:type="dxa"/>
            <w:vAlign w:val="bottom"/>
            <w:tcBorders>
              <w:top w:val="single" w:sz="8" w:color="DDDDDD"/>
            </w:tcBorders>
            <w:shd w:val="clear" w:color="auto" w:fill="DDDDDD"/>
          </w:tcPr>
          <w:p>
            <w:pPr>
              <w:spacing w:after="0"/>
              <w:rPr>
                <w:sz w:val="19"/>
                <w:szCs w:val="19"/>
                <w:color w:val="auto"/>
              </w:rPr>
            </w:pPr>
          </w:p>
        </w:tc>
        <w:tc>
          <w:tcPr>
            <w:tcW w:w="280" w:type="dxa"/>
            <w:vAlign w:val="bottom"/>
            <w:tcBorders>
              <w:top w:val="single" w:sz="8" w:color="DC202E"/>
            </w:tcBorders>
            <w:shd w:val="clear" w:color="auto" w:fill="DDDDDD"/>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DC202E"/>
            </w:tcBorders>
            <w:shd w:val="clear" w:color="auto" w:fill="DDDDDD"/>
          </w:tcPr>
          <w:p>
            <w:pPr>
              <w:jc w:val="right"/>
              <w:spacing w:after="0"/>
              <w:rPr>
                <w:sz w:val="20"/>
                <w:szCs w:val="20"/>
                <w:color w:val="auto"/>
              </w:rPr>
            </w:pPr>
            <w:r>
              <w:rPr>
                <w:rFonts w:ascii="Arial" w:cs="Arial" w:eastAsia="Arial" w:hAnsi="Arial"/>
                <w:sz w:val="18"/>
                <w:szCs w:val="18"/>
                <w:color w:val="auto"/>
              </w:rPr>
              <w:t>7,477</w:t>
            </w:r>
          </w:p>
        </w:tc>
        <w:tc>
          <w:tcPr>
            <w:tcW w:w="120" w:type="dxa"/>
            <w:vAlign w:val="bottom"/>
            <w:tcBorders>
              <w:top w:val="single" w:sz="8" w:color="DDDDDD"/>
            </w:tcBorders>
            <w:shd w:val="clear" w:color="auto" w:fill="DDDDDD"/>
          </w:tcPr>
          <w:p>
            <w:pPr>
              <w:spacing w:after="0"/>
              <w:rPr>
                <w:sz w:val="19"/>
                <w:szCs w:val="19"/>
                <w:color w:val="auto"/>
              </w:rPr>
            </w:pPr>
          </w:p>
        </w:tc>
        <w:tc>
          <w:tcPr>
            <w:tcW w:w="180" w:type="dxa"/>
            <w:vAlign w:val="bottom"/>
            <w:tcBorders>
              <w:top w:val="single" w:sz="8" w:color="DC202E"/>
            </w:tcBorders>
            <w:shd w:val="clear" w:color="auto" w:fill="DDDDDD"/>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DC202E"/>
            </w:tcBorders>
            <w:shd w:val="clear" w:color="auto" w:fill="DDDDDD"/>
          </w:tcPr>
          <w:p>
            <w:pPr>
              <w:jc w:val="right"/>
              <w:spacing w:after="0"/>
              <w:rPr>
                <w:sz w:val="20"/>
                <w:szCs w:val="20"/>
                <w:color w:val="auto"/>
              </w:rPr>
            </w:pPr>
            <w:r>
              <w:rPr>
                <w:rFonts w:ascii="Arial" w:cs="Arial" w:eastAsia="Arial" w:hAnsi="Arial"/>
                <w:sz w:val="18"/>
                <w:szCs w:val="18"/>
                <w:color w:val="auto"/>
              </w:rPr>
              <w:t>7,797</w:t>
            </w:r>
          </w:p>
        </w:tc>
        <w:tc>
          <w:tcPr>
            <w:tcW w:w="100" w:type="dxa"/>
            <w:vAlign w:val="bottom"/>
            <w:tcBorders>
              <w:top w:val="single" w:sz="8" w:color="DDDDDD"/>
            </w:tcBorders>
            <w:shd w:val="clear" w:color="auto" w:fill="DDDDDD"/>
          </w:tcPr>
          <w:p>
            <w:pPr>
              <w:spacing w:after="0"/>
              <w:rPr>
                <w:sz w:val="19"/>
                <w:szCs w:val="19"/>
                <w:color w:val="auto"/>
              </w:rPr>
            </w:pPr>
          </w:p>
        </w:tc>
        <w:tc>
          <w:tcPr>
            <w:tcW w:w="200" w:type="dxa"/>
            <w:vAlign w:val="bottom"/>
            <w:tcBorders>
              <w:top w:val="single" w:sz="8" w:color="DC202E"/>
            </w:tcBorders>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DC202E"/>
            </w:tcBorders>
            <w:shd w:val="clear" w:color="auto" w:fill="DDDDDD"/>
          </w:tcPr>
          <w:p>
            <w:pPr>
              <w:jc w:val="right"/>
              <w:spacing w:after="0"/>
              <w:rPr>
                <w:sz w:val="20"/>
                <w:szCs w:val="20"/>
                <w:color w:val="auto"/>
              </w:rPr>
            </w:pPr>
            <w:r>
              <w:rPr>
                <w:rFonts w:ascii="Arial" w:cs="Arial" w:eastAsia="Arial" w:hAnsi="Arial"/>
                <w:sz w:val="18"/>
                <w:szCs w:val="18"/>
                <w:color w:val="auto"/>
              </w:rPr>
              <w:t>8,900</w:t>
            </w:r>
          </w:p>
        </w:tc>
        <w:tc>
          <w:tcPr>
            <w:tcW w:w="100" w:type="dxa"/>
            <w:vAlign w:val="bottom"/>
            <w:tcBorders>
              <w:top w:val="single" w:sz="8" w:color="DDDDDD"/>
            </w:tcBorders>
            <w:shd w:val="clear" w:color="auto" w:fill="DDDDDD"/>
          </w:tcPr>
          <w:p>
            <w:pPr>
              <w:spacing w:after="0"/>
              <w:rPr>
                <w:sz w:val="19"/>
                <w:szCs w:val="19"/>
                <w:color w:val="auto"/>
              </w:rPr>
            </w:pPr>
          </w:p>
        </w:tc>
        <w:tc>
          <w:tcPr>
            <w:tcW w:w="340" w:type="dxa"/>
            <w:vAlign w:val="bottom"/>
            <w:tcBorders>
              <w:top w:val="single" w:sz="8" w:color="DC202E"/>
            </w:tcBorders>
            <w:shd w:val="clear" w:color="auto" w:fill="DDDDDD"/>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DC202E"/>
            </w:tcBorders>
            <w:shd w:val="clear" w:color="auto" w:fill="DDDDDD"/>
          </w:tcPr>
          <w:p>
            <w:pPr>
              <w:jc w:val="right"/>
              <w:spacing w:after="0"/>
              <w:rPr>
                <w:sz w:val="20"/>
                <w:szCs w:val="20"/>
                <w:color w:val="auto"/>
              </w:rPr>
            </w:pPr>
            <w:r>
              <w:rPr>
                <w:rFonts w:ascii="Arial" w:cs="Arial" w:eastAsia="Arial" w:hAnsi="Arial"/>
                <w:sz w:val="18"/>
                <w:szCs w:val="18"/>
                <w:color w:val="auto"/>
              </w:rPr>
              <w:t>32,637</w:t>
            </w:r>
          </w:p>
        </w:tc>
      </w:tr>
      <w:tr>
        <w:trPr>
          <w:trHeight w:val="230"/>
        </w:trPr>
        <w:tc>
          <w:tcPr>
            <w:tcW w:w="368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2,929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2,201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10,468</w:t>
            </w:r>
          </w:p>
        </w:tc>
      </w:tr>
      <w:tr>
        <w:trPr>
          <w:trHeight w:val="229"/>
        </w:trPr>
        <w:tc>
          <w:tcPr>
            <w:tcW w:w="3680" w:type="dxa"/>
            <w:vAlign w:val="bottom"/>
            <w:shd w:val="clear" w:color="auto" w:fill="DDDDDD"/>
          </w:tcPr>
          <w:p>
            <w:pPr>
              <w:ind w:left="140"/>
              <w:spacing w:after="0"/>
              <w:rPr>
                <w:sz w:val="20"/>
                <w:szCs w:val="20"/>
                <w:color w:val="auto"/>
              </w:rPr>
            </w:pPr>
            <w:r>
              <w:rPr>
                <w:rFonts w:ascii="Arial" w:cs="Arial" w:eastAsia="Arial" w:hAnsi="Arial"/>
                <w:sz w:val="18"/>
                <w:szCs w:val="18"/>
                <w:color w:val="auto"/>
              </w:rPr>
              <w:t>Net income attributable to Honeywell</w:t>
            </w:r>
          </w:p>
        </w:tc>
        <w:tc>
          <w:tcPr>
            <w:tcW w:w="260" w:type="dxa"/>
            <w:vAlign w:val="bottom"/>
            <w:shd w:val="clear" w:color="auto" w:fill="DDDDDD"/>
          </w:tcPr>
          <w:p>
            <w:pPr>
              <w:spacing w:after="0"/>
              <w:rPr>
                <w:sz w:val="19"/>
                <w:szCs w:val="19"/>
                <w:color w:val="auto"/>
              </w:rPr>
            </w:pPr>
          </w:p>
        </w:tc>
        <w:tc>
          <w:tcPr>
            <w:tcW w:w="11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1,581</w:t>
            </w:r>
          </w:p>
        </w:tc>
        <w:tc>
          <w:tcPr>
            <w:tcW w:w="100" w:type="dxa"/>
            <w:vAlign w:val="bottom"/>
            <w:shd w:val="clear" w:color="auto" w:fill="DDDDDD"/>
          </w:tcPr>
          <w:p>
            <w:pPr>
              <w:spacing w:after="0"/>
              <w:rPr>
                <w:sz w:val="19"/>
                <w:szCs w:val="19"/>
                <w:color w:val="auto"/>
              </w:rPr>
            </w:pPr>
          </w:p>
        </w:tc>
        <w:tc>
          <w:tcPr>
            <w:tcW w:w="280" w:type="dxa"/>
            <w:vAlign w:val="bottom"/>
            <w:shd w:val="clear" w:color="auto" w:fill="DDDDDD"/>
          </w:tcPr>
          <w:p>
            <w:pPr>
              <w:spacing w:after="0"/>
              <w:rPr>
                <w:sz w:val="19"/>
                <w:szCs w:val="19"/>
                <w:color w:val="auto"/>
              </w:rPr>
            </w:pPr>
          </w:p>
        </w:tc>
        <w:tc>
          <w:tcPr>
            <w:tcW w:w="11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1,081</w:t>
            </w:r>
          </w:p>
        </w:tc>
        <w:tc>
          <w:tcPr>
            <w:tcW w:w="120" w:type="dxa"/>
            <w:vAlign w:val="bottom"/>
            <w:shd w:val="clear" w:color="auto" w:fill="DDDDDD"/>
          </w:tcPr>
          <w:p>
            <w:pPr>
              <w:spacing w:after="0"/>
              <w:rPr>
                <w:sz w:val="19"/>
                <w:szCs w:val="19"/>
                <w:color w:val="auto"/>
              </w:rPr>
            </w:pPr>
          </w:p>
        </w:tc>
        <w:tc>
          <w:tcPr>
            <w:tcW w:w="180" w:type="dxa"/>
            <w:vAlign w:val="bottom"/>
            <w:shd w:val="clear" w:color="auto" w:fill="DDDDDD"/>
          </w:tcPr>
          <w:p>
            <w:pPr>
              <w:spacing w:after="0"/>
              <w:rPr>
                <w:sz w:val="19"/>
                <w:szCs w:val="19"/>
                <w:color w:val="auto"/>
              </w:rPr>
            </w:pPr>
          </w:p>
        </w:tc>
        <w:tc>
          <w:tcPr>
            <w:tcW w:w="12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758</w:t>
            </w:r>
          </w:p>
        </w:tc>
        <w:tc>
          <w:tcPr>
            <w:tcW w:w="100" w:type="dxa"/>
            <w:vAlign w:val="bottom"/>
            <w:shd w:val="clear" w:color="auto" w:fill="DDDDDD"/>
          </w:tcPr>
          <w:p>
            <w:pPr>
              <w:spacing w:after="0"/>
              <w:rPr>
                <w:sz w:val="19"/>
                <w:szCs w:val="19"/>
                <w:color w:val="auto"/>
              </w:rPr>
            </w:pPr>
          </w:p>
        </w:tc>
        <w:tc>
          <w:tcPr>
            <w:tcW w:w="200" w:type="dxa"/>
            <w:vAlign w:val="bottom"/>
            <w:shd w:val="clear" w:color="auto" w:fill="DDDDDD"/>
          </w:tcPr>
          <w:p>
            <w:pPr>
              <w:spacing w:after="0"/>
              <w:rPr>
                <w:sz w:val="19"/>
                <w:szCs w:val="19"/>
                <w:color w:val="auto"/>
              </w:rPr>
            </w:pPr>
          </w:p>
        </w:tc>
        <w:tc>
          <w:tcPr>
            <w:tcW w:w="12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1,359</w:t>
            </w:r>
          </w:p>
        </w:tc>
        <w:tc>
          <w:tcPr>
            <w:tcW w:w="10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4,779</w:t>
            </w:r>
          </w:p>
        </w:tc>
      </w:tr>
      <w:tr>
        <w:trPr>
          <w:trHeight w:val="230"/>
        </w:trPr>
        <w:tc>
          <w:tcPr>
            <w:tcW w:w="3680" w:type="dxa"/>
            <w:vAlign w:val="bottom"/>
          </w:tcPr>
          <w:p>
            <w:pPr>
              <w:ind w:left="20"/>
              <w:spacing w:after="0" w:line="230" w:lineRule="exact"/>
              <w:rPr>
                <w:sz w:val="20"/>
                <w:szCs w:val="20"/>
                <w:color w:val="auto"/>
              </w:rPr>
            </w:pPr>
            <w:r>
              <w:rPr>
                <w:rFonts w:ascii="Arial" w:cs="Arial" w:eastAsia="Arial" w:hAnsi="Arial"/>
                <w:sz w:val="18"/>
                <w:szCs w:val="18"/>
                <w:color w:val="auto"/>
              </w:rPr>
              <w:t>Earnings per common share—basic</w:t>
            </w:r>
            <w:r>
              <w:rPr>
                <w:rFonts w:ascii="Arial" w:cs="Arial" w:eastAsia="Arial" w:hAnsi="Arial"/>
                <w:sz w:val="23"/>
                <w:szCs w:val="23"/>
                <w:color w:val="auto"/>
                <w:vertAlign w:val="superscript"/>
              </w:rPr>
              <w:t>(1)</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6.79</w:t>
            </w:r>
          </w:p>
        </w:tc>
      </w:tr>
      <w:tr>
        <w:trPr>
          <w:trHeight w:val="178"/>
        </w:trPr>
        <w:tc>
          <w:tcPr>
            <w:tcW w:w="3680" w:type="dxa"/>
            <w:vAlign w:val="bottom"/>
            <w:shd w:val="clear" w:color="auto" w:fill="DDDDDD"/>
          </w:tcPr>
          <w:p>
            <w:pPr>
              <w:ind w:left="20"/>
              <w:spacing w:after="0" w:line="178" w:lineRule="exact"/>
              <w:rPr>
                <w:sz w:val="20"/>
                <w:szCs w:val="20"/>
                <w:color w:val="auto"/>
              </w:rPr>
            </w:pPr>
            <w:r>
              <w:rPr>
                <w:rFonts w:ascii="Arial" w:cs="Arial" w:eastAsia="Arial" w:hAnsi="Arial"/>
                <w:sz w:val="18"/>
                <w:szCs w:val="18"/>
                <w:color w:val="auto"/>
              </w:rPr>
              <w:t>Earnings per common share—assuming</w:t>
            </w:r>
          </w:p>
        </w:tc>
        <w:tc>
          <w:tcPr>
            <w:tcW w:w="260" w:type="dxa"/>
            <w:vAlign w:val="bottom"/>
            <w:shd w:val="clear" w:color="auto" w:fill="DDDDDD"/>
          </w:tcPr>
          <w:p>
            <w:pPr>
              <w:spacing w:after="0"/>
              <w:rPr>
                <w:sz w:val="15"/>
                <w:szCs w:val="15"/>
                <w:color w:val="auto"/>
              </w:rPr>
            </w:pPr>
          </w:p>
        </w:tc>
        <w:tc>
          <w:tcPr>
            <w:tcW w:w="1160" w:type="dxa"/>
            <w:vAlign w:val="bottom"/>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280" w:type="dxa"/>
            <w:vAlign w:val="bottom"/>
            <w:shd w:val="clear" w:color="auto" w:fill="DDDDDD"/>
          </w:tcPr>
          <w:p>
            <w:pPr>
              <w:spacing w:after="0"/>
              <w:rPr>
                <w:sz w:val="15"/>
                <w:szCs w:val="15"/>
                <w:color w:val="auto"/>
              </w:rPr>
            </w:pPr>
          </w:p>
        </w:tc>
        <w:tc>
          <w:tcPr>
            <w:tcW w:w="1140" w:type="dxa"/>
            <w:vAlign w:val="bottom"/>
            <w:shd w:val="clear" w:color="auto" w:fill="DDDDDD"/>
          </w:tcPr>
          <w:p>
            <w:pPr>
              <w:spacing w:after="0"/>
              <w:rPr>
                <w:sz w:val="15"/>
                <w:szCs w:val="15"/>
                <w:color w:val="auto"/>
              </w:rPr>
            </w:pPr>
          </w:p>
        </w:tc>
        <w:tc>
          <w:tcPr>
            <w:tcW w:w="120" w:type="dxa"/>
            <w:vAlign w:val="bottom"/>
            <w:shd w:val="clear" w:color="auto" w:fill="DDDDDD"/>
          </w:tcPr>
          <w:p>
            <w:pPr>
              <w:spacing w:after="0"/>
              <w:rPr>
                <w:sz w:val="15"/>
                <w:szCs w:val="15"/>
                <w:color w:val="auto"/>
              </w:rPr>
            </w:pPr>
          </w:p>
        </w:tc>
        <w:tc>
          <w:tcPr>
            <w:tcW w:w="180" w:type="dxa"/>
            <w:vAlign w:val="bottom"/>
            <w:shd w:val="clear" w:color="auto" w:fill="DDDDDD"/>
          </w:tcPr>
          <w:p>
            <w:pPr>
              <w:spacing w:after="0"/>
              <w:rPr>
                <w:sz w:val="15"/>
                <w:szCs w:val="15"/>
                <w:color w:val="auto"/>
              </w:rPr>
            </w:pPr>
          </w:p>
        </w:tc>
        <w:tc>
          <w:tcPr>
            <w:tcW w:w="1240" w:type="dxa"/>
            <w:vAlign w:val="bottom"/>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200" w:type="dxa"/>
            <w:vAlign w:val="bottom"/>
            <w:shd w:val="clear" w:color="auto" w:fill="DDDDDD"/>
          </w:tcPr>
          <w:p>
            <w:pPr>
              <w:spacing w:after="0"/>
              <w:rPr>
                <w:sz w:val="15"/>
                <w:szCs w:val="15"/>
                <w:color w:val="auto"/>
              </w:rPr>
            </w:pPr>
          </w:p>
        </w:tc>
        <w:tc>
          <w:tcPr>
            <w:tcW w:w="1240" w:type="dxa"/>
            <w:vAlign w:val="bottom"/>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340" w:type="dxa"/>
            <w:vAlign w:val="bottom"/>
            <w:shd w:val="clear" w:color="auto" w:fill="DDDDDD"/>
          </w:tcPr>
          <w:p>
            <w:pPr>
              <w:spacing w:after="0"/>
              <w:rPr>
                <w:sz w:val="15"/>
                <w:szCs w:val="15"/>
                <w:color w:val="auto"/>
              </w:rPr>
            </w:pPr>
          </w:p>
        </w:tc>
        <w:tc>
          <w:tcPr>
            <w:tcW w:w="1100" w:type="dxa"/>
            <w:vAlign w:val="bottom"/>
            <w:shd w:val="clear" w:color="auto" w:fill="DDDDDD"/>
          </w:tcPr>
          <w:p>
            <w:pPr>
              <w:spacing w:after="0"/>
              <w:rPr>
                <w:sz w:val="15"/>
                <w:szCs w:val="15"/>
                <w:color w:val="auto"/>
              </w:rPr>
            </w:pPr>
          </w:p>
        </w:tc>
      </w:tr>
      <w:tr>
        <w:trPr>
          <w:trHeight w:val="227"/>
        </w:trPr>
        <w:tc>
          <w:tcPr>
            <w:tcW w:w="3680" w:type="dxa"/>
            <w:vAlign w:val="bottom"/>
            <w:shd w:val="clear" w:color="auto" w:fill="DDDDDD"/>
          </w:tcPr>
          <w:p>
            <w:pPr>
              <w:ind w:left="20"/>
              <w:spacing w:after="0" w:line="228" w:lineRule="exact"/>
              <w:rPr>
                <w:sz w:val="20"/>
                <w:szCs w:val="20"/>
                <w:color w:val="auto"/>
              </w:rPr>
            </w:pPr>
            <w:r>
              <w:rPr>
                <w:rFonts w:ascii="Arial" w:cs="Arial" w:eastAsia="Arial" w:hAnsi="Arial"/>
                <w:sz w:val="18"/>
                <w:szCs w:val="18"/>
                <w:color w:val="auto"/>
              </w:rPr>
              <w:t>dilution</w:t>
            </w:r>
            <w:r>
              <w:rPr>
                <w:rFonts w:ascii="Arial" w:cs="Arial" w:eastAsia="Arial" w:hAnsi="Arial"/>
                <w:sz w:val="23"/>
                <w:szCs w:val="23"/>
                <w:color w:val="auto"/>
                <w:vertAlign w:val="superscript"/>
              </w:rPr>
              <w:t>(1)</w:t>
            </w:r>
          </w:p>
        </w:tc>
        <w:tc>
          <w:tcPr>
            <w:tcW w:w="260" w:type="dxa"/>
            <w:vAlign w:val="bottom"/>
            <w:shd w:val="clear" w:color="auto" w:fill="DDDDDD"/>
          </w:tcPr>
          <w:p>
            <w:pPr>
              <w:spacing w:after="0"/>
              <w:rPr>
                <w:sz w:val="19"/>
                <w:szCs w:val="19"/>
                <w:color w:val="auto"/>
              </w:rPr>
            </w:pPr>
          </w:p>
        </w:tc>
        <w:tc>
          <w:tcPr>
            <w:tcW w:w="11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DDDDDD"/>
          </w:tcPr>
          <w:p>
            <w:pPr>
              <w:spacing w:after="0"/>
              <w:rPr>
                <w:sz w:val="19"/>
                <w:szCs w:val="19"/>
                <w:color w:val="auto"/>
              </w:rPr>
            </w:pPr>
          </w:p>
        </w:tc>
        <w:tc>
          <w:tcPr>
            <w:tcW w:w="280" w:type="dxa"/>
            <w:vAlign w:val="bottom"/>
            <w:shd w:val="clear" w:color="auto" w:fill="DDDDDD"/>
          </w:tcPr>
          <w:p>
            <w:pPr>
              <w:spacing w:after="0"/>
              <w:rPr>
                <w:sz w:val="19"/>
                <w:szCs w:val="19"/>
                <w:color w:val="auto"/>
              </w:rPr>
            </w:pPr>
          </w:p>
        </w:tc>
        <w:tc>
          <w:tcPr>
            <w:tcW w:w="11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DDDDDD"/>
          </w:tcPr>
          <w:p>
            <w:pPr>
              <w:spacing w:after="0"/>
              <w:rPr>
                <w:sz w:val="19"/>
                <w:szCs w:val="19"/>
                <w:color w:val="auto"/>
              </w:rPr>
            </w:pPr>
          </w:p>
        </w:tc>
        <w:tc>
          <w:tcPr>
            <w:tcW w:w="180" w:type="dxa"/>
            <w:vAlign w:val="bottom"/>
            <w:shd w:val="clear" w:color="auto" w:fill="DDDDDD"/>
          </w:tcPr>
          <w:p>
            <w:pPr>
              <w:spacing w:after="0"/>
              <w:rPr>
                <w:sz w:val="19"/>
                <w:szCs w:val="19"/>
                <w:color w:val="auto"/>
              </w:rPr>
            </w:pPr>
          </w:p>
        </w:tc>
        <w:tc>
          <w:tcPr>
            <w:tcW w:w="12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DDDDDD"/>
          </w:tcPr>
          <w:p>
            <w:pPr>
              <w:spacing w:after="0"/>
              <w:rPr>
                <w:sz w:val="19"/>
                <w:szCs w:val="19"/>
                <w:color w:val="auto"/>
              </w:rPr>
            </w:pPr>
          </w:p>
        </w:tc>
        <w:tc>
          <w:tcPr>
            <w:tcW w:w="200" w:type="dxa"/>
            <w:vAlign w:val="bottom"/>
            <w:shd w:val="clear" w:color="auto" w:fill="DDDDDD"/>
          </w:tcPr>
          <w:p>
            <w:pPr>
              <w:spacing w:after="0"/>
              <w:rPr>
                <w:sz w:val="19"/>
                <w:szCs w:val="19"/>
                <w:color w:val="auto"/>
              </w:rPr>
            </w:pPr>
          </w:p>
        </w:tc>
        <w:tc>
          <w:tcPr>
            <w:tcW w:w="12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6.72</w:t>
            </w:r>
          </w:p>
        </w:tc>
      </w:tr>
      <w:tr>
        <w:trPr>
          <w:trHeight w:val="230"/>
        </w:trPr>
        <w:tc>
          <w:tcPr>
            <w:tcW w:w="3680" w:type="dxa"/>
            <w:vAlign w:val="bottom"/>
          </w:tcPr>
          <w:p>
            <w:pPr>
              <w:ind w:left="20"/>
              <w:spacing w:after="0"/>
              <w:rPr>
                <w:sz w:val="20"/>
                <w:szCs w:val="20"/>
                <w:color w:val="auto"/>
              </w:rPr>
            </w:pPr>
            <w:r>
              <w:rPr>
                <w:rFonts w:ascii="Arial" w:cs="Arial" w:eastAsia="Arial" w:hAnsi="Arial"/>
                <w:sz w:val="18"/>
                <w:szCs w:val="18"/>
                <w:color w:val="auto"/>
              </w:rPr>
              <w:t>Cash dividends per common share</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0.900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0.900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0.900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0.930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3.630</w:t>
            </w:r>
          </w:p>
        </w:tc>
      </w:tr>
      <w:tr>
        <w:trPr>
          <w:trHeight w:val="588"/>
        </w:trPr>
        <w:tc>
          <w:tcPr>
            <w:tcW w:w="3680" w:type="dxa"/>
            <w:vAlign w:val="bottom"/>
          </w:tcPr>
          <w:p>
            <w:pPr>
              <w:spacing w:after="0"/>
              <w:rPr>
                <w:sz w:val="24"/>
                <w:szCs w:val="24"/>
                <w:color w:val="auto"/>
              </w:rPr>
            </w:pPr>
          </w:p>
        </w:tc>
        <w:tc>
          <w:tcPr>
            <w:tcW w:w="260" w:type="dxa"/>
            <w:vAlign w:val="bottom"/>
            <w:tcBorders>
              <w:bottom w:val="single" w:sz="8" w:color="DC202E"/>
            </w:tcBorders>
          </w:tcPr>
          <w:p>
            <w:pPr>
              <w:spacing w:after="0"/>
              <w:rPr>
                <w:sz w:val="24"/>
                <w:szCs w:val="24"/>
                <w:color w:val="auto"/>
              </w:rPr>
            </w:pPr>
          </w:p>
        </w:tc>
        <w:tc>
          <w:tcPr>
            <w:tcW w:w="1160" w:type="dxa"/>
            <w:vAlign w:val="bottom"/>
            <w:tcBorders>
              <w:bottom w:val="single" w:sz="8" w:color="DC202E"/>
            </w:tcBorders>
          </w:tcPr>
          <w:p>
            <w:pPr>
              <w:spacing w:after="0"/>
              <w:rPr>
                <w:sz w:val="24"/>
                <w:szCs w:val="24"/>
                <w:color w:val="auto"/>
              </w:rPr>
            </w:pPr>
          </w:p>
        </w:tc>
        <w:tc>
          <w:tcPr>
            <w:tcW w:w="100" w:type="dxa"/>
            <w:vAlign w:val="bottom"/>
            <w:tcBorders>
              <w:bottom w:val="single" w:sz="8" w:color="DC202E"/>
            </w:tcBorders>
          </w:tcPr>
          <w:p>
            <w:pPr>
              <w:spacing w:after="0"/>
              <w:rPr>
                <w:sz w:val="24"/>
                <w:szCs w:val="24"/>
                <w:color w:val="auto"/>
              </w:rPr>
            </w:pPr>
          </w:p>
        </w:tc>
        <w:tc>
          <w:tcPr>
            <w:tcW w:w="280" w:type="dxa"/>
            <w:vAlign w:val="bottom"/>
            <w:tcBorders>
              <w:bottom w:val="single" w:sz="8" w:color="DC202E"/>
            </w:tcBorders>
          </w:tcPr>
          <w:p>
            <w:pPr>
              <w:spacing w:after="0"/>
              <w:rPr>
                <w:sz w:val="24"/>
                <w:szCs w:val="24"/>
                <w:color w:val="auto"/>
              </w:rPr>
            </w:pPr>
          </w:p>
        </w:tc>
        <w:tc>
          <w:tcPr>
            <w:tcW w:w="1140" w:type="dxa"/>
            <w:vAlign w:val="bottom"/>
            <w:tcBorders>
              <w:bottom w:val="single" w:sz="8" w:color="DC202E"/>
            </w:tcBorders>
          </w:tcPr>
          <w:p>
            <w:pPr>
              <w:spacing w:after="0"/>
              <w:rPr>
                <w:sz w:val="24"/>
                <w:szCs w:val="24"/>
                <w:color w:val="auto"/>
              </w:rPr>
            </w:pPr>
          </w:p>
        </w:tc>
        <w:tc>
          <w:tcPr>
            <w:tcW w:w="120" w:type="dxa"/>
            <w:vAlign w:val="bottom"/>
            <w:tcBorders>
              <w:bottom w:val="single" w:sz="8" w:color="DC202E"/>
            </w:tcBorders>
          </w:tcPr>
          <w:p>
            <w:pPr>
              <w:spacing w:after="0"/>
              <w:rPr>
                <w:sz w:val="24"/>
                <w:szCs w:val="24"/>
                <w:color w:val="auto"/>
              </w:rPr>
            </w:pPr>
          </w:p>
        </w:tc>
        <w:tc>
          <w:tcPr>
            <w:tcW w:w="180" w:type="dxa"/>
            <w:vAlign w:val="bottom"/>
            <w:tcBorders>
              <w:bottom w:val="single" w:sz="8" w:color="DC202E"/>
            </w:tcBorders>
          </w:tcPr>
          <w:p>
            <w:pPr>
              <w:spacing w:after="0"/>
              <w:rPr>
                <w:sz w:val="24"/>
                <w:szCs w:val="24"/>
                <w:color w:val="auto"/>
              </w:rPr>
            </w:pPr>
          </w:p>
        </w:tc>
        <w:tc>
          <w:tcPr>
            <w:tcW w:w="1240" w:type="dxa"/>
            <w:vAlign w:val="bottom"/>
            <w:tcBorders>
              <w:bottom w:val="single" w:sz="8" w:color="DC202E"/>
            </w:tcBorders>
          </w:tcPr>
          <w:p>
            <w:pPr>
              <w:jc w:val="center"/>
              <w:ind w:right="7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DC202E"/>
            </w:tcBorders>
          </w:tcPr>
          <w:p>
            <w:pPr>
              <w:spacing w:after="0"/>
              <w:rPr>
                <w:sz w:val="24"/>
                <w:szCs w:val="24"/>
                <w:color w:val="auto"/>
              </w:rPr>
            </w:pPr>
          </w:p>
        </w:tc>
        <w:tc>
          <w:tcPr>
            <w:tcW w:w="200" w:type="dxa"/>
            <w:vAlign w:val="bottom"/>
            <w:tcBorders>
              <w:bottom w:val="single" w:sz="8" w:color="DC202E"/>
            </w:tcBorders>
          </w:tcPr>
          <w:p>
            <w:pPr>
              <w:spacing w:after="0"/>
              <w:rPr>
                <w:sz w:val="24"/>
                <w:szCs w:val="24"/>
                <w:color w:val="auto"/>
              </w:rPr>
            </w:pPr>
          </w:p>
        </w:tc>
        <w:tc>
          <w:tcPr>
            <w:tcW w:w="1240" w:type="dxa"/>
            <w:vAlign w:val="bottom"/>
            <w:tcBorders>
              <w:bottom w:val="single" w:sz="8" w:color="DC202E"/>
            </w:tcBorders>
          </w:tcPr>
          <w:p>
            <w:pPr>
              <w:spacing w:after="0"/>
              <w:rPr>
                <w:sz w:val="24"/>
                <w:szCs w:val="24"/>
                <w:color w:val="auto"/>
              </w:rPr>
            </w:pPr>
          </w:p>
        </w:tc>
        <w:tc>
          <w:tcPr>
            <w:tcW w:w="100" w:type="dxa"/>
            <w:vAlign w:val="bottom"/>
            <w:tcBorders>
              <w:bottom w:val="single" w:sz="8" w:color="DC202E"/>
            </w:tcBorders>
          </w:tcPr>
          <w:p>
            <w:pPr>
              <w:spacing w:after="0"/>
              <w:rPr>
                <w:sz w:val="24"/>
                <w:szCs w:val="24"/>
                <w:color w:val="auto"/>
              </w:rPr>
            </w:pPr>
          </w:p>
        </w:tc>
        <w:tc>
          <w:tcPr>
            <w:tcW w:w="340" w:type="dxa"/>
            <w:vAlign w:val="bottom"/>
            <w:tcBorders>
              <w:bottom w:val="single" w:sz="8" w:color="DC202E"/>
            </w:tcBorders>
          </w:tcPr>
          <w:p>
            <w:pPr>
              <w:spacing w:after="0"/>
              <w:rPr>
                <w:sz w:val="24"/>
                <w:szCs w:val="24"/>
                <w:color w:val="auto"/>
              </w:rPr>
            </w:pPr>
          </w:p>
        </w:tc>
        <w:tc>
          <w:tcPr>
            <w:tcW w:w="1100" w:type="dxa"/>
            <w:vAlign w:val="bottom"/>
            <w:tcBorders>
              <w:bottom w:val="single" w:sz="8" w:color="DC202E"/>
            </w:tcBorders>
          </w:tcPr>
          <w:p>
            <w:pPr>
              <w:spacing w:after="0"/>
              <w:rPr>
                <w:sz w:val="24"/>
                <w:szCs w:val="24"/>
                <w:color w:val="auto"/>
              </w:rPr>
            </w:pPr>
          </w:p>
        </w:tc>
      </w:tr>
      <w:tr>
        <w:trPr>
          <w:trHeight w:val="196"/>
        </w:trPr>
        <w:tc>
          <w:tcPr>
            <w:tcW w:w="3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7"/>
                <w:szCs w:val="17"/>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7"/>
                <w:szCs w:val="17"/>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340" w:type="dxa"/>
            <w:vAlign w:val="bottom"/>
          </w:tcPr>
          <w:p>
            <w:pPr>
              <w:spacing w:after="0"/>
              <w:rPr>
                <w:sz w:val="17"/>
                <w:szCs w:val="17"/>
                <w:color w:val="auto"/>
              </w:rPr>
            </w:pPr>
          </w:p>
        </w:tc>
        <w:tc>
          <w:tcPr>
            <w:tcW w:w="1100" w:type="dxa"/>
            <w:vAlign w:val="bottom"/>
          </w:tcPr>
          <w:p>
            <w:pPr>
              <w:jc w:val="right"/>
              <w:ind w:right="473"/>
              <w:spacing w:after="0"/>
              <w:rPr>
                <w:sz w:val="20"/>
                <w:szCs w:val="20"/>
                <w:color w:val="auto"/>
              </w:rPr>
            </w:pPr>
            <w:r>
              <w:rPr>
                <w:rFonts w:ascii="Arial" w:cs="Arial" w:eastAsia="Arial" w:hAnsi="Arial"/>
                <w:sz w:val="14"/>
                <w:szCs w:val="14"/>
                <w:b w:val="1"/>
                <w:bCs w:val="1"/>
                <w:color w:val="auto"/>
              </w:rPr>
              <w:t>Year</w:t>
            </w:r>
          </w:p>
        </w:tc>
      </w:tr>
      <w:tr>
        <w:trPr>
          <w:trHeight w:val="229"/>
        </w:trPr>
        <w:tc>
          <w:tcPr>
            <w:tcW w:w="3680" w:type="dxa"/>
            <w:vAlign w:val="bottom"/>
            <w:tcBorders>
              <w:top w:val="single" w:sz="8" w:color="DDDDDD"/>
            </w:tcBorders>
            <w:shd w:val="clear" w:color="auto" w:fill="DDDDDD"/>
          </w:tcPr>
          <w:p>
            <w:pPr>
              <w:ind w:left="20"/>
              <w:spacing w:after="0"/>
              <w:rPr>
                <w:sz w:val="20"/>
                <w:szCs w:val="20"/>
                <w:color w:val="auto"/>
              </w:rPr>
            </w:pPr>
            <w:r>
              <w:rPr>
                <w:rFonts w:ascii="Arial" w:cs="Arial" w:eastAsia="Arial" w:hAnsi="Arial"/>
                <w:sz w:val="18"/>
                <w:szCs w:val="18"/>
                <w:color w:val="auto"/>
              </w:rPr>
              <w:t>Net sales</w:t>
            </w:r>
          </w:p>
        </w:tc>
        <w:tc>
          <w:tcPr>
            <w:tcW w:w="260" w:type="dxa"/>
            <w:vAlign w:val="bottom"/>
            <w:tcBorders>
              <w:top w:val="single" w:sz="8" w:color="DC202E"/>
            </w:tcBorders>
            <w:shd w:val="clear" w:color="auto" w:fill="DDDDDD"/>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DC202E"/>
            </w:tcBorders>
            <w:shd w:val="clear" w:color="auto" w:fill="DDDDDD"/>
          </w:tcPr>
          <w:p>
            <w:pPr>
              <w:jc w:val="right"/>
              <w:spacing w:after="0"/>
              <w:rPr>
                <w:sz w:val="20"/>
                <w:szCs w:val="20"/>
                <w:color w:val="auto"/>
              </w:rPr>
            </w:pPr>
            <w:r>
              <w:rPr>
                <w:rFonts w:ascii="Arial" w:cs="Arial" w:eastAsia="Arial" w:hAnsi="Arial"/>
                <w:sz w:val="18"/>
                <w:szCs w:val="18"/>
                <w:color w:val="auto"/>
              </w:rPr>
              <w:t>8,884</w:t>
            </w:r>
          </w:p>
        </w:tc>
        <w:tc>
          <w:tcPr>
            <w:tcW w:w="100" w:type="dxa"/>
            <w:vAlign w:val="bottom"/>
            <w:tcBorders>
              <w:top w:val="single" w:sz="8" w:color="DDDDDD"/>
            </w:tcBorders>
            <w:shd w:val="clear" w:color="auto" w:fill="DDDDDD"/>
          </w:tcPr>
          <w:p>
            <w:pPr>
              <w:spacing w:after="0"/>
              <w:rPr>
                <w:sz w:val="19"/>
                <w:szCs w:val="19"/>
                <w:color w:val="auto"/>
              </w:rPr>
            </w:pPr>
          </w:p>
        </w:tc>
        <w:tc>
          <w:tcPr>
            <w:tcW w:w="280" w:type="dxa"/>
            <w:vAlign w:val="bottom"/>
            <w:tcBorders>
              <w:top w:val="single" w:sz="8" w:color="DC202E"/>
            </w:tcBorders>
            <w:shd w:val="clear" w:color="auto" w:fill="DDDDDD"/>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DC202E"/>
            </w:tcBorders>
            <w:shd w:val="clear" w:color="auto" w:fill="DDDDDD"/>
          </w:tcPr>
          <w:p>
            <w:pPr>
              <w:jc w:val="right"/>
              <w:spacing w:after="0"/>
              <w:rPr>
                <w:sz w:val="20"/>
                <w:szCs w:val="20"/>
                <w:color w:val="auto"/>
              </w:rPr>
            </w:pPr>
            <w:r>
              <w:rPr>
                <w:rFonts w:ascii="Arial" w:cs="Arial" w:eastAsia="Arial" w:hAnsi="Arial"/>
                <w:sz w:val="18"/>
                <w:szCs w:val="18"/>
                <w:color w:val="auto"/>
              </w:rPr>
              <w:t>9,243</w:t>
            </w:r>
          </w:p>
        </w:tc>
        <w:tc>
          <w:tcPr>
            <w:tcW w:w="120" w:type="dxa"/>
            <w:vAlign w:val="bottom"/>
            <w:tcBorders>
              <w:top w:val="single" w:sz="8" w:color="DDDDDD"/>
            </w:tcBorders>
            <w:shd w:val="clear" w:color="auto" w:fill="DDDDDD"/>
          </w:tcPr>
          <w:p>
            <w:pPr>
              <w:spacing w:after="0"/>
              <w:rPr>
                <w:sz w:val="19"/>
                <w:szCs w:val="19"/>
                <w:color w:val="auto"/>
              </w:rPr>
            </w:pPr>
          </w:p>
        </w:tc>
        <w:tc>
          <w:tcPr>
            <w:tcW w:w="180" w:type="dxa"/>
            <w:vAlign w:val="bottom"/>
            <w:tcBorders>
              <w:top w:val="single" w:sz="8" w:color="DC202E"/>
            </w:tcBorders>
            <w:shd w:val="clear" w:color="auto" w:fill="DDDDDD"/>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DC202E"/>
            </w:tcBorders>
            <w:shd w:val="clear" w:color="auto" w:fill="DDDDDD"/>
          </w:tcPr>
          <w:p>
            <w:pPr>
              <w:jc w:val="right"/>
              <w:spacing w:after="0"/>
              <w:rPr>
                <w:sz w:val="20"/>
                <w:szCs w:val="20"/>
                <w:color w:val="auto"/>
              </w:rPr>
            </w:pPr>
            <w:r>
              <w:rPr>
                <w:rFonts w:ascii="Arial" w:cs="Arial" w:eastAsia="Arial" w:hAnsi="Arial"/>
                <w:sz w:val="18"/>
                <w:szCs w:val="18"/>
                <w:color w:val="auto"/>
              </w:rPr>
              <w:t>9,086</w:t>
            </w:r>
          </w:p>
        </w:tc>
        <w:tc>
          <w:tcPr>
            <w:tcW w:w="100" w:type="dxa"/>
            <w:vAlign w:val="bottom"/>
            <w:tcBorders>
              <w:top w:val="single" w:sz="8" w:color="DDDDDD"/>
            </w:tcBorders>
            <w:shd w:val="clear" w:color="auto" w:fill="DDDDDD"/>
          </w:tcPr>
          <w:p>
            <w:pPr>
              <w:spacing w:after="0"/>
              <w:rPr>
                <w:sz w:val="19"/>
                <w:szCs w:val="19"/>
                <w:color w:val="auto"/>
              </w:rPr>
            </w:pPr>
          </w:p>
        </w:tc>
        <w:tc>
          <w:tcPr>
            <w:tcW w:w="200" w:type="dxa"/>
            <w:vAlign w:val="bottom"/>
            <w:tcBorders>
              <w:top w:val="single" w:sz="8" w:color="DC202E"/>
            </w:tcBorders>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DC202E"/>
            </w:tcBorders>
            <w:shd w:val="clear" w:color="auto" w:fill="DDDDDD"/>
          </w:tcPr>
          <w:p>
            <w:pPr>
              <w:jc w:val="right"/>
              <w:spacing w:after="0"/>
              <w:rPr>
                <w:sz w:val="20"/>
                <w:szCs w:val="20"/>
                <w:color w:val="auto"/>
              </w:rPr>
            </w:pPr>
            <w:r>
              <w:rPr>
                <w:rFonts w:ascii="Arial" w:cs="Arial" w:eastAsia="Arial" w:hAnsi="Arial"/>
                <w:sz w:val="18"/>
                <w:szCs w:val="18"/>
                <w:color w:val="auto"/>
              </w:rPr>
              <w:t>9,496</w:t>
            </w:r>
          </w:p>
        </w:tc>
        <w:tc>
          <w:tcPr>
            <w:tcW w:w="100" w:type="dxa"/>
            <w:vAlign w:val="bottom"/>
            <w:tcBorders>
              <w:top w:val="single" w:sz="8" w:color="DDDDDD"/>
            </w:tcBorders>
            <w:shd w:val="clear" w:color="auto" w:fill="DDDDDD"/>
          </w:tcPr>
          <w:p>
            <w:pPr>
              <w:spacing w:after="0"/>
              <w:rPr>
                <w:sz w:val="19"/>
                <w:szCs w:val="19"/>
                <w:color w:val="auto"/>
              </w:rPr>
            </w:pPr>
          </w:p>
        </w:tc>
        <w:tc>
          <w:tcPr>
            <w:tcW w:w="340" w:type="dxa"/>
            <w:vAlign w:val="bottom"/>
            <w:tcBorders>
              <w:top w:val="single" w:sz="8" w:color="DC202E"/>
            </w:tcBorders>
            <w:shd w:val="clear" w:color="auto" w:fill="DDDDDD"/>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DC202E"/>
            </w:tcBorders>
            <w:shd w:val="clear" w:color="auto" w:fill="DDDDDD"/>
          </w:tcPr>
          <w:p>
            <w:pPr>
              <w:jc w:val="right"/>
              <w:spacing w:after="0"/>
              <w:rPr>
                <w:sz w:val="20"/>
                <w:szCs w:val="20"/>
                <w:color w:val="auto"/>
              </w:rPr>
            </w:pPr>
            <w:r>
              <w:rPr>
                <w:rFonts w:ascii="Arial" w:cs="Arial" w:eastAsia="Arial" w:hAnsi="Arial"/>
                <w:sz w:val="18"/>
                <w:szCs w:val="18"/>
                <w:color w:val="auto"/>
              </w:rPr>
              <w:t>36,709</w:t>
            </w:r>
          </w:p>
        </w:tc>
      </w:tr>
      <w:tr>
        <w:trPr>
          <w:trHeight w:val="230"/>
        </w:trPr>
        <w:tc>
          <w:tcPr>
            <w:tcW w:w="368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3,005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3,149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3,048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12,370</w:t>
            </w:r>
          </w:p>
        </w:tc>
      </w:tr>
      <w:tr>
        <w:trPr>
          <w:trHeight w:val="229"/>
        </w:trPr>
        <w:tc>
          <w:tcPr>
            <w:tcW w:w="3680" w:type="dxa"/>
            <w:vAlign w:val="bottom"/>
            <w:shd w:val="clear" w:color="auto" w:fill="DDDDDD"/>
          </w:tcPr>
          <w:p>
            <w:pPr>
              <w:ind w:left="140"/>
              <w:spacing w:after="0"/>
              <w:rPr>
                <w:sz w:val="20"/>
                <w:szCs w:val="20"/>
                <w:color w:val="auto"/>
              </w:rPr>
            </w:pPr>
            <w:r>
              <w:rPr>
                <w:rFonts w:ascii="Arial" w:cs="Arial" w:eastAsia="Arial" w:hAnsi="Arial"/>
                <w:sz w:val="18"/>
                <w:szCs w:val="18"/>
                <w:color w:val="auto"/>
              </w:rPr>
              <w:t>Net income attributable to Honeywell</w:t>
            </w:r>
          </w:p>
        </w:tc>
        <w:tc>
          <w:tcPr>
            <w:tcW w:w="260" w:type="dxa"/>
            <w:vAlign w:val="bottom"/>
            <w:shd w:val="clear" w:color="auto" w:fill="DDDDDD"/>
          </w:tcPr>
          <w:p>
            <w:pPr>
              <w:spacing w:after="0"/>
              <w:rPr>
                <w:sz w:val="19"/>
                <w:szCs w:val="19"/>
                <w:color w:val="auto"/>
              </w:rPr>
            </w:pPr>
          </w:p>
        </w:tc>
        <w:tc>
          <w:tcPr>
            <w:tcW w:w="11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1,416</w:t>
            </w:r>
          </w:p>
        </w:tc>
        <w:tc>
          <w:tcPr>
            <w:tcW w:w="100" w:type="dxa"/>
            <w:vAlign w:val="bottom"/>
            <w:shd w:val="clear" w:color="auto" w:fill="DDDDDD"/>
          </w:tcPr>
          <w:p>
            <w:pPr>
              <w:spacing w:after="0"/>
              <w:rPr>
                <w:sz w:val="19"/>
                <w:szCs w:val="19"/>
                <w:color w:val="auto"/>
              </w:rPr>
            </w:pPr>
          </w:p>
        </w:tc>
        <w:tc>
          <w:tcPr>
            <w:tcW w:w="280" w:type="dxa"/>
            <w:vAlign w:val="bottom"/>
            <w:shd w:val="clear" w:color="auto" w:fill="DDDDDD"/>
          </w:tcPr>
          <w:p>
            <w:pPr>
              <w:spacing w:after="0"/>
              <w:rPr>
                <w:sz w:val="19"/>
                <w:szCs w:val="19"/>
                <w:color w:val="auto"/>
              </w:rPr>
            </w:pPr>
          </w:p>
        </w:tc>
        <w:tc>
          <w:tcPr>
            <w:tcW w:w="11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1,541</w:t>
            </w:r>
          </w:p>
        </w:tc>
        <w:tc>
          <w:tcPr>
            <w:tcW w:w="120" w:type="dxa"/>
            <w:vAlign w:val="bottom"/>
            <w:shd w:val="clear" w:color="auto" w:fill="DDDDDD"/>
          </w:tcPr>
          <w:p>
            <w:pPr>
              <w:spacing w:after="0"/>
              <w:rPr>
                <w:sz w:val="19"/>
                <w:szCs w:val="19"/>
                <w:color w:val="auto"/>
              </w:rPr>
            </w:pPr>
          </w:p>
        </w:tc>
        <w:tc>
          <w:tcPr>
            <w:tcW w:w="180" w:type="dxa"/>
            <w:vAlign w:val="bottom"/>
            <w:shd w:val="clear" w:color="auto" w:fill="DDDDDD"/>
          </w:tcPr>
          <w:p>
            <w:pPr>
              <w:spacing w:after="0"/>
              <w:rPr>
                <w:sz w:val="19"/>
                <w:szCs w:val="19"/>
                <w:color w:val="auto"/>
              </w:rPr>
            </w:pPr>
          </w:p>
        </w:tc>
        <w:tc>
          <w:tcPr>
            <w:tcW w:w="12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1,624</w:t>
            </w:r>
          </w:p>
        </w:tc>
        <w:tc>
          <w:tcPr>
            <w:tcW w:w="100" w:type="dxa"/>
            <w:vAlign w:val="bottom"/>
            <w:shd w:val="clear" w:color="auto" w:fill="DDDDDD"/>
          </w:tcPr>
          <w:p>
            <w:pPr>
              <w:spacing w:after="0"/>
              <w:rPr>
                <w:sz w:val="19"/>
                <w:szCs w:val="19"/>
                <w:color w:val="auto"/>
              </w:rPr>
            </w:pPr>
          </w:p>
        </w:tc>
        <w:tc>
          <w:tcPr>
            <w:tcW w:w="200" w:type="dxa"/>
            <w:vAlign w:val="bottom"/>
            <w:shd w:val="clear" w:color="auto" w:fill="DDDDDD"/>
          </w:tcPr>
          <w:p>
            <w:pPr>
              <w:spacing w:after="0"/>
              <w:rPr>
                <w:sz w:val="19"/>
                <w:szCs w:val="19"/>
                <w:color w:val="auto"/>
              </w:rPr>
            </w:pPr>
          </w:p>
        </w:tc>
        <w:tc>
          <w:tcPr>
            <w:tcW w:w="12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1,562</w:t>
            </w:r>
          </w:p>
        </w:tc>
        <w:tc>
          <w:tcPr>
            <w:tcW w:w="10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6,143</w:t>
            </w:r>
          </w:p>
        </w:tc>
      </w:tr>
      <w:tr>
        <w:trPr>
          <w:trHeight w:val="229"/>
        </w:trPr>
        <w:tc>
          <w:tcPr>
            <w:tcW w:w="3680" w:type="dxa"/>
            <w:vAlign w:val="bottom"/>
          </w:tcPr>
          <w:p>
            <w:pPr>
              <w:ind w:left="20"/>
              <w:spacing w:after="0" w:line="230" w:lineRule="exact"/>
              <w:rPr>
                <w:sz w:val="20"/>
                <w:szCs w:val="20"/>
                <w:color w:val="auto"/>
              </w:rPr>
            </w:pPr>
            <w:r>
              <w:rPr>
                <w:rFonts w:ascii="Arial" w:cs="Arial" w:eastAsia="Arial" w:hAnsi="Arial"/>
                <w:sz w:val="18"/>
                <w:szCs w:val="18"/>
                <w:color w:val="auto"/>
              </w:rPr>
              <w:t>Earnings per common share—basic</w:t>
            </w:r>
            <w:r>
              <w:rPr>
                <w:rFonts w:ascii="Arial" w:cs="Arial" w:eastAsia="Arial" w:hAnsi="Arial"/>
                <w:sz w:val="23"/>
                <w:szCs w:val="23"/>
                <w:color w:val="auto"/>
                <w:vertAlign w:val="superscript"/>
              </w:rPr>
              <w:t>(1)</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8.52</w:t>
            </w:r>
          </w:p>
        </w:tc>
      </w:tr>
      <w:tr>
        <w:trPr>
          <w:trHeight w:val="178"/>
        </w:trPr>
        <w:tc>
          <w:tcPr>
            <w:tcW w:w="3680" w:type="dxa"/>
            <w:vAlign w:val="bottom"/>
            <w:shd w:val="clear" w:color="auto" w:fill="DDDDDD"/>
          </w:tcPr>
          <w:p>
            <w:pPr>
              <w:ind w:left="20"/>
              <w:spacing w:after="0" w:line="178" w:lineRule="exact"/>
              <w:rPr>
                <w:sz w:val="20"/>
                <w:szCs w:val="20"/>
                <w:color w:val="auto"/>
              </w:rPr>
            </w:pPr>
            <w:r>
              <w:rPr>
                <w:rFonts w:ascii="Arial" w:cs="Arial" w:eastAsia="Arial" w:hAnsi="Arial"/>
                <w:sz w:val="18"/>
                <w:szCs w:val="18"/>
                <w:color w:val="auto"/>
              </w:rPr>
              <w:t>Earnings per common share—assuming</w:t>
            </w:r>
          </w:p>
        </w:tc>
        <w:tc>
          <w:tcPr>
            <w:tcW w:w="260" w:type="dxa"/>
            <w:vAlign w:val="bottom"/>
            <w:shd w:val="clear" w:color="auto" w:fill="DDDDDD"/>
          </w:tcPr>
          <w:p>
            <w:pPr>
              <w:spacing w:after="0"/>
              <w:rPr>
                <w:sz w:val="15"/>
                <w:szCs w:val="15"/>
                <w:color w:val="auto"/>
              </w:rPr>
            </w:pPr>
          </w:p>
        </w:tc>
        <w:tc>
          <w:tcPr>
            <w:tcW w:w="1160" w:type="dxa"/>
            <w:vAlign w:val="bottom"/>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280" w:type="dxa"/>
            <w:vAlign w:val="bottom"/>
            <w:shd w:val="clear" w:color="auto" w:fill="DDDDDD"/>
          </w:tcPr>
          <w:p>
            <w:pPr>
              <w:spacing w:after="0"/>
              <w:rPr>
                <w:sz w:val="15"/>
                <w:szCs w:val="15"/>
                <w:color w:val="auto"/>
              </w:rPr>
            </w:pPr>
          </w:p>
        </w:tc>
        <w:tc>
          <w:tcPr>
            <w:tcW w:w="1140" w:type="dxa"/>
            <w:vAlign w:val="bottom"/>
            <w:shd w:val="clear" w:color="auto" w:fill="DDDDDD"/>
          </w:tcPr>
          <w:p>
            <w:pPr>
              <w:spacing w:after="0"/>
              <w:rPr>
                <w:sz w:val="15"/>
                <w:szCs w:val="15"/>
                <w:color w:val="auto"/>
              </w:rPr>
            </w:pPr>
          </w:p>
        </w:tc>
        <w:tc>
          <w:tcPr>
            <w:tcW w:w="120" w:type="dxa"/>
            <w:vAlign w:val="bottom"/>
            <w:shd w:val="clear" w:color="auto" w:fill="DDDDDD"/>
          </w:tcPr>
          <w:p>
            <w:pPr>
              <w:spacing w:after="0"/>
              <w:rPr>
                <w:sz w:val="15"/>
                <w:szCs w:val="15"/>
                <w:color w:val="auto"/>
              </w:rPr>
            </w:pPr>
          </w:p>
        </w:tc>
        <w:tc>
          <w:tcPr>
            <w:tcW w:w="180" w:type="dxa"/>
            <w:vAlign w:val="bottom"/>
            <w:shd w:val="clear" w:color="auto" w:fill="DDDDDD"/>
          </w:tcPr>
          <w:p>
            <w:pPr>
              <w:spacing w:after="0"/>
              <w:rPr>
                <w:sz w:val="15"/>
                <w:szCs w:val="15"/>
                <w:color w:val="auto"/>
              </w:rPr>
            </w:pPr>
          </w:p>
        </w:tc>
        <w:tc>
          <w:tcPr>
            <w:tcW w:w="1240" w:type="dxa"/>
            <w:vAlign w:val="bottom"/>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200" w:type="dxa"/>
            <w:vAlign w:val="bottom"/>
            <w:shd w:val="clear" w:color="auto" w:fill="DDDDDD"/>
          </w:tcPr>
          <w:p>
            <w:pPr>
              <w:spacing w:after="0"/>
              <w:rPr>
                <w:sz w:val="15"/>
                <w:szCs w:val="15"/>
                <w:color w:val="auto"/>
              </w:rPr>
            </w:pPr>
          </w:p>
        </w:tc>
        <w:tc>
          <w:tcPr>
            <w:tcW w:w="1240" w:type="dxa"/>
            <w:vAlign w:val="bottom"/>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340" w:type="dxa"/>
            <w:vAlign w:val="bottom"/>
            <w:shd w:val="clear" w:color="auto" w:fill="DDDDDD"/>
          </w:tcPr>
          <w:p>
            <w:pPr>
              <w:spacing w:after="0"/>
              <w:rPr>
                <w:sz w:val="15"/>
                <w:szCs w:val="15"/>
                <w:color w:val="auto"/>
              </w:rPr>
            </w:pPr>
          </w:p>
        </w:tc>
        <w:tc>
          <w:tcPr>
            <w:tcW w:w="1100" w:type="dxa"/>
            <w:vAlign w:val="bottom"/>
            <w:shd w:val="clear" w:color="auto" w:fill="DDDDDD"/>
          </w:tcPr>
          <w:p>
            <w:pPr>
              <w:spacing w:after="0"/>
              <w:rPr>
                <w:sz w:val="15"/>
                <w:szCs w:val="15"/>
                <w:color w:val="auto"/>
              </w:rPr>
            </w:pPr>
          </w:p>
        </w:tc>
      </w:tr>
      <w:tr>
        <w:trPr>
          <w:trHeight w:val="227"/>
        </w:trPr>
        <w:tc>
          <w:tcPr>
            <w:tcW w:w="3680" w:type="dxa"/>
            <w:vAlign w:val="bottom"/>
            <w:shd w:val="clear" w:color="auto" w:fill="DDDDDD"/>
          </w:tcPr>
          <w:p>
            <w:pPr>
              <w:ind w:left="20"/>
              <w:spacing w:after="0" w:line="228" w:lineRule="exact"/>
              <w:rPr>
                <w:sz w:val="20"/>
                <w:szCs w:val="20"/>
                <w:color w:val="auto"/>
              </w:rPr>
            </w:pPr>
            <w:r>
              <w:rPr>
                <w:rFonts w:ascii="Arial" w:cs="Arial" w:eastAsia="Arial" w:hAnsi="Arial"/>
                <w:sz w:val="18"/>
                <w:szCs w:val="18"/>
                <w:color w:val="auto"/>
              </w:rPr>
              <w:t>dilution</w:t>
            </w:r>
            <w:r>
              <w:rPr>
                <w:rFonts w:ascii="Arial" w:cs="Arial" w:eastAsia="Arial" w:hAnsi="Arial"/>
                <w:sz w:val="23"/>
                <w:szCs w:val="23"/>
                <w:color w:val="auto"/>
                <w:vertAlign w:val="superscript"/>
              </w:rPr>
              <w:t>(1)</w:t>
            </w:r>
          </w:p>
        </w:tc>
        <w:tc>
          <w:tcPr>
            <w:tcW w:w="260" w:type="dxa"/>
            <w:vAlign w:val="bottom"/>
            <w:shd w:val="clear" w:color="auto" w:fill="DDDDDD"/>
          </w:tcPr>
          <w:p>
            <w:pPr>
              <w:spacing w:after="0"/>
              <w:rPr>
                <w:sz w:val="19"/>
                <w:szCs w:val="19"/>
                <w:color w:val="auto"/>
              </w:rPr>
            </w:pPr>
          </w:p>
        </w:tc>
        <w:tc>
          <w:tcPr>
            <w:tcW w:w="11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DDDDDD"/>
          </w:tcPr>
          <w:p>
            <w:pPr>
              <w:spacing w:after="0"/>
              <w:rPr>
                <w:sz w:val="19"/>
                <w:szCs w:val="19"/>
                <w:color w:val="auto"/>
              </w:rPr>
            </w:pPr>
          </w:p>
        </w:tc>
        <w:tc>
          <w:tcPr>
            <w:tcW w:w="280" w:type="dxa"/>
            <w:vAlign w:val="bottom"/>
            <w:shd w:val="clear" w:color="auto" w:fill="DDDDDD"/>
          </w:tcPr>
          <w:p>
            <w:pPr>
              <w:spacing w:after="0"/>
              <w:rPr>
                <w:sz w:val="19"/>
                <w:szCs w:val="19"/>
                <w:color w:val="auto"/>
              </w:rPr>
            </w:pPr>
          </w:p>
        </w:tc>
        <w:tc>
          <w:tcPr>
            <w:tcW w:w="11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2.10</w:t>
            </w:r>
          </w:p>
        </w:tc>
        <w:tc>
          <w:tcPr>
            <w:tcW w:w="120" w:type="dxa"/>
            <w:vAlign w:val="bottom"/>
            <w:shd w:val="clear" w:color="auto" w:fill="DDDDDD"/>
          </w:tcPr>
          <w:p>
            <w:pPr>
              <w:spacing w:after="0"/>
              <w:rPr>
                <w:sz w:val="19"/>
                <w:szCs w:val="19"/>
                <w:color w:val="auto"/>
              </w:rPr>
            </w:pPr>
          </w:p>
        </w:tc>
        <w:tc>
          <w:tcPr>
            <w:tcW w:w="180" w:type="dxa"/>
            <w:vAlign w:val="bottom"/>
            <w:shd w:val="clear" w:color="auto" w:fill="DDDDDD"/>
          </w:tcPr>
          <w:p>
            <w:pPr>
              <w:spacing w:after="0"/>
              <w:rPr>
                <w:sz w:val="19"/>
                <w:szCs w:val="19"/>
                <w:color w:val="auto"/>
              </w:rPr>
            </w:pPr>
          </w:p>
        </w:tc>
        <w:tc>
          <w:tcPr>
            <w:tcW w:w="12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DDDDDD"/>
          </w:tcPr>
          <w:p>
            <w:pPr>
              <w:spacing w:after="0"/>
              <w:rPr>
                <w:sz w:val="19"/>
                <w:szCs w:val="19"/>
                <w:color w:val="auto"/>
              </w:rPr>
            </w:pPr>
          </w:p>
        </w:tc>
        <w:tc>
          <w:tcPr>
            <w:tcW w:w="200" w:type="dxa"/>
            <w:vAlign w:val="bottom"/>
            <w:shd w:val="clear" w:color="auto" w:fill="DDDDDD"/>
          </w:tcPr>
          <w:p>
            <w:pPr>
              <w:spacing w:after="0"/>
              <w:rPr>
                <w:sz w:val="19"/>
                <w:szCs w:val="19"/>
                <w:color w:val="auto"/>
              </w:rPr>
            </w:pPr>
          </w:p>
        </w:tc>
        <w:tc>
          <w:tcPr>
            <w:tcW w:w="12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8.41</w:t>
            </w:r>
          </w:p>
        </w:tc>
      </w:tr>
      <w:tr>
        <w:trPr>
          <w:trHeight w:val="230"/>
        </w:trPr>
        <w:tc>
          <w:tcPr>
            <w:tcW w:w="3680" w:type="dxa"/>
            <w:vAlign w:val="bottom"/>
          </w:tcPr>
          <w:p>
            <w:pPr>
              <w:ind w:left="20"/>
              <w:spacing w:after="0"/>
              <w:rPr>
                <w:sz w:val="20"/>
                <w:szCs w:val="20"/>
                <w:color w:val="auto"/>
              </w:rPr>
            </w:pPr>
            <w:r>
              <w:rPr>
                <w:rFonts w:ascii="Arial" w:cs="Arial" w:eastAsia="Arial" w:hAnsi="Arial"/>
                <w:sz w:val="18"/>
                <w:szCs w:val="18"/>
                <w:color w:val="auto"/>
              </w:rPr>
              <w:t>Cash dividends per common share</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0.820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0.820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0.820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0.900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3.360</w:t>
            </w:r>
          </w:p>
        </w:tc>
      </w:tr>
    </w:tbl>
    <w:p>
      <w:pPr>
        <w:spacing w:after="0" w:line="107" w:lineRule="exact"/>
        <w:rPr>
          <w:sz w:val="20"/>
          <w:szCs w:val="20"/>
          <w:color w:val="auto"/>
        </w:rPr>
      </w:pPr>
    </w:p>
    <w:p>
      <w:pPr>
        <w:ind w:left="340" w:hanging="332"/>
        <w:spacing w:after="0" w:line="261" w:lineRule="auto"/>
        <w:tabs>
          <w:tab w:leader="none" w:pos="33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Total for the full year may differ from the sum of the individual quarters due to the requirement to use weighted average shares each quarter, which may fluctuate with share repurchases and share issuances, and due to the impact of losses in a quarter.</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109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12" w:name="page113"/>
    <w:bookmarkEnd w:id="112"/>
    <w:p>
      <w:pPr>
        <w:spacing w:after="0"/>
        <w:rPr>
          <w:sz w:val="20"/>
          <w:szCs w:val="20"/>
          <w:color w:val="auto"/>
        </w:rPr>
      </w:pPr>
      <w:r>
        <w:rPr>
          <w:rFonts w:ascii="Arial" w:cs="Arial" w:eastAsia="Arial" w:hAnsi="Arial"/>
          <w:sz w:val="22"/>
          <w:szCs w:val="22"/>
          <w:b w:val="1"/>
          <w:bCs w:val="1"/>
          <w:color w:val="auto"/>
        </w:rPr>
        <w:t>Report of Independent Registered Public Accounting Firm</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To the shareowners and the Board of Directors of Honeywell International Inc.</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Opinions on the Financial Statements and Internal Control over Financial Reporting</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We have audited the accompanying consolidated balance sheets of Honeywell International Inc. and subsidiaries (the "Company" or "Honeywell") as of December 31, 2020 and 2019, and the related consolidated statements of operations, comprehensive income, shareowners’ equity, and cash flows, for each of the three years in the period ended December 31, 2020, and the related notes (collectively referred to as the "financial statements"). We also have audited the Company’s internal control over financial reporting as of December 31, 2020,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w:t>
      </w:r>
    </w:p>
    <w:p>
      <w:pPr>
        <w:spacing w:after="0" w:line="10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In our opinion, the financial statements referred to above present fairly, in all material respects, the financial position of the Company as of December 31, 2020 and 2019, and the results of its operations and its cash flows for each of the three years in the period ended December 31, 2020, in conformity with accounting principles generally accepted in the United States of America (“generally accepted accounting principles”). Also, in our opinion, the Company maintained, in all material respects, effective internal control over financial reporting as of December 31, 2020,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COSO.</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these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0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9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audits of the financial statements included performing procedures to assess the risks of material misstatement of the financial statements, whether due to error or fraud, and performing procedures to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110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113" w:name="page114"/>
    <w:bookmarkEnd w:id="113"/>
    <w:p>
      <w:pPr>
        <w:jc w:val="both"/>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83"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color w:val="auto"/>
        </w:rPr>
        <w:t>Asbestos Related Liabilities - North American Refractories Company (NARCO) Asbestos Liability – Refer to Note 20 to the financial statements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records an estimated liability for asbestos related personal injury claims related to a predecessor company, NARCO. Such claims arise primarily from alleged occupational exposure to asbestos-containing refractory brick and mortar.</w:t>
      </w:r>
    </w:p>
    <w:p>
      <w:pPr>
        <w:spacing w:after="0" w:line="9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Company’s NARCO asbestos liability reflects an estimated liability for the resolution of asserted and unasserted NARCO-related asbestos claims that are probable of occurrence and reasonably estimable. The Company records an estimated liability for the resolution of asserted Annual Contribution Claims and Pre-Established Unliquidated Claims filed with the NARCO Trust using average payment values for the relevant historical period. The Company also records an estimated liability for unasserted Annual Contribution Claims and Pre-Established Unliquidated Claims based on historic and anticipated claims filing experience and payment rates, disease classifications and type of claim, and average payment values by the NARCO Trust for the relevant historical period. The Company’s estimate also includes all years of epidemiological disease projection through 2059 when estimating the liability for unasserted claims.</w:t>
      </w:r>
    </w:p>
    <w:p>
      <w:pPr>
        <w:spacing w:after="0" w:line="9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Establishing the NARCO asbestos liability is an inherently subjective exercise as it requires management to make significant assumptions and judgements. Given the subjectivity related to estimating the NARCO asbestos liability and the lack of a history of sufficiently reliable claims data, auditing of the NARCO asbestos liability involved especially subjective judgment.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the NARCO asbestos liability included the following, among others:</w:t>
      </w:r>
    </w:p>
    <w:p>
      <w:pPr>
        <w:spacing w:after="0" w:line="9" w:lineRule="exact"/>
        <w:rPr>
          <w:sz w:val="20"/>
          <w:szCs w:val="20"/>
          <w:color w:val="auto"/>
        </w:rPr>
      </w:pPr>
    </w:p>
    <w:p>
      <w:pPr>
        <w:ind w:left="660" w:hanging="328"/>
        <w:spacing w:after="0" w:line="250"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tested the effectiveness of internal controls over the estimate of the NARCO asbestos liability including management’s controls over the estimate for asserted and unasserted Annual Contribution Claims and Pre-Established Unliquidated Claims.</w:t>
      </w: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evaluated the methods and assumptions used by management to estimate the NARCO asbestos liability by:</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Reading the Company’s analysis and third-party assessment to evaluate the Company’s methods used in the analysis.</w:t>
      </w:r>
    </w:p>
    <w:p>
      <w:pPr>
        <w:spacing w:after="0" w:line="9" w:lineRule="exact"/>
        <w:rPr>
          <w:rFonts w:ascii="Arial" w:cs="Arial" w:eastAsia="Arial" w:hAnsi="Arial"/>
          <w:sz w:val="18"/>
          <w:szCs w:val="18"/>
          <w:color w:val="auto"/>
        </w:rPr>
      </w:pPr>
    </w:p>
    <w:p>
      <w:pPr>
        <w:ind w:left="1300" w:hanging="320"/>
        <w:spacing w:after="0" w:line="250" w:lineRule="auto"/>
        <w:tabs>
          <w:tab w:leader="none" w:pos="1323" w:val="left"/>
        </w:tabs>
        <w:numPr>
          <w:ilvl w:val="1"/>
          <w:numId w:val="38"/>
        </w:numPr>
        <w:rPr>
          <w:rFonts w:ascii="Arial" w:cs="Arial" w:eastAsia="Arial" w:hAnsi="Arial"/>
          <w:sz w:val="18"/>
          <w:szCs w:val="18"/>
          <w:color w:val="auto"/>
        </w:rPr>
      </w:pPr>
      <w:r>
        <w:rPr>
          <w:rFonts w:ascii="Arial" w:cs="Arial" w:eastAsia="Arial" w:hAnsi="Arial"/>
          <w:sz w:val="18"/>
          <w:szCs w:val="18"/>
          <w:color w:val="auto"/>
        </w:rPr>
        <w:t>Confirming the claims data with the NARCO Trust to evaluate the appropriateness of the underlying data used in the analysis.</w:t>
      </w:r>
    </w:p>
    <w:p>
      <w:pPr>
        <w:ind w:left="1300" w:hanging="320"/>
        <w:spacing w:after="0"/>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Making inquiries of the Company’s third-party specialist to identify the significant assumptions used to develop the analysis.</w:t>
      </w:r>
    </w:p>
    <w:p>
      <w:pPr>
        <w:spacing w:after="0" w:line="9" w:lineRule="exact"/>
        <w:rPr>
          <w:rFonts w:ascii="Arial" w:cs="Arial" w:eastAsia="Arial" w:hAnsi="Arial"/>
          <w:sz w:val="18"/>
          <w:szCs w:val="18"/>
          <w:color w:val="auto"/>
        </w:rPr>
      </w:pPr>
    </w:p>
    <w:p>
      <w:pPr>
        <w:ind w:left="1300" w:hanging="320"/>
        <w:spacing w:after="0" w:line="250" w:lineRule="auto"/>
        <w:tabs>
          <w:tab w:leader="none" w:pos="1310" w:val="left"/>
        </w:tabs>
        <w:numPr>
          <w:ilvl w:val="1"/>
          <w:numId w:val="38"/>
        </w:numPr>
        <w:rPr>
          <w:rFonts w:ascii="Arial" w:cs="Arial" w:eastAsia="Arial" w:hAnsi="Arial"/>
          <w:sz w:val="18"/>
          <w:szCs w:val="18"/>
          <w:color w:val="auto"/>
        </w:rPr>
      </w:pPr>
      <w:r>
        <w:rPr>
          <w:rFonts w:ascii="Arial" w:cs="Arial" w:eastAsia="Arial" w:hAnsi="Arial"/>
          <w:sz w:val="18"/>
          <w:szCs w:val="18"/>
          <w:color w:val="auto"/>
        </w:rPr>
        <w:t>Making inquiries of internal and external legal counsel regarding the regulatory and litigation environments related to the NARCO asbestos liability.</w:t>
      </w:r>
    </w:p>
    <w:p>
      <w:pPr>
        <w:ind w:left="660" w:right="20" w:hanging="328"/>
        <w:spacing w:after="0" w:line="261"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With the assistance of our internal actuarial specialists, we developed a range of independent estimates and compared those to the Company’s recorded NARCO asbestos Liability.</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111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114" w:name="page115"/>
    <w:bookmarkEnd w:id="114"/>
    <w:p>
      <w:pPr>
        <w:ind w:right="100"/>
        <w:spacing w:after="0" w:line="287" w:lineRule="auto"/>
        <w:rPr>
          <w:sz w:val="20"/>
          <w:szCs w:val="20"/>
          <w:color w:val="auto"/>
        </w:rPr>
      </w:pPr>
      <w:r>
        <w:rPr>
          <w:rFonts w:ascii="Arial" w:cs="Arial" w:eastAsia="Arial" w:hAnsi="Arial"/>
          <w:sz w:val="18"/>
          <w:szCs w:val="18"/>
          <w:b w:val="1"/>
          <w:bCs w:val="1"/>
          <w:color w:val="auto"/>
        </w:rPr>
        <w:t>Revenue Recognition and Contracts with Customers – Long-Term Fixed Price Contracts (Performance Materials and Technologies (PMT)) – Refer to Note 1 and Note 3 to the financial statements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PMT segment develops and manufactures performance chemicals and materials, process technologies, and automation solutions. A portion of PMT’s revenue is generated from long-term fixed price contracts whereby revenue is recognized over the contract term (“over time”) as the work progresses and control of the goods and services is transferred to the customer. Revenue for these contracts is recognized based on the extent of progress toward completion, generally measured by using a cost-to-cost basis input method.</w:t>
      </w:r>
    </w:p>
    <w:p>
      <w:pPr>
        <w:spacing w:after="0" w:line="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Accounting for PMT’s long-term fixed price contracts requires management’s judgment in estimating total contract costs. Contract costs, which can be incurred over several years, are largely determined based on negotiated or estimated purchase contract terms and consider factors such as historical performance, technical and schedule risk, internal and subcontractor performance trends, and anticipated labor agreements.</w:t>
      </w:r>
    </w:p>
    <w:p>
      <w:pPr>
        <w:spacing w:after="0" w:line="96"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Given the significant judgments necessary to estimate costs associated with these long-term contracts, auditing PMT’s long-term fixed price contracts requires a high degree of auditor judgment.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PMT’s long-term fixed price contracts included the following, among others:</w:t>
      </w:r>
    </w:p>
    <w:p>
      <w:pPr>
        <w:spacing w:after="0" w:line="9" w:lineRule="exact"/>
        <w:rPr>
          <w:sz w:val="20"/>
          <w:szCs w:val="20"/>
          <w:color w:val="auto"/>
        </w:rPr>
      </w:pPr>
    </w:p>
    <w:p>
      <w:pPr>
        <w:jc w:val="both"/>
        <w:ind w:left="660" w:hanging="328"/>
        <w:spacing w:after="0" w:line="250"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tested the effectiveness of internal controls over the recognition of revenue and the determination of estimated contract costs including controls over the review of management’s assumptions and key inputs used to recognize revenue and costs on long-term fixed price contracts using the cost-to-cost input method.</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evaluated the appropriateness and consistency of management’s methods and assumptions used to recognize revenue and costs on long-term fixed price contracts using the cost-to-cost input method to recognize revenue over time.</w:t>
      </w:r>
    </w:p>
    <w:p>
      <w:pPr>
        <w:ind w:left="660" w:right="20" w:hanging="328"/>
        <w:spacing w:after="0" w:line="250"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selected a sample of long-term fixed price contracts and evaluated the estimates of total cost for each of the long-term fixed price contracts by:</w:t>
      </w:r>
    </w:p>
    <w:p>
      <w:pPr>
        <w:ind w:left="1300" w:hanging="320"/>
        <w:spacing w:after="0"/>
        <w:tabs>
          <w:tab w:leader="none" w:pos="13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Comparing costs incurred to date to the costs management estimated to be incurred to date.</w:t>
      </w:r>
    </w:p>
    <w:p>
      <w:pPr>
        <w:spacing w:after="0" w:line="9" w:lineRule="exact"/>
        <w:rPr>
          <w:rFonts w:ascii="Arial" w:cs="Arial" w:eastAsia="Arial" w:hAnsi="Arial"/>
          <w:sz w:val="18"/>
          <w:szCs w:val="18"/>
          <w:color w:val="auto"/>
        </w:rPr>
      </w:pPr>
    </w:p>
    <w:p>
      <w:pPr>
        <w:jc w:val="both"/>
        <w:ind w:left="1300" w:hanging="320"/>
        <w:spacing w:after="0" w:line="252" w:lineRule="auto"/>
        <w:tabs>
          <w:tab w:leader="none" w:pos="1310" w:val="left"/>
        </w:tabs>
        <w:numPr>
          <w:ilvl w:val="1"/>
          <w:numId w:val="39"/>
        </w:numPr>
        <w:rPr>
          <w:rFonts w:ascii="Arial" w:cs="Arial" w:eastAsia="Arial" w:hAnsi="Arial"/>
          <w:sz w:val="18"/>
          <w:szCs w:val="18"/>
          <w:color w:val="auto"/>
        </w:rPr>
      </w:pPr>
      <w:r>
        <w:rPr>
          <w:rFonts w:ascii="Arial" w:cs="Arial" w:eastAsia="Arial" w:hAnsi="Arial"/>
          <w:sz w:val="18"/>
          <w:szCs w:val="18"/>
          <w:color w:val="auto"/>
        </w:rPr>
        <w:t>Evaluating management’s ability to achieve the estimates of total cost by performing corroborating inquiries with Company personnel, including project managers, and comparing the estimates to documentation such as management’s work plans, contract terms and requirements, and purchase orders with suppliers. Our evaluation of management’s assumptions included consideration of historical and current project performance such as consistency of gross margin, identified risks related to project timing including technical and schedule matters, and the status of internal and third party activities such as hardware, software, and labor.</w:t>
      </w:r>
    </w:p>
    <w:p>
      <w:pPr>
        <w:spacing w:after="0" w:line="186" w:lineRule="exact"/>
        <w:rPr>
          <w:sz w:val="20"/>
          <w:szCs w:val="20"/>
          <w:color w:val="auto"/>
        </w:rPr>
      </w:pPr>
    </w:p>
    <w:p>
      <w:pPr>
        <w:ind w:right="2360"/>
        <w:spacing w:after="0" w:line="388" w:lineRule="auto"/>
        <w:rPr>
          <w:sz w:val="20"/>
          <w:szCs w:val="20"/>
          <w:color w:val="auto"/>
        </w:rPr>
      </w:pPr>
      <w:r>
        <w:rPr>
          <w:rFonts w:ascii="Arial" w:cs="Arial" w:eastAsia="Arial" w:hAnsi="Arial"/>
          <w:sz w:val="18"/>
          <w:szCs w:val="18"/>
          <w:b w:val="1"/>
          <w:bCs w:val="1"/>
          <w:color w:val="auto"/>
        </w:rPr>
        <w:t xml:space="preserve">Reimbursement Receivables - Garrett Motion Inc. (Garrett) – Refer to Note 20 to the financial statements </w:t>
      </w:r>
      <w:r>
        <w:rPr>
          <w:rFonts w:ascii="Arial" w:cs="Arial" w:eastAsia="Arial" w:hAnsi="Arial"/>
          <w:sz w:val="18"/>
          <w:szCs w:val="18"/>
          <w:i w:val="1"/>
          <w:iCs w:val="1"/>
          <w:color w:val="auto"/>
        </w:rPr>
        <w:t>Critical Audit Matter Description</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the spin -off of Garrett in October 2018, the Company entered into a binding indemnification and reimbursement agreement (Garrett Indemnity) with a Garrett subsidiary and a binding tax matters agreement with Garrett and a Garrett subsidiary (the Tax Matters Agreement). Accordingly, the Company recorded a receivable based on estimates of the amounts reimbursable to Honeywell. On September 20, 2020, Garrett and 36 of its affiliates filed voluntary petitions for relief under Chapter 11 of the United States Bankruptcy Code in the United States Bankruptcy Court for the Southern District of New York (the Bankruptcy Court).</w:t>
      </w:r>
    </w:p>
    <w:p>
      <w:pPr>
        <w:spacing w:after="0" w:line="9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October 2020, the Company signed a coordination agreement with Oaktree Capital Management, L.P. (Oaktree) and Centerbridge Partners, L.P. (Centerbridge), which was subsequently signed by additional equity holders that, collectively with Honeywell, Centerbridge and Oaktree, represent approximately 58% of Garrett’s outstanding common stock and noteholders representing approximately 88% of the principal amount of Garrett’s outstanding senior notes (the Coordination Agreement). The Coordination Agreement and related term sheet set forth the terms of a proposed plan of reorganization (the Initial COH Proposal). On January 11, 2021, after further revisions to the Initial COH Proposal, Garrett determined that the revised proposal (the Final COH Plan) was higher and better than all other proposals received and entered into a plan support agreement (the Plan Support Agreement), pursuant to which all parties agreed to pursue Bankruptcy Court confirmation of the Final COH Plan.</w:t>
      </w:r>
    </w:p>
    <w:p>
      <w:pPr>
        <w:spacing w:after="0" w:line="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Because Garrett is now a party to the Plan Support Agreement, the Company believes the present value of payments to Honeywell under the Final COH Plan, discounted at a rate reflective of the terms of the agreement, is an appropriate estimate of receivable amounts due in connection with the Garrett Indemnity and Tax Matters Agreement.</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112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115" w:name="page116"/>
    <w:bookmarkEnd w:id="115"/>
    <w:p>
      <w:pPr>
        <w:spacing w:after="0" w:line="261" w:lineRule="auto"/>
        <w:rPr>
          <w:sz w:val="20"/>
          <w:szCs w:val="20"/>
          <w:color w:val="auto"/>
        </w:rPr>
      </w:pPr>
      <w:r>
        <w:rPr>
          <w:rFonts w:ascii="Arial" w:cs="Arial" w:eastAsia="Arial" w:hAnsi="Arial"/>
          <w:sz w:val="18"/>
          <w:szCs w:val="18"/>
          <w:color w:val="auto"/>
        </w:rPr>
        <w:t>Given the subjectivity in determining the present value of payments under the Final COH Plan, the auditing of the receivable amounts due in connection with the Garrett Indemnity and Tax Matters Agreement required a high degree of auditor judgment.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35" w:lineRule="exact"/>
        <w:rPr>
          <w:sz w:val="20"/>
          <w:szCs w:val="20"/>
          <w:color w:val="auto"/>
        </w:rPr>
      </w:pPr>
    </w:p>
    <w:p>
      <w:pPr>
        <w:ind w:right="280"/>
        <w:spacing w:after="0" w:line="250" w:lineRule="auto"/>
        <w:rPr>
          <w:sz w:val="20"/>
          <w:szCs w:val="20"/>
          <w:color w:val="auto"/>
        </w:rPr>
      </w:pPr>
      <w:r>
        <w:rPr>
          <w:rFonts w:ascii="Arial" w:cs="Arial" w:eastAsia="Arial" w:hAnsi="Arial"/>
          <w:sz w:val="18"/>
          <w:szCs w:val="18"/>
          <w:color w:val="auto"/>
        </w:rPr>
        <w:t>Our audit procedures related to the receivable amounts due in connection with the Garrett Indemnity and Tax Matters Agreement included the following, among others:</w:t>
      </w:r>
    </w:p>
    <w:p>
      <w:pPr>
        <w:spacing w:after="0" w:line="1" w:lineRule="exact"/>
        <w:rPr>
          <w:sz w:val="20"/>
          <w:szCs w:val="20"/>
          <w:color w:val="auto"/>
        </w:rPr>
      </w:pPr>
    </w:p>
    <w:p>
      <w:pPr>
        <w:ind w:left="660" w:hanging="328"/>
        <w:spacing w:after="0" w:line="250"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tested the effectiveness of internal controls related to management’s evaluation of the recoverability of the receivable amounts due from Garrett.</w:t>
      </w: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made inquiries of internal legal counsel regarding the Garrett bankruptcy proceedings.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developed an understanding of the process used by management in determining the aggregate carrying balance of the receivable amounts due in connection with the Garrett Indemnity and Tax Matters Agreement, which included obtaining and reading the Final COH Plan, evaluating the Company’s methods, evaluating the appropriateness of the underlying data used, and the identification of significant assumptions used to develop the accounting estimate.</w:t>
      </w:r>
    </w:p>
    <w:p>
      <w:pPr>
        <w:spacing w:after="0" w:line="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With the assistance of our internal valuation specialists, we developed an independent expectation of the fair value of the Final COH Plan and compared our expectation to the Company’s recorded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February 12,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2014.</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113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116" w:name="page117"/>
    <w:bookmarkEnd w:id="116"/>
    <w:p>
      <w:pPr>
        <w:ind w:right="480"/>
        <w:spacing w:after="0" w:line="278" w:lineRule="auto"/>
        <w:rPr>
          <w:sz w:val="20"/>
          <w:szCs w:val="20"/>
          <w:color w:val="auto"/>
        </w:rPr>
      </w:pPr>
      <w:r>
        <w:rPr>
          <w:rFonts w:ascii="Arial" w:cs="Arial" w:eastAsia="Arial" w:hAnsi="Arial"/>
          <w:sz w:val="29"/>
          <w:szCs w:val="29"/>
          <w:b w:val="1"/>
          <w:bCs w:val="1"/>
          <w:color w:val="EE2724"/>
        </w:rPr>
        <w:t>CHANGES IN AND DISAGREEMENTS WITH ACCOUNTANTS ON ACCOUNTING AND FINANCIAL DISCLOSURE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94" w:lineRule="exact"/>
        <w:rPr>
          <w:sz w:val="20"/>
          <w:szCs w:val="20"/>
          <w:color w:val="auto"/>
        </w:rPr>
      </w:pPr>
    </w:p>
    <w:p>
      <w:pPr>
        <w:spacing w:after="0"/>
        <w:rPr>
          <w:sz w:val="20"/>
          <w:szCs w:val="20"/>
          <w:color w:val="auto"/>
        </w:rPr>
      </w:pPr>
      <w:r>
        <w:rPr>
          <w:rFonts w:ascii="Arial" w:cs="Arial" w:eastAsia="Arial" w:hAnsi="Arial"/>
          <w:sz w:val="29"/>
          <w:szCs w:val="29"/>
          <w:b w:val="1"/>
          <w:bCs w:val="1"/>
          <w:color w:val="EE2724"/>
        </w:rPr>
        <w:t>CONTROLS AND PROCEDURES</w:t>
      </w:r>
    </w:p>
    <w:p>
      <w:pPr>
        <w:spacing w:after="0" w:line="15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Honeywell management maintains disclosure controls and procedures designed to provide reasonable assurance that information required to be disclosed in reports filed under the Exchange Act is recorded, processed, summarized and reported within the specified time periods and accumulated and communicated to our management, including our principal executive officer and principal financial officer, as appropriate to allow timely decisions regarding required disclosure. There have been no changes that have materially affected, or are reasonably likely to materially affect, Honeywell’s internal control over financial reporting that have occurred during the quarter ended December 31, 2020.</w:t>
      </w:r>
    </w:p>
    <w:p>
      <w:pPr>
        <w:spacing w:after="0" w:line="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management, with the participation of our CEO and CFO, evaluated the effectiveness of our disclosure controls and procedures (as defined in Rules 13a-15(e) or 15d-15(e) promulgated under the Exchange Act) as of December 31, 2020. Based on these evaluations, our CEO and CFO concluded that our disclosure controls and procedures were effective as of December 31, 2020.</w:t>
      </w:r>
    </w:p>
    <w:p>
      <w:pPr>
        <w:spacing w:after="0" w:line="270" w:lineRule="exact"/>
        <w:rPr>
          <w:sz w:val="20"/>
          <w:szCs w:val="20"/>
          <w:color w:val="auto"/>
        </w:rPr>
      </w:pPr>
    </w:p>
    <w:p>
      <w:pPr>
        <w:ind w:right="1520"/>
        <w:spacing w:after="0" w:line="278" w:lineRule="auto"/>
        <w:rPr>
          <w:sz w:val="20"/>
          <w:szCs w:val="20"/>
          <w:color w:val="auto"/>
        </w:rPr>
      </w:pPr>
      <w:r>
        <w:rPr>
          <w:rFonts w:ascii="Arial" w:cs="Arial" w:eastAsia="Arial" w:hAnsi="Arial"/>
          <w:sz w:val="29"/>
          <w:szCs w:val="29"/>
          <w:b w:val="1"/>
          <w:bCs w:val="1"/>
          <w:color w:val="DC202E"/>
        </w:rPr>
        <w:t>MANAGEMENT'S REPORT ON INTERNAL CONTROL OVER FINANCIAL REPORTING</w:t>
      </w:r>
    </w:p>
    <w:p>
      <w:pPr>
        <w:spacing w:after="0" w:line="5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Honeywell management is responsible for establishing and maintaining adequate internal control over financial reporting and for its assessment of the effectiveness of internal control over financial reporting as defined in Rules 13a-15(f) or 15d-15(f) under the Exchange Act. Honeywell’s internal control over financial reporting is a process designed to provide reasonable assurance to our management and board of directors regarding the reliability of financial reporting and the preparation of financial statements for external purposes in accordance with generally accepted accounting principles.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Management assessed the effectiveness of Honeywell’s internal control over financial reporting as of December 31, 2020. In making this assessment, management used the criteria set forth by the Committee of Sponsoring Organizations of the Treadway Commission (COSO)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w:t>
      </w:r>
    </w:p>
    <w:p>
      <w:pPr>
        <w:spacing w:after="0" w:line="9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not experienced any material impact to our internal control over financial reporting during the COVID-19 pandemic. Most of our employees worked remotely during the year in which we prepared these financial statements due to the impact of COVID-19. We enhanced our oversight and monitoring during the close and reporting process, including investments in expanded VPN capabilities and higher scrutiny and monitoring of cybersecurity threats. Other than enhancing our oversight and monitoring processes, we did not alter or compromise our disclosure controls and procedures. We are continually monitoring and assessing the need to modify or enhance our disclosure controls to ensure disclosure controls and procedures continue to be effective.</w:t>
      </w:r>
    </w:p>
    <w:p>
      <w:pPr>
        <w:spacing w:after="0" w:line="10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Based on this assessment, management determined that Honeywell maintained effective internal control over financial reporting as of December 31, 2020. In conducting management's evaluation as described above, Rocky Research acquired October 7, 2020, and Sine Group acquired December 14, 2020, were excluded. The operations of Rocky Research and Sine Group, excluded from management's assessment of internal control over financial reporting, collectively represent less than 0.1% of the Company's total revenues and approximately 0.5% of total assets as of December 31, 2020.</w:t>
      </w:r>
    </w:p>
    <w:p>
      <w:pPr>
        <w:spacing w:after="0" w:line="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effectiveness of Honeywell’s internal control over financial reporting as of December 31, 2020 has been audited by Deloitte &amp; Touche LLP, an independent registered public accounting firm, as stated in their report which is included in the section titled Financial Statements and Supplementary Data.</w:t>
      </w:r>
    </w:p>
    <w:p>
      <w:pPr>
        <w:spacing w:after="0" w:line="270" w:lineRule="exact"/>
        <w:rPr>
          <w:sz w:val="20"/>
          <w:szCs w:val="20"/>
          <w:color w:val="auto"/>
        </w:rPr>
      </w:pPr>
    </w:p>
    <w:p>
      <w:pPr>
        <w:spacing w:after="0"/>
        <w:rPr>
          <w:sz w:val="20"/>
          <w:szCs w:val="20"/>
          <w:color w:val="auto"/>
        </w:rPr>
      </w:pPr>
      <w:r>
        <w:rPr>
          <w:rFonts w:ascii="Arial" w:cs="Arial" w:eastAsia="Arial" w:hAnsi="Arial"/>
          <w:sz w:val="29"/>
          <w:szCs w:val="29"/>
          <w:b w:val="1"/>
          <w:bCs w:val="1"/>
          <w:color w:val="EE2724"/>
        </w:rPr>
        <w:t>OTHER INFORMATION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114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3" w:right="339" w:bottom="1440" w:gutter="0" w:footer="0" w:header="0"/>
        </w:sectPr>
      </w:pPr>
    </w:p>
    <w:bookmarkStart w:id="117" w:name="page118"/>
    <w:bookmarkEnd w:id="117"/>
    <w:p>
      <w:pPr>
        <w:spacing w:after="0"/>
        <w:rPr>
          <w:sz w:val="20"/>
          <w:szCs w:val="20"/>
          <w:color w:val="auto"/>
        </w:rPr>
      </w:pPr>
      <w:r>
        <w:rPr>
          <w:rFonts w:ascii="Arial" w:cs="Arial" w:eastAsia="Arial" w:hAnsi="Arial"/>
          <w:sz w:val="29"/>
          <w:szCs w:val="29"/>
          <w:b w:val="1"/>
          <w:bCs w:val="1"/>
          <w:color w:val="EE2724"/>
        </w:rPr>
        <w:t>DIRECTORS, EXECUTIVE OFFICERS AND CORPORATE GOVERNANCE</w:t>
      </w:r>
    </w:p>
    <w:p>
      <w:pPr>
        <w:spacing w:after="0" w:line="15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Information relating to the Directors of Honeywell, as well as information relating to compliance with Section 16(a) of the Securities Exchange Act of 1934, will be contained in the Proxy Statement, which will be filed with the SEC pursuant to Regulation 14A not later than 120 days after December 31, 2020, and such information is incorporated herein by reference. Certain information relating to the Executive Officers of Honeywell appears in this Form 10-K under the heading titled Information about our Executive Officers.</w:t>
      </w:r>
    </w:p>
    <w:p>
      <w:pPr>
        <w:spacing w:after="0" w:line="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members of the Audit Committee of our Board of Directors are: George Paz (Chair), Kevin Burke, D. Scott Davis, Linnet F. Deily, Judd A. Gregg and Robin L. Washington. The Board has determined that Mr. Paz, Mr. Davis and Ms. Washington are audit committee financial experts as defined by applicable SEC rules and that Mr. Paz, Mr. Burke, Mr. Davis, Ms. Deily and Ms. Washington satisfy the accounting or related financial management expertise criteria established by the NYSE. All members of the Audit Committee are independent as that term is defined in applicable SEC rules and NYSE listing standards.</w:t>
      </w:r>
    </w:p>
    <w:p>
      <w:pPr>
        <w:spacing w:after="0" w:line="9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Honeywell’s corporate governance policies and procedures, including the Code of Business Conduct, Corporate Governance Guidelines and Charters of the Committees of the Board of Directors are available, free of charge, on our website (honeywell.com) under the heading Investors (see Corporate Governance), or by writing to Honeywell, 300 South Tryon Street, Charlotte, North Carolina 28202, c/o Vice President and Corporate Secretary. Honeywell’s Code of Business Conduct applies to all Honeywell directors, officers (including the Chief Executive Officer, Chief Financial Officer and Controller) and employees. Amendments to or waivers of the Code of Business Conduct granted to any of Honeywell’s directors or executive officers will be published on our website within four business days of such amendment or waiver.</w:t>
      </w:r>
    </w:p>
    <w:p>
      <w:pPr>
        <w:spacing w:after="0" w:line="275" w:lineRule="exact"/>
        <w:rPr>
          <w:sz w:val="20"/>
          <w:szCs w:val="20"/>
          <w:color w:val="auto"/>
        </w:rPr>
      </w:pPr>
    </w:p>
    <w:p>
      <w:pPr>
        <w:spacing w:after="0"/>
        <w:rPr>
          <w:sz w:val="20"/>
          <w:szCs w:val="20"/>
          <w:color w:val="auto"/>
        </w:rPr>
      </w:pPr>
      <w:r>
        <w:rPr>
          <w:rFonts w:ascii="Arial" w:cs="Arial" w:eastAsia="Arial" w:hAnsi="Arial"/>
          <w:sz w:val="29"/>
          <w:szCs w:val="29"/>
          <w:b w:val="1"/>
          <w:bCs w:val="1"/>
          <w:color w:val="EE2724"/>
        </w:rPr>
        <w:t>EXECUTIVE COMPENSATION</w:t>
      </w:r>
    </w:p>
    <w:p>
      <w:pPr>
        <w:spacing w:after="0" w:line="15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Information relating to executive compensation will be contained in the Proxy Statement, and such information is incorporated herein by reference.</w:t>
      </w:r>
    </w:p>
    <w:p>
      <w:pPr>
        <w:spacing w:after="0" w:line="267" w:lineRule="exact"/>
        <w:rPr>
          <w:sz w:val="20"/>
          <w:szCs w:val="20"/>
          <w:color w:val="auto"/>
        </w:rPr>
      </w:pPr>
    </w:p>
    <w:p>
      <w:pPr>
        <w:ind w:right="40"/>
        <w:spacing w:after="0" w:line="278" w:lineRule="auto"/>
        <w:rPr>
          <w:sz w:val="20"/>
          <w:szCs w:val="20"/>
          <w:color w:val="auto"/>
        </w:rPr>
      </w:pPr>
      <w:r>
        <w:rPr>
          <w:rFonts w:ascii="Arial" w:cs="Arial" w:eastAsia="Arial" w:hAnsi="Arial"/>
          <w:sz w:val="29"/>
          <w:szCs w:val="29"/>
          <w:b w:val="1"/>
          <w:bCs w:val="1"/>
          <w:color w:val="EE2724"/>
        </w:rPr>
        <w:t>SECURITY OWNERSHIP OF CERTAIN BENEFICIAL OWNERS AND MANAGEMENT AND RELATED STOCKHOLDER MATTERS</w:t>
      </w:r>
    </w:p>
    <w:p>
      <w:pPr>
        <w:spacing w:after="0" w:line="5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Information relating to security ownership of certain beneficial owners and management and related stockholder matters will be contained in the Proxy Statement, and such information is incorporated herein by reference.</w:t>
      </w:r>
    </w:p>
    <w:p>
      <w:pPr>
        <w:spacing w:after="0" w:line="27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EQUITY COMPENSATION PLANS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information about our equity compensation plans is as follows:</w:t>
      </w:r>
    </w:p>
    <w:p>
      <w:pPr>
        <w:spacing w:after="0" w:line="9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rPr>
              <w:t>Number of Securities</w:t>
            </w:r>
          </w:p>
        </w:tc>
        <w:tc>
          <w:tcPr>
            <w:tcW w:w="0" w:type="dxa"/>
            <w:vAlign w:val="bottom"/>
          </w:tcPr>
          <w:p>
            <w:pPr>
              <w:spacing w:after="0"/>
              <w:rPr>
                <w:sz w:val="1"/>
                <w:szCs w:val="1"/>
                <w:color w:val="auto"/>
              </w:rPr>
            </w:pPr>
          </w:p>
        </w:tc>
      </w:tr>
      <w:tr>
        <w:trPr>
          <w:trHeight w:val="135"/>
        </w:trPr>
        <w:tc>
          <w:tcPr>
            <w:tcW w:w="2880" w:type="dxa"/>
            <w:vAlign w:val="bottom"/>
          </w:tcPr>
          <w:p>
            <w:pPr>
              <w:spacing w:after="0"/>
              <w:rPr>
                <w:sz w:val="11"/>
                <w:szCs w:val="11"/>
                <w:color w:val="auto"/>
              </w:rPr>
            </w:pPr>
          </w:p>
        </w:tc>
        <w:tc>
          <w:tcPr>
            <w:tcW w:w="3100" w:type="dxa"/>
            <w:vAlign w:val="bottom"/>
            <w:gridSpan w:val="2"/>
            <w:vMerge w:val="restart"/>
          </w:tcPr>
          <w:p>
            <w:pPr>
              <w:jc w:val="center"/>
              <w:ind w:right="940"/>
              <w:spacing w:after="0"/>
              <w:rPr>
                <w:sz w:val="20"/>
                <w:szCs w:val="20"/>
                <w:color w:val="auto"/>
              </w:rPr>
            </w:pPr>
            <w:r>
              <w:rPr>
                <w:rFonts w:ascii="Arial" w:cs="Arial" w:eastAsia="Arial" w:hAnsi="Arial"/>
                <w:sz w:val="14"/>
                <w:szCs w:val="14"/>
                <w:b w:val="1"/>
                <w:bCs w:val="1"/>
                <w:color w:val="auto"/>
              </w:rPr>
              <w:t>Number of Securities</w:t>
            </w:r>
          </w:p>
        </w:tc>
        <w:tc>
          <w:tcPr>
            <w:tcW w:w="3060" w:type="dxa"/>
            <w:vAlign w:val="bottom"/>
            <w:gridSpan w:val="2"/>
            <w:vMerge w:val="restart"/>
          </w:tcPr>
          <w:p>
            <w:pPr>
              <w:jc w:val="center"/>
              <w:ind w:right="980"/>
              <w:spacing w:after="0"/>
              <w:rPr>
                <w:sz w:val="20"/>
                <w:szCs w:val="20"/>
                <w:color w:val="auto"/>
              </w:rPr>
            </w:pPr>
            <w:r>
              <w:rPr>
                <w:rFonts w:ascii="Arial" w:cs="Arial" w:eastAsia="Arial" w:hAnsi="Arial"/>
                <w:sz w:val="14"/>
                <w:szCs w:val="14"/>
                <w:b w:val="1"/>
                <w:bCs w:val="1"/>
                <w:color w:val="auto"/>
              </w:rPr>
              <w:t>Weighted-Average</w:t>
            </w:r>
          </w:p>
        </w:tc>
        <w:tc>
          <w:tcPr>
            <w:tcW w:w="21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Remaining Available for</w:t>
            </w:r>
          </w:p>
        </w:tc>
        <w:tc>
          <w:tcPr>
            <w:tcW w:w="0" w:type="dxa"/>
            <w:vAlign w:val="bottom"/>
          </w:tcPr>
          <w:p>
            <w:pPr>
              <w:spacing w:after="0"/>
              <w:rPr>
                <w:sz w:val="1"/>
                <w:szCs w:val="1"/>
                <w:color w:val="auto"/>
              </w:rPr>
            </w:pPr>
          </w:p>
        </w:tc>
      </w:tr>
      <w:tr>
        <w:trPr>
          <w:trHeight w:val="135"/>
        </w:trPr>
        <w:tc>
          <w:tcPr>
            <w:tcW w:w="2880" w:type="dxa"/>
            <w:vAlign w:val="bottom"/>
          </w:tcPr>
          <w:p>
            <w:pPr>
              <w:spacing w:after="0"/>
              <w:rPr>
                <w:sz w:val="11"/>
                <w:szCs w:val="11"/>
                <w:color w:val="auto"/>
              </w:rPr>
            </w:pPr>
          </w:p>
        </w:tc>
        <w:tc>
          <w:tcPr>
            <w:tcW w:w="3100" w:type="dxa"/>
            <w:vAlign w:val="bottom"/>
            <w:gridSpan w:val="2"/>
            <w:vMerge w:val="continue"/>
          </w:tcPr>
          <w:p>
            <w:pPr>
              <w:spacing w:after="0"/>
              <w:rPr>
                <w:sz w:val="11"/>
                <w:szCs w:val="11"/>
                <w:color w:val="auto"/>
              </w:rPr>
            </w:pPr>
          </w:p>
        </w:tc>
        <w:tc>
          <w:tcPr>
            <w:tcW w:w="3060" w:type="dxa"/>
            <w:vAlign w:val="bottom"/>
            <w:gridSpan w:val="2"/>
            <w:vMerge w:val="continue"/>
          </w:tcPr>
          <w:p>
            <w:pPr>
              <w:spacing w:after="0"/>
              <w:rPr>
                <w:sz w:val="11"/>
                <w:szCs w:val="11"/>
                <w:color w:val="auto"/>
              </w:rPr>
            </w:pPr>
          </w:p>
        </w:tc>
        <w:tc>
          <w:tcPr>
            <w:tcW w:w="21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Future Issuance Under</w:t>
            </w:r>
          </w:p>
        </w:tc>
        <w:tc>
          <w:tcPr>
            <w:tcW w:w="0" w:type="dxa"/>
            <w:vAlign w:val="bottom"/>
          </w:tcPr>
          <w:p>
            <w:pPr>
              <w:spacing w:after="0"/>
              <w:rPr>
                <w:sz w:val="1"/>
                <w:szCs w:val="1"/>
                <w:color w:val="auto"/>
              </w:rPr>
            </w:pPr>
          </w:p>
        </w:tc>
      </w:tr>
      <w:tr>
        <w:trPr>
          <w:trHeight w:val="135"/>
        </w:trPr>
        <w:tc>
          <w:tcPr>
            <w:tcW w:w="2880" w:type="dxa"/>
            <w:vAlign w:val="bottom"/>
          </w:tcPr>
          <w:p>
            <w:pPr>
              <w:spacing w:after="0"/>
              <w:rPr>
                <w:sz w:val="11"/>
                <w:szCs w:val="11"/>
                <w:color w:val="auto"/>
              </w:rPr>
            </w:pPr>
          </w:p>
        </w:tc>
        <w:tc>
          <w:tcPr>
            <w:tcW w:w="3100" w:type="dxa"/>
            <w:vAlign w:val="bottom"/>
            <w:gridSpan w:val="2"/>
          </w:tcPr>
          <w:p>
            <w:pPr>
              <w:jc w:val="center"/>
              <w:ind w:right="940"/>
              <w:spacing w:after="0" w:line="135" w:lineRule="exact"/>
              <w:rPr>
                <w:sz w:val="20"/>
                <w:szCs w:val="20"/>
                <w:color w:val="auto"/>
              </w:rPr>
            </w:pPr>
            <w:r>
              <w:rPr>
                <w:rFonts w:ascii="Arial" w:cs="Arial" w:eastAsia="Arial" w:hAnsi="Arial"/>
                <w:sz w:val="14"/>
                <w:szCs w:val="14"/>
                <w:b w:val="1"/>
                <w:bCs w:val="1"/>
                <w:color w:val="auto"/>
              </w:rPr>
              <w:t>to be Issued Upon</w:t>
            </w:r>
          </w:p>
        </w:tc>
        <w:tc>
          <w:tcPr>
            <w:tcW w:w="3060" w:type="dxa"/>
            <w:vAlign w:val="bottom"/>
            <w:gridSpan w:val="2"/>
          </w:tcPr>
          <w:p>
            <w:pPr>
              <w:jc w:val="center"/>
              <w:ind w:right="980"/>
              <w:spacing w:after="0" w:line="135" w:lineRule="exact"/>
              <w:rPr>
                <w:sz w:val="20"/>
                <w:szCs w:val="20"/>
                <w:color w:val="auto"/>
              </w:rPr>
            </w:pPr>
            <w:r>
              <w:rPr>
                <w:rFonts w:ascii="Arial" w:cs="Arial" w:eastAsia="Arial" w:hAnsi="Arial"/>
                <w:sz w:val="14"/>
                <w:szCs w:val="14"/>
                <w:b w:val="1"/>
                <w:bCs w:val="1"/>
                <w:color w:val="auto"/>
              </w:rPr>
              <w:t>Exercise Price of</w:t>
            </w:r>
          </w:p>
        </w:tc>
        <w:tc>
          <w:tcPr>
            <w:tcW w:w="21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Equity Compensation</w:t>
            </w:r>
          </w:p>
        </w:tc>
        <w:tc>
          <w:tcPr>
            <w:tcW w:w="0" w:type="dxa"/>
            <w:vAlign w:val="bottom"/>
          </w:tcPr>
          <w:p>
            <w:pPr>
              <w:spacing w:after="0"/>
              <w:rPr>
                <w:sz w:val="1"/>
                <w:szCs w:val="1"/>
                <w:color w:val="auto"/>
              </w:rPr>
            </w:pPr>
          </w:p>
        </w:tc>
      </w:tr>
      <w:tr>
        <w:trPr>
          <w:trHeight w:val="135"/>
        </w:trPr>
        <w:tc>
          <w:tcPr>
            <w:tcW w:w="2880" w:type="dxa"/>
            <w:vAlign w:val="bottom"/>
          </w:tcPr>
          <w:p>
            <w:pPr>
              <w:spacing w:after="0"/>
              <w:rPr>
                <w:sz w:val="11"/>
                <w:szCs w:val="11"/>
                <w:color w:val="auto"/>
              </w:rPr>
            </w:pPr>
          </w:p>
        </w:tc>
        <w:tc>
          <w:tcPr>
            <w:tcW w:w="3100" w:type="dxa"/>
            <w:vAlign w:val="bottom"/>
            <w:gridSpan w:val="2"/>
          </w:tcPr>
          <w:p>
            <w:pPr>
              <w:jc w:val="center"/>
              <w:ind w:right="940"/>
              <w:spacing w:after="0" w:line="135" w:lineRule="exact"/>
              <w:rPr>
                <w:sz w:val="20"/>
                <w:szCs w:val="20"/>
                <w:color w:val="auto"/>
              </w:rPr>
            </w:pPr>
            <w:r>
              <w:rPr>
                <w:rFonts w:ascii="Arial" w:cs="Arial" w:eastAsia="Arial" w:hAnsi="Arial"/>
                <w:sz w:val="14"/>
                <w:szCs w:val="14"/>
                <w:b w:val="1"/>
                <w:bCs w:val="1"/>
                <w:color w:val="auto"/>
              </w:rPr>
              <w:t>Exercise of</w:t>
            </w:r>
          </w:p>
        </w:tc>
        <w:tc>
          <w:tcPr>
            <w:tcW w:w="3060" w:type="dxa"/>
            <w:vAlign w:val="bottom"/>
            <w:gridSpan w:val="2"/>
          </w:tcPr>
          <w:p>
            <w:pPr>
              <w:jc w:val="center"/>
              <w:ind w:right="980"/>
              <w:spacing w:after="0" w:line="135" w:lineRule="exact"/>
              <w:rPr>
                <w:sz w:val="20"/>
                <w:szCs w:val="20"/>
                <w:color w:val="auto"/>
              </w:rPr>
            </w:pPr>
            <w:r>
              <w:rPr>
                <w:rFonts w:ascii="Arial" w:cs="Arial" w:eastAsia="Arial" w:hAnsi="Arial"/>
                <w:sz w:val="14"/>
                <w:szCs w:val="14"/>
                <w:b w:val="1"/>
                <w:bCs w:val="1"/>
                <w:color w:val="auto"/>
              </w:rPr>
              <w:t>Outstanding</w:t>
            </w:r>
          </w:p>
        </w:tc>
        <w:tc>
          <w:tcPr>
            <w:tcW w:w="21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Plans (Excluding</w:t>
            </w:r>
          </w:p>
        </w:tc>
        <w:tc>
          <w:tcPr>
            <w:tcW w:w="0" w:type="dxa"/>
            <w:vAlign w:val="bottom"/>
          </w:tcPr>
          <w:p>
            <w:pPr>
              <w:spacing w:after="0"/>
              <w:rPr>
                <w:sz w:val="1"/>
                <w:szCs w:val="1"/>
                <w:color w:val="auto"/>
              </w:rPr>
            </w:pPr>
          </w:p>
        </w:tc>
      </w:tr>
      <w:tr>
        <w:trPr>
          <w:trHeight w:val="135"/>
        </w:trPr>
        <w:tc>
          <w:tcPr>
            <w:tcW w:w="2880" w:type="dxa"/>
            <w:vAlign w:val="bottom"/>
          </w:tcPr>
          <w:p>
            <w:pPr>
              <w:spacing w:after="0"/>
              <w:rPr>
                <w:sz w:val="11"/>
                <w:szCs w:val="11"/>
                <w:color w:val="auto"/>
              </w:rPr>
            </w:pPr>
          </w:p>
        </w:tc>
        <w:tc>
          <w:tcPr>
            <w:tcW w:w="3100" w:type="dxa"/>
            <w:vAlign w:val="bottom"/>
            <w:gridSpan w:val="2"/>
          </w:tcPr>
          <w:p>
            <w:pPr>
              <w:jc w:val="center"/>
              <w:ind w:right="940"/>
              <w:spacing w:after="0" w:line="135" w:lineRule="exact"/>
              <w:rPr>
                <w:sz w:val="20"/>
                <w:szCs w:val="20"/>
                <w:color w:val="auto"/>
              </w:rPr>
            </w:pPr>
            <w:r>
              <w:rPr>
                <w:rFonts w:ascii="Arial" w:cs="Arial" w:eastAsia="Arial" w:hAnsi="Arial"/>
                <w:sz w:val="14"/>
                <w:szCs w:val="14"/>
                <w:b w:val="1"/>
                <w:bCs w:val="1"/>
                <w:color w:val="auto"/>
              </w:rPr>
              <w:t>Outstanding Options, Warrants</w:t>
            </w:r>
          </w:p>
        </w:tc>
        <w:tc>
          <w:tcPr>
            <w:tcW w:w="3060" w:type="dxa"/>
            <w:vAlign w:val="bottom"/>
            <w:gridSpan w:val="2"/>
          </w:tcPr>
          <w:p>
            <w:pPr>
              <w:jc w:val="center"/>
              <w:ind w:right="980"/>
              <w:spacing w:after="0" w:line="135" w:lineRule="exact"/>
              <w:rPr>
                <w:sz w:val="20"/>
                <w:szCs w:val="20"/>
                <w:color w:val="auto"/>
              </w:rPr>
            </w:pPr>
            <w:r>
              <w:rPr>
                <w:rFonts w:ascii="Arial" w:cs="Arial" w:eastAsia="Arial" w:hAnsi="Arial"/>
                <w:sz w:val="14"/>
                <w:szCs w:val="14"/>
                <w:b w:val="1"/>
                <w:bCs w:val="1"/>
                <w:color w:val="auto"/>
              </w:rPr>
              <w:t>Options, Warrants</w:t>
            </w:r>
          </w:p>
        </w:tc>
        <w:tc>
          <w:tcPr>
            <w:tcW w:w="21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Securities Reflected in</w:t>
            </w:r>
          </w:p>
        </w:tc>
        <w:tc>
          <w:tcPr>
            <w:tcW w:w="0" w:type="dxa"/>
            <w:vAlign w:val="bottom"/>
          </w:tcPr>
          <w:p>
            <w:pPr>
              <w:spacing w:after="0"/>
              <w:rPr>
                <w:sz w:val="1"/>
                <w:szCs w:val="1"/>
                <w:color w:val="auto"/>
              </w:rPr>
            </w:pPr>
          </w:p>
        </w:tc>
      </w:tr>
      <w:tr>
        <w:trPr>
          <w:trHeight w:val="183"/>
        </w:trPr>
        <w:tc>
          <w:tcPr>
            <w:tcW w:w="2880" w:type="dxa"/>
            <w:vAlign w:val="bottom"/>
          </w:tcPr>
          <w:p>
            <w:pPr>
              <w:spacing w:after="0"/>
              <w:rPr>
                <w:sz w:val="15"/>
                <w:szCs w:val="15"/>
                <w:color w:val="auto"/>
              </w:rPr>
            </w:pPr>
          </w:p>
        </w:tc>
        <w:tc>
          <w:tcPr>
            <w:tcW w:w="2180" w:type="dxa"/>
            <w:vAlign w:val="bottom"/>
            <w:tcBorders>
              <w:bottom w:val="single" w:sz="8" w:color="DC202E"/>
            </w:tcBorders>
          </w:tcPr>
          <w:p>
            <w:pPr>
              <w:jc w:val="center"/>
              <w:spacing w:after="0"/>
              <w:rPr>
                <w:sz w:val="20"/>
                <w:szCs w:val="20"/>
                <w:color w:val="auto"/>
              </w:rPr>
            </w:pPr>
            <w:r>
              <w:rPr>
                <w:rFonts w:ascii="Arial" w:cs="Arial" w:eastAsia="Arial" w:hAnsi="Arial"/>
                <w:sz w:val="14"/>
                <w:szCs w:val="14"/>
                <w:b w:val="1"/>
                <w:bCs w:val="1"/>
                <w:color w:val="auto"/>
              </w:rPr>
              <w:t>and Rights</w:t>
            </w:r>
          </w:p>
        </w:tc>
        <w:tc>
          <w:tcPr>
            <w:tcW w:w="920" w:type="dxa"/>
            <w:vAlign w:val="bottom"/>
          </w:tcPr>
          <w:p>
            <w:pPr>
              <w:spacing w:after="0"/>
              <w:rPr>
                <w:sz w:val="15"/>
                <w:szCs w:val="15"/>
                <w:color w:val="auto"/>
              </w:rPr>
            </w:pPr>
          </w:p>
        </w:tc>
        <w:tc>
          <w:tcPr>
            <w:tcW w:w="2080" w:type="dxa"/>
            <w:vAlign w:val="bottom"/>
            <w:tcBorders>
              <w:bottom w:val="single" w:sz="8" w:color="DC202E"/>
            </w:tcBorders>
          </w:tcPr>
          <w:p>
            <w:pPr>
              <w:jc w:val="center"/>
              <w:spacing w:after="0"/>
              <w:rPr>
                <w:sz w:val="20"/>
                <w:szCs w:val="20"/>
                <w:color w:val="auto"/>
              </w:rPr>
            </w:pPr>
            <w:r>
              <w:rPr>
                <w:rFonts w:ascii="Arial" w:cs="Arial" w:eastAsia="Arial" w:hAnsi="Arial"/>
                <w:sz w:val="14"/>
                <w:szCs w:val="14"/>
                <w:b w:val="1"/>
                <w:bCs w:val="1"/>
                <w:color w:val="auto"/>
              </w:rPr>
              <w:t>and Rights</w:t>
            </w:r>
          </w:p>
        </w:tc>
        <w:tc>
          <w:tcPr>
            <w:tcW w:w="980" w:type="dxa"/>
            <w:vAlign w:val="bottom"/>
          </w:tcPr>
          <w:p>
            <w:pPr>
              <w:spacing w:after="0"/>
              <w:rPr>
                <w:sz w:val="15"/>
                <w:szCs w:val="15"/>
                <w:color w:val="auto"/>
              </w:rPr>
            </w:pPr>
          </w:p>
        </w:tc>
        <w:tc>
          <w:tcPr>
            <w:tcW w:w="2160" w:type="dxa"/>
            <w:vAlign w:val="bottom"/>
            <w:tcBorders>
              <w:bottom w:val="single" w:sz="8" w:color="DC202E"/>
            </w:tcBorders>
          </w:tcPr>
          <w:p>
            <w:pPr>
              <w:jc w:val="center"/>
              <w:spacing w:after="0"/>
              <w:rPr>
                <w:sz w:val="20"/>
                <w:szCs w:val="20"/>
                <w:color w:val="auto"/>
              </w:rPr>
            </w:pPr>
            <w:r>
              <w:rPr>
                <w:rFonts w:ascii="Arial" w:cs="Arial" w:eastAsia="Arial" w:hAnsi="Arial"/>
                <w:sz w:val="14"/>
                <w:szCs w:val="14"/>
                <w:b w:val="1"/>
                <w:bCs w:val="1"/>
                <w:color w:val="auto"/>
              </w:rPr>
              <w:t>Column (a))</w:t>
            </w:r>
          </w:p>
        </w:tc>
        <w:tc>
          <w:tcPr>
            <w:tcW w:w="0" w:type="dxa"/>
            <w:vAlign w:val="bottom"/>
          </w:tcPr>
          <w:p>
            <w:pPr>
              <w:spacing w:after="0"/>
              <w:rPr>
                <w:sz w:val="1"/>
                <w:szCs w:val="1"/>
                <w:color w:val="auto"/>
              </w:rPr>
            </w:pPr>
          </w:p>
        </w:tc>
      </w:tr>
      <w:tr>
        <w:trPr>
          <w:trHeight w:val="204"/>
        </w:trPr>
        <w:tc>
          <w:tcPr>
            <w:tcW w:w="2880" w:type="dxa"/>
            <w:vAlign w:val="bottom"/>
          </w:tcPr>
          <w:p>
            <w:pPr>
              <w:spacing w:after="0"/>
              <w:rPr>
                <w:sz w:val="20"/>
                <w:szCs w:val="20"/>
                <w:color w:val="auto"/>
              </w:rPr>
            </w:pPr>
            <w:r>
              <w:rPr>
                <w:rFonts w:ascii="Arial" w:cs="Arial" w:eastAsia="Arial" w:hAnsi="Arial"/>
                <w:sz w:val="14"/>
                <w:szCs w:val="14"/>
                <w:b w:val="1"/>
                <w:bCs w:val="1"/>
                <w:color w:val="auto"/>
              </w:rPr>
              <w:t>Plan category</w:t>
            </w:r>
          </w:p>
        </w:tc>
        <w:tc>
          <w:tcPr>
            <w:tcW w:w="310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rPr>
              <w:t>(a)</w:t>
            </w:r>
          </w:p>
        </w:tc>
        <w:tc>
          <w:tcPr>
            <w:tcW w:w="3060" w:type="dxa"/>
            <w:vAlign w:val="bottom"/>
            <w:gridSpan w:val="2"/>
          </w:tcPr>
          <w:p>
            <w:pPr>
              <w:jc w:val="center"/>
              <w:ind w:right="980"/>
              <w:spacing w:after="0"/>
              <w:rPr>
                <w:sz w:val="20"/>
                <w:szCs w:val="20"/>
                <w:color w:val="auto"/>
              </w:rPr>
            </w:pPr>
            <w:r>
              <w:rPr>
                <w:rFonts w:ascii="Arial" w:cs="Arial" w:eastAsia="Arial" w:hAnsi="Arial"/>
                <w:sz w:val="14"/>
                <w:szCs w:val="14"/>
                <w:b w:val="1"/>
                <w:bCs w:val="1"/>
                <w:color w:val="auto"/>
              </w:rPr>
              <w:t>(b)</w:t>
            </w: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rPr>
              <w:t>(c)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15175" cy="25717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7115175" cy="257175"/>
                    </a:xfrm>
                    <a:prstGeom prst="rect">
                      <a:avLst/>
                    </a:prstGeom>
                    <a:noFill/>
                  </pic:spPr>
                </pic:pic>
              </a:graphicData>
            </a:graphic>
          </wp:anchor>
        </w:drawing>
      </w:r>
    </w:p>
    <w:p>
      <w:pPr>
        <w:sectPr>
          <w:pgSz w:w="11900" w:h="16838" w:orient="portrait"/>
          <w:cols w:equalWidth="0" w:num="1">
            <w:col w:w="11240"/>
          </w:cols>
          <w:pgMar w:left="320" w:top="1193" w:right="339" w:bottom="1440" w:gutter="0" w:footer="0" w:header="0"/>
        </w:sectPr>
      </w:pPr>
    </w:p>
    <w:p>
      <w:pPr>
        <w:spacing w:after="0" w:line="11" w:lineRule="exact"/>
        <w:rPr>
          <w:sz w:val="20"/>
          <w:szCs w:val="20"/>
          <w:color w:val="auto"/>
        </w:rPr>
      </w:pPr>
    </w:p>
    <w:p>
      <w:pPr>
        <w:ind w:left="20" w:right="160"/>
        <w:spacing w:after="0" w:line="241" w:lineRule="auto"/>
        <w:rPr>
          <w:sz w:val="20"/>
          <w:szCs w:val="20"/>
          <w:color w:val="auto"/>
        </w:rPr>
      </w:pPr>
      <w:r>
        <w:rPr>
          <w:rFonts w:ascii="Arial" w:cs="Arial" w:eastAsia="Arial" w:hAnsi="Arial"/>
          <w:sz w:val="17"/>
          <w:szCs w:val="17"/>
          <w:color w:val="auto"/>
        </w:rPr>
        <w:t>Equity compensation plans approved by security holders</w:t>
      </w:r>
    </w:p>
    <w:p>
      <w:pPr>
        <w:spacing w:after="0" w:line="12" w:lineRule="exact"/>
        <w:rPr>
          <w:sz w:val="20"/>
          <w:szCs w:val="20"/>
          <w:color w:val="auto"/>
        </w:rPr>
      </w:pPr>
    </w:p>
    <w:p>
      <w:pPr>
        <w:ind w:left="20"/>
        <w:spacing w:after="0" w:line="227" w:lineRule="auto"/>
        <w:rPr>
          <w:sz w:val="20"/>
          <w:szCs w:val="20"/>
          <w:color w:val="auto"/>
        </w:rPr>
      </w:pPr>
      <w:r>
        <w:rPr>
          <w:rFonts w:ascii="Arial" w:cs="Arial" w:eastAsia="Arial" w:hAnsi="Arial"/>
          <w:sz w:val="18"/>
          <w:szCs w:val="18"/>
          <w:color w:val="auto"/>
        </w:rPr>
        <w:t>Equity compensation plans not approved by security holders</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9"/>
        </w:trPr>
        <w:tc>
          <w:tcPr>
            <w:tcW w:w="1760" w:type="dxa"/>
            <w:vAlign w:val="bottom"/>
          </w:tcPr>
          <w:p>
            <w:pPr>
              <w:jc w:val="right"/>
              <w:spacing w:after="0"/>
              <w:rPr>
                <w:sz w:val="20"/>
                <w:szCs w:val="20"/>
                <w:color w:val="auto"/>
              </w:rPr>
            </w:pPr>
            <w:r>
              <w:rPr>
                <w:rFonts w:ascii="Arial" w:cs="Arial" w:eastAsia="Arial" w:hAnsi="Arial"/>
                <w:sz w:val="18"/>
                <w:szCs w:val="18"/>
                <w:color w:val="auto"/>
              </w:rPr>
              <w:t>20,223,330</w:t>
            </w:r>
          </w:p>
        </w:tc>
        <w:tc>
          <w:tcPr>
            <w:tcW w:w="420" w:type="dxa"/>
            <w:vAlign w:val="bottom"/>
          </w:tcPr>
          <w:p>
            <w:pPr>
              <w:jc w:val="right"/>
              <w:ind w:right="128"/>
              <w:spacing w:after="0"/>
              <w:rPr>
                <w:sz w:val="20"/>
                <w:szCs w:val="20"/>
                <w:color w:val="auto"/>
              </w:rPr>
            </w:pPr>
            <w:r>
              <w:rPr>
                <w:rFonts w:ascii="Arial" w:cs="Arial" w:eastAsia="Arial" w:hAnsi="Arial"/>
                <w:sz w:val="14"/>
                <w:szCs w:val="14"/>
                <w:color w:val="auto"/>
              </w:rPr>
              <w:t>(1)</w:t>
            </w:r>
          </w:p>
        </w:tc>
        <w:tc>
          <w:tcPr>
            <w:tcW w:w="920" w:type="dxa"/>
            <w:vAlign w:val="bottom"/>
          </w:tcPr>
          <w:p>
            <w:pPr>
              <w:spacing w:after="0"/>
              <w:rPr>
                <w:sz w:val="24"/>
                <w:szCs w:val="24"/>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125.60</w:t>
            </w:r>
          </w:p>
        </w:tc>
        <w:tc>
          <w:tcPr>
            <w:tcW w:w="440" w:type="dxa"/>
            <w:vAlign w:val="bottom"/>
          </w:tcPr>
          <w:p>
            <w:pPr>
              <w:jc w:val="right"/>
              <w:ind w:right="148"/>
              <w:spacing w:after="0"/>
              <w:rPr>
                <w:sz w:val="20"/>
                <w:szCs w:val="20"/>
                <w:color w:val="auto"/>
              </w:rPr>
            </w:pPr>
            <w:r>
              <w:rPr>
                <w:rFonts w:ascii="Arial" w:cs="Arial" w:eastAsia="Arial" w:hAnsi="Arial"/>
                <w:sz w:val="14"/>
                <w:szCs w:val="14"/>
                <w:color w:val="auto"/>
              </w:rPr>
              <w:t>(2)</w:t>
            </w:r>
          </w:p>
        </w:tc>
        <w:tc>
          <w:tcPr>
            <w:tcW w:w="98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36,673,110</w:t>
            </w:r>
          </w:p>
        </w:tc>
        <w:tc>
          <w:tcPr>
            <w:tcW w:w="380" w:type="dxa"/>
            <w:vAlign w:val="bottom"/>
          </w:tcPr>
          <w:p>
            <w:pPr>
              <w:jc w:val="right"/>
              <w:ind w:right="88"/>
              <w:spacing w:after="0"/>
              <w:rPr>
                <w:sz w:val="20"/>
                <w:szCs w:val="20"/>
                <w:color w:val="auto"/>
              </w:rPr>
            </w:pPr>
            <w:r>
              <w:rPr>
                <w:rFonts w:ascii="Arial" w:cs="Arial" w:eastAsia="Arial" w:hAnsi="Arial"/>
                <w:sz w:val="14"/>
                <w:szCs w:val="14"/>
                <w:color w:val="auto"/>
              </w:rPr>
              <w:t>(3)</w:t>
            </w:r>
          </w:p>
        </w:tc>
      </w:tr>
      <w:tr>
        <w:trPr>
          <w:trHeight w:val="405"/>
        </w:trPr>
        <w:tc>
          <w:tcPr>
            <w:tcW w:w="1760" w:type="dxa"/>
            <w:vAlign w:val="bottom"/>
          </w:tcPr>
          <w:p>
            <w:pPr>
              <w:jc w:val="right"/>
              <w:spacing w:after="0"/>
              <w:rPr>
                <w:sz w:val="20"/>
                <w:szCs w:val="20"/>
                <w:color w:val="auto"/>
              </w:rPr>
            </w:pPr>
            <w:r>
              <w:rPr>
                <w:rFonts w:ascii="Arial" w:cs="Arial" w:eastAsia="Arial" w:hAnsi="Arial"/>
                <w:sz w:val="18"/>
                <w:szCs w:val="18"/>
                <w:color w:val="auto"/>
              </w:rPr>
              <w:t>261,718</w:t>
            </w:r>
          </w:p>
        </w:tc>
        <w:tc>
          <w:tcPr>
            <w:tcW w:w="420" w:type="dxa"/>
            <w:vAlign w:val="bottom"/>
          </w:tcPr>
          <w:p>
            <w:pPr>
              <w:jc w:val="right"/>
              <w:ind w:right="128"/>
              <w:spacing w:after="0"/>
              <w:rPr>
                <w:sz w:val="20"/>
                <w:szCs w:val="20"/>
                <w:color w:val="auto"/>
              </w:rPr>
            </w:pPr>
            <w:r>
              <w:rPr>
                <w:rFonts w:ascii="Arial" w:cs="Arial" w:eastAsia="Arial" w:hAnsi="Arial"/>
                <w:sz w:val="14"/>
                <w:szCs w:val="14"/>
                <w:color w:val="auto"/>
              </w:rPr>
              <w:t>(4)</w:t>
            </w: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80" w:type="dxa"/>
            <w:vAlign w:val="bottom"/>
            <w:gridSpan w:val="3"/>
          </w:tcPr>
          <w:p>
            <w:pPr>
              <w:jc w:val="right"/>
              <w:ind w:right="1200"/>
              <w:spacing w:after="0"/>
              <w:rPr>
                <w:sz w:val="20"/>
                <w:szCs w:val="20"/>
                <w:color w:val="auto"/>
              </w:rPr>
            </w:pPr>
            <w:r>
              <w:rPr>
                <w:rFonts w:ascii="Arial" w:cs="Arial" w:eastAsia="Arial" w:hAnsi="Arial"/>
                <w:sz w:val="18"/>
                <w:szCs w:val="18"/>
                <w:color w:val="auto"/>
              </w:rPr>
              <w:t xml:space="preserve">N/A </w:t>
            </w:r>
            <w:r>
              <w:rPr>
                <w:rFonts w:ascii="Arial" w:cs="Arial" w:eastAsia="Arial" w:hAnsi="Arial"/>
                <w:sz w:val="28"/>
                <w:szCs w:val="28"/>
                <w:color w:val="auto"/>
                <w:vertAlign w:val="superscript"/>
              </w:rPr>
              <w:t>(5)</w:t>
            </w:r>
          </w:p>
        </w:tc>
        <w:tc>
          <w:tcPr>
            <w:tcW w:w="2160" w:type="dxa"/>
            <w:vAlign w:val="bottom"/>
            <w:gridSpan w:val="2"/>
          </w:tcPr>
          <w:p>
            <w:pPr>
              <w:jc w:val="right"/>
              <w:ind w:right="88"/>
              <w:spacing w:after="0"/>
              <w:rPr>
                <w:sz w:val="20"/>
                <w:szCs w:val="20"/>
                <w:color w:val="auto"/>
              </w:rPr>
            </w:pPr>
            <w:r>
              <w:rPr>
                <w:rFonts w:ascii="Arial" w:cs="Arial" w:eastAsia="Arial" w:hAnsi="Arial"/>
                <w:sz w:val="18"/>
                <w:szCs w:val="18"/>
                <w:color w:val="auto"/>
              </w:rPr>
              <w:t xml:space="preserve">N/A </w:t>
            </w:r>
            <w:r>
              <w:rPr>
                <w:rFonts w:ascii="Arial" w:cs="Arial" w:eastAsia="Arial" w:hAnsi="Arial"/>
                <w:sz w:val="28"/>
                <w:szCs w:val="28"/>
                <w:color w:val="auto"/>
                <w:vertAlign w:val="superscript"/>
              </w:rPr>
              <w:t>(6)</w:t>
            </w:r>
          </w:p>
        </w:tc>
      </w:tr>
      <w:tr>
        <w:trPr>
          <w:trHeight w:val="223"/>
        </w:trPr>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20,485,048</w:t>
            </w:r>
          </w:p>
        </w:tc>
        <w:tc>
          <w:tcPr>
            <w:tcW w:w="420" w:type="dxa"/>
            <w:vAlign w:val="bottom"/>
            <w:tcBorders>
              <w:top w:val="single" w:sz="8" w:color="auto"/>
              <w:bottom w:val="single" w:sz="8" w:color="auto"/>
            </w:tcBorders>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125.60</w:t>
            </w:r>
          </w:p>
        </w:tc>
        <w:tc>
          <w:tcPr>
            <w:tcW w:w="440" w:type="dxa"/>
            <w:vAlign w:val="bottom"/>
            <w:tcBorders>
              <w:top w:val="single" w:sz="8" w:color="auto"/>
              <w:bottom w:val="single" w:sz="8" w:color="auto"/>
            </w:tcBorders>
          </w:tcPr>
          <w:p>
            <w:pPr>
              <w:spacing w:after="0"/>
              <w:rPr>
                <w:sz w:val="19"/>
                <w:szCs w:val="19"/>
                <w:color w:val="auto"/>
              </w:rPr>
            </w:pPr>
          </w:p>
        </w:tc>
        <w:tc>
          <w:tcPr>
            <w:tcW w:w="980" w:type="dxa"/>
            <w:vAlign w:val="bottom"/>
          </w:tcPr>
          <w:p>
            <w:pPr>
              <w:spacing w:after="0"/>
              <w:rPr>
                <w:sz w:val="19"/>
                <w:szCs w:val="19"/>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36,673,110</w:t>
            </w:r>
          </w:p>
        </w:tc>
        <w:tc>
          <w:tcPr>
            <w:tcW w:w="380" w:type="dxa"/>
            <w:vAlign w:val="bottom"/>
            <w:tcBorders>
              <w:top w:val="single" w:sz="8" w:color="auto"/>
              <w:bottom w:val="single" w:sz="8" w:color="auto"/>
            </w:tcBorders>
          </w:tcPr>
          <w:p>
            <w:pPr>
              <w:spacing w:after="0"/>
              <w:rPr>
                <w:sz w:val="19"/>
                <w:szCs w:val="19"/>
                <w:color w:val="auto"/>
              </w:rPr>
            </w:pPr>
          </w:p>
        </w:tc>
      </w:tr>
      <w:tr>
        <w:trPr>
          <w:trHeight w:val="20"/>
        </w:trPr>
        <w:tc>
          <w:tcPr>
            <w:tcW w:w="1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-1835785</wp:posOffset>
            </wp:positionH>
            <wp:positionV relativeFrom="paragraph">
              <wp:posOffset>-187960</wp:posOffset>
            </wp:positionV>
            <wp:extent cx="7115175" cy="1714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107" w:lineRule="exact"/>
        <w:rPr>
          <w:sz w:val="20"/>
          <w:szCs w:val="20"/>
          <w:color w:val="auto"/>
        </w:rPr>
      </w:pPr>
    </w:p>
    <w:p>
      <w:pPr>
        <w:sectPr>
          <w:pgSz w:w="11900" w:h="16838" w:orient="portrait"/>
          <w:cols w:equalWidth="0" w:num="2">
            <w:col w:w="2480" w:space="420"/>
            <w:col w:w="8340"/>
          </w:cols>
          <w:pgMar w:left="320" w:top="1193" w:right="339" w:bottom="1440" w:gutter="0" w:footer="0" w:header="0"/>
          <w:type w:val="continuous"/>
        </w:sectPr>
      </w:pPr>
    </w:p>
    <w:p>
      <w:pPr>
        <w:jc w:val="both"/>
        <w:ind w:left="340" w:hanging="332"/>
        <w:spacing w:after="0" w:line="253" w:lineRule="auto"/>
        <w:tabs>
          <w:tab w:leader="none" w:pos="33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Equity compensation plans approved by shareowners which are included in column (a) of the table are the 2016 Stock Incentive Plan, the 2011 Stock Incentive Plan, and the 2006 Stock Incentive Plan (including 16,344,101 shares of Common Stock to be issued for options; 2,984,711 RSUs subject to continued employment; 196,542 RSUs at target level and subject to Company performance metrics and continued employment; and 471,395 deferred RSUs); and the 2016 Stock Plan for Non-Employee Directors and the 2006 Stock Plan for Non-</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115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3" w:right="339" w:bottom="1440" w:gutter="0" w:footer="0" w:header="0"/>
          <w:type w:val="continuous"/>
        </w:sectPr>
      </w:pPr>
    </w:p>
    <w:bookmarkStart w:id="118" w:name="page119"/>
    <w:bookmarkEnd w:id="118"/>
    <w:p>
      <w:pPr>
        <w:jc w:val="both"/>
        <w:ind w:left="340"/>
        <w:spacing w:after="0" w:line="254" w:lineRule="auto"/>
        <w:rPr>
          <w:sz w:val="20"/>
          <w:szCs w:val="20"/>
          <w:color w:val="auto"/>
        </w:rPr>
      </w:pPr>
      <w:r>
        <w:rPr>
          <w:rFonts w:ascii="Arial" w:cs="Arial" w:eastAsia="Arial" w:hAnsi="Arial"/>
          <w:sz w:val="18"/>
          <w:szCs w:val="18"/>
          <w:color w:val="auto"/>
        </w:rPr>
        <w:t>Employee Directors (including 210,822 shares of Common Stock to be issued for options; and 15,759 RSUs subject to continued services). RSUs included in column (a) of the table represent the full number of RSUs awarded and outstanding whereas the number of shares of Common Stock to be issued upon vesting will be lower than what is reflected on the table because the value of shares required to meet employee tax withholding requirements are not issued.</w:t>
      </w:r>
    </w:p>
    <w:p>
      <w:pPr>
        <w:spacing w:after="0" w:line="96" w:lineRule="exact"/>
        <w:rPr>
          <w:sz w:val="20"/>
          <w:szCs w:val="20"/>
          <w:color w:val="auto"/>
        </w:rPr>
      </w:pPr>
    </w:p>
    <w:p>
      <w:pPr>
        <w:jc w:val="both"/>
        <w:ind w:left="340"/>
        <w:spacing w:after="0" w:line="261" w:lineRule="auto"/>
        <w:rPr>
          <w:sz w:val="20"/>
          <w:szCs w:val="20"/>
          <w:color w:val="auto"/>
        </w:rPr>
      </w:pPr>
      <w:r>
        <w:rPr>
          <w:rFonts w:ascii="Arial" w:cs="Arial" w:eastAsia="Arial" w:hAnsi="Arial"/>
          <w:sz w:val="18"/>
          <w:szCs w:val="18"/>
          <w:color w:val="auto"/>
        </w:rPr>
        <w:t>Because the number of future shares that may be distributed to employees participating in the Honeywell Global Stock Plan is unknown, no shares attributable to that plan are included in column (a) of the table above.</w:t>
      </w:r>
    </w:p>
    <w:p>
      <w:pPr>
        <w:spacing w:after="0" w:line="90" w:lineRule="exact"/>
        <w:rPr>
          <w:sz w:val="20"/>
          <w:szCs w:val="20"/>
          <w:color w:val="auto"/>
        </w:rPr>
      </w:pPr>
    </w:p>
    <w:p>
      <w:pPr>
        <w:jc w:val="both"/>
        <w:ind w:left="340" w:hanging="332"/>
        <w:spacing w:after="0" w:line="256" w:lineRule="auto"/>
        <w:tabs>
          <w:tab w:leader="none" w:pos="33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Column (b) relates to stock options and does not include any exercise price for RSUs because an RSU’s value is dependent upon attainment of certain performance goals or continued employment or service and they are settled for shares of Common Stock on a one-for-one basis.</w:t>
      </w:r>
    </w:p>
    <w:p>
      <w:pPr>
        <w:spacing w:after="0" w:line="93" w:lineRule="exact"/>
        <w:rPr>
          <w:rFonts w:ascii="Arial" w:cs="Arial" w:eastAsia="Arial" w:hAnsi="Arial"/>
          <w:sz w:val="18"/>
          <w:szCs w:val="18"/>
          <w:color w:val="auto"/>
        </w:rPr>
      </w:pPr>
    </w:p>
    <w:p>
      <w:pPr>
        <w:jc w:val="both"/>
        <w:ind w:left="340" w:hanging="332"/>
        <w:spacing w:after="0" w:line="252" w:lineRule="auto"/>
        <w:tabs>
          <w:tab w:leader="none" w:pos="33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number of shares that may be issued under the 2016 Stock Incentive Plan as of December 31, 2020 is 34,104,522, which includes the following additional shares that may again be available for issuance: shares that are settled for cash, expire, are canceled, or under similar prior plans, are tendered as option exercise price or tax withholding obligations, are reacquired with cash option exercise price or with monies attributable to any tax deduction to Honeywell upon the exercise of an option, or are under any outstanding awards assumed under any equity compensation plan of an entity acquired by the Company. No securities are available for future issuance under the 2011 Stock Incentive Plan or the 2006 Stock Incentive Plan.</w:t>
      </w:r>
    </w:p>
    <w:p>
      <w:pPr>
        <w:spacing w:after="0" w:line="100" w:lineRule="exact"/>
        <w:rPr>
          <w:rFonts w:ascii="Arial" w:cs="Arial" w:eastAsia="Arial" w:hAnsi="Arial"/>
          <w:sz w:val="18"/>
          <w:szCs w:val="18"/>
          <w:color w:val="auto"/>
        </w:rPr>
      </w:pPr>
    </w:p>
    <w:p>
      <w:pPr>
        <w:ind w:left="340"/>
        <w:spacing w:after="0" w:line="261" w:lineRule="auto"/>
        <w:rPr>
          <w:rFonts w:ascii="Arial" w:cs="Arial" w:eastAsia="Arial" w:hAnsi="Arial"/>
          <w:sz w:val="18"/>
          <w:szCs w:val="18"/>
          <w:color w:val="auto"/>
        </w:rPr>
      </w:pPr>
      <w:r>
        <w:rPr>
          <w:rFonts w:ascii="Arial" w:cs="Arial" w:eastAsia="Arial" w:hAnsi="Arial"/>
          <w:sz w:val="18"/>
          <w:szCs w:val="18"/>
          <w:color w:val="auto"/>
        </w:rPr>
        <w:t>The number of shares that may be issued under the Honeywell Global Stock Plan as of December 31, 2020 is 1,736,279. This plan is an umbrella plan for three plans described below maintained solely for eligible employees of participating non-U.S. countries.</w:t>
      </w:r>
    </w:p>
    <w:p>
      <w:pPr>
        <w:spacing w:after="0" w:line="89" w:lineRule="exact"/>
        <w:rPr>
          <w:rFonts w:ascii="Arial" w:cs="Arial" w:eastAsia="Arial" w:hAnsi="Arial"/>
          <w:sz w:val="18"/>
          <w:szCs w:val="18"/>
          <w:color w:val="auto"/>
        </w:rPr>
      </w:pPr>
    </w:p>
    <w:p>
      <w:pPr>
        <w:jc w:val="both"/>
        <w:ind w:left="980" w:hanging="324"/>
        <w:spacing w:after="0" w:line="250" w:lineRule="auto"/>
        <w:tabs>
          <w:tab w:leader="none" w:pos="975"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UK Sharebuilder Plan allows an eligible UK employee to invest taxable earnings in Common Stock. The Company matches those shares and dividends paid are used to purchase additional shares of Common Stock. For the year ending December 31, 2020, 32,717 shares were credited to participants’ accounts under the UK Sharebuilder Plan.</w:t>
      </w:r>
    </w:p>
    <w:p>
      <w:pPr>
        <w:spacing w:after="0" w:line="1" w:lineRule="exact"/>
        <w:rPr>
          <w:rFonts w:ascii="Arial" w:cs="Arial" w:eastAsia="Arial" w:hAnsi="Arial"/>
          <w:sz w:val="18"/>
          <w:szCs w:val="18"/>
          <w:color w:val="auto"/>
        </w:rPr>
      </w:pPr>
    </w:p>
    <w:p>
      <w:pPr>
        <w:jc w:val="both"/>
        <w:ind w:left="980" w:hanging="324"/>
        <w:spacing w:after="0" w:line="254" w:lineRule="auto"/>
        <w:tabs>
          <w:tab w:leader="none" w:pos="975"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Honeywell Aerospace Ireland Share Participation Plan and the Honeywell Measurex (Ireland) Limited Group Employee Profit Sharing Plan allow eligible Irish employees to contribute a percentage of base pay and/or bonus that is invested in Common Stock. For the year ending December 31, 2020, 1,816 shares of Common Stock were credited to participants’ accounts under these plans.</w:t>
      </w:r>
    </w:p>
    <w:p>
      <w:pPr>
        <w:spacing w:after="0" w:line="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remaining 832,309 shares included in column (c) are shares remaining under the 2016 Stock Plan for Non-Employee Directors</w:t>
      </w:r>
      <w:r>
        <w:rPr>
          <w:rFonts w:ascii="Arial" w:cs="Arial" w:eastAsia="Arial" w:hAnsi="Arial"/>
          <w:sz w:val="14"/>
          <w:szCs w:val="14"/>
          <w:color w:val="auto"/>
        </w:rPr>
        <w:t>.</w:t>
      </w:r>
    </w:p>
    <w:p>
      <w:pPr>
        <w:spacing w:after="0" w:line="117" w:lineRule="exact"/>
        <w:rPr>
          <w:sz w:val="20"/>
          <w:szCs w:val="20"/>
          <w:color w:val="auto"/>
        </w:rPr>
      </w:pPr>
    </w:p>
    <w:p>
      <w:pPr>
        <w:ind w:left="340" w:hanging="332"/>
        <w:spacing w:after="0" w:line="261" w:lineRule="auto"/>
        <w:tabs>
          <w:tab w:leader="none" w:pos="33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Equity compensation plans not approved by shareowners included in the table refer to the Honeywell Excess Benefit Plan and Supplemental Savings Plan.</w:t>
      </w:r>
    </w:p>
    <w:p>
      <w:pPr>
        <w:spacing w:after="0" w:line="89" w:lineRule="exact"/>
        <w:rPr>
          <w:rFonts w:ascii="Arial" w:cs="Arial" w:eastAsia="Arial" w:hAnsi="Arial"/>
          <w:sz w:val="18"/>
          <w:szCs w:val="18"/>
          <w:color w:val="auto"/>
        </w:rPr>
      </w:pPr>
    </w:p>
    <w:p>
      <w:pPr>
        <w:jc w:val="both"/>
        <w:ind w:left="340"/>
        <w:spacing w:after="0" w:line="252" w:lineRule="auto"/>
        <w:rPr>
          <w:rFonts w:ascii="Arial" w:cs="Arial" w:eastAsia="Arial" w:hAnsi="Arial"/>
          <w:sz w:val="18"/>
          <w:szCs w:val="18"/>
          <w:color w:val="auto"/>
        </w:rPr>
      </w:pPr>
      <w:r>
        <w:rPr>
          <w:rFonts w:ascii="Arial" w:cs="Arial" w:eastAsia="Arial" w:hAnsi="Arial"/>
          <w:sz w:val="18"/>
          <w:szCs w:val="18"/>
          <w:color w:val="auto"/>
        </w:rPr>
        <w:t>The Honeywell Excess Benefit Plan and Supplemental Savings Plan for highly compensated employees is an unfunded, non-tax qualified plan that provides benefits equal to the employee deferrals and Company matching allocations that would have been provided under Honeywell’s U.S. tax-qualified savings plan if the Internal Revenue Code limitations on compensation and contributions did not apply. The Company matching contribution is credited to participants’ accounts in the form of notional shares of Common Stock. The notional shares are distributed in the form of actual shares of Common Stock. The number of shares to be issued under this plan based on the value of the notional shares as of December 31, 2020 is 261,718.</w:t>
      </w:r>
    </w:p>
    <w:p>
      <w:pPr>
        <w:spacing w:after="0" w:line="100" w:lineRule="exact"/>
        <w:rPr>
          <w:rFonts w:ascii="Arial" w:cs="Arial" w:eastAsia="Arial" w:hAnsi="Arial"/>
          <w:sz w:val="18"/>
          <w:szCs w:val="18"/>
          <w:color w:val="auto"/>
        </w:rPr>
      </w:pPr>
    </w:p>
    <w:p>
      <w:pPr>
        <w:ind w:left="340" w:hanging="332"/>
        <w:spacing w:after="0" w:line="261" w:lineRule="auto"/>
        <w:tabs>
          <w:tab w:leader="none" w:pos="33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Column (b) does not include any exercise price for notional shares allocated to employees under Honeywell’s equity compensation plans not approved by shareowners because all of these shares are only settled for shares of Common Stock on a one-for-one basis.</w:t>
      </w:r>
    </w:p>
    <w:p>
      <w:pPr>
        <w:spacing w:after="0" w:line="89" w:lineRule="exact"/>
        <w:rPr>
          <w:rFonts w:ascii="Arial" w:cs="Arial" w:eastAsia="Arial" w:hAnsi="Arial"/>
          <w:sz w:val="18"/>
          <w:szCs w:val="18"/>
          <w:color w:val="auto"/>
        </w:rPr>
      </w:pPr>
    </w:p>
    <w:p>
      <w:pPr>
        <w:jc w:val="both"/>
        <w:ind w:left="340" w:hanging="332"/>
        <w:spacing w:after="0" w:line="256" w:lineRule="auto"/>
        <w:tabs>
          <w:tab w:leader="none" w:pos="33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amount of securities available for future issuance under the Honeywell Excess Benefit Plan and Supplemental Savings Plan is not determinable because the number of securities that may be issued under this plan depends upon the amount deferred to the plan by participants in future years.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116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119" w:name="page120"/>
    <w:bookmarkEnd w:id="119"/>
    <w:p>
      <w:pPr>
        <w:ind w:right="720"/>
        <w:spacing w:after="0" w:line="278" w:lineRule="auto"/>
        <w:rPr>
          <w:sz w:val="20"/>
          <w:szCs w:val="20"/>
          <w:color w:val="auto"/>
        </w:rPr>
      </w:pPr>
      <w:r>
        <w:rPr>
          <w:rFonts w:ascii="Arial" w:cs="Arial" w:eastAsia="Arial" w:hAnsi="Arial"/>
          <w:sz w:val="29"/>
          <w:szCs w:val="29"/>
          <w:b w:val="1"/>
          <w:bCs w:val="1"/>
          <w:color w:val="EE2724"/>
        </w:rPr>
        <w:t>CERTAIN RELATIONSHIPS AND RELATED TRANSACTIONS, AND DIRECTOR INDEPENDENCE</w:t>
      </w:r>
    </w:p>
    <w:p>
      <w:pPr>
        <w:spacing w:after="0" w:line="5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Information relating to certain relationships and related transactions and director independence will be contained in the Proxy Statement, and such information is incorporated herein by reference.</w:t>
      </w:r>
    </w:p>
    <w:p>
      <w:pPr>
        <w:spacing w:after="0" w:line="267" w:lineRule="exact"/>
        <w:rPr>
          <w:sz w:val="20"/>
          <w:szCs w:val="20"/>
          <w:color w:val="auto"/>
        </w:rPr>
      </w:pPr>
    </w:p>
    <w:p>
      <w:pPr>
        <w:spacing w:after="0"/>
        <w:rPr>
          <w:sz w:val="20"/>
          <w:szCs w:val="20"/>
          <w:color w:val="auto"/>
        </w:rPr>
      </w:pPr>
      <w:r>
        <w:rPr>
          <w:rFonts w:ascii="Arial" w:cs="Arial" w:eastAsia="Arial" w:hAnsi="Arial"/>
          <w:sz w:val="29"/>
          <w:szCs w:val="29"/>
          <w:b w:val="1"/>
          <w:bCs w:val="1"/>
          <w:color w:val="EE2724"/>
        </w:rPr>
        <w:t>PRINCIPAL ACCOUNTING FEES AND SERVICES</w:t>
      </w:r>
    </w:p>
    <w:p>
      <w:pPr>
        <w:spacing w:after="0" w:line="1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Information relating to fees paid to and services performed by Deloitte &amp; Touche LLP and our Audit Committee’s pre-approval policies and procedures with respect to non-audit services will be contained in the Proxy Statement, and such information is incorporated herein by reference.</w:t>
      </w:r>
    </w:p>
    <w:p>
      <w:pPr>
        <w:spacing w:after="0" w:line="270" w:lineRule="exact"/>
        <w:rPr>
          <w:sz w:val="20"/>
          <w:szCs w:val="20"/>
          <w:color w:val="auto"/>
        </w:rPr>
      </w:pPr>
    </w:p>
    <w:p>
      <w:pPr>
        <w:spacing w:after="0"/>
        <w:rPr>
          <w:sz w:val="20"/>
          <w:szCs w:val="20"/>
          <w:color w:val="auto"/>
        </w:rPr>
      </w:pPr>
      <w:r>
        <w:rPr>
          <w:rFonts w:ascii="Arial" w:cs="Arial" w:eastAsia="Arial" w:hAnsi="Arial"/>
          <w:sz w:val="29"/>
          <w:szCs w:val="29"/>
          <w:b w:val="1"/>
          <w:bCs w:val="1"/>
          <w:color w:val="EE2724"/>
        </w:rPr>
        <w:t>EXHIBITS AND FINANCIAL STATEMENT SCHEDULES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20" w:type="dxa"/>
            <w:vAlign w:val="bottom"/>
          </w:tcPr>
          <w:p>
            <w:pPr>
              <w:spacing w:after="0"/>
              <w:rPr>
                <w:sz w:val="14"/>
                <w:szCs w:val="14"/>
                <w:color w:val="auto"/>
              </w:rPr>
            </w:pPr>
          </w:p>
        </w:tc>
        <w:tc>
          <w:tcPr>
            <w:tcW w:w="2100" w:type="dxa"/>
            <w:vAlign w:val="bottom"/>
          </w:tcPr>
          <w:p>
            <w:pPr>
              <w:ind w:left="580"/>
              <w:spacing w:after="0"/>
              <w:rPr>
                <w:sz w:val="20"/>
                <w:szCs w:val="20"/>
                <w:color w:val="auto"/>
              </w:rPr>
            </w:pPr>
            <w:r>
              <w:rPr>
                <w:rFonts w:ascii="Arial" w:cs="Arial" w:eastAsia="Arial" w:hAnsi="Arial"/>
                <w:sz w:val="14"/>
                <w:szCs w:val="14"/>
                <w:b w:val="1"/>
                <w:bCs w:val="1"/>
                <w:color w:val="auto"/>
              </w:rPr>
              <w:t>Page Number</w:t>
            </w:r>
          </w:p>
        </w:tc>
      </w:tr>
      <w:tr>
        <w:trPr>
          <w:trHeight w:val="183"/>
        </w:trPr>
        <w:tc>
          <w:tcPr>
            <w:tcW w:w="9120" w:type="dxa"/>
            <w:vAlign w:val="bottom"/>
            <w:tcBorders>
              <w:bottom w:val="single" w:sz="8" w:color="DC202E"/>
            </w:tcBorders>
          </w:tcPr>
          <w:p>
            <w:pPr>
              <w:spacing w:after="0"/>
              <w:rPr>
                <w:sz w:val="15"/>
                <w:szCs w:val="15"/>
                <w:color w:val="auto"/>
              </w:rPr>
            </w:pPr>
          </w:p>
        </w:tc>
        <w:tc>
          <w:tcPr>
            <w:tcW w:w="2100" w:type="dxa"/>
            <w:vAlign w:val="bottom"/>
            <w:tcBorders>
              <w:bottom w:val="single" w:sz="8" w:color="DC202E"/>
            </w:tcBorders>
          </w:tcPr>
          <w:p>
            <w:pPr>
              <w:ind w:left="600"/>
              <w:spacing w:after="0"/>
              <w:rPr>
                <w:sz w:val="20"/>
                <w:szCs w:val="20"/>
                <w:color w:val="auto"/>
              </w:rPr>
            </w:pPr>
            <w:r>
              <w:rPr>
                <w:rFonts w:ascii="Arial" w:cs="Arial" w:eastAsia="Arial" w:hAnsi="Arial"/>
                <w:sz w:val="14"/>
                <w:szCs w:val="14"/>
                <w:b w:val="1"/>
                <w:bCs w:val="1"/>
                <w:color w:val="auto"/>
              </w:rPr>
              <w:t>in Form 10-K</w:t>
            </w:r>
          </w:p>
        </w:tc>
      </w:tr>
      <w:tr>
        <w:trPr>
          <w:trHeight w:val="239"/>
        </w:trPr>
        <w:tc>
          <w:tcPr>
            <w:tcW w:w="9120" w:type="dxa"/>
            <w:vAlign w:val="bottom"/>
          </w:tcPr>
          <w:p>
            <w:pPr>
              <w:ind w:left="20"/>
              <w:spacing w:after="0"/>
              <w:rPr>
                <w:sz w:val="20"/>
                <w:szCs w:val="20"/>
                <w:color w:val="auto"/>
              </w:rPr>
            </w:pPr>
            <w:r>
              <w:rPr>
                <w:rFonts w:ascii="Arial" w:cs="Arial" w:eastAsia="Arial" w:hAnsi="Arial"/>
                <w:sz w:val="18"/>
                <w:szCs w:val="18"/>
                <w:b w:val="1"/>
                <w:bCs w:val="1"/>
                <w:color w:val="DC202E"/>
              </w:rPr>
              <w:t>(a)(1.) Consolidated Financial Statements:</w:t>
            </w:r>
          </w:p>
        </w:tc>
        <w:tc>
          <w:tcPr>
            <w:tcW w:w="2100" w:type="dxa"/>
            <w:vAlign w:val="bottom"/>
          </w:tcPr>
          <w:p>
            <w:pPr>
              <w:spacing w:after="0"/>
              <w:rPr>
                <w:sz w:val="20"/>
                <w:szCs w:val="20"/>
                <w:color w:val="auto"/>
              </w:rPr>
            </w:pPr>
          </w:p>
        </w:tc>
      </w:tr>
      <w:tr>
        <w:trPr>
          <w:trHeight w:val="220"/>
        </w:trPr>
        <w:tc>
          <w:tcPr>
            <w:tcW w:w="9120" w:type="dxa"/>
            <w:vAlign w:val="bottom"/>
            <w:tcBorders>
              <w:bottom w:val="single" w:sz="8" w:color="auto"/>
            </w:tcBorders>
          </w:tcPr>
          <w:p>
            <w:pPr>
              <w:ind w:left="1200"/>
              <w:spacing w:after="0"/>
              <w:rPr>
                <w:sz w:val="20"/>
                <w:szCs w:val="20"/>
                <w:color w:val="auto"/>
              </w:rPr>
            </w:pPr>
            <w:r>
              <w:rPr>
                <w:rFonts w:ascii="Arial" w:cs="Arial" w:eastAsia="Arial" w:hAnsi="Arial"/>
                <w:sz w:val="18"/>
                <w:szCs w:val="18"/>
                <w:color w:val="auto"/>
              </w:rPr>
              <w:t>Consolidated Statement of Operations for the years ended December 31, 2020, 2019 and 2018</w:t>
            </w:r>
          </w:p>
        </w:tc>
        <w:tc>
          <w:tcPr>
            <w:tcW w:w="2100" w:type="dxa"/>
            <w:vAlign w:val="bottom"/>
            <w:tcBorders>
              <w:bottom w:val="single" w:sz="8" w:color="auto"/>
            </w:tcBorders>
          </w:tcPr>
          <w:p>
            <w:pPr>
              <w:jc w:val="center"/>
              <w:spacing w:after="0"/>
              <w:rPr>
                <w:rFonts w:ascii="Arial" w:cs="Arial" w:eastAsia="Arial" w:hAnsi="Arial"/>
                <w:sz w:val="18"/>
                <w:szCs w:val="18"/>
                <w:color w:val="0000FF"/>
                <w:w w:val="99"/>
              </w:rPr>
            </w:pPr>
            <w:hyperlink w:anchor="page49">
              <w:r>
                <w:rPr>
                  <w:rFonts w:ascii="Arial" w:cs="Arial" w:eastAsia="Arial" w:hAnsi="Arial"/>
                  <w:sz w:val="18"/>
                  <w:szCs w:val="18"/>
                  <w:color w:val="0000FF"/>
                  <w:w w:val="99"/>
                </w:rPr>
                <w:t>46</w:t>
              </w:r>
            </w:hyperlink>
          </w:p>
        </w:tc>
      </w:tr>
      <w:tr>
        <w:trPr>
          <w:trHeight w:val="182"/>
        </w:trPr>
        <w:tc>
          <w:tcPr>
            <w:tcW w:w="9120" w:type="dxa"/>
            <w:vAlign w:val="bottom"/>
          </w:tcPr>
          <w:p>
            <w:pPr>
              <w:ind w:left="1200"/>
              <w:spacing w:after="0" w:line="182" w:lineRule="exact"/>
              <w:rPr>
                <w:sz w:val="20"/>
                <w:szCs w:val="20"/>
                <w:color w:val="auto"/>
              </w:rPr>
            </w:pPr>
            <w:r>
              <w:rPr>
                <w:rFonts w:ascii="Arial" w:cs="Arial" w:eastAsia="Arial" w:hAnsi="Arial"/>
                <w:sz w:val="18"/>
                <w:szCs w:val="18"/>
                <w:color w:val="auto"/>
              </w:rPr>
              <w:t>Consolidated Statement of Comprehensive Income for the years ended December 31, 2020, 2019</w:t>
            </w:r>
          </w:p>
        </w:tc>
        <w:tc>
          <w:tcPr>
            <w:tcW w:w="2100" w:type="dxa"/>
            <w:vAlign w:val="bottom"/>
          </w:tcPr>
          <w:p>
            <w:pPr>
              <w:spacing w:after="0"/>
              <w:rPr>
                <w:sz w:val="15"/>
                <w:szCs w:val="15"/>
                <w:color w:val="auto"/>
              </w:rPr>
            </w:pPr>
          </w:p>
        </w:tc>
      </w:tr>
      <w:tr>
        <w:trPr>
          <w:trHeight w:val="217"/>
        </w:trPr>
        <w:tc>
          <w:tcPr>
            <w:tcW w:w="9120" w:type="dxa"/>
            <w:vAlign w:val="bottom"/>
            <w:tcBorders>
              <w:bottom w:val="single" w:sz="8" w:color="auto"/>
            </w:tcBorders>
          </w:tcPr>
          <w:p>
            <w:pPr>
              <w:ind w:left="1200"/>
              <w:spacing w:after="0"/>
              <w:rPr>
                <w:sz w:val="20"/>
                <w:szCs w:val="20"/>
                <w:color w:val="auto"/>
              </w:rPr>
            </w:pPr>
            <w:r>
              <w:rPr>
                <w:rFonts w:ascii="Arial" w:cs="Arial" w:eastAsia="Arial" w:hAnsi="Arial"/>
                <w:sz w:val="18"/>
                <w:szCs w:val="18"/>
                <w:color w:val="auto"/>
              </w:rPr>
              <w:t>and 2018</w:t>
            </w:r>
          </w:p>
        </w:tc>
        <w:tc>
          <w:tcPr>
            <w:tcW w:w="2100" w:type="dxa"/>
            <w:vAlign w:val="bottom"/>
            <w:tcBorders>
              <w:bottom w:val="single" w:sz="8" w:color="auto"/>
            </w:tcBorders>
          </w:tcPr>
          <w:p>
            <w:pPr>
              <w:jc w:val="center"/>
              <w:spacing w:after="0"/>
              <w:rPr>
                <w:rFonts w:ascii="Arial" w:cs="Arial" w:eastAsia="Arial" w:hAnsi="Arial"/>
                <w:sz w:val="18"/>
                <w:szCs w:val="18"/>
                <w:color w:val="0000FF"/>
                <w:w w:val="99"/>
              </w:rPr>
            </w:pPr>
            <w:hyperlink w:anchor="page49">
              <w:r>
                <w:rPr>
                  <w:rFonts w:ascii="Arial" w:cs="Arial" w:eastAsia="Arial" w:hAnsi="Arial"/>
                  <w:sz w:val="18"/>
                  <w:szCs w:val="18"/>
                  <w:color w:val="0000FF"/>
                  <w:w w:val="99"/>
                </w:rPr>
                <w:t>47</w:t>
              </w:r>
            </w:hyperlink>
          </w:p>
        </w:tc>
      </w:tr>
      <w:tr>
        <w:trPr>
          <w:trHeight w:val="223"/>
        </w:trPr>
        <w:tc>
          <w:tcPr>
            <w:tcW w:w="9120" w:type="dxa"/>
            <w:vAlign w:val="bottom"/>
            <w:tcBorders>
              <w:bottom w:val="single" w:sz="8" w:color="auto"/>
            </w:tcBorders>
          </w:tcPr>
          <w:p>
            <w:pPr>
              <w:ind w:left="1200"/>
              <w:spacing w:after="0"/>
              <w:rPr>
                <w:sz w:val="20"/>
                <w:szCs w:val="20"/>
                <w:color w:val="auto"/>
              </w:rPr>
            </w:pPr>
            <w:r>
              <w:rPr>
                <w:rFonts w:ascii="Arial" w:cs="Arial" w:eastAsia="Arial" w:hAnsi="Arial"/>
                <w:sz w:val="18"/>
                <w:szCs w:val="18"/>
                <w:color w:val="auto"/>
              </w:rPr>
              <w:t>Consolidated Balance Sheet at December 31, 2020 and 2019</w:t>
            </w:r>
          </w:p>
        </w:tc>
        <w:tc>
          <w:tcPr>
            <w:tcW w:w="2100" w:type="dxa"/>
            <w:vAlign w:val="bottom"/>
            <w:tcBorders>
              <w:bottom w:val="single" w:sz="8" w:color="auto"/>
            </w:tcBorders>
          </w:tcPr>
          <w:p>
            <w:pPr>
              <w:jc w:val="center"/>
              <w:spacing w:after="0"/>
              <w:rPr>
                <w:rFonts w:ascii="Arial" w:cs="Arial" w:eastAsia="Arial" w:hAnsi="Arial"/>
                <w:sz w:val="18"/>
                <w:szCs w:val="18"/>
                <w:color w:val="0000FF"/>
                <w:w w:val="99"/>
              </w:rPr>
            </w:pPr>
            <w:hyperlink w:anchor="page50">
              <w:r>
                <w:rPr>
                  <w:rFonts w:ascii="Arial" w:cs="Arial" w:eastAsia="Arial" w:hAnsi="Arial"/>
                  <w:sz w:val="18"/>
                  <w:szCs w:val="18"/>
                  <w:color w:val="0000FF"/>
                  <w:w w:val="99"/>
                </w:rPr>
                <w:t>48</w:t>
              </w:r>
            </w:hyperlink>
          </w:p>
        </w:tc>
      </w:tr>
      <w:tr>
        <w:trPr>
          <w:trHeight w:val="223"/>
        </w:trPr>
        <w:tc>
          <w:tcPr>
            <w:tcW w:w="9120" w:type="dxa"/>
            <w:vAlign w:val="bottom"/>
            <w:tcBorders>
              <w:bottom w:val="single" w:sz="8" w:color="auto"/>
            </w:tcBorders>
          </w:tcPr>
          <w:p>
            <w:pPr>
              <w:ind w:left="1200"/>
              <w:spacing w:after="0"/>
              <w:rPr>
                <w:sz w:val="20"/>
                <w:szCs w:val="20"/>
                <w:color w:val="auto"/>
              </w:rPr>
            </w:pPr>
            <w:r>
              <w:rPr>
                <w:rFonts w:ascii="Arial" w:cs="Arial" w:eastAsia="Arial" w:hAnsi="Arial"/>
                <w:sz w:val="18"/>
                <w:szCs w:val="18"/>
                <w:color w:val="auto"/>
              </w:rPr>
              <w:t>Consolidated Statement of Cash Flows for the years ended December 31, 2020, 2019 and 2018</w:t>
            </w:r>
          </w:p>
        </w:tc>
        <w:tc>
          <w:tcPr>
            <w:tcW w:w="2100" w:type="dxa"/>
            <w:vAlign w:val="bottom"/>
            <w:tcBorders>
              <w:bottom w:val="single" w:sz="8" w:color="auto"/>
            </w:tcBorders>
          </w:tcPr>
          <w:p>
            <w:pPr>
              <w:jc w:val="center"/>
              <w:spacing w:after="0"/>
              <w:rPr>
                <w:rFonts w:ascii="Arial" w:cs="Arial" w:eastAsia="Arial" w:hAnsi="Arial"/>
                <w:sz w:val="18"/>
                <w:szCs w:val="18"/>
                <w:color w:val="0000FF"/>
                <w:w w:val="99"/>
              </w:rPr>
            </w:pPr>
            <w:hyperlink w:anchor="page51">
              <w:r>
                <w:rPr>
                  <w:rFonts w:ascii="Arial" w:cs="Arial" w:eastAsia="Arial" w:hAnsi="Arial"/>
                  <w:sz w:val="18"/>
                  <w:szCs w:val="18"/>
                  <w:color w:val="0000FF"/>
                  <w:w w:val="99"/>
                </w:rPr>
                <w:t>49</w:t>
              </w:r>
            </w:hyperlink>
          </w:p>
        </w:tc>
      </w:tr>
      <w:tr>
        <w:trPr>
          <w:trHeight w:val="182"/>
        </w:trPr>
        <w:tc>
          <w:tcPr>
            <w:tcW w:w="9120" w:type="dxa"/>
            <w:vAlign w:val="bottom"/>
          </w:tcPr>
          <w:p>
            <w:pPr>
              <w:ind w:left="1200"/>
              <w:spacing w:after="0" w:line="182" w:lineRule="exact"/>
              <w:rPr>
                <w:sz w:val="20"/>
                <w:szCs w:val="20"/>
                <w:color w:val="auto"/>
              </w:rPr>
            </w:pPr>
            <w:r>
              <w:rPr>
                <w:rFonts w:ascii="Arial" w:cs="Arial" w:eastAsia="Arial" w:hAnsi="Arial"/>
                <w:sz w:val="18"/>
                <w:szCs w:val="18"/>
                <w:color w:val="auto"/>
                <w:w w:val="99"/>
              </w:rPr>
              <w:t>Consolidated Statement of Shareowners’ Equity for the years ended December 31, 2020, 2019 and</w:t>
            </w:r>
          </w:p>
        </w:tc>
        <w:tc>
          <w:tcPr>
            <w:tcW w:w="2100" w:type="dxa"/>
            <w:vAlign w:val="bottom"/>
          </w:tcPr>
          <w:p>
            <w:pPr>
              <w:spacing w:after="0"/>
              <w:rPr>
                <w:sz w:val="15"/>
                <w:szCs w:val="15"/>
                <w:color w:val="auto"/>
              </w:rPr>
            </w:pPr>
          </w:p>
        </w:tc>
      </w:tr>
      <w:tr>
        <w:trPr>
          <w:trHeight w:val="217"/>
        </w:trPr>
        <w:tc>
          <w:tcPr>
            <w:tcW w:w="9120" w:type="dxa"/>
            <w:vAlign w:val="bottom"/>
            <w:tcBorders>
              <w:bottom w:val="single" w:sz="8" w:color="auto"/>
            </w:tcBorders>
          </w:tcPr>
          <w:p>
            <w:pPr>
              <w:ind w:left="1200"/>
              <w:spacing w:after="0"/>
              <w:rPr>
                <w:sz w:val="20"/>
                <w:szCs w:val="20"/>
                <w:color w:val="auto"/>
              </w:rPr>
            </w:pPr>
            <w:r>
              <w:rPr>
                <w:rFonts w:ascii="Arial" w:cs="Arial" w:eastAsia="Arial" w:hAnsi="Arial"/>
                <w:sz w:val="18"/>
                <w:szCs w:val="18"/>
                <w:color w:val="auto"/>
              </w:rPr>
              <w:t>2018</w:t>
            </w:r>
          </w:p>
        </w:tc>
        <w:tc>
          <w:tcPr>
            <w:tcW w:w="2100" w:type="dxa"/>
            <w:vAlign w:val="bottom"/>
            <w:tcBorders>
              <w:bottom w:val="single" w:sz="8" w:color="auto"/>
            </w:tcBorders>
          </w:tcPr>
          <w:p>
            <w:pPr>
              <w:jc w:val="center"/>
              <w:spacing w:after="0"/>
              <w:rPr>
                <w:rFonts w:ascii="Arial" w:cs="Arial" w:eastAsia="Arial" w:hAnsi="Arial"/>
                <w:sz w:val="18"/>
                <w:szCs w:val="18"/>
                <w:color w:val="0000FF"/>
                <w:w w:val="99"/>
              </w:rPr>
            </w:pPr>
            <w:hyperlink w:anchor="page52">
              <w:r>
                <w:rPr>
                  <w:rFonts w:ascii="Arial" w:cs="Arial" w:eastAsia="Arial" w:hAnsi="Arial"/>
                  <w:sz w:val="18"/>
                  <w:szCs w:val="18"/>
                  <w:color w:val="0000FF"/>
                  <w:w w:val="99"/>
                </w:rPr>
                <w:t>50</w:t>
              </w:r>
            </w:hyperlink>
          </w:p>
        </w:tc>
      </w:tr>
      <w:tr>
        <w:trPr>
          <w:trHeight w:val="223"/>
        </w:trPr>
        <w:tc>
          <w:tcPr>
            <w:tcW w:w="9120" w:type="dxa"/>
            <w:vAlign w:val="bottom"/>
            <w:tcBorders>
              <w:bottom w:val="single" w:sz="8" w:color="auto"/>
            </w:tcBorders>
          </w:tcPr>
          <w:p>
            <w:pPr>
              <w:ind w:left="1200"/>
              <w:spacing w:after="0"/>
              <w:rPr>
                <w:sz w:val="20"/>
                <w:szCs w:val="20"/>
                <w:color w:val="auto"/>
              </w:rPr>
            </w:pPr>
            <w:r>
              <w:rPr>
                <w:rFonts w:ascii="Arial" w:cs="Arial" w:eastAsia="Arial" w:hAnsi="Arial"/>
                <w:sz w:val="18"/>
                <w:szCs w:val="18"/>
                <w:color w:val="auto"/>
              </w:rPr>
              <w:t>Notes to Consolidated Financial Statements</w:t>
            </w:r>
          </w:p>
        </w:tc>
        <w:tc>
          <w:tcPr>
            <w:tcW w:w="2100" w:type="dxa"/>
            <w:vAlign w:val="bottom"/>
            <w:tcBorders>
              <w:bottom w:val="single" w:sz="8" w:color="auto"/>
            </w:tcBorders>
          </w:tcPr>
          <w:p>
            <w:pPr>
              <w:jc w:val="center"/>
              <w:spacing w:after="0"/>
              <w:rPr>
                <w:rFonts w:ascii="Arial" w:cs="Arial" w:eastAsia="Arial" w:hAnsi="Arial"/>
                <w:sz w:val="18"/>
                <w:szCs w:val="18"/>
                <w:color w:val="0000FF"/>
                <w:w w:val="99"/>
              </w:rPr>
            </w:pPr>
            <w:hyperlink w:anchor="page53">
              <w:r>
                <w:rPr>
                  <w:rFonts w:ascii="Arial" w:cs="Arial" w:eastAsia="Arial" w:hAnsi="Arial"/>
                  <w:sz w:val="18"/>
                  <w:szCs w:val="18"/>
                  <w:color w:val="0000FF"/>
                  <w:w w:val="99"/>
                </w:rPr>
                <w:t>51</w:t>
              </w:r>
            </w:hyperlink>
          </w:p>
        </w:tc>
      </w:tr>
      <w:tr>
        <w:trPr>
          <w:trHeight w:val="223"/>
        </w:trPr>
        <w:tc>
          <w:tcPr>
            <w:tcW w:w="9120" w:type="dxa"/>
            <w:vAlign w:val="bottom"/>
            <w:tcBorders>
              <w:bottom w:val="single" w:sz="8" w:color="auto"/>
            </w:tcBorders>
          </w:tcPr>
          <w:p>
            <w:pPr>
              <w:ind w:left="1200"/>
              <w:spacing w:after="0"/>
              <w:rPr>
                <w:sz w:val="20"/>
                <w:szCs w:val="20"/>
                <w:color w:val="auto"/>
              </w:rPr>
            </w:pPr>
            <w:r>
              <w:rPr>
                <w:rFonts w:ascii="Arial" w:cs="Arial" w:eastAsia="Arial" w:hAnsi="Arial"/>
                <w:sz w:val="18"/>
                <w:szCs w:val="18"/>
                <w:color w:val="auto"/>
              </w:rPr>
              <w:t>Report of Independent Registered Public Accounting Firm</w:t>
            </w:r>
          </w:p>
        </w:tc>
        <w:tc>
          <w:tcPr>
            <w:tcW w:w="2100" w:type="dxa"/>
            <w:vAlign w:val="bottom"/>
            <w:tcBorders>
              <w:bottom w:val="single" w:sz="8" w:color="auto"/>
            </w:tcBorders>
          </w:tcPr>
          <w:p>
            <w:pPr>
              <w:jc w:val="center"/>
              <w:spacing w:after="0"/>
              <w:rPr>
                <w:rFonts w:ascii="Arial" w:cs="Arial" w:eastAsia="Arial" w:hAnsi="Arial"/>
                <w:sz w:val="18"/>
                <w:szCs w:val="18"/>
                <w:color w:val="0000FF"/>
                <w:w w:val="99"/>
              </w:rPr>
            </w:pPr>
            <w:hyperlink w:anchor="page112">
              <w:r>
                <w:rPr>
                  <w:rFonts w:ascii="Arial" w:cs="Arial" w:eastAsia="Arial" w:hAnsi="Arial"/>
                  <w:sz w:val="18"/>
                  <w:szCs w:val="18"/>
                  <w:color w:val="0000FF"/>
                  <w:w w:val="99"/>
                </w:rPr>
                <w:t>110</w:t>
              </w:r>
            </w:hyperlink>
          </w:p>
        </w:tc>
      </w:tr>
      <w:tr>
        <w:trPr>
          <w:trHeight w:val="520"/>
        </w:trPr>
        <w:tc>
          <w:tcPr>
            <w:tcW w:w="9120" w:type="dxa"/>
            <w:vAlign w:val="bottom"/>
          </w:tcPr>
          <w:p>
            <w:pPr>
              <w:spacing w:after="0"/>
              <w:rPr>
                <w:sz w:val="24"/>
                <w:szCs w:val="24"/>
                <w:color w:val="auto"/>
              </w:rPr>
            </w:pPr>
          </w:p>
        </w:tc>
        <w:tc>
          <w:tcPr>
            <w:tcW w:w="2100" w:type="dxa"/>
            <w:vAlign w:val="bottom"/>
          </w:tcPr>
          <w:p>
            <w:pPr>
              <w:ind w:left="580"/>
              <w:spacing w:after="0"/>
              <w:rPr>
                <w:sz w:val="20"/>
                <w:szCs w:val="20"/>
                <w:color w:val="auto"/>
              </w:rPr>
            </w:pPr>
            <w:r>
              <w:rPr>
                <w:rFonts w:ascii="Arial" w:cs="Arial" w:eastAsia="Arial" w:hAnsi="Arial"/>
                <w:sz w:val="14"/>
                <w:szCs w:val="14"/>
                <w:b w:val="1"/>
                <w:bCs w:val="1"/>
                <w:color w:val="auto"/>
              </w:rPr>
              <w:t>Page Number</w:t>
            </w:r>
          </w:p>
        </w:tc>
      </w:tr>
      <w:tr>
        <w:trPr>
          <w:trHeight w:val="183"/>
        </w:trPr>
        <w:tc>
          <w:tcPr>
            <w:tcW w:w="9120" w:type="dxa"/>
            <w:vAlign w:val="bottom"/>
            <w:tcBorders>
              <w:bottom w:val="single" w:sz="8" w:color="EE2724"/>
            </w:tcBorders>
          </w:tcPr>
          <w:p>
            <w:pPr>
              <w:spacing w:after="0"/>
              <w:rPr>
                <w:sz w:val="15"/>
                <w:szCs w:val="15"/>
                <w:color w:val="auto"/>
              </w:rPr>
            </w:pPr>
          </w:p>
        </w:tc>
        <w:tc>
          <w:tcPr>
            <w:tcW w:w="2100" w:type="dxa"/>
            <w:vAlign w:val="bottom"/>
            <w:tcBorders>
              <w:bottom w:val="single" w:sz="8" w:color="DC202E"/>
            </w:tcBorders>
          </w:tcPr>
          <w:p>
            <w:pPr>
              <w:ind w:left="600"/>
              <w:spacing w:after="0"/>
              <w:rPr>
                <w:sz w:val="20"/>
                <w:szCs w:val="20"/>
                <w:color w:val="auto"/>
              </w:rPr>
            </w:pPr>
            <w:r>
              <w:rPr>
                <w:rFonts w:ascii="Arial" w:cs="Arial" w:eastAsia="Arial" w:hAnsi="Arial"/>
                <w:sz w:val="14"/>
                <w:szCs w:val="14"/>
                <w:b w:val="1"/>
                <w:bCs w:val="1"/>
                <w:color w:val="auto"/>
              </w:rPr>
              <w:t>in Form 10-K</w:t>
            </w:r>
          </w:p>
        </w:tc>
      </w:tr>
      <w:tr>
        <w:trPr>
          <w:trHeight w:val="239"/>
        </w:trPr>
        <w:tc>
          <w:tcPr>
            <w:tcW w:w="9120" w:type="dxa"/>
            <w:vAlign w:val="bottom"/>
          </w:tcPr>
          <w:p>
            <w:pPr>
              <w:ind w:left="20"/>
              <w:spacing w:after="0"/>
              <w:rPr>
                <w:sz w:val="20"/>
                <w:szCs w:val="20"/>
                <w:color w:val="auto"/>
              </w:rPr>
            </w:pPr>
            <w:r>
              <w:rPr>
                <w:rFonts w:ascii="Arial" w:cs="Arial" w:eastAsia="Arial" w:hAnsi="Arial"/>
                <w:sz w:val="18"/>
                <w:szCs w:val="18"/>
                <w:b w:val="1"/>
                <w:bCs w:val="1"/>
                <w:color w:val="EE2724"/>
              </w:rPr>
              <w:t>(a)(3.) Exhibits</w:t>
            </w:r>
          </w:p>
        </w:tc>
        <w:tc>
          <w:tcPr>
            <w:tcW w:w="2100" w:type="dxa"/>
            <w:vAlign w:val="bottom"/>
          </w:tcPr>
          <w:p>
            <w:pPr>
              <w:spacing w:after="0"/>
              <w:rPr>
                <w:sz w:val="20"/>
                <w:szCs w:val="20"/>
                <w:color w:val="auto"/>
              </w:rPr>
            </w:pPr>
          </w:p>
        </w:tc>
      </w:tr>
      <w:tr>
        <w:trPr>
          <w:trHeight w:val="220"/>
        </w:trPr>
        <w:tc>
          <w:tcPr>
            <w:tcW w:w="9120" w:type="dxa"/>
            <w:vAlign w:val="bottom"/>
            <w:tcBorders>
              <w:bottom w:val="single" w:sz="8" w:color="auto"/>
            </w:tcBorders>
          </w:tcPr>
          <w:p>
            <w:pPr>
              <w:ind w:left="1200"/>
              <w:spacing w:after="0"/>
              <w:rPr>
                <w:sz w:val="20"/>
                <w:szCs w:val="20"/>
                <w:color w:val="auto"/>
              </w:rPr>
            </w:pPr>
            <w:r>
              <w:rPr>
                <w:rFonts w:ascii="Arial" w:cs="Arial" w:eastAsia="Arial" w:hAnsi="Arial"/>
                <w:sz w:val="18"/>
                <w:szCs w:val="18"/>
                <w:color w:val="auto"/>
              </w:rPr>
              <w:t>See the Exhibit Index of this Annual Report on Form 10-K</w:t>
            </w:r>
          </w:p>
        </w:tc>
        <w:tc>
          <w:tcPr>
            <w:tcW w:w="2100" w:type="dxa"/>
            <w:vAlign w:val="bottom"/>
            <w:tcBorders>
              <w:bottom w:val="single" w:sz="8" w:color="auto"/>
            </w:tcBorders>
          </w:tcPr>
          <w:p>
            <w:pPr>
              <w:jc w:val="center"/>
              <w:spacing w:after="0"/>
              <w:rPr>
                <w:rFonts w:ascii="Arial" w:cs="Arial" w:eastAsia="Arial" w:hAnsi="Arial"/>
                <w:sz w:val="18"/>
                <w:szCs w:val="18"/>
                <w:color w:val="0000FF"/>
                <w:w w:val="99"/>
              </w:rPr>
            </w:pPr>
            <w:hyperlink w:anchor="page120">
              <w:r>
                <w:rPr>
                  <w:rFonts w:ascii="Arial" w:cs="Arial" w:eastAsia="Arial" w:hAnsi="Arial"/>
                  <w:sz w:val="18"/>
                  <w:szCs w:val="18"/>
                  <w:color w:val="0000FF"/>
                  <w:w w:val="99"/>
                </w:rPr>
                <w:t>118</w:t>
              </w:r>
            </w:hyperlink>
          </w:p>
        </w:tc>
      </w:tr>
    </w:tbl>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9"/>
          <w:szCs w:val="29"/>
          <w:b w:val="1"/>
          <w:bCs w:val="1"/>
          <w:color w:val="EE2724"/>
        </w:rPr>
        <w:t>FORM 10-K SUMMARY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117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3" w:right="339" w:bottom="1440" w:gutter="0" w:footer="0" w:header="0"/>
        </w:sectPr>
      </w:pPr>
    </w:p>
    <w:bookmarkStart w:id="120" w:name="page121"/>
    <w:bookmarkEnd w:id="120"/>
    <w:p>
      <w:pPr>
        <w:spacing w:after="0"/>
        <w:rPr>
          <w:sz w:val="20"/>
          <w:szCs w:val="20"/>
          <w:color w:val="auto"/>
        </w:rPr>
      </w:pPr>
      <w:r>
        <w:rPr>
          <w:rFonts w:ascii="Arial" w:cs="Arial" w:eastAsia="Arial" w:hAnsi="Arial"/>
          <w:sz w:val="25"/>
          <w:szCs w:val="25"/>
          <w:b w:val="1"/>
          <w:bCs w:val="1"/>
          <w:color w:val="auto"/>
        </w:rPr>
        <w:t>EXHIBIT INDEX</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1480" w:type="dxa"/>
            <w:vAlign w:val="bottom"/>
            <w:tcBorders>
              <w:bottom w:val="single" w:sz="8" w:color="DC202E"/>
            </w:tcBorders>
          </w:tcPr>
          <w:p>
            <w:pPr>
              <w:jc w:val="right"/>
              <w:ind w:right="370"/>
              <w:spacing w:after="0"/>
              <w:rPr>
                <w:sz w:val="20"/>
                <w:szCs w:val="20"/>
                <w:color w:val="auto"/>
              </w:rPr>
            </w:pPr>
            <w:r>
              <w:rPr>
                <w:rFonts w:ascii="Arial" w:cs="Arial" w:eastAsia="Arial" w:hAnsi="Arial"/>
                <w:sz w:val="18"/>
                <w:szCs w:val="18"/>
                <w:b w:val="1"/>
                <w:bCs w:val="1"/>
                <w:color w:val="auto"/>
              </w:rPr>
              <w:t>Exhibit No.</w:t>
            </w:r>
          </w:p>
        </w:tc>
        <w:tc>
          <w:tcPr>
            <w:tcW w:w="1640" w:type="dxa"/>
            <w:vAlign w:val="bottom"/>
            <w:tcBorders>
              <w:bottom w:val="single" w:sz="8" w:color="DC202E"/>
            </w:tcBorders>
          </w:tcPr>
          <w:p>
            <w:pPr>
              <w:spacing w:after="0"/>
              <w:rPr>
                <w:sz w:val="21"/>
                <w:szCs w:val="21"/>
                <w:color w:val="auto"/>
              </w:rPr>
            </w:pPr>
          </w:p>
        </w:tc>
        <w:tc>
          <w:tcPr>
            <w:tcW w:w="1600" w:type="dxa"/>
            <w:vAlign w:val="bottom"/>
            <w:tcBorders>
              <w:bottom w:val="single" w:sz="8" w:color="DC202E"/>
            </w:tcBorders>
          </w:tcPr>
          <w:p>
            <w:pPr>
              <w:spacing w:after="0"/>
              <w:rPr>
                <w:sz w:val="21"/>
                <w:szCs w:val="21"/>
                <w:color w:val="auto"/>
              </w:rPr>
            </w:pPr>
          </w:p>
        </w:tc>
        <w:tc>
          <w:tcPr>
            <w:tcW w:w="6720" w:type="dxa"/>
            <w:vAlign w:val="bottom"/>
            <w:tcBorders>
              <w:bottom w:val="single" w:sz="8" w:color="DC202E"/>
            </w:tcBorders>
            <w:gridSpan w:val="19"/>
          </w:tcPr>
          <w:p>
            <w:pPr>
              <w:ind w:left="112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89"/>
        </w:trPr>
        <w:tc>
          <w:tcPr>
            <w:tcW w:w="1480" w:type="dxa"/>
            <w:vAlign w:val="bottom"/>
          </w:tcPr>
          <w:p>
            <w:pPr>
              <w:jc w:val="right"/>
              <w:ind w:right="310"/>
              <w:spacing w:after="0" w:line="189" w:lineRule="exact"/>
              <w:rPr>
                <w:sz w:val="20"/>
                <w:szCs w:val="20"/>
                <w:color w:val="auto"/>
              </w:rPr>
            </w:pPr>
            <w:r>
              <w:rPr>
                <w:rFonts w:ascii="Arial" w:cs="Arial" w:eastAsia="Arial" w:hAnsi="Arial"/>
                <w:sz w:val="18"/>
                <w:szCs w:val="18"/>
                <w:color w:val="auto"/>
              </w:rPr>
              <w:t>3(i)</w:t>
            </w:r>
          </w:p>
        </w:tc>
        <w:tc>
          <w:tcPr>
            <w:tcW w:w="9960" w:type="dxa"/>
            <w:vAlign w:val="bottom"/>
            <w:gridSpan w:val="21"/>
          </w:tcPr>
          <w:p>
            <w:pPr>
              <w:spacing w:after="0" w:line="189" w:lineRule="exact"/>
              <w:rPr>
                <w:rFonts w:ascii="Arial" w:cs="Arial" w:eastAsia="Arial" w:hAnsi="Arial"/>
                <w:sz w:val="18"/>
                <w:szCs w:val="18"/>
                <w:color w:val="0000FF"/>
              </w:rPr>
            </w:pPr>
            <w:hyperlink r:id="rId155">
              <w:r>
                <w:rPr>
                  <w:rFonts w:ascii="Arial" w:cs="Arial" w:eastAsia="Arial" w:hAnsi="Arial"/>
                  <w:sz w:val="18"/>
                  <w:szCs w:val="18"/>
                  <w:color w:val="0000FF"/>
                </w:rPr>
                <w:t>Amended and Restated Certificate of Incorporation of Honeywell International Inc., as amended April 23, 2018</w:t>
              </w:r>
            </w:hyperlink>
          </w:p>
        </w:tc>
        <w:tc>
          <w:tcPr>
            <w:tcW w:w="0" w:type="dxa"/>
            <w:vAlign w:val="bottom"/>
          </w:tcPr>
          <w:p>
            <w:pPr>
              <w:spacing w:after="0"/>
              <w:rPr>
                <w:sz w:val="1"/>
                <w:szCs w:val="1"/>
                <w:color w:val="auto"/>
              </w:rPr>
            </w:pPr>
          </w:p>
        </w:tc>
      </w:tr>
      <w:tr>
        <w:trPr>
          <w:trHeight w:val="196"/>
        </w:trPr>
        <w:tc>
          <w:tcPr>
            <w:tcW w:w="1480" w:type="dxa"/>
            <w:vAlign w:val="bottom"/>
            <w:tcBorders>
              <w:bottom w:val="single" w:sz="8" w:color="auto"/>
            </w:tcBorders>
          </w:tcPr>
          <w:p>
            <w:pPr>
              <w:spacing w:after="0"/>
              <w:rPr>
                <w:sz w:val="17"/>
                <w:szCs w:val="17"/>
                <w:color w:val="auto"/>
              </w:rPr>
            </w:pPr>
          </w:p>
        </w:tc>
        <w:tc>
          <w:tcPr>
            <w:tcW w:w="9880" w:type="dxa"/>
            <w:vAlign w:val="bottom"/>
            <w:tcBorders>
              <w:top w:val="single" w:sz="8" w:color="0000FF"/>
              <w:bottom w:val="single" w:sz="8" w:color="auto"/>
            </w:tcBorders>
            <w:gridSpan w:val="17"/>
          </w:tcPr>
          <w:p>
            <w:pPr>
              <w:spacing w:after="0" w:line="196" w:lineRule="exact"/>
              <w:rPr>
                <w:rFonts w:ascii="Arial" w:cs="Arial" w:eastAsia="Arial" w:hAnsi="Arial"/>
                <w:sz w:val="18"/>
                <w:szCs w:val="18"/>
                <w:u w:val="single" w:color="auto"/>
                <w:color w:val="0000FF"/>
              </w:rPr>
            </w:pPr>
            <w:hyperlink r:id="rId155">
              <w:r>
                <w:rPr>
                  <w:rFonts w:ascii="Arial" w:cs="Arial" w:eastAsia="Arial" w:hAnsi="Arial"/>
                  <w:sz w:val="18"/>
                  <w:szCs w:val="18"/>
                  <w:u w:val="single" w:color="auto"/>
                  <w:color w:val="0000FF"/>
                </w:rPr>
                <w:t>(incorporated by reference to Exhibit 3(i) to Honeywell’s Form 10-Q for the quarter ended June 30, 2018)</w:t>
              </w:r>
            </w:hyperlink>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480" w:type="dxa"/>
            <w:vAlign w:val="bottom"/>
          </w:tcPr>
          <w:p>
            <w:pPr>
              <w:jc w:val="right"/>
              <w:ind w:right="310"/>
              <w:spacing w:after="0" w:line="182" w:lineRule="exact"/>
              <w:rPr>
                <w:sz w:val="20"/>
                <w:szCs w:val="20"/>
                <w:color w:val="auto"/>
              </w:rPr>
            </w:pPr>
            <w:r>
              <w:rPr>
                <w:rFonts w:ascii="Arial" w:cs="Arial" w:eastAsia="Arial" w:hAnsi="Arial"/>
                <w:sz w:val="18"/>
                <w:szCs w:val="18"/>
                <w:color w:val="auto"/>
              </w:rPr>
              <w:t>3(ii)</w:t>
            </w:r>
          </w:p>
        </w:tc>
        <w:tc>
          <w:tcPr>
            <w:tcW w:w="9960" w:type="dxa"/>
            <w:vAlign w:val="bottom"/>
            <w:gridSpan w:val="21"/>
          </w:tcPr>
          <w:p>
            <w:pPr>
              <w:spacing w:after="0" w:line="182" w:lineRule="exact"/>
              <w:rPr>
                <w:rFonts w:ascii="Arial" w:cs="Arial" w:eastAsia="Arial" w:hAnsi="Arial"/>
                <w:sz w:val="18"/>
                <w:szCs w:val="18"/>
                <w:color w:val="0000FF"/>
              </w:rPr>
            </w:pPr>
            <w:hyperlink r:id="rId156">
              <w:r>
                <w:rPr>
                  <w:rFonts w:ascii="Arial" w:cs="Arial" w:eastAsia="Arial" w:hAnsi="Arial"/>
                  <w:sz w:val="18"/>
                  <w:szCs w:val="18"/>
                  <w:color w:val="0000FF"/>
                </w:rPr>
                <w:t>By-laws of Honeywell International Inc., as amended April 23, 2018 (incorporated by reference to Exhibit 3(ii) to</w:t>
              </w:r>
            </w:hyperlink>
          </w:p>
        </w:tc>
        <w:tc>
          <w:tcPr>
            <w:tcW w:w="0" w:type="dxa"/>
            <w:vAlign w:val="bottom"/>
          </w:tcPr>
          <w:p>
            <w:pPr>
              <w:spacing w:after="0"/>
              <w:rPr>
                <w:sz w:val="1"/>
                <w:szCs w:val="1"/>
                <w:color w:val="auto"/>
              </w:rPr>
            </w:pPr>
          </w:p>
        </w:tc>
      </w:tr>
      <w:tr>
        <w:trPr>
          <w:trHeight w:val="155"/>
        </w:trPr>
        <w:tc>
          <w:tcPr>
            <w:tcW w:w="1480" w:type="dxa"/>
            <w:vAlign w:val="bottom"/>
          </w:tcPr>
          <w:p>
            <w:pPr>
              <w:spacing w:after="0"/>
              <w:rPr>
                <w:sz w:val="13"/>
                <w:szCs w:val="13"/>
                <w:color w:val="auto"/>
              </w:rPr>
            </w:pPr>
          </w:p>
        </w:tc>
        <w:tc>
          <w:tcPr>
            <w:tcW w:w="984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r:id="rId156">
              <w:r>
                <w:rPr>
                  <w:rFonts w:ascii="Arial" w:cs="Arial" w:eastAsia="Arial" w:hAnsi="Arial"/>
                  <w:sz w:val="18"/>
                  <w:szCs w:val="18"/>
                  <w:color w:val="0000FF"/>
                </w:rPr>
                <w:t>Honeywell’s Form 10-Q for the quarter ended June 30, 2018)</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480" w:type="dxa"/>
            <w:vAlign w:val="bottom"/>
            <w:tcBorders>
              <w:bottom w:val="single" w:sz="8" w:color="auto"/>
            </w:tcBorders>
          </w:tcPr>
          <w:p>
            <w:pPr>
              <w:spacing w:after="0" w:line="20" w:lineRule="exact"/>
              <w:rPr>
                <w:sz w:val="1"/>
                <w:szCs w:val="1"/>
                <w:color w:val="auto"/>
              </w:rPr>
            </w:pPr>
          </w:p>
        </w:tc>
        <w:tc>
          <w:tcPr>
            <w:tcW w:w="1640" w:type="dxa"/>
            <w:vAlign w:val="bottom"/>
            <w:tcBorders>
              <w:top w:val="single" w:sz="8" w:color="0000FF"/>
              <w:bottom w:val="single" w:sz="8" w:color="auto"/>
            </w:tcBorders>
          </w:tcPr>
          <w:p>
            <w:pPr>
              <w:spacing w:after="0" w:line="20" w:lineRule="exact"/>
              <w:rPr>
                <w:sz w:val="1"/>
                <w:szCs w:val="1"/>
                <w:color w:val="auto"/>
              </w:rPr>
            </w:pPr>
          </w:p>
        </w:tc>
        <w:tc>
          <w:tcPr>
            <w:tcW w:w="1600" w:type="dxa"/>
            <w:vAlign w:val="bottom"/>
            <w:tcBorders>
              <w:top w:val="single" w:sz="8" w:color="0000FF"/>
              <w:bottom w:val="single" w:sz="8" w:color="auto"/>
            </w:tcBorders>
          </w:tcPr>
          <w:p>
            <w:pPr>
              <w:spacing w:after="0" w:line="20" w:lineRule="exact"/>
              <w:rPr>
                <w:sz w:val="1"/>
                <w:szCs w:val="1"/>
                <w:color w:val="auto"/>
              </w:rPr>
            </w:pPr>
          </w:p>
        </w:tc>
        <w:tc>
          <w:tcPr>
            <w:tcW w:w="160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1480" w:type="dxa"/>
            <w:vAlign w:val="bottom"/>
          </w:tcPr>
          <w:p>
            <w:pPr>
              <w:jc w:val="right"/>
              <w:ind w:right="370"/>
              <w:spacing w:after="0" w:line="182" w:lineRule="exact"/>
              <w:rPr>
                <w:sz w:val="20"/>
                <w:szCs w:val="20"/>
                <w:color w:val="auto"/>
              </w:rPr>
            </w:pPr>
            <w:r>
              <w:rPr>
                <w:rFonts w:ascii="Arial" w:cs="Arial" w:eastAsia="Arial" w:hAnsi="Arial"/>
                <w:sz w:val="18"/>
                <w:szCs w:val="18"/>
                <w:color w:val="auto"/>
              </w:rPr>
              <w:t>4.1</w:t>
            </w:r>
          </w:p>
        </w:tc>
        <w:tc>
          <w:tcPr>
            <w:tcW w:w="9960" w:type="dxa"/>
            <w:vAlign w:val="bottom"/>
            <w:gridSpan w:val="21"/>
          </w:tcPr>
          <w:p>
            <w:pPr>
              <w:spacing w:after="0" w:line="182" w:lineRule="exact"/>
              <w:rPr>
                <w:sz w:val="20"/>
                <w:szCs w:val="20"/>
                <w:color w:val="auto"/>
              </w:rPr>
            </w:pPr>
            <w:r>
              <w:rPr>
                <w:rFonts w:ascii="Arial" w:cs="Arial" w:eastAsia="Arial" w:hAnsi="Arial"/>
                <w:sz w:val="18"/>
                <w:szCs w:val="18"/>
                <w:color w:val="auto"/>
              </w:rPr>
              <w:t>Honeywell International Inc. is a party to several long-term debt instruments under which, in each case, the total amount</w:t>
            </w:r>
          </w:p>
        </w:tc>
        <w:tc>
          <w:tcPr>
            <w:tcW w:w="0" w:type="dxa"/>
            <w:vAlign w:val="bottom"/>
          </w:tcPr>
          <w:p>
            <w:pPr>
              <w:spacing w:after="0"/>
              <w:rPr>
                <w:sz w:val="1"/>
                <w:szCs w:val="1"/>
                <w:color w:val="auto"/>
              </w:rPr>
            </w:pPr>
          </w:p>
        </w:tc>
      </w:tr>
      <w:tr>
        <w:trPr>
          <w:trHeight w:val="175"/>
        </w:trPr>
        <w:tc>
          <w:tcPr>
            <w:tcW w:w="1480" w:type="dxa"/>
            <w:vAlign w:val="bottom"/>
          </w:tcPr>
          <w:p>
            <w:pPr>
              <w:spacing w:after="0"/>
              <w:rPr>
                <w:sz w:val="15"/>
                <w:szCs w:val="15"/>
                <w:color w:val="auto"/>
              </w:rPr>
            </w:pPr>
          </w:p>
        </w:tc>
        <w:tc>
          <w:tcPr>
            <w:tcW w:w="9960" w:type="dxa"/>
            <w:vAlign w:val="bottom"/>
            <w:gridSpan w:val="21"/>
          </w:tcPr>
          <w:p>
            <w:pPr>
              <w:spacing w:after="0" w:line="176" w:lineRule="exact"/>
              <w:rPr>
                <w:sz w:val="20"/>
                <w:szCs w:val="20"/>
                <w:color w:val="auto"/>
              </w:rPr>
            </w:pPr>
            <w:r>
              <w:rPr>
                <w:rFonts w:ascii="Arial" w:cs="Arial" w:eastAsia="Arial" w:hAnsi="Arial"/>
                <w:sz w:val="18"/>
                <w:szCs w:val="18"/>
                <w:color w:val="auto"/>
              </w:rPr>
              <w:t>of securities authorized does not exceed 10% of the total assets of Honeywell and its subsidiaries on a consolidated</w:t>
            </w:r>
          </w:p>
        </w:tc>
        <w:tc>
          <w:tcPr>
            <w:tcW w:w="0" w:type="dxa"/>
            <w:vAlign w:val="bottom"/>
          </w:tcPr>
          <w:p>
            <w:pPr>
              <w:spacing w:after="0"/>
              <w:rPr>
                <w:sz w:val="1"/>
                <w:szCs w:val="1"/>
                <w:color w:val="auto"/>
              </w:rPr>
            </w:pPr>
          </w:p>
        </w:tc>
      </w:tr>
      <w:tr>
        <w:trPr>
          <w:trHeight w:val="176"/>
        </w:trPr>
        <w:tc>
          <w:tcPr>
            <w:tcW w:w="1480" w:type="dxa"/>
            <w:vAlign w:val="bottom"/>
          </w:tcPr>
          <w:p>
            <w:pPr>
              <w:spacing w:after="0"/>
              <w:rPr>
                <w:sz w:val="15"/>
                <w:szCs w:val="15"/>
                <w:color w:val="auto"/>
              </w:rPr>
            </w:pPr>
          </w:p>
        </w:tc>
        <w:tc>
          <w:tcPr>
            <w:tcW w:w="9960" w:type="dxa"/>
            <w:vAlign w:val="bottom"/>
            <w:gridSpan w:val="21"/>
          </w:tcPr>
          <w:p>
            <w:pPr>
              <w:spacing w:after="0" w:line="176" w:lineRule="exact"/>
              <w:rPr>
                <w:sz w:val="20"/>
                <w:szCs w:val="20"/>
                <w:color w:val="auto"/>
              </w:rPr>
            </w:pPr>
            <w:r>
              <w:rPr>
                <w:rFonts w:ascii="Arial" w:cs="Arial" w:eastAsia="Arial" w:hAnsi="Arial"/>
                <w:sz w:val="18"/>
                <w:szCs w:val="18"/>
                <w:color w:val="auto"/>
              </w:rPr>
              <w:t>basis. Pursuant to paragraph 4(iii)(A) of Item 601(b) of Regulation S-K, Honeywell agrees to furnish a copy of such</w:t>
            </w:r>
          </w:p>
        </w:tc>
        <w:tc>
          <w:tcPr>
            <w:tcW w:w="0" w:type="dxa"/>
            <w:vAlign w:val="bottom"/>
          </w:tcPr>
          <w:p>
            <w:pPr>
              <w:spacing w:after="0"/>
              <w:rPr>
                <w:sz w:val="1"/>
                <w:szCs w:val="1"/>
                <w:color w:val="auto"/>
              </w:rPr>
            </w:pPr>
          </w:p>
        </w:tc>
      </w:tr>
      <w:tr>
        <w:trPr>
          <w:trHeight w:val="217"/>
        </w:trPr>
        <w:tc>
          <w:tcPr>
            <w:tcW w:w="1480" w:type="dxa"/>
            <w:vAlign w:val="bottom"/>
            <w:tcBorders>
              <w:bottom w:val="single" w:sz="8" w:color="auto"/>
            </w:tcBorders>
          </w:tcPr>
          <w:p>
            <w:pPr>
              <w:spacing w:after="0"/>
              <w:rPr>
                <w:sz w:val="18"/>
                <w:szCs w:val="18"/>
                <w:color w:val="auto"/>
              </w:rPr>
            </w:pPr>
          </w:p>
        </w:tc>
        <w:tc>
          <w:tcPr>
            <w:tcW w:w="9960" w:type="dxa"/>
            <w:vAlign w:val="bottom"/>
            <w:tcBorders>
              <w:bottom w:val="single" w:sz="8" w:color="auto"/>
            </w:tcBorders>
            <w:gridSpan w:val="21"/>
          </w:tcPr>
          <w:p>
            <w:pPr>
              <w:spacing w:after="0"/>
              <w:rPr>
                <w:sz w:val="20"/>
                <w:szCs w:val="20"/>
                <w:color w:val="auto"/>
              </w:rPr>
            </w:pPr>
            <w:r>
              <w:rPr>
                <w:rFonts w:ascii="Arial" w:cs="Arial" w:eastAsia="Arial" w:hAnsi="Arial"/>
                <w:sz w:val="18"/>
                <w:szCs w:val="18"/>
                <w:color w:val="auto"/>
              </w:rPr>
              <w:t>instruments to the Securities and Exchange Commission upon request.</w:t>
            </w:r>
          </w:p>
        </w:tc>
        <w:tc>
          <w:tcPr>
            <w:tcW w:w="0" w:type="dxa"/>
            <w:vAlign w:val="bottom"/>
          </w:tcPr>
          <w:p>
            <w:pPr>
              <w:spacing w:after="0"/>
              <w:rPr>
                <w:sz w:val="1"/>
                <w:szCs w:val="1"/>
                <w:color w:val="auto"/>
              </w:rPr>
            </w:pPr>
          </w:p>
        </w:tc>
      </w:tr>
      <w:tr>
        <w:trPr>
          <w:trHeight w:val="182"/>
        </w:trPr>
        <w:tc>
          <w:tcPr>
            <w:tcW w:w="1480" w:type="dxa"/>
            <w:vAlign w:val="bottom"/>
          </w:tcPr>
          <w:p>
            <w:pPr>
              <w:jc w:val="right"/>
              <w:ind w:right="370"/>
              <w:spacing w:after="0" w:line="182" w:lineRule="exact"/>
              <w:rPr>
                <w:sz w:val="20"/>
                <w:szCs w:val="20"/>
                <w:color w:val="auto"/>
              </w:rPr>
            </w:pPr>
            <w:r>
              <w:rPr>
                <w:rFonts w:ascii="Arial" w:cs="Arial" w:eastAsia="Arial" w:hAnsi="Arial"/>
                <w:sz w:val="18"/>
                <w:szCs w:val="18"/>
                <w:color w:val="auto"/>
              </w:rPr>
              <w:t>4.2</w:t>
            </w:r>
          </w:p>
        </w:tc>
        <w:tc>
          <w:tcPr>
            <w:tcW w:w="9960" w:type="dxa"/>
            <w:vAlign w:val="bottom"/>
            <w:gridSpan w:val="21"/>
          </w:tcPr>
          <w:p>
            <w:pPr>
              <w:spacing w:after="0" w:line="182" w:lineRule="exact"/>
              <w:rPr>
                <w:rFonts w:ascii="Arial" w:cs="Arial" w:eastAsia="Arial" w:hAnsi="Arial"/>
                <w:sz w:val="18"/>
                <w:szCs w:val="18"/>
                <w:color w:val="0000FF"/>
              </w:rPr>
            </w:pPr>
            <w:hyperlink w:anchor="page128">
              <w:r>
                <w:rPr>
                  <w:rFonts w:ascii="Arial" w:cs="Arial" w:eastAsia="Arial" w:hAnsi="Arial"/>
                  <w:sz w:val="18"/>
                  <w:szCs w:val="18"/>
                  <w:u w:val="single" w:color="auto"/>
                  <w:color w:val="0000FF"/>
                </w:rPr>
                <w:t>Description of Honeywell International</w:t>
              </w:r>
              <w:r>
                <w:rPr>
                  <w:rFonts w:ascii="Arial" w:cs="Arial" w:eastAsia="Arial" w:hAnsi="Arial"/>
                  <w:sz w:val="18"/>
                  <w:szCs w:val="18"/>
                  <w:color w:val="0000FF"/>
                </w:rPr>
                <w:t xml:space="preserve"> Description of Honeywell International Inc. Securities Registered Pursuant to</w:t>
              </w:r>
            </w:hyperlink>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480" w:type="dxa"/>
            <w:vAlign w:val="bottom"/>
          </w:tcPr>
          <w:p>
            <w:pPr>
              <w:spacing w:after="0"/>
              <w:rPr>
                <w:sz w:val="13"/>
                <w:szCs w:val="13"/>
                <w:color w:val="auto"/>
              </w:rPr>
            </w:pPr>
          </w:p>
        </w:tc>
        <w:tc>
          <w:tcPr>
            <w:tcW w:w="9740" w:type="dxa"/>
            <w:vAlign w:val="bottom"/>
            <w:gridSpan w:val="10"/>
          </w:tcPr>
          <w:p>
            <w:pPr>
              <w:spacing w:after="0" w:line="156" w:lineRule="exact"/>
              <w:rPr>
                <w:rFonts w:ascii="Arial" w:cs="Arial" w:eastAsia="Arial" w:hAnsi="Arial"/>
                <w:sz w:val="18"/>
                <w:szCs w:val="18"/>
                <w:color w:val="0000FF"/>
              </w:rPr>
            </w:pPr>
            <w:hyperlink w:anchor="page128">
              <w:r>
                <w:rPr>
                  <w:rFonts w:ascii="Arial" w:cs="Arial" w:eastAsia="Arial" w:hAnsi="Arial"/>
                  <w:sz w:val="18"/>
                  <w:szCs w:val="18"/>
                  <w:color w:val="0000FF"/>
                </w:rPr>
                <w:t>Section 12 of the Securities Exchange Act of 1934 (filed herewith)</w:t>
              </w:r>
            </w:hyperlink>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40" w:type="dxa"/>
            <w:vAlign w:val="bottom"/>
            <w:gridSpan w:val="2"/>
            <w:vMerge w:val="continue"/>
          </w:tcPr>
          <w:p>
            <w:pPr>
              <w:spacing w:after="0"/>
              <w:rPr>
                <w:sz w:val="13"/>
                <w:szCs w:val="13"/>
                <w:color w:val="auto"/>
              </w:rPr>
            </w:pPr>
          </w:p>
        </w:tc>
        <w:tc>
          <w:tcPr>
            <w:tcW w:w="4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480" w:type="dxa"/>
            <w:vAlign w:val="bottom"/>
            <w:tcBorders>
              <w:bottom w:val="single" w:sz="8" w:color="auto"/>
            </w:tcBorders>
          </w:tcPr>
          <w:p>
            <w:pPr>
              <w:spacing w:after="0" w:line="20" w:lineRule="exact"/>
              <w:rPr>
                <w:sz w:val="1"/>
                <w:szCs w:val="1"/>
                <w:color w:val="auto"/>
              </w:rPr>
            </w:pPr>
          </w:p>
        </w:tc>
        <w:tc>
          <w:tcPr>
            <w:tcW w:w="1640" w:type="dxa"/>
            <w:vAlign w:val="bottom"/>
            <w:tcBorders>
              <w:top w:val="single" w:sz="8" w:color="0000FF"/>
              <w:bottom w:val="single" w:sz="8" w:color="auto"/>
            </w:tcBorders>
          </w:tcPr>
          <w:p>
            <w:pPr>
              <w:spacing w:after="0" w:line="20" w:lineRule="exact"/>
              <w:rPr>
                <w:sz w:val="1"/>
                <w:szCs w:val="1"/>
                <w:color w:val="auto"/>
              </w:rPr>
            </w:pPr>
          </w:p>
        </w:tc>
        <w:tc>
          <w:tcPr>
            <w:tcW w:w="1600" w:type="dxa"/>
            <w:vAlign w:val="bottom"/>
            <w:tcBorders>
              <w:top w:val="single" w:sz="8" w:color="0000FF"/>
              <w:bottom w:val="single" w:sz="8" w:color="auto"/>
            </w:tcBorders>
          </w:tcPr>
          <w:p>
            <w:pPr>
              <w:spacing w:after="0" w:line="20" w:lineRule="exact"/>
              <w:rPr>
                <w:sz w:val="1"/>
                <w:szCs w:val="1"/>
                <w:color w:val="auto"/>
              </w:rPr>
            </w:pPr>
          </w:p>
        </w:tc>
        <w:tc>
          <w:tcPr>
            <w:tcW w:w="160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480" w:type="dxa"/>
            <w:vAlign w:val="bottom"/>
          </w:tcPr>
          <w:p>
            <w:pPr>
              <w:jc w:val="right"/>
              <w:ind w:right="310"/>
              <w:spacing w:after="0" w:line="182" w:lineRule="exact"/>
              <w:rPr>
                <w:sz w:val="20"/>
                <w:szCs w:val="20"/>
                <w:color w:val="auto"/>
              </w:rPr>
            </w:pPr>
            <w:r>
              <w:rPr>
                <w:rFonts w:ascii="Arial" w:cs="Arial" w:eastAsia="Arial" w:hAnsi="Arial"/>
                <w:sz w:val="18"/>
                <w:szCs w:val="18"/>
                <w:color w:val="auto"/>
              </w:rPr>
              <w:t>10.1*</w:t>
            </w:r>
          </w:p>
        </w:tc>
        <w:tc>
          <w:tcPr>
            <w:tcW w:w="9960" w:type="dxa"/>
            <w:vAlign w:val="bottom"/>
            <w:gridSpan w:val="21"/>
          </w:tcPr>
          <w:p>
            <w:pPr>
              <w:spacing w:after="0" w:line="182" w:lineRule="exact"/>
              <w:rPr>
                <w:rFonts w:ascii="Arial" w:cs="Arial" w:eastAsia="Arial" w:hAnsi="Arial"/>
                <w:sz w:val="18"/>
                <w:szCs w:val="18"/>
                <w:color w:val="0000FF"/>
              </w:rPr>
            </w:pPr>
            <w:hyperlink r:id="rId157">
              <w:r>
                <w:rPr>
                  <w:rFonts w:ascii="Arial" w:cs="Arial" w:eastAsia="Arial" w:hAnsi="Arial"/>
                  <w:sz w:val="18"/>
                  <w:szCs w:val="18"/>
                  <w:color w:val="0000FF"/>
                </w:rPr>
                <w:t>Deferred Compensation Plan for Non-Employee Directors of Honeywell International Inc., as amended and restated</w:t>
              </w:r>
            </w:hyperlink>
          </w:p>
        </w:tc>
        <w:tc>
          <w:tcPr>
            <w:tcW w:w="0" w:type="dxa"/>
            <w:vAlign w:val="bottom"/>
          </w:tcPr>
          <w:p>
            <w:pPr>
              <w:spacing w:after="0"/>
              <w:rPr>
                <w:sz w:val="1"/>
                <w:szCs w:val="1"/>
                <w:color w:val="auto"/>
              </w:rPr>
            </w:pPr>
          </w:p>
        </w:tc>
      </w:tr>
      <w:tr>
        <w:trPr>
          <w:trHeight w:val="196"/>
        </w:trPr>
        <w:tc>
          <w:tcPr>
            <w:tcW w:w="1480" w:type="dxa"/>
            <w:vAlign w:val="bottom"/>
            <w:tcBorders>
              <w:bottom w:val="single" w:sz="8" w:color="auto"/>
            </w:tcBorders>
          </w:tcPr>
          <w:p>
            <w:pPr>
              <w:spacing w:after="0"/>
              <w:rPr>
                <w:sz w:val="17"/>
                <w:szCs w:val="17"/>
                <w:color w:val="auto"/>
              </w:rPr>
            </w:pPr>
          </w:p>
        </w:tc>
        <w:tc>
          <w:tcPr>
            <w:tcW w:w="9780" w:type="dxa"/>
            <w:vAlign w:val="bottom"/>
            <w:tcBorders>
              <w:top w:val="single" w:sz="8" w:color="0000FF"/>
              <w:bottom w:val="single" w:sz="8" w:color="auto"/>
            </w:tcBorders>
            <w:gridSpan w:val="12"/>
          </w:tcPr>
          <w:p>
            <w:pPr>
              <w:spacing w:after="0" w:line="196" w:lineRule="exact"/>
              <w:rPr>
                <w:rFonts w:ascii="Arial" w:cs="Arial" w:eastAsia="Arial" w:hAnsi="Arial"/>
                <w:sz w:val="18"/>
                <w:szCs w:val="18"/>
                <w:u w:val="single" w:color="auto"/>
                <w:color w:val="0000FF"/>
              </w:rPr>
            </w:pPr>
            <w:hyperlink r:id="rId157">
              <w:r>
                <w:rPr>
                  <w:rFonts w:ascii="Arial" w:cs="Arial" w:eastAsia="Arial" w:hAnsi="Arial"/>
                  <w:sz w:val="18"/>
                  <w:szCs w:val="18"/>
                  <w:u w:val="single" w:color="auto"/>
                  <w:color w:val="0000FF"/>
                </w:rPr>
                <w:t>(incorporated by reference to Exhibit 10.2 to Honeywell’s Form 10-Q for the quarter ended June 30, 2003)</w:t>
              </w:r>
            </w:hyperlink>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gridSpan w:val="2"/>
          </w:tcPr>
          <w:p>
            <w:pPr>
              <w:spacing w:after="0"/>
              <w:rPr>
                <w:sz w:val="17"/>
                <w:szCs w:val="17"/>
                <w:color w:val="auto"/>
              </w:rPr>
            </w:pPr>
          </w:p>
        </w:tc>
        <w:tc>
          <w:tcPr>
            <w:tcW w:w="40" w:type="dxa"/>
            <w:vAlign w:val="bottom"/>
            <w:tcBorders>
              <w:bottom w:val="single" w:sz="8" w:color="auto"/>
            </w:tcBorders>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480" w:type="dxa"/>
            <w:vAlign w:val="bottom"/>
          </w:tcPr>
          <w:p>
            <w:pPr>
              <w:jc w:val="right"/>
              <w:ind w:right="310"/>
              <w:spacing w:after="0" w:line="182" w:lineRule="exact"/>
              <w:rPr>
                <w:sz w:val="20"/>
                <w:szCs w:val="20"/>
                <w:color w:val="auto"/>
              </w:rPr>
            </w:pPr>
            <w:r>
              <w:rPr>
                <w:rFonts w:ascii="Arial" w:cs="Arial" w:eastAsia="Arial" w:hAnsi="Arial"/>
                <w:sz w:val="18"/>
                <w:szCs w:val="18"/>
                <w:color w:val="auto"/>
              </w:rPr>
              <w:t>10.2*</w:t>
            </w:r>
          </w:p>
        </w:tc>
        <w:tc>
          <w:tcPr>
            <w:tcW w:w="9960" w:type="dxa"/>
            <w:vAlign w:val="bottom"/>
            <w:gridSpan w:val="21"/>
          </w:tcPr>
          <w:p>
            <w:pPr>
              <w:spacing w:after="0" w:line="182" w:lineRule="exact"/>
              <w:rPr>
                <w:rFonts w:ascii="Arial" w:cs="Arial" w:eastAsia="Arial" w:hAnsi="Arial"/>
                <w:sz w:val="18"/>
                <w:szCs w:val="18"/>
                <w:color w:val="0000FF"/>
              </w:rPr>
            </w:pPr>
            <w:hyperlink r:id="rId158">
              <w:r>
                <w:rPr>
                  <w:rFonts w:ascii="Arial" w:cs="Arial" w:eastAsia="Arial" w:hAnsi="Arial"/>
                  <w:sz w:val="18"/>
                  <w:szCs w:val="18"/>
                  <w:color w:val="0000FF"/>
                </w:rPr>
                <w:t>Amendment to Deferred Compensation Plan for Non-Employee Directors of Honeywell International Inc., as amended and</w:t>
              </w:r>
            </w:hyperlink>
          </w:p>
        </w:tc>
        <w:tc>
          <w:tcPr>
            <w:tcW w:w="0" w:type="dxa"/>
            <w:vAlign w:val="bottom"/>
          </w:tcPr>
          <w:p>
            <w:pPr>
              <w:spacing w:after="0"/>
              <w:rPr>
                <w:sz w:val="1"/>
                <w:szCs w:val="1"/>
                <w:color w:val="auto"/>
              </w:rPr>
            </w:pPr>
          </w:p>
        </w:tc>
      </w:tr>
      <w:tr>
        <w:trPr>
          <w:trHeight w:val="196"/>
        </w:trPr>
        <w:tc>
          <w:tcPr>
            <w:tcW w:w="1480" w:type="dxa"/>
            <w:vAlign w:val="bottom"/>
            <w:tcBorders>
              <w:bottom w:val="single" w:sz="8" w:color="auto"/>
            </w:tcBorders>
          </w:tcPr>
          <w:p>
            <w:pPr>
              <w:spacing w:after="0"/>
              <w:rPr>
                <w:sz w:val="17"/>
                <w:szCs w:val="17"/>
                <w:color w:val="auto"/>
              </w:rPr>
            </w:pPr>
          </w:p>
        </w:tc>
        <w:tc>
          <w:tcPr>
            <w:tcW w:w="9940" w:type="dxa"/>
            <w:vAlign w:val="bottom"/>
            <w:tcBorders>
              <w:top w:val="single" w:sz="8" w:color="0000FF"/>
              <w:bottom w:val="single" w:sz="8" w:color="auto"/>
            </w:tcBorders>
            <w:gridSpan w:val="20"/>
          </w:tcPr>
          <w:p>
            <w:pPr>
              <w:spacing w:after="0" w:line="196" w:lineRule="exact"/>
              <w:rPr>
                <w:rFonts w:ascii="Arial" w:cs="Arial" w:eastAsia="Arial" w:hAnsi="Arial"/>
                <w:sz w:val="18"/>
                <w:szCs w:val="18"/>
                <w:u w:val="single" w:color="auto"/>
                <w:color w:val="0000FF"/>
              </w:rPr>
            </w:pPr>
            <w:hyperlink r:id="rId158">
              <w:r>
                <w:rPr>
                  <w:rFonts w:ascii="Arial" w:cs="Arial" w:eastAsia="Arial" w:hAnsi="Arial"/>
                  <w:sz w:val="18"/>
                  <w:szCs w:val="18"/>
                  <w:u w:val="single" w:color="auto"/>
                  <w:color w:val="0000FF"/>
                </w:rPr>
                <w:t>restated (incorporated by reference to Exhibit 10.1 to Honeywell’s Form 8-K filed December 21, 2004)</w:t>
              </w:r>
            </w:hyperlink>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480" w:type="dxa"/>
            <w:vAlign w:val="bottom"/>
          </w:tcPr>
          <w:p>
            <w:pPr>
              <w:jc w:val="right"/>
              <w:ind w:right="310"/>
              <w:spacing w:after="0" w:line="182" w:lineRule="exact"/>
              <w:rPr>
                <w:sz w:val="20"/>
                <w:szCs w:val="20"/>
                <w:color w:val="auto"/>
              </w:rPr>
            </w:pPr>
            <w:r>
              <w:rPr>
                <w:rFonts w:ascii="Arial" w:cs="Arial" w:eastAsia="Arial" w:hAnsi="Arial"/>
                <w:sz w:val="18"/>
                <w:szCs w:val="18"/>
                <w:color w:val="auto"/>
              </w:rPr>
              <w:t>10.3*</w:t>
            </w:r>
          </w:p>
        </w:tc>
        <w:tc>
          <w:tcPr>
            <w:tcW w:w="9960" w:type="dxa"/>
            <w:vAlign w:val="bottom"/>
            <w:gridSpan w:val="21"/>
          </w:tcPr>
          <w:p>
            <w:pPr>
              <w:spacing w:after="0" w:line="182" w:lineRule="exact"/>
              <w:rPr>
                <w:rFonts w:ascii="Arial" w:cs="Arial" w:eastAsia="Arial" w:hAnsi="Arial"/>
                <w:sz w:val="18"/>
                <w:szCs w:val="18"/>
                <w:color w:val="0000FF"/>
              </w:rPr>
            </w:pPr>
            <w:hyperlink r:id="rId159">
              <w:r>
                <w:rPr>
                  <w:rFonts w:ascii="Arial" w:cs="Arial" w:eastAsia="Arial" w:hAnsi="Arial"/>
                  <w:sz w:val="18"/>
                  <w:szCs w:val="18"/>
                  <w:color w:val="0000FF"/>
                </w:rPr>
                <w:t>Amendment to Deferred Compensation Plan for Non-Employee Directors of Honeywell International Inc., as amended and</w:t>
              </w:r>
            </w:hyperlink>
          </w:p>
        </w:tc>
        <w:tc>
          <w:tcPr>
            <w:tcW w:w="0" w:type="dxa"/>
            <w:vAlign w:val="bottom"/>
          </w:tcPr>
          <w:p>
            <w:pPr>
              <w:spacing w:after="0"/>
              <w:rPr>
                <w:sz w:val="1"/>
                <w:szCs w:val="1"/>
                <w:color w:val="auto"/>
              </w:rPr>
            </w:pPr>
          </w:p>
        </w:tc>
      </w:tr>
      <w:tr>
        <w:trPr>
          <w:trHeight w:val="196"/>
        </w:trPr>
        <w:tc>
          <w:tcPr>
            <w:tcW w:w="1480" w:type="dxa"/>
            <w:vAlign w:val="bottom"/>
            <w:tcBorders>
              <w:bottom w:val="single" w:sz="8" w:color="auto"/>
            </w:tcBorders>
          </w:tcPr>
          <w:p>
            <w:pPr>
              <w:spacing w:after="0"/>
              <w:rPr>
                <w:sz w:val="17"/>
                <w:szCs w:val="17"/>
                <w:color w:val="auto"/>
              </w:rPr>
            </w:pPr>
          </w:p>
        </w:tc>
        <w:tc>
          <w:tcPr>
            <w:tcW w:w="9940" w:type="dxa"/>
            <w:vAlign w:val="bottom"/>
            <w:tcBorders>
              <w:top w:val="single" w:sz="8" w:color="0000FF"/>
              <w:bottom w:val="single" w:sz="8" w:color="auto"/>
            </w:tcBorders>
            <w:gridSpan w:val="20"/>
          </w:tcPr>
          <w:p>
            <w:pPr>
              <w:spacing w:after="0" w:line="196" w:lineRule="exact"/>
              <w:rPr>
                <w:rFonts w:ascii="Arial" w:cs="Arial" w:eastAsia="Arial" w:hAnsi="Arial"/>
                <w:sz w:val="18"/>
                <w:szCs w:val="18"/>
                <w:u w:val="single" w:color="auto"/>
                <w:color w:val="0000FF"/>
              </w:rPr>
            </w:pPr>
            <w:hyperlink r:id="rId159">
              <w:r>
                <w:rPr>
                  <w:rFonts w:ascii="Arial" w:cs="Arial" w:eastAsia="Arial" w:hAnsi="Arial"/>
                  <w:sz w:val="18"/>
                  <w:szCs w:val="18"/>
                  <w:u w:val="single" w:color="auto"/>
                  <w:color w:val="0000FF"/>
                </w:rPr>
                <w:t>restated (incorporated by reference to Exhibit 10.2 to Honeywell’s Form 10-K for the year ended December 31, 2005)</w:t>
              </w:r>
            </w:hyperlink>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480" w:type="dxa"/>
            <w:vAlign w:val="bottom"/>
          </w:tcPr>
          <w:p>
            <w:pPr>
              <w:jc w:val="right"/>
              <w:ind w:right="310"/>
              <w:spacing w:after="0" w:line="182" w:lineRule="exact"/>
              <w:rPr>
                <w:sz w:val="20"/>
                <w:szCs w:val="20"/>
                <w:color w:val="auto"/>
              </w:rPr>
            </w:pPr>
            <w:r>
              <w:rPr>
                <w:rFonts w:ascii="Arial" w:cs="Arial" w:eastAsia="Arial" w:hAnsi="Arial"/>
                <w:sz w:val="18"/>
                <w:szCs w:val="18"/>
                <w:color w:val="auto"/>
              </w:rPr>
              <w:t>10.4*</w:t>
            </w:r>
          </w:p>
        </w:tc>
        <w:tc>
          <w:tcPr>
            <w:tcW w:w="9960" w:type="dxa"/>
            <w:vAlign w:val="bottom"/>
            <w:gridSpan w:val="21"/>
          </w:tcPr>
          <w:p>
            <w:pPr>
              <w:spacing w:after="0" w:line="182" w:lineRule="exact"/>
              <w:rPr>
                <w:rFonts w:ascii="Arial" w:cs="Arial" w:eastAsia="Arial" w:hAnsi="Arial"/>
                <w:sz w:val="18"/>
                <w:szCs w:val="18"/>
                <w:color w:val="0000FF"/>
              </w:rPr>
            </w:pPr>
            <w:hyperlink r:id="rId160">
              <w:r>
                <w:rPr>
                  <w:rFonts w:ascii="Arial" w:cs="Arial" w:eastAsia="Arial" w:hAnsi="Arial"/>
                  <w:sz w:val="18"/>
                  <w:szCs w:val="18"/>
                  <w:color w:val="0000FF"/>
                </w:rPr>
                <w:t>Honeywell  International  Inc.  Incentive  Compensation  Plan  for  Executive  Employees,  as  amended  and  restated</w:t>
              </w:r>
            </w:hyperlink>
          </w:p>
        </w:tc>
        <w:tc>
          <w:tcPr>
            <w:tcW w:w="0" w:type="dxa"/>
            <w:vAlign w:val="bottom"/>
          </w:tcPr>
          <w:p>
            <w:pPr>
              <w:spacing w:after="0"/>
              <w:rPr>
                <w:sz w:val="1"/>
                <w:szCs w:val="1"/>
                <w:color w:val="auto"/>
              </w:rPr>
            </w:pPr>
          </w:p>
        </w:tc>
      </w:tr>
      <w:tr>
        <w:trPr>
          <w:trHeight w:val="196"/>
        </w:trPr>
        <w:tc>
          <w:tcPr>
            <w:tcW w:w="1480" w:type="dxa"/>
            <w:vAlign w:val="bottom"/>
            <w:tcBorders>
              <w:bottom w:val="single" w:sz="8" w:color="auto"/>
            </w:tcBorders>
          </w:tcPr>
          <w:p>
            <w:pPr>
              <w:spacing w:after="0"/>
              <w:rPr>
                <w:sz w:val="17"/>
                <w:szCs w:val="17"/>
                <w:color w:val="auto"/>
              </w:rPr>
            </w:pPr>
          </w:p>
        </w:tc>
        <w:tc>
          <w:tcPr>
            <w:tcW w:w="9760" w:type="dxa"/>
            <w:vAlign w:val="bottom"/>
            <w:tcBorders>
              <w:top w:val="single" w:sz="8" w:color="0000FF"/>
              <w:bottom w:val="single" w:sz="8" w:color="auto"/>
            </w:tcBorders>
            <w:gridSpan w:val="11"/>
          </w:tcPr>
          <w:p>
            <w:pPr>
              <w:spacing w:after="0" w:line="196" w:lineRule="exact"/>
              <w:rPr>
                <w:rFonts w:ascii="Arial" w:cs="Arial" w:eastAsia="Arial" w:hAnsi="Arial"/>
                <w:sz w:val="18"/>
                <w:szCs w:val="18"/>
                <w:u w:val="single" w:color="auto"/>
                <w:color w:val="0000FF"/>
              </w:rPr>
            </w:pPr>
            <w:hyperlink r:id="rId160">
              <w:r>
                <w:rPr>
                  <w:rFonts w:ascii="Arial" w:cs="Arial" w:eastAsia="Arial" w:hAnsi="Arial"/>
                  <w:sz w:val="18"/>
                  <w:szCs w:val="18"/>
                  <w:u w:val="single" w:color="auto"/>
                  <w:color w:val="0000FF"/>
                </w:rPr>
                <w:t>(incorporated by reference to Exhibit 10.4 to Honeywell’s Form 10-K for the year ended December 31, 2018)</w:t>
              </w:r>
            </w:hyperlink>
          </w:p>
        </w:tc>
        <w:tc>
          <w:tcPr>
            <w:tcW w:w="40" w:type="dxa"/>
            <w:vAlign w:val="bottom"/>
            <w:tcBorders>
              <w:bottom w:val="single" w:sz="8" w:color="auto"/>
            </w:tcBorders>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gridSpan w:val="2"/>
          </w:tcPr>
          <w:p>
            <w:pPr>
              <w:spacing w:after="0"/>
              <w:rPr>
                <w:sz w:val="17"/>
                <w:szCs w:val="17"/>
                <w:color w:val="auto"/>
              </w:rPr>
            </w:pPr>
          </w:p>
        </w:tc>
        <w:tc>
          <w:tcPr>
            <w:tcW w:w="40" w:type="dxa"/>
            <w:vAlign w:val="bottom"/>
            <w:tcBorders>
              <w:bottom w:val="single" w:sz="8" w:color="auto"/>
            </w:tcBorders>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4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10.5*</w:t>
            </w:r>
          </w:p>
        </w:tc>
        <w:tc>
          <w:tcPr>
            <w:tcW w:w="9960" w:type="dxa"/>
            <w:vAlign w:val="bottom"/>
            <w:tcBorders>
              <w:bottom w:val="single" w:sz="8" w:color="auto"/>
            </w:tcBorders>
            <w:gridSpan w:val="21"/>
          </w:tcPr>
          <w:p>
            <w:pPr>
              <w:spacing w:after="0"/>
              <w:rPr>
                <w:rFonts w:ascii="Arial" w:cs="Arial" w:eastAsia="Arial" w:hAnsi="Arial"/>
                <w:sz w:val="18"/>
                <w:szCs w:val="18"/>
                <w:u w:val="single" w:color="auto"/>
                <w:color w:val="0000FF"/>
              </w:rPr>
            </w:pPr>
            <w:hyperlink w:anchor="page142">
              <w:r>
                <w:rPr>
                  <w:rFonts w:ascii="Arial" w:cs="Arial" w:eastAsia="Arial" w:hAnsi="Arial"/>
                  <w:sz w:val="18"/>
                  <w:szCs w:val="18"/>
                  <w:u w:val="single" w:color="auto"/>
                  <w:color w:val="0000FF"/>
                </w:rPr>
                <w:t>Honeywell Excess Benefit Plan and Honeywell Supplemental Savings Plan, as amended and restated (filed herewith)</w:t>
              </w:r>
            </w:hyperlink>
          </w:p>
        </w:tc>
        <w:tc>
          <w:tcPr>
            <w:tcW w:w="0" w:type="dxa"/>
            <w:vAlign w:val="bottom"/>
          </w:tcPr>
          <w:p>
            <w:pPr>
              <w:spacing w:after="0"/>
              <w:rPr>
                <w:sz w:val="1"/>
                <w:szCs w:val="1"/>
                <w:color w:val="auto"/>
              </w:rPr>
            </w:pPr>
          </w:p>
        </w:tc>
      </w:tr>
      <w:tr>
        <w:trPr>
          <w:trHeight w:val="183"/>
        </w:trPr>
        <w:tc>
          <w:tcPr>
            <w:tcW w:w="1480" w:type="dxa"/>
            <w:vAlign w:val="bottom"/>
          </w:tcPr>
          <w:p>
            <w:pPr>
              <w:jc w:val="right"/>
              <w:ind w:right="310"/>
              <w:spacing w:after="0" w:line="182" w:lineRule="exact"/>
              <w:rPr>
                <w:sz w:val="20"/>
                <w:szCs w:val="20"/>
                <w:color w:val="auto"/>
              </w:rPr>
            </w:pPr>
            <w:r>
              <w:rPr>
                <w:rFonts w:ascii="Arial" w:cs="Arial" w:eastAsia="Arial" w:hAnsi="Arial"/>
                <w:sz w:val="18"/>
                <w:szCs w:val="18"/>
                <w:color w:val="auto"/>
              </w:rPr>
              <w:t>10.6*</w:t>
            </w:r>
          </w:p>
        </w:tc>
        <w:tc>
          <w:tcPr>
            <w:tcW w:w="9960" w:type="dxa"/>
            <w:vAlign w:val="bottom"/>
            <w:gridSpan w:val="21"/>
          </w:tcPr>
          <w:p>
            <w:pPr>
              <w:spacing w:after="0" w:line="182" w:lineRule="exact"/>
              <w:rPr>
                <w:rFonts w:ascii="Arial" w:cs="Arial" w:eastAsia="Arial" w:hAnsi="Arial"/>
                <w:sz w:val="18"/>
                <w:szCs w:val="18"/>
                <w:color w:val="0000FF"/>
              </w:rPr>
            </w:pPr>
            <w:hyperlink r:id="rId161">
              <w:r>
                <w:rPr>
                  <w:rFonts w:ascii="Arial" w:cs="Arial" w:eastAsia="Arial" w:hAnsi="Arial"/>
                  <w:sz w:val="18"/>
                  <w:szCs w:val="18"/>
                  <w:color w:val="0000FF"/>
                </w:rPr>
                <w:t>Honeywell International Inc. Severance Plan for Designated Officers, as amended and restated (incorporated by reference</w:t>
              </w:r>
            </w:hyperlink>
          </w:p>
        </w:tc>
        <w:tc>
          <w:tcPr>
            <w:tcW w:w="0" w:type="dxa"/>
            <w:vAlign w:val="bottom"/>
          </w:tcPr>
          <w:p>
            <w:pPr>
              <w:spacing w:after="0"/>
              <w:rPr>
                <w:sz w:val="1"/>
                <w:szCs w:val="1"/>
                <w:color w:val="auto"/>
              </w:rPr>
            </w:pPr>
          </w:p>
        </w:tc>
      </w:tr>
      <w:tr>
        <w:trPr>
          <w:trHeight w:val="156"/>
        </w:trPr>
        <w:tc>
          <w:tcPr>
            <w:tcW w:w="1480" w:type="dxa"/>
            <w:vAlign w:val="bottom"/>
          </w:tcPr>
          <w:p>
            <w:pPr>
              <w:spacing w:after="0"/>
              <w:rPr>
                <w:sz w:val="13"/>
                <w:szCs w:val="13"/>
                <w:color w:val="auto"/>
              </w:rPr>
            </w:pPr>
          </w:p>
        </w:tc>
        <w:tc>
          <w:tcPr>
            <w:tcW w:w="980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r:id="rId161">
              <w:r>
                <w:rPr>
                  <w:rFonts w:ascii="Arial" w:cs="Arial" w:eastAsia="Arial" w:hAnsi="Arial"/>
                  <w:sz w:val="18"/>
                  <w:szCs w:val="18"/>
                  <w:color w:val="0000FF"/>
                </w:rPr>
                <w:t>to Exhibit 10.6 to Honeywell’s Form 10-K for the year ended December 31, 2013)</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480" w:type="dxa"/>
            <w:vAlign w:val="bottom"/>
            <w:tcBorders>
              <w:bottom w:val="single" w:sz="8" w:color="auto"/>
            </w:tcBorders>
          </w:tcPr>
          <w:p>
            <w:pPr>
              <w:spacing w:after="0" w:line="20" w:lineRule="exact"/>
              <w:rPr>
                <w:sz w:val="1"/>
                <w:szCs w:val="1"/>
                <w:color w:val="auto"/>
              </w:rPr>
            </w:pPr>
          </w:p>
        </w:tc>
        <w:tc>
          <w:tcPr>
            <w:tcW w:w="1640" w:type="dxa"/>
            <w:vAlign w:val="bottom"/>
            <w:tcBorders>
              <w:top w:val="single" w:sz="8" w:color="0000FF"/>
              <w:bottom w:val="single" w:sz="8" w:color="auto"/>
            </w:tcBorders>
          </w:tcPr>
          <w:p>
            <w:pPr>
              <w:spacing w:after="0" w:line="20" w:lineRule="exact"/>
              <w:rPr>
                <w:sz w:val="1"/>
                <w:szCs w:val="1"/>
                <w:color w:val="auto"/>
              </w:rPr>
            </w:pPr>
          </w:p>
        </w:tc>
        <w:tc>
          <w:tcPr>
            <w:tcW w:w="1600" w:type="dxa"/>
            <w:vAlign w:val="bottom"/>
            <w:tcBorders>
              <w:top w:val="single" w:sz="8" w:color="0000FF"/>
              <w:bottom w:val="single" w:sz="8" w:color="auto"/>
            </w:tcBorders>
          </w:tcPr>
          <w:p>
            <w:pPr>
              <w:spacing w:after="0" w:line="20" w:lineRule="exact"/>
              <w:rPr>
                <w:sz w:val="1"/>
                <w:szCs w:val="1"/>
                <w:color w:val="auto"/>
              </w:rPr>
            </w:pPr>
          </w:p>
        </w:tc>
        <w:tc>
          <w:tcPr>
            <w:tcW w:w="160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520" w:type="dxa"/>
            <w:vAlign w:val="bottom"/>
            <w:tcBorders>
              <w:top w:val="single" w:sz="8" w:color="0000FF"/>
              <w:bottom w:val="single" w:sz="8" w:color="auto"/>
            </w:tcBorders>
          </w:tcPr>
          <w:p>
            <w:pPr>
              <w:spacing w:after="0" w:line="20" w:lineRule="exact"/>
              <w:rPr>
                <w:sz w:val="1"/>
                <w:szCs w:val="1"/>
                <w:color w:val="auto"/>
              </w:rPr>
            </w:pPr>
          </w:p>
        </w:tc>
        <w:tc>
          <w:tcPr>
            <w:tcW w:w="700" w:type="dxa"/>
            <w:vAlign w:val="bottom"/>
            <w:tcBorders>
              <w:top w:val="single" w:sz="8" w:color="0000FF"/>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14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10.7*</w:t>
            </w:r>
          </w:p>
        </w:tc>
        <w:tc>
          <w:tcPr>
            <w:tcW w:w="9960" w:type="dxa"/>
            <w:vAlign w:val="bottom"/>
            <w:tcBorders>
              <w:bottom w:val="single" w:sz="8" w:color="auto"/>
            </w:tcBorders>
            <w:gridSpan w:val="21"/>
          </w:tcPr>
          <w:p>
            <w:pPr>
              <w:spacing w:after="0"/>
              <w:rPr>
                <w:rFonts w:ascii="Arial" w:cs="Arial" w:eastAsia="Arial" w:hAnsi="Arial"/>
                <w:sz w:val="18"/>
                <w:szCs w:val="18"/>
                <w:u w:val="single" w:color="auto"/>
                <w:color w:val="0000FF"/>
              </w:rPr>
            </w:pPr>
            <w:hyperlink w:anchor="page160">
              <w:r>
                <w:rPr>
                  <w:rFonts w:ascii="Arial" w:cs="Arial" w:eastAsia="Arial" w:hAnsi="Arial"/>
                  <w:sz w:val="18"/>
                  <w:szCs w:val="18"/>
                  <w:u w:val="single" w:color="auto"/>
                  <w:color w:val="0000FF"/>
                </w:rPr>
                <w:t>Honeywell Deferred Incentive Compensation Plan, as amended and restated (filed herewith)</w:t>
              </w:r>
            </w:hyperlink>
          </w:p>
        </w:tc>
        <w:tc>
          <w:tcPr>
            <w:tcW w:w="0" w:type="dxa"/>
            <w:vAlign w:val="bottom"/>
          </w:tcPr>
          <w:p>
            <w:pPr>
              <w:spacing w:after="0"/>
              <w:rPr>
                <w:sz w:val="1"/>
                <w:szCs w:val="1"/>
                <w:color w:val="auto"/>
              </w:rPr>
            </w:pPr>
          </w:p>
        </w:tc>
      </w:tr>
      <w:tr>
        <w:trPr>
          <w:trHeight w:val="189"/>
        </w:trPr>
        <w:tc>
          <w:tcPr>
            <w:tcW w:w="1480" w:type="dxa"/>
            <w:vAlign w:val="bottom"/>
          </w:tcPr>
          <w:p>
            <w:pPr>
              <w:jc w:val="right"/>
              <w:ind w:right="310"/>
              <w:spacing w:after="0" w:line="189" w:lineRule="exact"/>
              <w:rPr>
                <w:sz w:val="20"/>
                <w:szCs w:val="20"/>
                <w:color w:val="auto"/>
              </w:rPr>
            </w:pPr>
            <w:r>
              <w:rPr>
                <w:rFonts w:ascii="Arial" w:cs="Arial" w:eastAsia="Arial" w:hAnsi="Arial"/>
                <w:sz w:val="18"/>
                <w:szCs w:val="18"/>
                <w:color w:val="auto"/>
              </w:rPr>
              <w:t>10.8*</w:t>
            </w:r>
          </w:p>
        </w:tc>
        <w:tc>
          <w:tcPr>
            <w:tcW w:w="9960" w:type="dxa"/>
            <w:vAlign w:val="bottom"/>
            <w:gridSpan w:val="21"/>
          </w:tcPr>
          <w:p>
            <w:pPr>
              <w:spacing w:after="0" w:line="189" w:lineRule="exact"/>
              <w:rPr>
                <w:rFonts w:ascii="Arial" w:cs="Arial" w:eastAsia="Arial" w:hAnsi="Arial"/>
                <w:sz w:val="18"/>
                <w:szCs w:val="18"/>
                <w:color w:val="0000FF"/>
              </w:rPr>
            </w:pPr>
            <w:hyperlink r:id="rId162">
              <w:r>
                <w:rPr>
                  <w:rFonts w:ascii="Arial" w:cs="Arial" w:eastAsia="Arial" w:hAnsi="Arial"/>
                  <w:sz w:val="18"/>
                  <w:szCs w:val="18"/>
                  <w:color w:val="0000FF"/>
                </w:rPr>
                <w:t>Honeywell International Inc. Supplemental Pension Plan, as amended and restated (incorporated by reference to Exhibit</w:t>
              </w:r>
            </w:hyperlink>
          </w:p>
        </w:tc>
        <w:tc>
          <w:tcPr>
            <w:tcW w:w="0" w:type="dxa"/>
            <w:vAlign w:val="bottom"/>
          </w:tcPr>
          <w:p>
            <w:pPr>
              <w:spacing w:after="0"/>
              <w:rPr>
                <w:sz w:val="1"/>
                <w:szCs w:val="1"/>
                <w:color w:val="auto"/>
              </w:rPr>
            </w:pPr>
          </w:p>
        </w:tc>
      </w:tr>
      <w:tr>
        <w:trPr>
          <w:trHeight w:val="155"/>
        </w:trPr>
        <w:tc>
          <w:tcPr>
            <w:tcW w:w="1480" w:type="dxa"/>
            <w:vAlign w:val="bottom"/>
          </w:tcPr>
          <w:p>
            <w:pPr>
              <w:spacing w:after="0"/>
              <w:rPr>
                <w:sz w:val="13"/>
                <w:szCs w:val="13"/>
                <w:color w:val="auto"/>
              </w:rPr>
            </w:pPr>
          </w:p>
        </w:tc>
        <w:tc>
          <w:tcPr>
            <w:tcW w:w="992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162">
              <w:r>
                <w:rPr>
                  <w:rFonts w:ascii="Arial" w:cs="Arial" w:eastAsia="Arial" w:hAnsi="Arial"/>
                  <w:sz w:val="18"/>
                  <w:szCs w:val="18"/>
                  <w:color w:val="0000FF"/>
                </w:rPr>
                <w:t>10.</w:t>
              </w:r>
              <w:r>
                <w:rPr>
                  <w:rFonts w:ascii="Arial" w:cs="Arial" w:eastAsia="Arial" w:hAnsi="Arial"/>
                  <w:sz w:val="18"/>
                  <w:szCs w:val="18"/>
                  <w:u w:val="single" w:color="auto"/>
                  <w:color w:val="0000FF"/>
                </w:rPr>
                <w:t>10</w:t>
              </w:r>
              <w:r>
                <w:rPr>
                  <w:rFonts w:ascii="Arial" w:cs="Arial" w:eastAsia="Arial" w:hAnsi="Arial"/>
                  <w:sz w:val="18"/>
                  <w:szCs w:val="18"/>
                  <w:color w:val="0000FF"/>
                </w:rPr>
                <w:t xml:space="preserve"> to Honeywell’s Form 10-K for the year ended December 31, 2008)</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1640" w:type="dxa"/>
            <w:vAlign w:val="bottom"/>
            <w:tcBorders>
              <w:top w:val="single" w:sz="8" w:color="0000FF"/>
              <w:bottom w:val="single" w:sz="8" w:color="auto"/>
            </w:tcBorders>
          </w:tcPr>
          <w:p>
            <w:pPr>
              <w:spacing w:after="0" w:line="20" w:lineRule="exact"/>
              <w:rPr>
                <w:sz w:val="1"/>
                <w:szCs w:val="1"/>
                <w:color w:val="auto"/>
              </w:rPr>
            </w:pPr>
          </w:p>
        </w:tc>
        <w:tc>
          <w:tcPr>
            <w:tcW w:w="1600" w:type="dxa"/>
            <w:vAlign w:val="bottom"/>
            <w:tcBorders>
              <w:top w:val="single" w:sz="8" w:color="0000FF"/>
              <w:bottom w:val="single" w:sz="8" w:color="auto"/>
            </w:tcBorders>
          </w:tcPr>
          <w:p>
            <w:pPr>
              <w:spacing w:after="0" w:line="20" w:lineRule="exact"/>
              <w:rPr>
                <w:sz w:val="1"/>
                <w:szCs w:val="1"/>
                <w:color w:val="auto"/>
              </w:rPr>
            </w:pPr>
          </w:p>
        </w:tc>
        <w:tc>
          <w:tcPr>
            <w:tcW w:w="160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520" w:type="dxa"/>
            <w:vAlign w:val="bottom"/>
            <w:tcBorders>
              <w:top w:val="single" w:sz="8" w:color="0000FF"/>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1480" w:type="dxa"/>
            <w:vAlign w:val="bottom"/>
          </w:tcPr>
          <w:p>
            <w:pPr>
              <w:jc w:val="right"/>
              <w:ind w:right="310"/>
              <w:spacing w:after="0" w:line="182" w:lineRule="exact"/>
              <w:rPr>
                <w:sz w:val="20"/>
                <w:szCs w:val="20"/>
                <w:color w:val="auto"/>
              </w:rPr>
            </w:pPr>
            <w:r>
              <w:rPr>
                <w:rFonts w:ascii="Arial" w:cs="Arial" w:eastAsia="Arial" w:hAnsi="Arial"/>
                <w:sz w:val="18"/>
                <w:szCs w:val="18"/>
                <w:color w:val="auto"/>
              </w:rPr>
              <w:t>10.9*</w:t>
            </w:r>
          </w:p>
        </w:tc>
        <w:tc>
          <w:tcPr>
            <w:tcW w:w="9960" w:type="dxa"/>
            <w:vAlign w:val="bottom"/>
            <w:gridSpan w:val="21"/>
          </w:tcPr>
          <w:p>
            <w:pPr>
              <w:spacing w:after="0" w:line="182" w:lineRule="exact"/>
              <w:rPr>
                <w:rFonts w:ascii="Arial" w:cs="Arial" w:eastAsia="Arial" w:hAnsi="Arial"/>
                <w:sz w:val="18"/>
                <w:szCs w:val="18"/>
                <w:color w:val="0000FF"/>
              </w:rPr>
            </w:pPr>
            <w:hyperlink r:id="rId163">
              <w:r>
                <w:rPr>
                  <w:rFonts w:ascii="Arial" w:cs="Arial" w:eastAsia="Arial" w:hAnsi="Arial"/>
                  <w:sz w:val="18"/>
                  <w:szCs w:val="18"/>
                  <w:color w:val="0000FF"/>
                </w:rPr>
                <w:t>Amendment to Honeywell International Inc. Supplemental Pension Plan, as amended and restated (incorporated by</w:t>
              </w:r>
            </w:hyperlink>
          </w:p>
        </w:tc>
        <w:tc>
          <w:tcPr>
            <w:tcW w:w="0" w:type="dxa"/>
            <w:vAlign w:val="bottom"/>
          </w:tcPr>
          <w:p>
            <w:pPr>
              <w:spacing w:after="0"/>
              <w:rPr>
                <w:sz w:val="1"/>
                <w:szCs w:val="1"/>
                <w:color w:val="auto"/>
              </w:rPr>
            </w:pPr>
          </w:p>
        </w:tc>
      </w:tr>
      <w:tr>
        <w:trPr>
          <w:trHeight w:val="156"/>
        </w:trPr>
        <w:tc>
          <w:tcPr>
            <w:tcW w:w="1480" w:type="dxa"/>
            <w:vAlign w:val="bottom"/>
          </w:tcPr>
          <w:p>
            <w:pPr>
              <w:spacing w:after="0"/>
              <w:rPr>
                <w:sz w:val="13"/>
                <w:szCs w:val="13"/>
                <w:color w:val="auto"/>
              </w:rPr>
            </w:pPr>
          </w:p>
        </w:tc>
        <w:tc>
          <w:tcPr>
            <w:tcW w:w="990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163">
              <w:r>
                <w:rPr>
                  <w:rFonts w:ascii="Arial" w:cs="Arial" w:eastAsia="Arial" w:hAnsi="Arial"/>
                  <w:sz w:val="18"/>
                  <w:szCs w:val="18"/>
                  <w:color w:val="0000FF"/>
                </w:rPr>
                <w:t>reference to Exhibit 10.10 to Honeywell’s Form 10-K for the year ended December 31, 2009)</w:t>
              </w:r>
            </w:hyperlink>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480" w:type="dxa"/>
            <w:vAlign w:val="bottom"/>
            <w:tcBorders>
              <w:bottom w:val="single" w:sz="8" w:color="auto"/>
            </w:tcBorders>
          </w:tcPr>
          <w:p>
            <w:pPr>
              <w:spacing w:after="0" w:line="20" w:lineRule="exact"/>
              <w:rPr>
                <w:sz w:val="1"/>
                <w:szCs w:val="1"/>
                <w:color w:val="auto"/>
              </w:rPr>
            </w:pPr>
          </w:p>
        </w:tc>
        <w:tc>
          <w:tcPr>
            <w:tcW w:w="1640" w:type="dxa"/>
            <w:vAlign w:val="bottom"/>
            <w:tcBorders>
              <w:top w:val="single" w:sz="8" w:color="0000FF"/>
              <w:bottom w:val="single" w:sz="8" w:color="auto"/>
            </w:tcBorders>
          </w:tcPr>
          <w:p>
            <w:pPr>
              <w:spacing w:after="0" w:line="20" w:lineRule="exact"/>
              <w:rPr>
                <w:sz w:val="1"/>
                <w:szCs w:val="1"/>
                <w:color w:val="auto"/>
              </w:rPr>
            </w:pPr>
          </w:p>
        </w:tc>
        <w:tc>
          <w:tcPr>
            <w:tcW w:w="1600" w:type="dxa"/>
            <w:vAlign w:val="bottom"/>
            <w:tcBorders>
              <w:top w:val="single" w:sz="8" w:color="0000FF"/>
              <w:bottom w:val="single" w:sz="8" w:color="auto"/>
            </w:tcBorders>
          </w:tcPr>
          <w:p>
            <w:pPr>
              <w:spacing w:after="0" w:line="20" w:lineRule="exact"/>
              <w:rPr>
                <w:sz w:val="1"/>
                <w:szCs w:val="1"/>
                <w:color w:val="auto"/>
              </w:rPr>
            </w:pPr>
          </w:p>
        </w:tc>
        <w:tc>
          <w:tcPr>
            <w:tcW w:w="160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520" w:type="dxa"/>
            <w:vAlign w:val="bottom"/>
            <w:tcBorders>
              <w:top w:val="single" w:sz="8" w:color="0000FF"/>
              <w:bottom w:val="single" w:sz="8" w:color="auto"/>
            </w:tcBorders>
          </w:tcPr>
          <w:p>
            <w:pPr>
              <w:spacing w:after="0" w:line="20" w:lineRule="exact"/>
              <w:rPr>
                <w:sz w:val="1"/>
                <w:szCs w:val="1"/>
                <w:color w:val="auto"/>
              </w:rPr>
            </w:pPr>
          </w:p>
        </w:tc>
        <w:tc>
          <w:tcPr>
            <w:tcW w:w="700" w:type="dxa"/>
            <w:vAlign w:val="bottom"/>
            <w:tcBorders>
              <w:top w:val="single" w:sz="8" w:color="0000FF"/>
              <w:bottom w:val="single" w:sz="8" w:color="auto"/>
            </w:tcBorders>
          </w:tcPr>
          <w:p>
            <w:pPr>
              <w:spacing w:after="0" w:line="20" w:lineRule="exact"/>
              <w:rPr>
                <w:sz w:val="1"/>
                <w:szCs w:val="1"/>
                <w:color w:val="auto"/>
              </w:rPr>
            </w:pPr>
          </w:p>
        </w:tc>
        <w:tc>
          <w:tcPr>
            <w:tcW w:w="80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480" w:type="dxa"/>
            <w:vAlign w:val="bottom"/>
          </w:tcPr>
          <w:p>
            <w:pPr>
              <w:jc w:val="right"/>
              <w:ind w:right="310"/>
              <w:spacing w:after="0" w:line="182" w:lineRule="exact"/>
              <w:rPr>
                <w:sz w:val="20"/>
                <w:szCs w:val="20"/>
                <w:color w:val="auto"/>
              </w:rPr>
            </w:pPr>
            <w:r>
              <w:rPr>
                <w:rFonts w:ascii="Arial" w:cs="Arial" w:eastAsia="Arial" w:hAnsi="Arial"/>
                <w:sz w:val="18"/>
                <w:szCs w:val="18"/>
                <w:color w:val="auto"/>
              </w:rPr>
              <w:t>10.10*</w:t>
            </w:r>
          </w:p>
        </w:tc>
        <w:tc>
          <w:tcPr>
            <w:tcW w:w="9960" w:type="dxa"/>
            <w:vAlign w:val="bottom"/>
            <w:gridSpan w:val="21"/>
          </w:tcPr>
          <w:p>
            <w:pPr>
              <w:spacing w:after="0" w:line="182" w:lineRule="exact"/>
              <w:rPr>
                <w:rFonts w:ascii="Arial" w:cs="Arial" w:eastAsia="Arial" w:hAnsi="Arial"/>
                <w:sz w:val="18"/>
                <w:szCs w:val="18"/>
                <w:color w:val="0000FF"/>
              </w:rPr>
            </w:pPr>
            <w:hyperlink r:id="rId164">
              <w:r>
                <w:rPr>
                  <w:rFonts w:ascii="Arial" w:cs="Arial" w:eastAsia="Arial" w:hAnsi="Arial"/>
                  <w:sz w:val="18"/>
                  <w:szCs w:val="18"/>
                  <w:color w:val="0000FF"/>
                </w:rPr>
                <w:t>Amendment to Honeywell International Inc. Supplemental Pension Plan, as amended and restated (incorporated by</w:t>
              </w:r>
            </w:hyperlink>
          </w:p>
        </w:tc>
        <w:tc>
          <w:tcPr>
            <w:tcW w:w="0" w:type="dxa"/>
            <w:vAlign w:val="bottom"/>
          </w:tcPr>
          <w:p>
            <w:pPr>
              <w:spacing w:after="0"/>
              <w:rPr>
                <w:sz w:val="1"/>
                <w:szCs w:val="1"/>
                <w:color w:val="auto"/>
              </w:rPr>
            </w:pPr>
          </w:p>
        </w:tc>
      </w:tr>
      <w:tr>
        <w:trPr>
          <w:trHeight w:val="155"/>
        </w:trPr>
        <w:tc>
          <w:tcPr>
            <w:tcW w:w="1480" w:type="dxa"/>
            <w:vAlign w:val="bottom"/>
          </w:tcPr>
          <w:p>
            <w:pPr>
              <w:spacing w:after="0"/>
              <w:rPr>
                <w:sz w:val="13"/>
                <w:szCs w:val="13"/>
                <w:color w:val="auto"/>
              </w:rPr>
            </w:pPr>
          </w:p>
        </w:tc>
        <w:tc>
          <w:tcPr>
            <w:tcW w:w="990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164">
              <w:r>
                <w:rPr>
                  <w:rFonts w:ascii="Arial" w:cs="Arial" w:eastAsia="Arial" w:hAnsi="Arial"/>
                  <w:sz w:val="18"/>
                  <w:szCs w:val="18"/>
                  <w:color w:val="0000FF"/>
                </w:rPr>
                <w:t>reference to Exhibit 10.7 to Honeywell’s Form 10-K for the year ended December 31, 2015)</w:t>
              </w:r>
            </w:hyperlink>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1640" w:type="dxa"/>
            <w:vAlign w:val="bottom"/>
            <w:tcBorders>
              <w:top w:val="single" w:sz="8" w:color="0000FF"/>
              <w:bottom w:val="single" w:sz="8" w:color="auto"/>
            </w:tcBorders>
          </w:tcPr>
          <w:p>
            <w:pPr>
              <w:spacing w:after="0" w:line="20" w:lineRule="exact"/>
              <w:rPr>
                <w:sz w:val="1"/>
                <w:szCs w:val="1"/>
                <w:color w:val="auto"/>
              </w:rPr>
            </w:pPr>
          </w:p>
        </w:tc>
        <w:tc>
          <w:tcPr>
            <w:tcW w:w="1600" w:type="dxa"/>
            <w:vAlign w:val="bottom"/>
            <w:tcBorders>
              <w:top w:val="single" w:sz="8" w:color="0000FF"/>
              <w:bottom w:val="single" w:sz="8" w:color="auto"/>
            </w:tcBorders>
          </w:tcPr>
          <w:p>
            <w:pPr>
              <w:spacing w:after="0" w:line="20" w:lineRule="exact"/>
              <w:rPr>
                <w:sz w:val="1"/>
                <w:szCs w:val="1"/>
                <w:color w:val="auto"/>
              </w:rPr>
            </w:pPr>
          </w:p>
        </w:tc>
        <w:tc>
          <w:tcPr>
            <w:tcW w:w="160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520" w:type="dxa"/>
            <w:vAlign w:val="bottom"/>
            <w:tcBorders>
              <w:top w:val="single" w:sz="8" w:color="0000FF"/>
              <w:bottom w:val="single" w:sz="8" w:color="auto"/>
            </w:tcBorders>
          </w:tcPr>
          <w:p>
            <w:pPr>
              <w:spacing w:after="0" w:line="20" w:lineRule="exact"/>
              <w:rPr>
                <w:sz w:val="1"/>
                <w:szCs w:val="1"/>
                <w:color w:val="auto"/>
              </w:rPr>
            </w:pPr>
          </w:p>
        </w:tc>
        <w:tc>
          <w:tcPr>
            <w:tcW w:w="700" w:type="dxa"/>
            <w:vAlign w:val="bottom"/>
            <w:tcBorders>
              <w:top w:val="single" w:sz="8" w:color="0000FF"/>
              <w:bottom w:val="single" w:sz="8" w:color="auto"/>
            </w:tcBorders>
          </w:tcPr>
          <w:p>
            <w:pPr>
              <w:spacing w:after="0" w:line="20" w:lineRule="exact"/>
              <w:rPr>
                <w:sz w:val="1"/>
                <w:szCs w:val="1"/>
                <w:color w:val="auto"/>
              </w:rPr>
            </w:pPr>
          </w:p>
        </w:tc>
        <w:tc>
          <w:tcPr>
            <w:tcW w:w="80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480" w:type="dxa"/>
            <w:vAlign w:val="bottom"/>
          </w:tcPr>
          <w:p>
            <w:pPr>
              <w:jc w:val="right"/>
              <w:ind w:right="310"/>
              <w:spacing w:after="0" w:line="182" w:lineRule="exact"/>
              <w:rPr>
                <w:sz w:val="20"/>
                <w:szCs w:val="20"/>
                <w:color w:val="auto"/>
              </w:rPr>
            </w:pPr>
            <w:r>
              <w:rPr>
                <w:rFonts w:ascii="Arial" w:cs="Arial" w:eastAsia="Arial" w:hAnsi="Arial"/>
                <w:sz w:val="18"/>
                <w:szCs w:val="18"/>
                <w:color w:val="auto"/>
              </w:rPr>
              <w:t>10.11*</w:t>
            </w:r>
          </w:p>
        </w:tc>
        <w:tc>
          <w:tcPr>
            <w:tcW w:w="9960" w:type="dxa"/>
            <w:vAlign w:val="bottom"/>
            <w:gridSpan w:val="21"/>
          </w:tcPr>
          <w:p>
            <w:pPr>
              <w:spacing w:after="0" w:line="182" w:lineRule="exact"/>
              <w:rPr>
                <w:rFonts w:ascii="Arial" w:cs="Arial" w:eastAsia="Arial" w:hAnsi="Arial"/>
                <w:sz w:val="18"/>
                <w:szCs w:val="18"/>
                <w:color w:val="0000FF"/>
              </w:rPr>
            </w:pPr>
            <w:hyperlink r:id="rId165">
              <w:r>
                <w:rPr>
                  <w:rFonts w:ascii="Arial" w:cs="Arial" w:eastAsia="Arial" w:hAnsi="Arial"/>
                  <w:sz w:val="18"/>
                  <w:szCs w:val="18"/>
                  <w:color w:val="0000FF"/>
                </w:rPr>
                <w:t>Honeywell International Inc. Supplemental Executive Retirement Plan for Executives in Career Band 6 and Above, as</w:t>
              </w:r>
            </w:hyperlink>
          </w:p>
        </w:tc>
        <w:tc>
          <w:tcPr>
            <w:tcW w:w="0" w:type="dxa"/>
            <w:vAlign w:val="bottom"/>
          </w:tcPr>
          <w:p>
            <w:pPr>
              <w:spacing w:after="0"/>
              <w:rPr>
                <w:sz w:val="1"/>
                <w:szCs w:val="1"/>
                <w:color w:val="auto"/>
              </w:rPr>
            </w:pPr>
          </w:p>
        </w:tc>
      </w:tr>
      <w:tr>
        <w:trPr>
          <w:trHeight w:val="155"/>
        </w:trPr>
        <w:tc>
          <w:tcPr>
            <w:tcW w:w="1480" w:type="dxa"/>
            <w:vAlign w:val="bottom"/>
          </w:tcPr>
          <w:p>
            <w:pPr>
              <w:spacing w:after="0"/>
              <w:rPr>
                <w:sz w:val="13"/>
                <w:szCs w:val="13"/>
                <w:color w:val="auto"/>
              </w:rPr>
            </w:pPr>
          </w:p>
        </w:tc>
        <w:tc>
          <w:tcPr>
            <w:tcW w:w="974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rPr>
            </w:pPr>
            <w:hyperlink r:id="rId165">
              <w:r>
                <w:rPr>
                  <w:rFonts w:ascii="Arial" w:cs="Arial" w:eastAsia="Arial" w:hAnsi="Arial"/>
                  <w:sz w:val="18"/>
                  <w:szCs w:val="18"/>
                  <w:color w:val="0000FF"/>
                </w:rPr>
                <w:t>amended and restated (incorporated by reference to Exhibit 10.12 to Honeywell’s Form 10-K for the year ended</w:t>
              </w:r>
            </w:hyperlink>
          </w:p>
        </w:tc>
        <w:tc>
          <w:tcPr>
            <w:tcW w:w="80" w:type="dxa"/>
            <w:vAlign w:val="bottom"/>
            <w:tcBorders>
              <w:bottom w:val="single" w:sz="8" w:color="0000FF"/>
            </w:tcBorders>
            <w:gridSpan w:val="4"/>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480" w:type="dxa"/>
            <w:vAlign w:val="bottom"/>
          </w:tcPr>
          <w:p>
            <w:pPr>
              <w:spacing w:after="0"/>
              <w:rPr>
                <w:sz w:val="13"/>
                <w:szCs w:val="13"/>
                <w:color w:val="auto"/>
              </w:rPr>
            </w:pPr>
          </w:p>
        </w:tc>
        <w:tc>
          <w:tcPr>
            <w:tcW w:w="9860" w:type="dxa"/>
            <w:vAlign w:val="bottom"/>
            <w:gridSpan w:val="16"/>
          </w:tcPr>
          <w:p>
            <w:pPr>
              <w:spacing w:after="0" w:line="156" w:lineRule="exact"/>
              <w:rPr>
                <w:rFonts w:ascii="Arial" w:cs="Arial" w:eastAsia="Arial" w:hAnsi="Arial"/>
                <w:sz w:val="18"/>
                <w:szCs w:val="18"/>
                <w:color w:val="0000FF"/>
              </w:rPr>
            </w:pPr>
            <w:hyperlink r:id="rId165">
              <w:r>
                <w:rPr>
                  <w:rFonts w:ascii="Arial" w:cs="Arial" w:eastAsia="Arial" w:hAnsi="Arial"/>
                  <w:sz w:val="18"/>
                  <w:szCs w:val="18"/>
                  <w:color w:val="0000FF"/>
                </w:rPr>
                <w:t>December 31, 2008)</w:t>
              </w:r>
            </w:hyperlink>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480" w:type="dxa"/>
            <w:vAlign w:val="bottom"/>
            <w:tcBorders>
              <w:bottom w:val="single" w:sz="8" w:color="auto"/>
            </w:tcBorders>
          </w:tcPr>
          <w:p>
            <w:pPr>
              <w:spacing w:after="0" w:line="20" w:lineRule="exact"/>
              <w:rPr>
                <w:sz w:val="1"/>
                <w:szCs w:val="1"/>
                <w:color w:val="auto"/>
              </w:rPr>
            </w:pPr>
          </w:p>
        </w:tc>
        <w:tc>
          <w:tcPr>
            <w:tcW w:w="1640" w:type="dxa"/>
            <w:vAlign w:val="bottom"/>
            <w:tcBorders>
              <w:top w:val="single" w:sz="8" w:color="0000FF"/>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1480" w:type="dxa"/>
            <w:vAlign w:val="bottom"/>
          </w:tcPr>
          <w:p>
            <w:pPr>
              <w:jc w:val="right"/>
              <w:ind w:right="310"/>
              <w:spacing w:after="0" w:line="182" w:lineRule="exact"/>
              <w:rPr>
                <w:sz w:val="20"/>
                <w:szCs w:val="20"/>
                <w:color w:val="auto"/>
              </w:rPr>
            </w:pPr>
            <w:r>
              <w:rPr>
                <w:rFonts w:ascii="Arial" w:cs="Arial" w:eastAsia="Arial" w:hAnsi="Arial"/>
                <w:sz w:val="18"/>
                <w:szCs w:val="18"/>
                <w:color w:val="auto"/>
              </w:rPr>
              <w:t>10.12*</w:t>
            </w:r>
          </w:p>
        </w:tc>
        <w:tc>
          <w:tcPr>
            <w:tcW w:w="9960" w:type="dxa"/>
            <w:vAlign w:val="bottom"/>
            <w:gridSpan w:val="21"/>
          </w:tcPr>
          <w:p>
            <w:pPr>
              <w:spacing w:after="0" w:line="182" w:lineRule="exact"/>
              <w:rPr>
                <w:rFonts w:ascii="Arial" w:cs="Arial" w:eastAsia="Arial" w:hAnsi="Arial"/>
                <w:sz w:val="18"/>
                <w:szCs w:val="18"/>
                <w:color w:val="0000FF"/>
              </w:rPr>
            </w:pPr>
            <w:hyperlink r:id="rId166">
              <w:r>
                <w:rPr>
                  <w:rFonts w:ascii="Arial" w:cs="Arial" w:eastAsia="Arial" w:hAnsi="Arial"/>
                  <w:sz w:val="18"/>
                  <w:szCs w:val="18"/>
                  <w:color w:val="0000FF"/>
                </w:rPr>
                <w:t>Amendment to Honeywell International Inc. Supplemental Executive Retirement Plan for Executives in Career Band 6 and</w:t>
              </w:r>
            </w:hyperlink>
          </w:p>
        </w:tc>
        <w:tc>
          <w:tcPr>
            <w:tcW w:w="0" w:type="dxa"/>
            <w:vAlign w:val="bottom"/>
          </w:tcPr>
          <w:p>
            <w:pPr>
              <w:spacing w:after="0"/>
              <w:rPr>
                <w:sz w:val="1"/>
                <w:szCs w:val="1"/>
                <w:color w:val="auto"/>
              </w:rPr>
            </w:pPr>
          </w:p>
        </w:tc>
      </w:tr>
      <w:tr>
        <w:trPr>
          <w:trHeight w:val="156"/>
        </w:trPr>
        <w:tc>
          <w:tcPr>
            <w:tcW w:w="1480" w:type="dxa"/>
            <w:vAlign w:val="bottom"/>
          </w:tcPr>
          <w:p>
            <w:pPr>
              <w:spacing w:after="0"/>
              <w:rPr>
                <w:sz w:val="13"/>
                <w:szCs w:val="13"/>
                <w:color w:val="auto"/>
              </w:rPr>
            </w:pPr>
          </w:p>
        </w:tc>
        <w:tc>
          <w:tcPr>
            <w:tcW w:w="982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166">
              <w:r>
                <w:rPr>
                  <w:rFonts w:ascii="Arial" w:cs="Arial" w:eastAsia="Arial" w:hAnsi="Arial"/>
                  <w:sz w:val="18"/>
                  <w:szCs w:val="18"/>
                  <w:color w:val="0000FF"/>
                </w:rPr>
                <w:t>Above, as amended and restated (incorporated by reference to Exhibit 10.12 to Honeywell’s Form 10-K for the year ended</w:t>
              </w:r>
            </w:hyperlink>
          </w:p>
        </w:tc>
        <w:tc>
          <w:tcPr>
            <w:tcW w:w="1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480" w:type="dxa"/>
            <w:vAlign w:val="bottom"/>
          </w:tcPr>
          <w:p>
            <w:pPr>
              <w:spacing w:after="0"/>
              <w:rPr>
                <w:sz w:val="13"/>
                <w:szCs w:val="13"/>
                <w:color w:val="auto"/>
              </w:rPr>
            </w:pPr>
          </w:p>
        </w:tc>
        <w:tc>
          <w:tcPr>
            <w:tcW w:w="980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r:id="rId166">
              <w:r>
                <w:rPr>
                  <w:rFonts w:ascii="Arial" w:cs="Arial" w:eastAsia="Arial" w:hAnsi="Arial"/>
                  <w:sz w:val="18"/>
                  <w:szCs w:val="18"/>
                  <w:color w:val="0000FF"/>
                </w:rPr>
                <w:t>December 31, 2009)</w:t>
              </w:r>
            </w:hyperlink>
          </w:p>
        </w:tc>
        <w:tc>
          <w:tcPr>
            <w:tcW w:w="16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1640" w:type="dxa"/>
            <w:vAlign w:val="bottom"/>
            <w:tcBorders>
              <w:top w:val="single" w:sz="8" w:color="0000FF"/>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480" w:type="dxa"/>
            <w:vAlign w:val="bottom"/>
          </w:tcPr>
          <w:p>
            <w:pPr>
              <w:jc w:val="right"/>
              <w:ind w:right="310"/>
              <w:spacing w:after="0" w:line="182" w:lineRule="exact"/>
              <w:rPr>
                <w:sz w:val="20"/>
                <w:szCs w:val="20"/>
                <w:color w:val="auto"/>
              </w:rPr>
            </w:pPr>
            <w:r>
              <w:rPr>
                <w:rFonts w:ascii="Arial" w:cs="Arial" w:eastAsia="Arial" w:hAnsi="Arial"/>
                <w:sz w:val="18"/>
                <w:szCs w:val="18"/>
                <w:color w:val="auto"/>
              </w:rPr>
              <w:t>10.13*</w:t>
            </w:r>
          </w:p>
        </w:tc>
        <w:tc>
          <w:tcPr>
            <w:tcW w:w="9960" w:type="dxa"/>
            <w:vAlign w:val="bottom"/>
            <w:gridSpan w:val="21"/>
          </w:tcPr>
          <w:p>
            <w:pPr>
              <w:spacing w:after="0" w:line="182" w:lineRule="exact"/>
              <w:rPr>
                <w:rFonts w:ascii="Arial" w:cs="Arial" w:eastAsia="Arial" w:hAnsi="Arial"/>
                <w:sz w:val="18"/>
                <w:szCs w:val="18"/>
                <w:color w:val="0000FF"/>
              </w:rPr>
            </w:pPr>
            <w:hyperlink r:id="rId167">
              <w:r>
                <w:rPr>
                  <w:rFonts w:ascii="Arial" w:cs="Arial" w:eastAsia="Arial" w:hAnsi="Arial"/>
                  <w:sz w:val="18"/>
                  <w:szCs w:val="18"/>
                  <w:color w:val="0000FF"/>
                </w:rPr>
                <w:t>Amendment to Honeywell International Inc. Supplemental Executive Retirement Plan for Executives in Career Band 6 and</w:t>
              </w:r>
            </w:hyperlink>
          </w:p>
        </w:tc>
        <w:tc>
          <w:tcPr>
            <w:tcW w:w="0" w:type="dxa"/>
            <w:vAlign w:val="bottom"/>
          </w:tcPr>
          <w:p>
            <w:pPr>
              <w:spacing w:after="0"/>
              <w:rPr>
                <w:sz w:val="1"/>
                <w:szCs w:val="1"/>
                <w:color w:val="auto"/>
              </w:rPr>
            </w:pPr>
          </w:p>
        </w:tc>
      </w:tr>
      <w:tr>
        <w:trPr>
          <w:trHeight w:val="155"/>
        </w:trPr>
        <w:tc>
          <w:tcPr>
            <w:tcW w:w="1480" w:type="dxa"/>
            <w:vAlign w:val="bottom"/>
          </w:tcPr>
          <w:p>
            <w:pPr>
              <w:spacing w:after="0"/>
              <w:rPr>
                <w:sz w:val="13"/>
                <w:szCs w:val="13"/>
                <w:color w:val="auto"/>
              </w:rPr>
            </w:pPr>
          </w:p>
        </w:tc>
        <w:tc>
          <w:tcPr>
            <w:tcW w:w="980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r:id="rId167">
              <w:r>
                <w:rPr>
                  <w:rFonts w:ascii="Arial" w:cs="Arial" w:eastAsia="Arial" w:hAnsi="Arial"/>
                  <w:sz w:val="18"/>
                  <w:szCs w:val="18"/>
                  <w:color w:val="0000FF"/>
                </w:rPr>
                <w:t>Above, as amended and restated (incorporated by reference to Exhibit 10.9 to Honeywell’s Form 10-K for the year ended</w:t>
              </w:r>
            </w:hyperlink>
          </w:p>
        </w:tc>
        <w:tc>
          <w:tcPr>
            <w:tcW w:w="16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480" w:type="dxa"/>
            <w:vAlign w:val="bottom"/>
          </w:tcPr>
          <w:p>
            <w:pPr>
              <w:spacing w:after="0"/>
              <w:rPr>
                <w:sz w:val="13"/>
                <w:szCs w:val="13"/>
                <w:color w:val="auto"/>
              </w:rPr>
            </w:pPr>
          </w:p>
        </w:tc>
        <w:tc>
          <w:tcPr>
            <w:tcW w:w="970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r:id="rId167">
              <w:r>
                <w:rPr>
                  <w:rFonts w:ascii="Arial" w:cs="Arial" w:eastAsia="Arial" w:hAnsi="Arial"/>
                  <w:sz w:val="18"/>
                  <w:szCs w:val="18"/>
                  <w:color w:val="0000FF"/>
                </w:rPr>
                <w:t>December 31, 2013)</w:t>
              </w:r>
            </w:hyperlink>
          </w:p>
        </w:tc>
        <w:tc>
          <w:tcPr>
            <w:tcW w:w="260" w:type="dxa"/>
            <w:vAlign w:val="bottom"/>
            <w:gridSpan w:val="12"/>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480" w:type="dxa"/>
            <w:vAlign w:val="bottom"/>
            <w:tcBorders>
              <w:bottom w:val="single" w:sz="8" w:color="auto"/>
            </w:tcBorders>
          </w:tcPr>
          <w:p>
            <w:pPr>
              <w:spacing w:after="0" w:line="20" w:lineRule="exact"/>
              <w:rPr>
                <w:sz w:val="1"/>
                <w:szCs w:val="1"/>
                <w:color w:val="auto"/>
              </w:rPr>
            </w:pPr>
          </w:p>
        </w:tc>
        <w:tc>
          <w:tcPr>
            <w:tcW w:w="1640" w:type="dxa"/>
            <w:vAlign w:val="bottom"/>
            <w:tcBorders>
              <w:top w:val="single" w:sz="8" w:color="0000FF"/>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480" w:type="dxa"/>
            <w:vAlign w:val="bottom"/>
          </w:tcPr>
          <w:p>
            <w:pPr>
              <w:jc w:val="right"/>
              <w:ind w:right="310"/>
              <w:spacing w:after="0" w:line="182" w:lineRule="exact"/>
              <w:rPr>
                <w:sz w:val="20"/>
                <w:szCs w:val="20"/>
                <w:color w:val="auto"/>
              </w:rPr>
            </w:pPr>
            <w:r>
              <w:rPr>
                <w:rFonts w:ascii="Arial" w:cs="Arial" w:eastAsia="Arial" w:hAnsi="Arial"/>
                <w:sz w:val="18"/>
                <w:szCs w:val="18"/>
                <w:color w:val="auto"/>
              </w:rPr>
              <w:t>10.14*</w:t>
            </w:r>
          </w:p>
        </w:tc>
        <w:tc>
          <w:tcPr>
            <w:tcW w:w="9960" w:type="dxa"/>
            <w:vAlign w:val="bottom"/>
            <w:gridSpan w:val="21"/>
          </w:tcPr>
          <w:p>
            <w:pPr>
              <w:spacing w:after="0" w:line="182" w:lineRule="exact"/>
              <w:rPr>
                <w:rFonts w:ascii="Arial" w:cs="Arial" w:eastAsia="Arial" w:hAnsi="Arial"/>
                <w:sz w:val="18"/>
                <w:szCs w:val="18"/>
                <w:color w:val="0000FF"/>
              </w:rPr>
            </w:pPr>
            <w:hyperlink r:id="rId168">
              <w:r>
                <w:rPr>
                  <w:rFonts w:ascii="Arial" w:cs="Arial" w:eastAsia="Arial" w:hAnsi="Arial"/>
                  <w:sz w:val="18"/>
                  <w:szCs w:val="18"/>
                  <w:color w:val="0000FF"/>
                </w:rPr>
                <w:t>Amendment to Honeywell International Inc. Supplemental Executive Retirement Plan for Executives in Career Band 6 and</w:t>
              </w:r>
            </w:hyperlink>
          </w:p>
        </w:tc>
        <w:tc>
          <w:tcPr>
            <w:tcW w:w="0" w:type="dxa"/>
            <w:vAlign w:val="bottom"/>
          </w:tcPr>
          <w:p>
            <w:pPr>
              <w:spacing w:after="0"/>
              <w:rPr>
                <w:sz w:val="1"/>
                <w:szCs w:val="1"/>
                <w:color w:val="auto"/>
              </w:rPr>
            </w:pPr>
          </w:p>
        </w:tc>
      </w:tr>
      <w:tr>
        <w:trPr>
          <w:trHeight w:val="156"/>
        </w:trPr>
        <w:tc>
          <w:tcPr>
            <w:tcW w:w="1480" w:type="dxa"/>
            <w:vAlign w:val="bottom"/>
          </w:tcPr>
          <w:p>
            <w:pPr>
              <w:spacing w:after="0"/>
              <w:rPr>
                <w:sz w:val="13"/>
                <w:szCs w:val="13"/>
                <w:color w:val="auto"/>
              </w:rPr>
            </w:pPr>
          </w:p>
        </w:tc>
        <w:tc>
          <w:tcPr>
            <w:tcW w:w="980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r:id="rId168">
              <w:r>
                <w:rPr>
                  <w:rFonts w:ascii="Arial" w:cs="Arial" w:eastAsia="Arial" w:hAnsi="Arial"/>
                  <w:sz w:val="18"/>
                  <w:szCs w:val="18"/>
                  <w:color w:val="0000FF"/>
                </w:rPr>
                <w:t>Above, as amended and restated (incorporated by reference to Exhibit 10.8 to Honeywell’s Form 10-K for the year ended</w:t>
              </w:r>
            </w:hyperlink>
          </w:p>
        </w:tc>
        <w:tc>
          <w:tcPr>
            <w:tcW w:w="16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480" w:type="dxa"/>
            <w:vAlign w:val="bottom"/>
          </w:tcPr>
          <w:p>
            <w:pPr>
              <w:spacing w:after="0"/>
              <w:rPr>
                <w:sz w:val="13"/>
                <w:szCs w:val="13"/>
                <w:color w:val="auto"/>
              </w:rPr>
            </w:pPr>
          </w:p>
        </w:tc>
        <w:tc>
          <w:tcPr>
            <w:tcW w:w="970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r:id="rId168">
              <w:r>
                <w:rPr>
                  <w:rFonts w:ascii="Arial" w:cs="Arial" w:eastAsia="Arial" w:hAnsi="Arial"/>
                  <w:sz w:val="18"/>
                  <w:szCs w:val="18"/>
                  <w:color w:val="0000FF"/>
                </w:rPr>
                <w:t>December 31, 2015)</w:t>
              </w:r>
            </w:hyperlink>
          </w:p>
        </w:tc>
        <w:tc>
          <w:tcPr>
            <w:tcW w:w="260" w:type="dxa"/>
            <w:vAlign w:val="bottom"/>
            <w:gridSpan w:val="1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1640" w:type="dxa"/>
            <w:vAlign w:val="bottom"/>
            <w:tcBorders>
              <w:top w:val="single" w:sz="8" w:color="0000FF"/>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118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02" w:right="359" w:bottom="1440" w:gutter="0" w:footer="0" w:header="0"/>
        </w:sectPr>
      </w:pPr>
    </w:p>
    <w:bookmarkStart w:id="121" w:name="page122"/>
    <w:bookmarkEnd w:id="121"/>
    <w:p>
      <w:pPr>
        <w:ind w:left="80"/>
        <w:spacing w:after="0"/>
        <w:tabs>
          <w:tab w:leader="none" w:pos="582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1517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0">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20" w:lineRule="exact"/>
        <w:rPr>
          <w:sz w:val="20"/>
          <w:szCs w:val="20"/>
          <w:color w:val="auto"/>
        </w:rPr>
      </w:pPr>
    </w:p>
    <w:p>
      <w:pPr>
        <w:ind w:left="560"/>
        <w:spacing w:after="0"/>
        <w:tabs>
          <w:tab w:leader="none" w:pos="1460" w:val="left"/>
        </w:tabs>
        <w:rPr>
          <w:rFonts w:ascii="Arial" w:cs="Arial" w:eastAsia="Arial" w:hAnsi="Arial"/>
          <w:sz w:val="18"/>
          <w:szCs w:val="18"/>
          <w:u w:val="single" w:color="auto"/>
          <w:color w:val="0000FF"/>
        </w:rPr>
      </w:pPr>
      <w:r>
        <w:rPr>
          <w:rFonts w:ascii="Arial" w:cs="Arial" w:eastAsia="Arial" w:hAnsi="Arial"/>
          <w:sz w:val="18"/>
          <w:szCs w:val="18"/>
          <w:color w:val="auto"/>
        </w:rPr>
        <w:t>10.15*</w:t>
      </w:r>
      <w:r>
        <w:rPr>
          <w:sz w:val="20"/>
          <w:szCs w:val="20"/>
          <w:color w:val="auto"/>
        </w:rPr>
        <w:tab/>
      </w:r>
      <w:hyperlink r:id="rId171">
        <w:r>
          <w:rPr>
            <w:rFonts w:ascii="Arial" w:cs="Arial" w:eastAsia="Arial" w:hAnsi="Arial"/>
            <w:sz w:val="18"/>
            <w:szCs w:val="18"/>
            <w:u w:val="single" w:color="auto"/>
            <w:color w:val="0000FF"/>
          </w:rPr>
          <w:t>Honeywell Supplemental Defined Benefit Retirement Plan, as amended and restated (incorporated by reference to Exhibit</w:t>
        </w:r>
      </w:hyperlink>
    </w:p>
    <w:p>
      <w:pPr>
        <w:ind w:left="1480"/>
        <w:spacing w:after="0"/>
        <w:rPr>
          <w:rFonts w:ascii="Arial" w:cs="Arial" w:eastAsia="Arial" w:hAnsi="Arial"/>
          <w:sz w:val="18"/>
          <w:szCs w:val="18"/>
          <w:u w:val="single" w:color="auto"/>
          <w:color w:val="0000FF"/>
        </w:rPr>
      </w:pPr>
      <w:hyperlink r:id="rId171">
        <w:r>
          <w:rPr>
            <w:rFonts w:ascii="Arial" w:cs="Arial" w:eastAsia="Arial" w:hAnsi="Arial"/>
            <w:sz w:val="18"/>
            <w:szCs w:val="18"/>
            <w:u w:val="single" w:color="auto"/>
            <w:color w:val="0000FF"/>
          </w:rPr>
          <w:t>10.13 to Honeywell’s Form 10-K for the year ended December 31, 2008)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1517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16" w:lineRule="exact"/>
        <w:rPr>
          <w:sz w:val="20"/>
          <w:szCs w:val="20"/>
          <w:color w:val="auto"/>
        </w:rPr>
      </w:pPr>
    </w:p>
    <w:p>
      <w:pPr>
        <w:jc w:val="both"/>
        <w:ind w:left="1480" w:right="20" w:hanging="906"/>
        <w:spacing w:after="0" w:line="227" w:lineRule="auto"/>
        <w:tabs>
          <w:tab w:leader="none" w:pos="1460" w:val="left"/>
        </w:tabs>
        <w:rPr>
          <w:rFonts w:ascii="Arial" w:cs="Arial" w:eastAsia="Arial" w:hAnsi="Arial"/>
          <w:sz w:val="18"/>
          <w:szCs w:val="18"/>
          <w:u w:val="single" w:color="auto"/>
          <w:color w:val="0000FF"/>
        </w:rPr>
      </w:pPr>
      <w:r>
        <w:rPr>
          <w:rFonts w:ascii="Arial" w:cs="Arial" w:eastAsia="Arial" w:hAnsi="Arial"/>
          <w:sz w:val="18"/>
          <w:szCs w:val="18"/>
          <w:color w:val="auto"/>
        </w:rPr>
        <w:t>10.16*</w:t>
      </w:r>
      <w:r>
        <w:rPr>
          <w:sz w:val="20"/>
          <w:szCs w:val="20"/>
          <w:color w:val="auto"/>
        </w:rPr>
        <w:tab/>
      </w:r>
      <w:hyperlink r:id="rId173">
        <w:r>
          <w:rPr>
            <w:rFonts w:ascii="Arial" w:cs="Arial" w:eastAsia="Arial" w:hAnsi="Arial"/>
            <w:sz w:val="18"/>
            <w:szCs w:val="18"/>
            <w:u w:val="single" w:color="auto"/>
            <w:color w:val="0000FF"/>
          </w:rPr>
          <w:t>Amendment to Honeywell Supplemental Defined Benefit Retirement Plan, as amended and restated (incorporated by</w:t>
        </w:r>
      </w:hyperlink>
      <w:r>
        <w:rPr>
          <w:rFonts w:ascii="Arial" w:cs="Arial" w:eastAsia="Arial" w:hAnsi="Arial"/>
          <w:sz w:val="18"/>
          <w:szCs w:val="18"/>
          <w:u w:val="single" w:color="auto"/>
          <w:color w:val="0000FF"/>
        </w:rPr>
        <w:t xml:space="preserve"> </w:t>
      </w:r>
      <w:hyperlink r:id="rId173">
        <w:r>
          <w:rPr>
            <w:rFonts w:ascii="Arial" w:cs="Arial" w:eastAsia="Arial" w:hAnsi="Arial"/>
            <w:sz w:val="18"/>
            <w:szCs w:val="18"/>
            <w:u w:val="single" w:color="auto"/>
            <w:color w:val="0000FF"/>
          </w:rPr>
          <w:t>reference to Exhibit 10.13 to Honeywell’s Form 10-K for the year ended December 31, 2009)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1517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7" w:lineRule="exact"/>
        <w:rPr>
          <w:sz w:val="20"/>
          <w:szCs w:val="20"/>
          <w:color w:val="auto"/>
        </w:rPr>
      </w:pPr>
    </w:p>
    <w:p>
      <w:pPr>
        <w:jc w:val="both"/>
        <w:ind w:left="1480" w:right="20" w:hanging="906"/>
        <w:spacing w:after="0" w:line="227" w:lineRule="auto"/>
        <w:tabs>
          <w:tab w:leader="none" w:pos="1460" w:val="left"/>
        </w:tabs>
        <w:rPr>
          <w:rFonts w:ascii="Arial" w:cs="Arial" w:eastAsia="Arial" w:hAnsi="Arial"/>
          <w:sz w:val="18"/>
          <w:szCs w:val="18"/>
          <w:u w:val="single" w:color="auto"/>
          <w:color w:val="0000FF"/>
        </w:rPr>
      </w:pPr>
      <w:r>
        <w:rPr>
          <w:rFonts w:ascii="Arial" w:cs="Arial" w:eastAsia="Arial" w:hAnsi="Arial"/>
          <w:sz w:val="18"/>
          <w:szCs w:val="18"/>
          <w:color w:val="auto"/>
        </w:rPr>
        <w:t>10.17*</w:t>
      </w:r>
      <w:r>
        <w:rPr>
          <w:sz w:val="20"/>
          <w:szCs w:val="20"/>
          <w:color w:val="auto"/>
        </w:rPr>
        <w:tab/>
      </w:r>
      <w:hyperlink r:id="rId175">
        <w:r>
          <w:rPr>
            <w:rFonts w:ascii="Arial" w:cs="Arial" w:eastAsia="Arial" w:hAnsi="Arial"/>
            <w:sz w:val="18"/>
            <w:szCs w:val="18"/>
            <w:u w:val="single" w:color="auto"/>
            <w:color w:val="0000FF"/>
          </w:rPr>
          <w:t>Amendment to Honeywell Supplemental Defined Benefit Retirement Plan, as amended and restated (incorporated by</w:t>
        </w:r>
      </w:hyperlink>
      <w:r>
        <w:rPr>
          <w:rFonts w:ascii="Arial" w:cs="Arial" w:eastAsia="Arial" w:hAnsi="Arial"/>
          <w:sz w:val="18"/>
          <w:szCs w:val="18"/>
          <w:u w:val="single" w:color="auto"/>
          <w:color w:val="0000FF"/>
        </w:rPr>
        <w:t xml:space="preserve"> </w:t>
      </w:r>
      <w:hyperlink r:id="rId175">
        <w:r>
          <w:rPr>
            <w:rFonts w:ascii="Arial" w:cs="Arial" w:eastAsia="Arial" w:hAnsi="Arial"/>
            <w:sz w:val="18"/>
            <w:szCs w:val="18"/>
            <w:u w:val="single" w:color="auto"/>
            <w:color w:val="0000FF"/>
          </w:rPr>
          <w:t>reference to Exhibit 10.9 to Honeywell’s Form 10-K for the year ended December 31, 2015)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1517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7" w:lineRule="exact"/>
        <w:rPr>
          <w:sz w:val="20"/>
          <w:szCs w:val="20"/>
          <w:color w:val="auto"/>
        </w:rPr>
      </w:pPr>
    </w:p>
    <w:p>
      <w:pPr>
        <w:jc w:val="both"/>
        <w:ind w:left="1480" w:right="20" w:hanging="906"/>
        <w:spacing w:after="0" w:line="219" w:lineRule="auto"/>
        <w:tabs>
          <w:tab w:leader="none" w:pos="1460" w:val="left"/>
        </w:tabs>
        <w:rPr>
          <w:rFonts w:ascii="Arial" w:cs="Arial" w:eastAsia="Arial" w:hAnsi="Arial"/>
          <w:sz w:val="18"/>
          <w:szCs w:val="18"/>
          <w:u w:val="single" w:color="auto"/>
          <w:color w:val="0000FF"/>
        </w:rPr>
      </w:pPr>
      <w:r>
        <w:rPr>
          <w:rFonts w:ascii="Arial" w:cs="Arial" w:eastAsia="Arial" w:hAnsi="Arial"/>
          <w:sz w:val="18"/>
          <w:szCs w:val="18"/>
          <w:color w:val="auto"/>
        </w:rPr>
        <w:t>10.18*</w:t>
      </w:r>
      <w:r>
        <w:rPr>
          <w:sz w:val="20"/>
          <w:szCs w:val="20"/>
          <w:color w:val="auto"/>
        </w:rPr>
        <w:tab/>
      </w:r>
      <w:hyperlink r:id="rId177">
        <w:r>
          <w:rPr>
            <w:rFonts w:ascii="Arial" w:cs="Arial" w:eastAsia="Arial" w:hAnsi="Arial"/>
            <w:sz w:val="18"/>
            <w:szCs w:val="18"/>
            <w:u w:val="single" w:color="auto"/>
            <w:color w:val="0000FF"/>
          </w:rPr>
          <w:t>Honeywell International Inc. Severance Plan for Corporate Staff Employees (Involuntary Termination Following a Change</w:t>
        </w:r>
      </w:hyperlink>
      <w:r>
        <w:rPr>
          <w:rFonts w:ascii="Arial" w:cs="Arial" w:eastAsia="Arial" w:hAnsi="Arial"/>
          <w:sz w:val="18"/>
          <w:szCs w:val="18"/>
          <w:u w:val="single" w:color="auto"/>
          <w:color w:val="0000FF"/>
        </w:rPr>
        <w:t xml:space="preserve"> </w:t>
      </w:r>
      <w:hyperlink r:id="rId177">
        <w:r>
          <w:rPr>
            <w:rFonts w:ascii="Arial" w:cs="Arial" w:eastAsia="Arial" w:hAnsi="Arial"/>
            <w:sz w:val="18"/>
            <w:szCs w:val="18"/>
            <w:u w:val="single" w:color="auto"/>
            <w:color w:val="0000FF"/>
          </w:rPr>
          <w:t>in Control), as amended and restated (incorporated by reference to Exhibit 10.12 to Honeywell’s Form 10-K for the year</w:t>
        </w:r>
      </w:hyperlink>
      <w:r>
        <w:rPr>
          <w:rFonts w:ascii="Arial" w:cs="Arial" w:eastAsia="Arial" w:hAnsi="Arial"/>
          <w:sz w:val="18"/>
          <w:szCs w:val="18"/>
          <w:u w:val="single" w:color="auto"/>
          <w:color w:val="0000FF"/>
        </w:rPr>
        <w:t xml:space="preserve"> </w:t>
      </w:r>
      <w:hyperlink r:id="rId177">
        <w:r>
          <w:rPr>
            <w:rFonts w:ascii="Arial" w:cs="Arial" w:eastAsia="Arial" w:hAnsi="Arial"/>
            <w:sz w:val="18"/>
            <w:szCs w:val="18"/>
            <w:u w:val="single" w:color="auto"/>
            <w:color w:val="0000FF"/>
          </w:rPr>
          <w:t>ended December 31, 2013)</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635</wp:posOffset>
            </wp:positionV>
            <wp:extent cx="711517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8">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7" w:lineRule="exact"/>
        <w:rPr>
          <w:rFonts w:ascii="Arial" w:cs="Arial" w:eastAsia="Arial" w:hAnsi="Arial"/>
          <w:sz w:val="18"/>
          <w:szCs w:val="18"/>
          <w:u w:val="single" w:color="auto"/>
          <w:color w:val="0000FF"/>
        </w:rPr>
      </w:pPr>
    </w:p>
    <w:p>
      <w:pPr>
        <w:jc w:val="both"/>
        <w:ind w:left="1480" w:hanging="906"/>
        <w:spacing w:after="0" w:line="227" w:lineRule="auto"/>
        <w:tabs>
          <w:tab w:leader="none" w:pos="1460" w:val="left"/>
        </w:tabs>
        <w:rPr>
          <w:rFonts w:ascii="Arial" w:cs="Arial" w:eastAsia="Arial" w:hAnsi="Arial"/>
          <w:sz w:val="18"/>
          <w:szCs w:val="18"/>
          <w:u w:val="single" w:color="auto"/>
          <w:color w:val="0000FF"/>
        </w:rPr>
      </w:pPr>
      <w:r>
        <w:rPr>
          <w:rFonts w:ascii="Arial" w:cs="Arial" w:eastAsia="Arial" w:hAnsi="Arial"/>
          <w:sz w:val="18"/>
          <w:szCs w:val="18"/>
          <w:color w:val="auto"/>
        </w:rPr>
        <w:t>10.19*</w:t>
      </w:r>
      <w:r>
        <w:rPr>
          <w:sz w:val="20"/>
          <w:szCs w:val="20"/>
          <w:color w:val="auto"/>
        </w:rPr>
        <w:tab/>
      </w:r>
      <w:hyperlink r:id="rId179">
        <w:r>
          <w:rPr>
            <w:rFonts w:ascii="Arial" w:cs="Arial" w:eastAsia="Arial" w:hAnsi="Arial"/>
            <w:sz w:val="18"/>
            <w:szCs w:val="18"/>
            <w:u w:val="single" w:color="auto"/>
            <w:color w:val="0000FF"/>
          </w:rPr>
          <w:t>Honeywell Supplemental Retirement Plan (incorporated by reference to Exhibit 10.24 to Honeywell’s Form 10-K for the</w:t>
        </w:r>
      </w:hyperlink>
      <w:r>
        <w:rPr>
          <w:rFonts w:ascii="Arial" w:cs="Arial" w:eastAsia="Arial" w:hAnsi="Arial"/>
          <w:sz w:val="18"/>
          <w:szCs w:val="18"/>
          <w:u w:val="single" w:color="auto"/>
          <w:color w:val="0000FF"/>
        </w:rPr>
        <w:t xml:space="preserve"> </w:t>
      </w:r>
      <w:hyperlink r:id="rId179">
        <w:r>
          <w:rPr>
            <w:rFonts w:ascii="Arial" w:cs="Arial" w:eastAsia="Arial" w:hAnsi="Arial"/>
            <w:sz w:val="18"/>
            <w:szCs w:val="18"/>
            <w:u w:val="single" w:color="auto"/>
            <w:color w:val="0000FF"/>
          </w:rPr>
          <w:t>year ended December 31, 2006)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1517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7" w:lineRule="exact"/>
        <w:rPr>
          <w:sz w:val="20"/>
          <w:szCs w:val="20"/>
          <w:color w:val="auto"/>
        </w:rPr>
      </w:pPr>
    </w:p>
    <w:p>
      <w:pPr>
        <w:jc w:val="both"/>
        <w:ind w:left="1480" w:right="20" w:hanging="906"/>
        <w:spacing w:after="0" w:line="227" w:lineRule="auto"/>
        <w:tabs>
          <w:tab w:leader="none" w:pos="1460" w:val="left"/>
        </w:tabs>
        <w:rPr>
          <w:rFonts w:ascii="Arial" w:cs="Arial" w:eastAsia="Arial" w:hAnsi="Arial"/>
          <w:sz w:val="18"/>
          <w:szCs w:val="18"/>
          <w:u w:val="single" w:color="auto"/>
          <w:color w:val="0000FF"/>
        </w:rPr>
      </w:pPr>
      <w:r>
        <w:rPr>
          <w:rFonts w:ascii="Arial" w:cs="Arial" w:eastAsia="Arial" w:hAnsi="Arial"/>
          <w:sz w:val="18"/>
          <w:szCs w:val="18"/>
          <w:color w:val="auto"/>
        </w:rPr>
        <w:t>10.20*</w:t>
      </w:r>
      <w:r>
        <w:rPr>
          <w:sz w:val="20"/>
          <w:szCs w:val="20"/>
          <w:color w:val="auto"/>
        </w:rPr>
        <w:tab/>
      </w:r>
      <w:hyperlink r:id="rId181">
        <w:r>
          <w:rPr>
            <w:rFonts w:ascii="Arial" w:cs="Arial" w:eastAsia="Arial" w:hAnsi="Arial"/>
            <w:sz w:val="18"/>
            <w:szCs w:val="18"/>
            <w:u w:val="single" w:color="auto"/>
            <w:color w:val="0000FF"/>
          </w:rPr>
          <w:t>2006 Stock Incentive Plan of Honeywell International Inc. and Its Affiliates, as amended and restated (incorporated by</w:t>
        </w:r>
      </w:hyperlink>
      <w:r>
        <w:rPr>
          <w:rFonts w:ascii="Arial" w:cs="Arial" w:eastAsia="Arial" w:hAnsi="Arial"/>
          <w:sz w:val="18"/>
          <w:szCs w:val="18"/>
          <w:u w:val="single" w:color="auto"/>
          <w:color w:val="0000FF"/>
        </w:rPr>
        <w:t xml:space="preserve"> </w:t>
      </w:r>
      <w:hyperlink r:id="rId181">
        <w:r>
          <w:rPr>
            <w:rFonts w:ascii="Arial" w:cs="Arial" w:eastAsia="Arial" w:hAnsi="Arial"/>
            <w:sz w:val="18"/>
            <w:szCs w:val="18"/>
            <w:u w:val="single" w:color="auto"/>
            <w:color w:val="0000FF"/>
          </w:rPr>
          <w:t>reference to Exhibit 10.26 to Honeywell’s Form 10-K for the year ended December 31, 2008)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1517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7" w:lineRule="exact"/>
        <w:rPr>
          <w:sz w:val="20"/>
          <w:szCs w:val="20"/>
          <w:color w:val="auto"/>
        </w:rPr>
      </w:pPr>
    </w:p>
    <w:p>
      <w:pPr>
        <w:jc w:val="both"/>
        <w:ind w:left="1480" w:hanging="906"/>
        <w:spacing w:after="0" w:line="227" w:lineRule="auto"/>
        <w:tabs>
          <w:tab w:leader="none" w:pos="1460" w:val="left"/>
        </w:tabs>
        <w:rPr>
          <w:rFonts w:ascii="Arial" w:cs="Arial" w:eastAsia="Arial" w:hAnsi="Arial"/>
          <w:sz w:val="18"/>
          <w:szCs w:val="18"/>
          <w:u w:val="single" w:color="auto"/>
          <w:color w:val="0000FF"/>
        </w:rPr>
      </w:pPr>
      <w:r>
        <w:rPr>
          <w:rFonts w:ascii="Arial" w:cs="Arial" w:eastAsia="Arial" w:hAnsi="Arial"/>
          <w:sz w:val="18"/>
          <w:szCs w:val="18"/>
          <w:color w:val="auto"/>
        </w:rPr>
        <w:t>10.21*</w:t>
      </w:r>
      <w:r>
        <w:rPr>
          <w:sz w:val="20"/>
          <w:szCs w:val="20"/>
          <w:color w:val="auto"/>
        </w:rPr>
        <w:tab/>
      </w:r>
      <w:hyperlink r:id="rId183">
        <w:r>
          <w:rPr>
            <w:rFonts w:ascii="Arial" w:cs="Arial" w:eastAsia="Arial" w:hAnsi="Arial"/>
            <w:sz w:val="18"/>
            <w:szCs w:val="18"/>
            <w:u w:val="single" w:color="auto"/>
            <w:color w:val="0000FF"/>
          </w:rPr>
          <w:t>Amendment to the 2006 Stock Incentive Plan of Honeywell International Inc. and Its Affiliates, as amended and restated</w:t>
        </w:r>
      </w:hyperlink>
      <w:r>
        <w:rPr>
          <w:rFonts w:ascii="Arial" w:cs="Arial" w:eastAsia="Arial" w:hAnsi="Arial"/>
          <w:sz w:val="18"/>
          <w:szCs w:val="18"/>
          <w:u w:val="single" w:color="auto"/>
          <w:color w:val="0000FF"/>
        </w:rPr>
        <w:t xml:space="preserve"> </w:t>
      </w:r>
      <w:hyperlink r:id="rId183">
        <w:r>
          <w:rPr>
            <w:rFonts w:ascii="Arial" w:cs="Arial" w:eastAsia="Arial" w:hAnsi="Arial"/>
            <w:sz w:val="18"/>
            <w:szCs w:val="18"/>
            <w:u w:val="single" w:color="auto"/>
            <w:color w:val="0000FF"/>
          </w:rPr>
          <w:t>(incorporated by reference to Exhibit 10.1 to Honeywell’s Form 10-Q for the quarter ended March 31, 2011)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1517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7" w:lineRule="exact"/>
        <w:rPr>
          <w:sz w:val="20"/>
          <w:szCs w:val="20"/>
          <w:color w:val="auto"/>
        </w:rPr>
      </w:pPr>
    </w:p>
    <w:p>
      <w:pPr>
        <w:jc w:val="both"/>
        <w:ind w:left="1480" w:hanging="906"/>
        <w:spacing w:after="0" w:line="227" w:lineRule="auto"/>
        <w:tabs>
          <w:tab w:leader="none" w:pos="1460" w:val="left"/>
        </w:tabs>
        <w:rPr>
          <w:rFonts w:ascii="Arial" w:cs="Arial" w:eastAsia="Arial" w:hAnsi="Arial"/>
          <w:sz w:val="18"/>
          <w:szCs w:val="18"/>
          <w:u w:val="single" w:color="auto"/>
          <w:color w:val="0000FF"/>
        </w:rPr>
      </w:pPr>
      <w:r>
        <w:rPr>
          <w:rFonts w:ascii="Arial" w:cs="Arial" w:eastAsia="Arial" w:hAnsi="Arial"/>
          <w:sz w:val="18"/>
          <w:szCs w:val="18"/>
          <w:color w:val="auto"/>
        </w:rPr>
        <w:t>10.22*</w:t>
      </w:r>
      <w:r>
        <w:rPr>
          <w:sz w:val="20"/>
          <w:szCs w:val="20"/>
          <w:color w:val="auto"/>
        </w:rPr>
        <w:tab/>
      </w:r>
      <w:hyperlink r:id="rId185">
        <w:r>
          <w:rPr>
            <w:rFonts w:ascii="Arial" w:cs="Arial" w:eastAsia="Arial" w:hAnsi="Arial"/>
            <w:sz w:val="18"/>
            <w:szCs w:val="18"/>
            <w:u w:val="single" w:color="auto"/>
            <w:color w:val="0000FF"/>
          </w:rPr>
          <w:t>2006 Stock Incentive Plan of Honeywell International Inc. and Its Affiliates—Form of Option Award Agreement</w:t>
        </w:r>
      </w:hyperlink>
      <w:r>
        <w:rPr>
          <w:rFonts w:ascii="Arial" w:cs="Arial" w:eastAsia="Arial" w:hAnsi="Arial"/>
          <w:sz w:val="18"/>
          <w:szCs w:val="18"/>
          <w:u w:val="single" w:color="auto"/>
          <w:color w:val="0000FF"/>
        </w:rPr>
        <w:t xml:space="preserve"> </w:t>
      </w:r>
      <w:hyperlink r:id="rId185">
        <w:r>
          <w:rPr>
            <w:rFonts w:ascii="Arial" w:cs="Arial" w:eastAsia="Arial" w:hAnsi="Arial"/>
            <w:sz w:val="18"/>
            <w:szCs w:val="18"/>
            <w:u w:val="single" w:color="auto"/>
            <w:color w:val="0000FF"/>
          </w:rPr>
          <w:t>(incorporated by reference to Exhibit 10.2 to Honeywell’s Form 10-Q for the quarter ended March 31, 2009)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1517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7" w:lineRule="exact"/>
        <w:rPr>
          <w:sz w:val="20"/>
          <w:szCs w:val="20"/>
          <w:color w:val="auto"/>
        </w:rPr>
      </w:pPr>
    </w:p>
    <w:p>
      <w:pPr>
        <w:jc w:val="both"/>
        <w:ind w:left="1480" w:hanging="906"/>
        <w:spacing w:after="0" w:line="227" w:lineRule="auto"/>
        <w:tabs>
          <w:tab w:leader="none" w:pos="1460" w:val="left"/>
        </w:tabs>
        <w:rPr>
          <w:rFonts w:ascii="Arial" w:cs="Arial" w:eastAsia="Arial" w:hAnsi="Arial"/>
          <w:sz w:val="18"/>
          <w:szCs w:val="18"/>
          <w:u w:val="single" w:color="auto"/>
          <w:color w:val="0000FF"/>
        </w:rPr>
      </w:pPr>
      <w:r>
        <w:rPr>
          <w:rFonts w:ascii="Arial" w:cs="Arial" w:eastAsia="Arial" w:hAnsi="Arial"/>
          <w:sz w:val="18"/>
          <w:szCs w:val="18"/>
          <w:color w:val="auto"/>
        </w:rPr>
        <w:t>10.23*</w:t>
      </w:r>
      <w:r>
        <w:rPr>
          <w:sz w:val="20"/>
          <w:szCs w:val="20"/>
          <w:color w:val="auto"/>
        </w:rPr>
        <w:tab/>
      </w:r>
      <w:hyperlink r:id="rId187">
        <w:r>
          <w:rPr>
            <w:rFonts w:ascii="Arial" w:cs="Arial" w:eastAsia="Arial" w:hAnsi="Arial"/>
            <w:sz w:val="18"/>
            <w:szCs w:val="18"/>
            <w:u w:val="single" w:color="auto"/>
            <w:color w:val="0000FF"/>
          </w:rPr>
          <w:t>2006 Stock Plan for Non-Employee Directors of Honeywell International Inc., as amended and restated (incorporated by</w:t>
        </w:r>
      </w:hyperlink>
      <w:r>
        <w:rPr>
          <w:rFonts w:ascii="Arial" w:cs="Arial" w:eastAsia="Arial" w:hAnsi="Arial"/>
          <w:sz w:val="18"/>
          <w:szCs w:val="18"/>
          <w:u w:val="single" w:color="auto"/>
          <w:color w:val="0000FF"/>
        </w:rPr>
        <w:t xml:space="preserve"> </w:t>
      </w:r>
      <w:hyperlink r:id="rId187">
        <w:r>
          <w:rPr>
            <w:rFonts w:ascii="Arial" w:cs="Arial" w:eastAsia="Arial" w:hAnsi="Arial"/>
            <w:sz w:val="18"/>
            <w:szCs w:val="18"/>
            <w:u w:val="single" w:color="auto"/>
            <w:color w:val="0000FF"/>
          </w:rPr>
          <w:t>reference to Exhibit 10.31 to Honeywell’s Form 10-K for the year ended December 31, 2008)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1517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7" w:lineRule="exact"/>
        <w:rPr>
          <w:sz w:val="20"/>
          <w:szCs w:val="20"/>
          <w:color w:val="auto"/>
        </w:rPr>
      </w:pPr>
    </w:p>
    <w:p>
      <w:pPr>
        <w:jc w:val="both"/>
        <w:ind w:left="1480" w:right="20" w:hanging="906"/>
        <w:spacing w:after="0" w:line="227" w:lineRule="auto"/>
        <w:tabs>
          <w:tab w:leader="none" w:pos="1460" w:val="left"/>
        </w:tabs>
        <w:rPr>
          <w:rFonts w:ascii="Arial" w:cs="Arial" w:eastAsia="Arial" w:hAnsi="Arial"/>
          <w:sz w:val="18"/>
          <w:szCs w:val="18"/>
          <w:u w:val="single" w:color="auto"/>
          <w:color w:val="0000FF"/>
        </w:rPr>
      </w:pPr>
      <w:r>
        <w:rPr>
          <w:rFonts w:ascii="Arial" w:cs="Arial" w:eastAsia="Arial" w:hAnsi="Arial"/>
          <w:sz w:val="18"/>
          <w:szCs w:val="18"/>
          <w:color w:val="auto"/>
        </w:rPr>
        <w:t>10.24*</w:t>
      </w:r>
      <w:r>
        <w:rPr>
          <w:sz w:val="20"/>
          <w:szCs w:val="20"/>
          <w:color w:val="auto"/>
        </w:rPr>
        <w:tab/>
      </w:r>
      <w:hyperlink r:id="rId189">
        <w:r>
          <w:rPr>
            <w:rFonts w:ascii="Arial" w:cs="Arial" w:eastAsia="Arial" w:hAnsi="Arial"/>
            <w:sz w:val="18"/>
            <w:szCs w:val="18"/>
            <w:u w:val="single" w:color="auto"/>
            <w:color w:val="0000FF"/>
          </w:rPr>
          <w:t>Amendment to 2006 Stock Plan for Non-Employee Directors of Honeywell International Inc., as amended and restated</w:t>
        </w:r>
      </w:hyperlink>
      <w:r>
        <w:rPr>
          <w:rFonts w:ascii="Arial" w:cs="Arial" w:eastAsia="Arial" w:hAnsi="Arial"/>
          <w:sz w:val="18"/>
          <w:szCs w:val="18"/>
          <w:u w:val="single" w:color="auto"/>
          <w:color w:val="0000FF"/>
        </w:rPr>
        <w:t xml:space="preserve"> </w:t>
      </w:r>
      <w:hyperlink r:id="rId189">
        <w:r>
          <w:rPr>
            <w:rFonts w:ascii="Arial" w:cs="Arial" w:eastAsia="Arial" w:hAnsi="Arial"/>
            <w:sz w:val="18"/>
            <w:szCs w:val="18"/>
            <w:u w:val="single" w:color="auto"/>
            <w:color w:val="0000FF"/>
          </w:rPr>
          <w:t>(incorporated by reference to Exhibit 10.27 to Honeywell’s Form 10-K for the year ended December 31, 2011)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1517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0">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7" w:lineRule="exact"/>
        <w:rPr>
          <w:sz w:val="20"/>
          <w:szCs w:val="20"/>
          <w:color w:val="auto"/>
        </w:rPr>
      </w:pPr>
    </w:p>
    <w:p>
      <w:pPr>
        <w:jc w:val="both"/>
        <w:ind w:left="1480" w:right="20" w:hanging="906"/>
        <w:spacing w:after="0" w:line="227" w:lineRule="auto"/>
        <w:tabs>
          <w:tab w:leader="none" w:pos="1460" w:val="left"/>
        </w:tabs>
        <w:rPr>
          <w:rFonts w:ascii="Arial" w:cs="Arial" w:eastAsia="Arial" w:hAnsi="Arial"/>
          <w:sz w:val="18"/>
          <w:szCs w:val="18"/>
          <w:u w:val="single" w:color="auto"/>
          <w:color w:val="0000FF"/>
        </w:rPr>
      </w:pPr>
      <w:r>
        <w:rPr>
          <w:rFonts w:ascii="Arial" w:cs="Arial" w:eastAsia="Arial" w:hAnsi="Arial"/>
          <w:sz w:val="18"/>
          <w:szCs w:val="18"/>
          <w:color w:val="auto"/>
        </w:rPr>
        <w:t>10.25*</w:t>
      </w:r>
      <w:r>
        <w:rPr>
          <w:sz w:val="20"/>
          <w:szCs w:val="20"/>
          <w:color w:val="auto"/>
        </w:rPr>
        <w:tab/>
      </w:r>
      <w:hyperlink r:id="rId191">
        <w:r>
          <w:rPr>
            <w:rFonts w:ascii="Arial" w:cs="Arial" w:eastAsia="Arial" w:hAnsi="Arial"/>
            <w:sz w:val="18"/>
            <w:szCs w:val="18"/>
            <w:u w:val="single" w:color="auto"/>
            <w:color w:val="0000FF"/>
          </w:rPr>
          <w:t>Amendment to 2006 Stock Plan for Non-Employee Directors of Honeywell International Inc., as amended and restated</w:t>
        </w:r>
      </w:hyperlink>
      <w:r>
        <w:rPr>
          <w:rFonts w:ascii="Arial" w:cs="Arial" w:eastAsia="Arial" w:hAnsi="Arial"/>
          <w:sz w:val="18"/>
          <w:szCs w:val="18"/>
          <w:u w:val="single" w:color="auto"/>
          <w:color w:val="0000FF"/>
        </w:rPr>
        <w:t xml:space="preserve"> </w:t>
      </w:r>
      <w:hyperlink r:id="rId191">
        <w:r>
          <w:rPr>
            <w:rFonts w:ascii="Arial" w:cs="Arial" w:eastAsia="Arial" w:hAnsi="Arial"/>
            <w:sz w:val="18"/>
            <w:szCs w:val="18"/>
            <w:u w:val="single" w:color="auto"/>
            <w:color w:val="0000FF"/>
          </w:rPr>
          <w:t>(incorporated by reference to Exhibit 10.24 to Honeywell’s Form 10-K for the year ended December 31, 2014)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1517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7" w:lineRule="exact"/>
        <w:rPr>
          <w:sz w:val="20"/>
          <w:szCs w:val="20"/>
          <w:color w:val="auto"/>
        </w:rPr>
      </w:pPr>
    </w:p>
    <w:p>
      <w:pPr>
        <w:jc w:val="both"/>
        <w:ind w:left="1480" w:right="20" w:hanging="906"/>
        <w:spacing w:after="0" w:line="227" w:lineRule="auto"/>
        <w:tabs>
          <w:tab w:leader="none" w:pos="1460" w:val="left"/>
        </w:tabs>
        <w:rPr>
          <w:rFonts w:ascii="Arial" w:cs="Arial" w:eastAsia="Arial" w:hAnsi="Arial"/>
          <w:sz w:val="18"/>
          <w:szCs w:val="18"/>
          <w:u w:val="single" w:color="auto"/>
          <w:color w:val="0000FF"/>
        </w:rPr>
      </w:pPr>
      <w:r>
        <w:rPr>
          <w:rFonts w:ascii="Arial" w:cs="Arial" w:eastAsia="Arial" w:hAnsi="Arial"/>
          <w:sz w:val="18"/>
          <w:szCs w:val="18"/>
          <w:color w:val="auto"/>
        </w:rPr>
        <w:t>10.26*</w:t>
      </w:r>
      <w:r>
        <w:rPr>
          <w:sz w:val="20"/>
          <w:szCs w:val="20"/>
          <w:color w:val="auto"/>
        </w:rPr>
        <w:tab/>
      </w:r>
      <w:hyperlink r:id="rId193">
        <w:r>
          <w:rPr>
            <w:rFonts w:ascii="Arial" w:cs="Arial" w:eastAsia="Arial" w:hAnsi="Arial"/>
            <w:sz w:val="18"/>
            <w:szCs w:val="18"/>
            <w:u w:val="single" w:color="auto"/>
            <w:color w:val="0000FF"/>
          </w:rPr>
          <w:t>2006 Stock Plan for Non-Employee Directors of Honeywell International Inc.—Form of Option Agreement (incorporated by</w:t>
        </w:r>
      </w:hyperlink>
      <w:r>
        <w:rPr>
          <w:rFonts w:ascii="Arial" w:cs="Arial" w:eastAsia="Arial" w:hAnsi="Arial"/>
          <w:sz w:val="18"/>
          <w:szCs w:val="18"/>
          <w:u w:val="single" w:color="auto"/>
          <w:color w:val="0000FF"/>
        </w:rPr>
        <w:t xml:space="preserve"> </w:t>
      </w:r>
      <w:hyperlink r:id="rId193">
        <w:r>
          <w:rPr>
            <w:rFonts w:ascii="Arial" w:cs="Arial" w:eastAsia="Arial" w:hAnsi="Arial"/>
            <w:sz w:val="18"/>
            <w:szCs w:val="18"/>
            <w:u w:val="single" w:color="auto"/>
            <w:color w:val="0000FF"/>
          </w:rPr>
          <w:t>reference to Exhibit 10.3 to Honeywell’s Form 10-Q for the quarter ended March 31, 2012)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1517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7" w:lineRule="exact"/>
        <w:rPr>
          <w:sz w:val="20"/>
          <w:szCs w:val="20"/>
          <w:color w:val="auto"/>
        </w:rPr>
      </w:pPr>
    </w:p>
    <w:p>
      <w:pPr>
        <w:jc w:val="both"/>
        <w:ind w:left="1480" w:right="20" w:hanging="906"/>
        <w:spacing w:after="0" w:line="227" w:lineRule="auto"/>
        <w:tabs>
          <w:tab w:leader="none" w:pos="1460" w:val="left"/>
        </w:tabs>
        <w:rPr>
          <w:rFonts w:ascii="Arial" w:cs="Arial" w:eastAsia="Arial" w:hAnsi="Arial"/>
          <w:sz w:val="18"/>
          <w:szCs w:val="18"/>
          <w:u w:val="single" w:color="auto"/>
          <w:color w:val="0000FF"/>
        </w:rPr>
      </w:pPr>
      <w:r>
        <w:rPr>
          <w:rFonts w:ascii="Arial" w:cs="Arial" w:eastAsia="Arial" w:hAnsi="Arial"/>
          <w:sz w:val="18"/>
          <w:szCs w:val="18"/>
          <w:color w:val="auto"/>
        </w:rPr>
        <w:t>10.27*</w:t>
      </w:r>
      <w:r>
        <w:rPr>
          <w:sz w:val="20"/>
          <w:szCs w:val="20"/>
          <w:color w:val="auto"/>
        </w:rPr>
        <w:tab/>
      </w:r>
      <w:hyperlink r:id="rId195">
        <w:r>
          <w:rPr>
            <w:rFonts w:ascii="Arial" w:cs="Arial" w:eastAsia="Arial" w:hAnsi="Arial"/>
            <w:sz w:val="18"/>
            <w:szCs w:val="18"/>
            <w:u w:val="single" w:color="auto"/>
            <w:color w:val="0000FF"/>
          </w:rPr>
          <w:t>2006 Stock Plan for Non-Employee Directors of Honeywell International Inc.—Form of Restricted Unit Agreement</w:t>
        </w:r>
      </w:hyperlink>
      <w:r>
        <w:rPr>
          <w:rFonts w:ascii="Arial" w:cs="Arial" w:eastAsia="Arial" w:hAnsi="Arial"/>
          <w:sz w:val="18"/>
          <w:szCs w:val="18"/>
          <w:u w:val="single" w:color="auto"/>
          <w:color w:val="0000FF"/>
        </w:rPr>
        <w:t xml:space="preserve"> </w:t>
      </w:r>
      <w:hyperlink r:id="rId195">
        <w:r>
          <w:rPr>
            <w:rFonts w:ascii="Arial" w:cs="Arial" w:eastAsia="Arial" w:hAnsi="Arial"/>
            <w:sz w:val="18"/>
            <w:szCs w:val="18"/>
            <w:u w:val="single" w:color="auto"/>
            <w:color w:val="0000FF"/>
          </w:rPr>
          <w:t>(incorporated by reference to Exhibit 10.4 to Honeywell’s Form 10-Q for the quarter ended March 31, 2012)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1517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7" w:lineRule="exact"/>
        <w:rPr>
          <w:sz w:val="20"/>
          <w:szCs w:val="20"/>
          <w:color w:val="auto"/>
        </w:rPr>
      </w:pPr>
    </w:p>
    <w:p>
      <w:pPr>
        <w:jc w:val="both"/>
        <w:ind w:left="1480" w:right="20" w:hanging="906"/>
        <w:spacing w:after="0" w:line="227" w:lineRule="auto"/>
        <w:tabs>
          <w:tab w:leader="none" w:pos="1460" w:val="left"/>
        </w:tabs>
        <w:rPr>
          <w:rFonts w:ascii="Arial" w:cs="Arial" w:eastAsia="Arial" w:hAnsi="Arial"/>
          <w:sz w:val="18"/>
          <w:szCs w:val="18"/>
          <w:u w:val="single" w:color="auto"/>
          <w:color w:val="0000FF"/>
        </w:rPr>
      </w:pPr>
      <w:r>
        <w:rPr>
          <w:rFonts w:ascii="Arial" w:cs="Arial" w:eastAsia="Arial" w:hAnsi="Arial"/>
          <w:sz w:val="18"/>
          <w:szCs w:val="18"/>
          <w:color w:val="auto"/>
        </w:rPr>
        <w:t>10.28*</w:t>
      </w:r>
      <w:r>
        <w:rPr>
          <w:sz w:val="20"/>
          <w:szCs w:val="20"/>
          <w:color w:val="auto"/>
        </w:rPr>
        <w:tab/>
      </w:r>
      <w:hyperlink r:id="rId197">
        <w:r>
          <w:rPr>
            <w:rFonts w:ascii="Arial" w:cs="Arial" w:eastAsia="Arial" w:hAnsi="Arial"/>
            <w:sz w:val="18"/>
            <w:szCs w:val="18"/>
            <w:u w:val="single" w:color="auto"/>
            <w:color w:val="0000FF"/>
          </w:rPr>
          <w:t>2007 Honeywell Global Employee Stock Plan (incorporated by reference to Exhibit A of Honeywell’s Proxy Statement,</w:t>
        </w:r>
      </w:hyperlink>
      <w:r>
        <w:rPr>
          <w:rFonts w:ascii="Arial" w:cs="Arial" w:eastAsia="Arial" w:hAnsi="Arial"/>
          <w:sz w:val="18"/>
          <w:szCs w:val="18"/>
          <w:u w:val="single" w:color="auto"/>
          <w:color w:val="0000FF"/>
        </w:rPr>
        <w:t xml:space="preserve"> </w:t>
      </w:r>
      <w:hyperlink r:id="rId197">
        <w:r>
          <w:rPr>
            <w:rFonts w:ascii="Arial" w:cs="Arial" w:eastAsia="Arial" w:hAnsi="Arial"/>
            <w:sz w:val="18"/>
            <w:szCs w:val="18"/>
            <w:u w:val="single" w:color="auto"/>
            <w:color w:val="0000FF"/>
          </w:rPr>
          <w:t>dated March 12, 2007, filed pursuant to Rule 14a-6 of the Securities Exchange Act of 1934)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1517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8">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7" w:lineRule="exact"/>
        <w:rPr>
          <w:sz w:val="20"/>
          <w:szCs w:val="20"/>
          <w:color w:val="auto"/>
        </w:rPr>
      </w:pPr>
    </w:p>
    <w:p>
      <w:pPr>
        <w:jc w:val="both"/>
        <w:ind w:left="1480" w:right="20" w:hanging="906"/>
        <w:spacing w:after="0" w:line="227" w:lineRule="auto"/>
        <w:tabs>
          <w:tab w:leader="none" w:pos="1460" w:val="left"/>
        </w:tabs>
        <w:rPr>
          <w:rFonts w:ascii="Arial" w:cs="Arial" w:eastAsia="Arial" w:hAnsi="Arial"/>
          <w:sz w:val="18"/>
          <w:szCs w:val="18"/>
          <w:u w:val="single" w:color="auto"/>
          <w:color w:val="0000FF"/>
        </w:rPr>
      </w:pPr>
      <w:r>
        <w:rPr>
          <w:rFonts w:ascii="Arial" w:cs="Arial" w:eastAsia="Arial" w:hAnsi="Arial"/>
          <w:sz w:val="18"/>
          <w:szCs w:val="18"/>
          <w:color w:val="auto"/>
        </w:rPr>
        <w:t>10.29*</w:t>
      </w:r>
      <w:r>
        <w:rPr>
          <w:sz w:val="20"/>
          <w:szCs w:val="20"/>
          <w:color w:val="auto"/>
        </w:rPr>
        <w:tab/>
      </w:r>
      <w:hyperlink r:id="rId199">
        <w:r>
          <w:rPr>
            <w:rFonts w:ascii="Arial" w:cs="Arial" w:eastAsia="Arial" w:hAnsi="Arial"/>
            <w:sz w:val="18"/>
            <w:szCs w:val="18"/>
            <w:u w:val="single" w:color="auto"/>
            <w:color w:val="0000FF"/>
          </w:rPr>
          <w:t>2006 Stock Incentive Plan of Honeywell International Inc. and Its Affiliates—Form of Option Award Agreement, Form 2</w:t>
        </w:r>
      </w:hyperlink>
      <w:r>
        <w:rPr>
          <w:rFonts w:ascii="Arial" w:cs="Arial" w:eastAsia="Arial" w:hAnsi="Arial"/>
          <w:sz w:val="18"/>
          <w:szCs w:val="18"/>
          <w:u w:val="single" w:color="auto"/>
          <w:color w:val="0000FF"/>
        </w:rPr>
        <w:t xml:space="preserve"> </w:t>
      </w:r>
      <w:hyperlink r:id="rId199">
        <w:r>
          <w:rPr>
            <w:rFonts w:ascii="Arial" w:cs="Arial" w:eastAsia="Arial" w:hAnsi="Arial"/>
            <w:sz w:val="18"/>
            <w:szCs w:val="18"/>
            <w:u w:val="single" w:color="auto"/>
            <w:color w:val="0000FF"/>
          </w:rPr>
          <w:t>(incorporated by reference to Exhibit 10.37 to Honeywell’s Form 10-K for the year ended December 31, 2010)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1517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0">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7" w:lineRule="exact"/>
        <w:rPr>
          <w:sz w:val="20"/>
          <w:szCs w:val="20"/>
          <w:color w:val="auto"/>
        </w:rPr>
      </w:pPr>
    </w:p>
    <w:p>
      <w:pPr>
        <w:jc w:val="both"/>
        <w:ind w:left="1480" w:hanging="906"/>
        <w:spacing w:after="0" w:line="227" w:lineRule="auto"/>
        <w:tabs>
          <w:tab w:leader="none" w:pos="1460" w:val="left"/>
        </w:tabs>
        <w:rPr>
          <w:rFonts w:ascii="Arial" w:cs="Arial" w:eastAsia="Arial" w:hAnsi="Arial"/>
          <w:sz w:val="18"/>
          <w:szCs w:val="18"/>
          <w:u w:val="single" w:color="auto"/>
          <w:color w:val="0000FF"/>
        </w:rPr>
      </w:pPr>
      <w:r>
        <w:rPr>
          <w:rFonts w:ascii="Arial" w:cs="Arial" w:eastAsia="Arial" w:hAnsi="Arial"/>
          <w:sz w:val="18"/>
          <w:szCs w:val="18"/>
          <w:color w:val="auto"/>
        </w:rPr>
        <w:t>10.30*</w:t>
      </w:r>
      <w:r>
        <w:rPr>
          <w:sz w:val="20"/>
          <w:szCs w:val="20"/>
          <w:color w:val="auto"/>
        </w:rPr>
        <w:tab/>
      </w:r>
      <w:hyperlink r:id="rId201">
        <w:r>
          <w:rPr>
            <w:rFonts w:ascii="Arial" w:cs="Arial" w:eastAsia="Arial" w:hAnsi="Arial"/>
            <w:sz w:val="18"/>
            <w:szCs w:val="18"/>
            <w:u w:val="single" w:color="auto"/>
            <w:color w:val="0000FF"/>
          </w:rPr>
          <w:t>Letter Agreement dated September 3, 2009 between Honeywell and Timothy Mahoney (incorporated by reference to</w:t>
        </w:r>
      </w:hyperlink>
      <w:r>
        <w:rPr>
          <w:rFonts w:ascii="Arial" w:cs="Arial" w:eastAsia="Arial" w:hAnsi="Arial"/>
          <w:sz w:val="18"/>
          <w:szCs w:val="18"/>
          <w:u w:val="single" w:color="auto"/>
          <w:color w:val="0000FF"/>
        </w:rPr>
        <w:t xml:space="preserve"> </w:t>
      </w:r>
      <w:hyperlink r:id="rId201">
        <w:r>
          <w:rPr>
            <w:rFonts w:ascii="Arial" w:cs="Arial" w:eastAsia="Arial" w:hAnsi="Arial"/>
            <w:sz w:val="18"/>
            <w:szCs w:val="18"/>
            <w:u w:val="single" w:color="auto"/>
            <w:color w:val="0000FF"/>
          </w:rPr>
          <w:t>Exhibit 10.38 to Honeywell’s Form 10-K for the year ended December 31, 2010)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1517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ind w:left="560"/>
        <w:spacing w:after="0" w:line="234" w:lineRule="auto"/>
        <w:tabs>
          <w:tab w:leader="none" w:pos="1460" w:val="left"/>
        </w:tabs>
        <w:rPr>
          <w:rFonts w:ascii="Arial" w:cs="Arial" w:eastAsia="Arial" w:hAnsi="Arial"/>
          <w:sz w:val="18"/>
          <w:szCs w:val="18"/>
          <w:u w:val="single" w:color="auto"/>
          <w:color w:val="0000FF"/>
        </w:rPr>
      </w:pPr>
      <w:r>
        <w:rPr>
          <w:rFonts w:ascii="Arial" w:cs="Arial" w:eastAsia="Arial" w:hAnsi="Arial"/>
          <w:sz w:val="18"/>
          <w:szCs w:val="18"/>
          <w:color w:val="auto"/>
        </w:rPr>
        <w:t>10.31*</w:t>
      </w:r>
      <w:r>
        <w:rPr>
          <w:sz w:val="20"/>
          <w:szCs w:val="20"/>
          <w:color w:val="auto"/>
        </w:rPr>
        <w:tab/>
      </w:r>
      <w:hyperlink r:id="rId203">
        <w:r>
          <w:rPr>
            <w:rFonts w:ascii="Arial" w:cs="Arial" w:eastAsia="Arial" w:hAnsi="Arial"/>
            <w:sz w:val="18"/>
            <w:szCs w:val="18"/>
            <w:u w:val="single" w:color="auto"/>
            <w:color w:val="0000FF"/>
          </w:rPr>
          <w:t>Form of Honeywell International Inc. Noncompete Agreement for Senior Executives (incorporated by reference to Exhibit</w:t>
        </w:r>
      </w:hyperlink>
    </w:p>
    <w:p>
      <w:pPr>
        <w:spacing w:after="0" w:line="1" w:lineRule="exact"/>
        <w:rPr>
          <w:sz w:val="20"/>
          <w:szCs w:val="20"/>
          <w:color w:val="auto"/>
        </w:rPr>
      </w:pPr>
    </w:p>
    <w:p>
      <w:pPr>
        <w:ind w:left="1480"/>
        <w:spacing w:after="0"/>
        <w:rPr>
          <w:rFonts w:ascii="Arial" w:cs="Arial" w:eastAsia="Arial" w:hAnsi="Arial"/>
          <w:sz w:val="18"/>
          <w:szCs w:val="18"/>
          <w:u w:val="single" w:color="auto"/>
          <w:color w:val="0000FF"/>
        </w:rPr>
      </w:pPr>
      <w:hyperlink r:id="rId203">
        <w:r>
          <w:rPr>
            <w:rFonts w:ascii="Arial" w:cs="Arial" w:eastAsia="Arial" w:hAnsi="Arial"/>
            <w:sz w:val="18"/>
            <w:szCs w:val="18"/>
            <w:u w:val="single" w:color="auto"/>
            <w:color w:val="0000FF"/>
          </w:rPr>
          <w:t>10.39 to Honeywell’s Form 10-K for the year ended December 31, 2010)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1517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4">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16" w:lineRule="exact"/>
        <w:rPr>
          <w:sz w:val="20"/>
          <w:szCs w:val="20"/>
          <w:color w:val="auto"/>
        </w:rPr>
      </w:pPr>
    </w:p>
    <w:p>
      <w:pPr>
        <w:jc w:val="both"/>
        <w:ind w:left="1480" w:hanging="906"/>
        <w:spacing w:after="0" w:line="227" w:lineRule="auto"/>
        <w:tabs>
          <w:tab w:leader="none" w:pos="1460" w:val="left"/>
        </w:tabs>
        <w:rPr>
          <w:rFonts w:ascii="Arial" w:cs="Arial" w:eastAsia="Arial" w:hAnsi="Arial"/>
          <w:sz w:val="18"/>
          <w:szCs w:val="18"/>
          <w:u w:val="single" w:color="auto"/>
          <w:color w:val="0000FF"/>
        </w:rPr>
      </w:pPr>
      <w:r>
        <w:rPr>
          <w:rFonts w:ascii="Arial" w:cs="Arial" w:eastAsia="Arial" w:hAnsi="Arial"/>
          <w:sz w:val="18"/>
          <w:szCs w:val="18"/>
          <w:color w:val="auto"/>
        </w:rPr>
        <w:t>10.32*</w:t>
      </w:r>
      <w:r>
        <w:rPr>
          <w:sz w:val="20"/>
          <w:szCs w:val="20"/>
          <w:color w:val="auto"/>
        </w:rPr>
        <w:tab/>
      </w:r>
      <w:hyperlink r:id="rId205">
        <w:r>
          <w:rPr>
            <w:rFonts w:ascii="Arial" w:cs="Arial" w:eastAsia="Arial" w:hAnsi="Arial"/>
            <w:sz w:val="18"/>
            <w:szCs w:val="18"/>
            <w:u w:val="single" w:color="auto"/>
            <w:color w:val="0000FF"/>
          </w:rPr>
          <w:t>2011 Stock Incentive Plan of Honeywell International Inc. and its Affiliates (incorporated by reference to Exhibit A of</w:t>
        </w:r>
      </w:hyperlink>
      <w:r>
        <w:rPr>
          <w:rFonts w:ascii="Arial" w:cs="Arial" w:eastAsia="Arial" w:hAnsi="Arial"/>
          <w:sz w:val="18"/>
          <w:szCs w:val="18"/>
          <w:u w:val="single" w:color="auto"/>
          <w:color w:val="0000FF"/>
        </w:rPr>
        <w:t xml:space="preserve"> </w:t>
      </w:r>
      <w:hyperlink r:id="rId205">
        <w:r>
          <w:rPr>
            <w:rFonts w:ascii="Arial" w:cs="Arial" w:eastAsia="Arial" w:hAnsi="Arial"/>
            <w:sz w:val="18"/>
            <w:szCs w:val="18"/>
            <w:u w:val="single" w:color="auto"/>
            <w:color w:val="0000FF"/>
          </w:rPr>
          <w:t>Honeywell’s Proxy Statement, dated March 10, 2011, filed pursuant to Rule 14a-6 of the Securities Exchange Act of 1934)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1517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6">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119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27" w:right="379" w:bottom="1440" w:gutter="0" w:footer="0" w:header="0"/>
        </w:sectPr>
      </w:pPr>
    </w:p>
    <w:bookmarkStart w:id="122" w:name="page123"/>
    <w:bookmarkEnd w:id="122"/>
    <w:p>
      <w:pPr>
        <w:ind w:left="80"/>
        <w:spacing w:after="0"/>
        <w:tabs>
          <w:tab w:leader="none" w:pos="582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15175"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8">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52" w:lineRule="exact"/>
        <w:rPr>
          <w:sz w:val="20"/>
          <w:szCs w:val="20"/>
          <w:color w:val="auto"/>
        </w:rPr>
      </w:pPr>
    </w:p>
    <w:p>
      <w:pPr>
        <w:ind w:left="1480" w:right="20" w:hanging="906"/>
        <w:spacing w:after="0" w:line="227" w:lineRule="auto"/>
        <w:tabs>
          <w:tab w:leader="none" w:pos="1460" w:val="left"/>
        </w:tabs>
        <w:rPr>
          <w:rFonts w:ascii="Arial" w:cs="Arial" w:eastAsia="Arial" w:hAnsi="Arial"/>
          <w:sz w:val="18"/>
          <w:szCs w:val="18"/>
          <w:u w:val="single" w:color="auto"/>
          <w:color w:val="0000FF"/>
        </w:rPr>
      </w:pPr>
      <w:r>
        <w:rPr>
          <w:rFonts w:ascii="Arial" w:cs="Arial" w:eastAsia="Arial" w:hAnsi="Arial"/>
          <w:sz w:val="18"/>
          <w:szCs w:val="18"/>
          <w:color w:val="auto"/>
        </w:rPr>
        <w:t>10.33*</w:t>
      </w:r>
      <w:r>
        <w:rPr>
          <w:sz w:val="20"/>
          <w:szCs w:val="20"/>
          <w:color w:val="auto"/>
        </w:rPr>
        <w:tab/>
      </w:r>
      <w:hyperlink r:id="rId209">
        <w:r>
          <w:rPr>
            <w:rFonts w:ascii="Arial" w:cs="Arial" w:eastAsia="Arial" w:hAnsi="Arial"/>
            <w:sz w:val="18"/>
            <w:szCs w:val="18"/>
            <w:u w:val="single" w:color="auto"/>
            <w:color w:val="0000FF"/>
          </w:rPr>
          <w:t>Amendment to 2011 Stock Incentive Plan of Honeywell International Inc. and its Affiliates (incorporated by reference to</w:t>
        </w:r>
      </w:hyperlink>
      <w:r>
        <w:rPr>
          <w:rFonts w:ascii="Arial" w:cs="Arial" w:eastAsia="Arial" w:hAnsi="Arial"/>
          <w:sz w:val="18"/>
          <w:szCs w:val="18"/>
          <w:u w:val="single" w:color="auto"/>
          <w:color w:val="0000FF"/>
        </w:rPr>
        <w:t xml:space="preserve"> </w:t>
      </w:r>
      <w:hyperlink r:id="rId209">
        <w:r>
          <w:rPr>
            <w:rFonts w:ascii="Arial" w:cs="Arial" w:eastAsia="Arial" w:hAnsi="Arial"/>
            <w:sz w:val="18"/>
            <w:szCs w:val="18"/>
            <w:u w:val="single" w:color="auto"/>
            <w:color w:val="0000FF"/>
          </w:rPr>
          <w:t>Exhibit 10.36 to Honeywell’s Form 10-K for the year ended December 31, 2012)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1517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0">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7" w:lineRule="exact"/>
        <w:rPr>
          <w:sz w:val="20"/>
          <w:szCs w:val="20"/>
          <w:color w:val="auto"/>
        </w:rPr>
      </w:pPr>
    </w:p>
    <w:p>
      <w:pPr>
        <w:ind w:left="1480" w:right="20" w:hanging="906"/>
        <w:spacing w:after="0" w:line="227" w:lineRule="auto"/>
        <w:tabs>
          <w:tab w:leader="none" w:pos="1460" w:val="left"/>
        </w:tabs>
        <w:rPr>
          <w:rFonts w:ascii="Arial" w:cs="Arial" w:eastAsia="Arial" w:hAnsi="Arial"/>
          <w:sz w:val="18"/>
          <w:szCs w:val="18"/>
          <w:u w:val="single" w:color="auto"/>
          <w:color w:val="0000FF"/>
        </w:rPr>
      </w:pPr>
      <w:r>
        <w:rPr>
          <w:rFonts w:ascii="Arial" w:cs="Arial" w:eastAsia="Arial" w:hAnsi="Arial"/>
          <w:sz w:val="18"/>
          <w:szCs w:val="18"/>
          <w:color w:val="auto"/>
        </w:rPr>
        <w:t>10.34*</w:t>
      </w:r>
      <w:r>
        <w:rPr>
          <w:sz w:val="20"/>
          <w:szCs w:val="20"/>
          <w:color w:val="auto"/>
        </w:rPr>
        <w:tab/>
      </w:r>
      <w:hyperlink r:id="rId211">
        <w:r>
          <w:rPr>
            <w:rFonts w:ascii="Arial" w:cs="Arial" w:eastAsia="Arial" w:hAnsi="Arial"/>
            <w:sz w:val="18"/>
            <w:szCs w:val="18"/>
            <w:u w:val="single" w:color="auto"/>
            <w:color w:val="0000FF"/>
          </w:rPr>
          <w:t>Amendment to 2011 Stock Incentive Plan of Honeywell International Inc. and its Affiliates (incorporated by reference to</w:t>
        </w:r>
      </w:hyperlink>
      <w:r>
        <w:rPr>
          <w:rFonts w:ascii="Arial" w:cs="Arial" w:eastAsia="Arial" w:hAnsi="Arial"/>
          <w:sz w:val="18"/>
          <w:szCs w:val="18"/>
          <w:u w:val="single" w:color="auto"/>
          <w:color w:val="0000FF"/>
        </w:rPr>
        <w:t xml:space="preserve"> </w:t>
      </w:r>
      <w:hyperlink r:id="rId211">
        <w:r>
          <w:rPr>
            <w:rFonts w:ascii="Arial" w:cs="Arial" w:eastAsia="Arial" w:hAnsi="Arial"/>
            <w:sz w:val="18"/>
            <w:szCs w:val="18"/>
            <w:u w:val="single" w:color="auto"/>
            <w:color w:val="0000FF"/>
          </w:rPr>
          <w:t>Exhibit 10.1 to Honeywell’s Form 10-Q for the quarter ended March 31, 2014)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1517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7" w:lineRule="exact"/>
        <w:rPr>
          <w:sz w:val="20"/>
          <w:szCs w:val="20"/>
          <w:color w:val="auto"/>
        </w:rPr>
      </w:pPr>
    </w:p>
    <w:p>
      <w:pPr>
        <w:ind w:left="1480" w:right="20" w:hanging="906"/>
        <w:spacing w:after="0" w:line="227" w:lineRule="auto"/>
        <w:tabs>
          <w:tab w:leader="none" w:pos="1460" w:val="left"/>
        </w:tabs>
        <w:rPr>
          <w:rFonts w:ascii="Arial" w:cs="Arial" w:eastAsia="Arial" w:hAnsi="Arial"/>
          <w:sz w:val="18"/>
          <w:szCs w:val="18"/>
          <w:u w:val="single" w:color="auto"/>
          <w:color w:val="0000FF"/>
        </w:rPr>
      </w:pPr>
      <w:r>
        <w:rPr>
          <w:rFonts w:ascii="Arial" w:cs="Arial" w:eastAsia="Arial" w:hAnsi="Arial"/>
          <w:sz w:val="18"/>
          <w:szCs w:val="18"/>
          <w:color w:val="auto"/>
        </w:rPr>
        <w:t>10.35*</w:t>
      </w:r>
      <w:r>
        <w:rPr>
          <w:sz w:val="20"/>
          <w:szCs w:val="20"/>
          <w:color w:val="auto"/>
        </w:rPr>
        <w:tab/>
      </w:r>
      <w:hyperlink r:id="rId213">
        <w:r>
          <w:rPr>
            <w:rFonts w:ascii="Arial" w:cs="Arial" w:eastAsia="Arial" w:hAnsi="Arial"/>
            <w:sz w:val="18"/>
            <w:szCs w:val="18"/>
            <w:u w:val="single" w:color="auto"/>
            <w:color w:val="0000FF"/>
          </w:rPr>
          <w:t>2011 Stock Incentive Plan of Honeywell International Inc. and its Affiliates—Form of Restricted Unit Agreement</w:t>
        </w:r>
      </w:hyperlink>
      <w:r>
        <w:rPr>
          <w:rFonts w:ascii="Arial" w:cs="Arial" w:eastAsia="Arial" w:hAnsi="Arial"/>
          <w:sz w:val="18"/>
          <w:szCs w:val="18"/>
          <w:u w:val="single" w:color="auto"/>
          <w:color w:val="0000FF"/>
        </w:rPr>
        <w:t xml:space="preserve"> </w:t>
      </w:r>
      <w:hyperlink r:id="rId213">
        <w:r>
          <w:rPr>
            <w:rFonts w:ascii="Arial" w:cs="Arial" w:eastAsia="Arial" w:hAnsi="Arial"/>
            <w:sz w:val="18"/>
            <w:szCs w:val="18"/>
            <w:u w:val="single" w:color="auto"/>
            <w:color w:val="0000FF"/>
          </w:rPr>
          <w:t>(incorporated by reference to Exhibit 10.2 to Honeywell’s Form 10-Q for the quarter ended March 31, 2014)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1517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7" w:lineRule="exact"/>
        <w:rPr>
          <w:sz w:val="20"/>
          <w:szCs w:val="20"/>
          <w:color w:val="auto"/>
        </w:rPr>
      </w:pPr>
    </w:p>
    <w:p>
      <w:pPr>
        <w:ind w:left="1480" w:hanging="906"/>
        <w:spacing w:after="0" w:line="227" w:lineRule="auto"/>
        <w:tabs>
          <w:tab w:leader="none" w:pos="1460" w:val="left"/>
        </w:tabs>
        <w:rPr>
          <w:rFonts w:ascii="Arial" w:cs="Arial" w:eastAsia="Arial" w:hAnsi="Arial"/>
          <w:sz w:val="18"/>
          <w:szCs w:val="18"/>
          <w:u w:val="single" w:color="auto"/>
          <w:color w:val="0000FF"/>
        </w:rPr>
      </w:pPr>
      <w:r>
        <w:rPr>
          <w:rFonts w:ascii="Arial" w:cs="Arial" w:eastAsia="Arial" w:hAnsi="Arial"/>
          <w:sz w:val="18"/>
          <w:szCs w:val="18"/>
          <w:color w:val="auto"/>
        </w:rPr>
        <w:t>10.36*</w:t>
      </w:r>
      <w:r>
        <w:rPr>
          <w:sz w:val="20"/>
          <w:szCs w:val="20"/>
          <w:color w:val="auto"/>
        </w:rPr>
        <w:tab/>
      </w:r>
      <w:hyperlink r:id="rId215">
        <w:r>
          <w:rPr>
            <w:rFonts w:ascii="Arial" w:cs="Arial" w:eastAsia="Arial" w:hAnsi="Arial"/>
            <w:sz w:val="18"/>
            <w:szCs w:val="18"/>
            <w:u w:val="single" w:color="auto"/>
            <w:color w:val="0000FF"/>
          </w:rPr>
          <w:t>2011 Stock Incentive Plan of Honeywell International Inc. and its Affiliates—Form of Restricted Unit Agreement, Form 2</w:t>
        </w:r>
      </w:hyperlink>
      <w:r>
        <w:rPr>
          <w:rFonts w:ascii="Arial" w:cs="Arial" w:eastAsia="Arial" w:hAnsi="Arial"/>
          <w:sz w:val="18"/>
          <w:szCs w:val="18"/>
          <w:u w:val="single" w:color="auto"/>
          <w:color w:val="0000FF"/>
        </w:rPr>
        <w:t xml:space="preserve"> </w:t>
      </w:r>
      <w:hyperlink r:id="rId215">
        <w:r>
          <w:rPr>
            <w:rFonts w:ascii="Arial" w:cs="Arial" w:eastAsia="Arial" w:hAnsi="Arial"/>
            <w:sz w:val="18"/>
            <w:szCs w:val="18"/>
            <w:u w:val="single" w:color="auto"/>
            <w:color w:val="0000FF"/>
          </w:rPr>
          <w:t>(incorporated by reference to Exhibit 10.3 to Honeywell’s Form 10-Q for the quarter ended March 31, 2014)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1517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7" w:lineRule="exact"/>
        <w:rPr>
          <w:sz w:val="20"/>
          <w:szCs w:val="20"/>
          <w:color w:val="auto"/>
        </w:rPr>
      </w:pPr>
    </w:p>
    <w:p>
      <w:pPr>
        <w:ind w:left="1480" w:hanging="906"/>
        <w:spacing w:after="0" w:line="227" w:lineRule="auto"/>
        <w:tabs>
          <w:tab w:leader="none" w:pos="1460" w:val="left"/>
        </w:tabs>
        <w:rPr>
          <w:rFonts w:ascii="Arial" w:cs="Arial" w:eastAsia="Arial" w:hAnsi="Arial"/>
          <w:sz w:val="18"/>
          <w:szCs w:val="18"/>
          <w:u w:val="single" w:color="auto"/>
          <w:color w:val="0000FF"/>
        </w:rPr>
      </w:pPr>
      <w:r>
        <w:rPr>
          <w:rFonts w:ascii="Arial" w:cs="Arial" w:eastAsia="Arial" w:hAnsi="Arial"/>
          <w:sz w:val="18"/>
          <w:szCs w:val="18"/>
          <w:color w:val="auto"/>
        </w:rPr>
        <w:t>10.37*</w:t>
      </w:r>
      <w:r>
        <w:rPr>
          <w:sz w:val="20"/>
          <w:szCs w:val="20"/>
          <w:color w:val="auto"/>
        </w:rPr>
        <w:tab/>
      </w:r>
      <w:hyperlink r:id="rId217">
        <w:r>
          <w:rPr>
            <w:rFonts w:ascii="Arial" w:cs="Arial" w:eastAsia="Arial" w:hAnsi="Arial"/>
            <w:sz w:val="18"/>
            <w:szCs w:val="18"/>
            <w:u w:val="single" w:color="auto"/>
            <w:color w:val="0000FF"/>
          </w:rPr>
          <w:t>2011 Stock Incentive Plan of Honeywell International Inc. and Its Affiliates—Form of Stock Option Award Agreement</w:t>
        </w:r>
      </w:hyperlink>
      <w:r>
        <w:rPr>
          <w:rFonts w:ascii="Arial" w:cs="Arial" w:eastAsia="Arial" w:hAnsi="Arial"/>
          <w:sz w:val="18"/>
          <w:szCs w:val="18"/>
          <w:u w:val="single" w:color="auto"/>
          <w:color w:val="0000FF"/>
        </w:rPr>
        <w:t xml:space="preserve"> </w:t>
      </w:r>
      <w:hyperlink r:id="rId217">
        <w:r>
          <w:rPr>
            <w:rFonts w:ascii="Arial" w:cs="Arial" w:eastAsia="Arial" w:hAnsi="Arial"/>
            <w:sz w:val="18"/>
            <w:szCs w:val="18"/>
            <w:u w:val="single" w:color="auto"/>
            <w:color w:val="0000FF"/>
          </w:rPr>
          <w:t>(incorporated by reference to Exhibit 10.4 to Honeywell’s Form 10-Q for the quarter ended March 31, 2014)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1517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7" w:lineRule="exact"/>
        <w:rPr>
          <w:sz w:val="20"/>
          <w:szCs w:val="20"/>
          <w:color w:val="auto"/>
        </w:rPr>
      </w:pPr>
    </w:p>
    <w:p>
      <w:pPr>
        <w:ind w:left="1480" w:hanging="906"/>
        <w:spacing w:after="0" w:line="227" w:lineRule="auto"/>
        <w:tabs>
          <w:tab w:leader="none" w:pos="1460" w:val="left"/>
        </w:tabs>
        <w:rPr>
          <w:rFonts w:ascii="Arial" w:cs="Arial" w:eastAsia="Arial" w:hAnsi="Arial"/>
          <w:sz w:val="18"/>
          <w:szCs w:val="18"/>
          <w:u w:val="single" w:color="auto"/>
          <w:color w:val="0000FF"/>
        </w:rPr>
      </w:pPr>
      <w:r>
        <w:rPr>
          <w:rFonts w:ascii="Arial" w:cs="Arial" w:eastAsia="Arial" w:hAnsi="Arial"/>
          <w:sz w:val="18"/>
          <w:szCs w:val="18"/>
          <w:color w:val="auto"/>
        </w:rPr>
        <w:t>10.38*</w:t>
      </w:r>
      <w:r>
        <w:rPr>
          <w:sz w:val="20"/>
          <w:szCs w:val="20"/>
          <w:color w:val="auto"/>
        </w:rPr>
        <w:tab/>
      </w:r>
      <w:hyperlink r:id="rId219">
        <w:r>
          <w:rPr>
            <w:rFonts w:ascii="Arial" w:cs="Arial" w:eastAsia="Arial" w:hAnsi="Arial"/>
            <w:sz w:val="18"/>
            <w:szCs w:val="18"/>
            <w:u w:val="single" w:color="auto"/>
            <w:color w:val="0000FF"/>
          </w:rPr>
          <w:t>2011 Stock Incentive Plan of Honeywell International Inc. and Its Affiliates—Form of Stock Option Award Agreement,</w:t>
        </w:r>
      </w:hyperlink>
      <w:r>
        <w:rPr>
          <w:rFonts w:ascii="Arial" w:cs="Arial" w:eastAsia="Arial" w:hAnsi="Arial"/>
          <w:sz w:val="18"/>
          <w:szCs w:val="18"/>
          <w:u w:val="single" w:color="auto"/>
          <w:color w:val="0000FF"/>
        </w:rPr>
        <w:t xml:space="preserve"> </w:t>
      </w:r>
      <w:hyperlink r:id="rId219">
        <w:r>
          <w:rPr>
            <w:rFonts w:ascii="Arial" w:cs="Arial" w:eastAsia="Arial" w:hAnsi="Arial"/>
            <w:sz w:val="18"/>
            <w:szCs w:val="18"/>
            <w:u w:val="single" w:color="auto"/>
            <w:color w:val="0000FF"/>
          </w:rPr>
          <w:t>Form 2 (incorporated by reference to Exhibit 10.39 to Honeywell’s Form 10-K for the year ended December 31, 2014)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1517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7" w:lineRule="exact"/>
        <w:rPr>
          <w:sz w:val="20"/>
          <w:szCs w:val="20"/>
          <w:color w:val="auto"/>
        </w:rPr>
      </w:pPr>
    </w:p>
    <w:p>
      <w:pPr>
        <w:ind w:left="1480" w:hanging="906"/>
        <w:spacing w:after="0" w:line="227" w:lineRule="auto"/>
        <w:tabs>
          <w:tab w:leader="none" w:pos="1460" w:val="left"/>
        </w:tabs>
        <w:rPr>
          <w:rFonts w:ascii="Arial" w:cs="Arial" w:eastAsia="Arial" w:hAnsi="Arial"/>
          <w:sz w:val="18"/>
          <w:szCs w:val="18"/>
          <w:u w:val="single" w:color="auto"/>
          <w:color w:val="0000FF"/>
        </w:rPr>
      </w:pPr>
      <w:r>
        <w:rPr>
          <w:rFonts w:ascii="Arial" w:cs="Arial" w:eastAsia="Arial" w:hAnsi="Arial"/>
          <w:sz w:val="18"/>
          <w:szCs w:val="18"/>
          <w:color w:val="auto"/>
        </w:rPr>
        <w:t>10.39*</w:t>
      </w:r>
      <w:r>
        <w:rPr>
          <w:sz w:val="20"/>
          <w:szCs w:val="20"/>
          <w:color w:val="auto"/>
        </w:rPr>
        <w:tab/>
      </w:r>
      <w:hyperlink r:id="rId221">
        <w:r>
          <w:rPr>
            <w:rFonts w:ascii="Arial" w:cs="Arial" w:eastAsia="Arial" w:hAnsi="Arial"/>
            <w:sz w:val="18"/>
            <w:szCs w:val="18"/>
            <w:u w:val="single" w:color="auto"/>
            <w:color w:val="0000FF"/>
          </w:rPr>
          <w:t>2011 Stock Incentive Plan of Honeywell International Inc. and Its Affiliates—Form of Growth Plan Agreement</w:t>
        </w:r>
      </w:hyperlink>
      <w:r>
        <w:rPr>
          <w:rFonts w:ascii="Arial" w:cs="Arial" w:eastAsia="Arial" w:hAnsi="Arial"/>
          <w:sz w:val="18"/>
          <w:szCs w:val="18"/>
          <w:u w:val="single" w:color="auto"/>
          <w:color w:val="0000FF"/>
        </w:rPr>
        <w:t xml:space="preserve"> </w:t>
      </w:r>
      <w:hyperlink r:id="rId221">
        <w:r>
          <w:rPr>
            <w:rFonts w:ascii="Arial" w:cs="Arial" w:eastAsia="Arial" w:hAnsi="Arial"/>
            <w:sz w:val="18"/>
            <w:szCs w:val="18"/>
            <w:u w:val="single" w:color="auto"/>
            <w:color w:val="0000FF"/>
          </w:rPr>
          <w:t>(incorporated by reference to Exhibit 10.5 to Honeywell’s Form 10-Q for the quarter ended March 31, 2014)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1517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7" w:lineRule="exact"/>
        <w:rPr>
          <w:sz w:val="20"/>
          <w:szCs w:val="20"/>
          <w:color w:val="auto"/>
        </w:rPr>
      </w:pPr>
    </w:p>
    <w:p>
      <w:pPr>
        <w:ind w:left="1480" w:right="20" w:hanging="906"/>
        <w:spacing w:after="0" w:line="227" w:lineRule="auto"/>
        <w:tabs>
          <w:tab w:leader="none" w:pos="1460" w:val="left"/>
        </w:tabs>
        <w:rPr>
          <w:rFonts w:ascii="Arial" w:cs="Arial" w:eastAsia="Arial" w:hAnsi="Arial"/>
          <w:sz w:val="18"/>
          <w:szCs w:val="18"/>
          <w:u w:val="single" w:color="auto"/>
          <w:color w:val="0000FF"/>
        </w:rPr>
      </w:pPr>
      <w:r>
        <w:rPr>
          <w:rFonts w:ascii="Arial" w:cs="Arial" w:eastAsia="Arial" w:hAnsi="Arial"/>
          <w:sz w:val="18"/>
          <w:szCs w:val="18"/>
          <w:color w:val="auto"/>
        </w:rPr>
        <w:t>10.40*</w:t>
      </w:r>
      <w:r>
        <w:rPr>
          <w:sz w:val="20"/>
          <w:szCs w:val="20"/>
          <w:color w:val="auto"/>
        </w:rPr>
        <w:tab/>
      </w:r>
      <w:hyperlink r:id="rId223">
        <w:r>
          <w:rPr>
            <w:rFonts w:ascii="Arial" w:cs="Arial" w:eastAsia="Arial" w:hAnsi="Arial"/>
            <w:sz w:val="18"/>
            <w:szCs w:val="18"/>
            <w:u w:val="single" w:color="auto"/>
            <w:color w:val="0000FF"/>
          </w:rPr>
          <w:t>2016 Stock Incentive Plan of Honeywell International Inc. and its Affiliates–Form of Performance Plan Grant Agreement</w:t>
        </w:r>
      </w:hyperlink>
      <w:r>
        <w:rPr>
          <w:rFonts w:ascii="Arial" w:cs="Arial" w:eastAsia="Arial" w:hAnsi="Arial"/>
          <w:sz w:val="18"/>
          <w:szCs w:val="18"/>
          <w:u w:val="single" w:color="auto"/>
          <w:color w:val="0000FF"/>
        </w:rPr>
        <w:t xml:space="preserve"> </w:t>
      </w:r>
      <w:hyperlink r:id="rId223">
        <w:r>
          <w:rPr>
            <w:rFonts w:ascii="Arial" w:cs="Arial" w:eastAsia="Arial" w:hAnsi="Arial"/>
            <w:sz w:val="18"/>
            <w:szCs w:val="18"/>
            <w:u w:val="single" w:color="auto"/>
            <w:color w:val="0000FF"/>
          </w:rPr>
          <w:t>(incorporated by reference to Exhibit 10.2 to Honeywell’s Form 10-Q for the quarter ended March 31,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1517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7" w:lineRule="exact"/>
        <w:rPr>
          <w:sz w:val="20"/>
          <w:szCs w:val="20"/>
          <w:color w:val="auto"/>
        </w:rPr>
      </w:pPr>
    </w:p>
    <w:p>
      <w:pPr>
        <w:ind w:left="1480" w:hanging="906"/>
        <w:spacing w:after="0" w:line="227" w:lineRule="auto"/>
        <w:tabs>
          <w:tab w:leader="none" w:pos="1460" w:val="left"/>
        </w:tabs>
        <w:rPr>
          <w:rFonts w:ascii="Arial" w:cs="Arial" w:eastAsia="Arial" w:hAnsi="Arial"/>
          <w:sz w:val="18"/>
          <w:szCs w:val="18"/>
          <w:u w:val="single" w:color="auto"/>
          <w:color w:val="0000FF"/>
        </w:rPr>
      </w:pPr>
      <w:r>
        <w:rPr>
          <w:rFonts w:ascii="Arial" w:cs="Arial" w:eastAsia="Arial" w:hAnsi="Arial"/>
          <w:sz w:val="18"/>
          <w:szCs w:val="18"/>
          <w:color w:val="auto"/>
        </w:rPr>
        <w:t>10.41*</w:t>
      </w:r>
      <w:r>
        <w:rPr>
          <w:sz w:val="20"/>
          <w:szCs w:val="20"/>
          <w:color w:val="auto"/>
        </w:rPr>
        <w:tab/>
      </w:r>
      <w:hyperlink r:id="rId225">
        <w:r>
          <w:rPr>
            <w:rFonts w:ascii="Arial" w:cs="Arial" w:eastAsia="Arial" w:hAnsi="Arial"/>
            <w:sz w:val="18"/>
            <w:szCs w:val="18"/>
            <w:u w:val="single" w:color="auto"/>
            <w:color w:val="0000FF"/>
          </w:rPr>
          <w:t>Letter Agreement dated February 24, 2012 between Honeywell and Darius Adamczyk (incorporated by reference to</w:t>
        </w:r>
      </w:hyperlink>
      <w:r>
        <w:rPr>
          <w:rFonts w:ascii="Arial" w:cs="Arial" w:eastAsia="Arial" w:hAnsi="Arial"/>
          <w:sz w:val="18"/>
          <w:szCs w:val="18"/>
          <w:u w:val="single" w:color="auto"/>
          <w:color w:val="0000FF"/>
        </w:rPr>
        <w:t xml:space="preserve"> </w:t>
      </w:r>
      <w:hyperlink r:id="rId225">
        <w:r>
          <w:rPr>
            <w:rFonts w:ascii="Arial" w:cs="Arial" w:eastAsia="Arial" w:hAnsi="Arial"/>
            <w:sz w:val="18"/>
            <w:szCs w:val="18"/>
            <w:u w:val="single" w:color="auto"/>
            <w:color w:val="0000FF"/>
          </w:rPr>
          <w:t>Exhibit 10.1 to Honeywell’s Form 10-Q for the quarter ended March 31,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1517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7" w:lineRule="exact"/>
        <w:rPr>
          <w:sz w:val="20"/>
          <w:szCs w:val="20"/>
          <w:color w:val="auto"/>
        </w:rPr>
      </w:pPr>
    </w:p>
    <w:p>
      <w:pPr>
        <w:ind w:left="1480" w:right="20" w:hanging="906"/>
        <w:spacing w:after="0" w:line="227" w:lineRule="auto"/>
        <w:tabs>
          <w:tab w:leader="none" w:pos="1460" w:val="left"/>
        </w:tabs>
        <w:rPr>
          <w:rFonts w:ascii="Arial" w:cs="Arial" w:eastAsia="Arial" w:hAnsi="Arial"/>
          <w:sz w:val="18"/>
          <w:szCs w:val="18"/>
          <w:u w:val="single" w:color="auto"/>
          <w:color w:val="0000FF"/>
        </w:rPr>
      </w:pPr>
      <w:r>
        <w:rPr>
          <w:rFonts w:ascii="Arial" w:cs="Arial" w:eastAsia="Arial" w:hAnsi="Arial"/>
          <w:sz w:val="18"/>
          <w:szCs w:val="18"/>
          <w:color w:val="auto"/>
        </w:rPr>
        <w:t>10.42*</w:t>
      </w:r>
      <w:r>
        <w:rPr>
          <w:sz w:val="20"/>
          <w:szCs w:val="20"/>
          <w:color w:val="auto"/>
        </w:rPr>
        <w:tab/>
      </w:r>
      <w:hyperlink r:id="rId227">
        <w:r>
          <w:rPr>
            <w:rFonts w:ascii="Arial" w:cs="Arial" w:eastAsia="Arial" w:hAnsi="Arial"/>
            <w:sz w:val="18"/>
            <w:szCs w:val="18"/>
            <w:u w:val="single" w:color="auto"/>
            <w:color w:val="0000FF"/>
          </w:rPr>
          <w:t>Offer Letter dated March 31, 2016 from Honeywell International Inc. to Darius Adamczyk (incorporated by reference to</w:t>
        </w:r>
      </w:hyperlink>
      <w:r>
        <w:rPr>
          <w:rFonts w:ascii="Arial" w:cs="Arial" w:eastAsia="Arial" w:hAnsi="Arial"/>
          <w:sz w:val="18"/>
          <w:szCs w:val="18"/>
          <w:u w:val="single" w:color="auto"/>
          <w:color w:val="0000FF"/>
        </w:rPr>
        <w:t xml:space="preserve"> </w:t>
      </w:r>
      <w:hyperlink r:id="rId227">
        <w:r>
          <w:rPr>
            <w:rFonts w:ascii="Arial" w:cs="Arial" w:eastAsia="Arial" w:hAnsi="Arial"/>
            <w:sz w:val="18"/>
            <w:szCs w:val="18"/>
            <w:u w:val="single" w:color="auto"/>
            <w:color w:val="0000FF"/>
          </w:rPr>
          <w:t>Exhibit 99.1 to Honeywell’s Form 8-K filed April 6,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1517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7" w:lineRule="exact"/>
        <w:rPr>
          <w:sz w:val="20"/>
          <w:szCs w:val="20"/>
          <w:color w:val="auto"/>
        </w:rPr>
      </w:pPr>
    </w:p>
    <w:p>
      <w:pPr>
        <w:ind w:left="1480" w:right="20" w:hanging="906"/>
        <w:spacing w:after="0" w:line="227" w:lineRule="auto"/>
        <w:tabs>
          <w:tab w:leader="none" w:pos="1460" w:val="left"/>
        </w:tabs>
        <w:rPr>
          <w:rFonts w:ascii="Arial" w:cs="Arial" w:eastAsia="Arial" w:hAnsi="Arial"/>
          <w:sz w:val="18"/>
          <w:szCs w:val="18"/>
          <w:u w:val="single" w:color="auto"/>
          <w:color w:val="0000FF"/>
        </w:rPr>
      </w:pPr>
      <w:r>
        <w:rPr>
          <w:rFonts w:ascii="Arial" w:cs="Arial" w:eastAsia="Arial" w:hAnsi="Arial"/>
          <w:sz w:val="18"/>
          <w:szCs w:val="18"/>
          <w:color w:val="auto"/>
        </w:rPr>
        <w:t>10.43*</w:t>
      </w:r>
      <w:r>
        <w:rPr>
          <w:sz w:val="20"/>
          <w:szCs w:val="20"/>
          <w:color w:val="auto"/>
        </w:rPr>
        <w:tab/>
      </w:r>
      <w:hyperlink r:id="rId229">
        <w:r>
          <w:rPr>
            <w:rFonts w:ascii="Arial" w:cs="Arial" w:eastAsia="Arial" w:hAnsi="Arial"/>
            <w:sz w:val="18"/>
            <w:szCs w:val="18"/>
            <w:u w:val="single" w:color="auto"/>
            <w:color w:val="0000FF"/>
          </w:rPr>
          <w:t>Employment Offer Letter dated March 1, 2017 between Honeywell and Darius Adamczyk (incorporated by reference to</w:t>
        </w:r>
      </w:hyperlink>
      <w:r>
        <w:rPr>
          <w:rFonts w:ascii="Arial" w:cs="Arial" w:eastAsia="Arial" w:hAnsi="Arial"/>
          <w:sz w:val="18"/>
          <w:szCs w:val="18"/>
          <w:u w:val="single" w:color="auto"/>
          <w:color w:val="0000FF"/>
        </w:rPr>
        <w:t xml:space="preserve"> </w:t>
      </w:r>
      <w:hyperlink r:id="rId229">
        <w:r>
          <w:rPr>
            <w:rFonts w:ascii="Arial" w:cs="Arial" w:eastAsia="Arial" w:hAnsi="Arial"/>
            <w:sz w:val="18"/>
            <w:szCs w:val="18"/>
            <w:u w:val="single" w:color="auto"/>
            <w:color w:val="0000FF"/>
          </w:rPr>
          <w:t>Exhibit 99.1 to Honeywell’s Form 8-K filed March 6,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1517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7" w:lineRule="exact"/>
        <w:rPr>
          <w:sz w:val="20"/>
          <w:szCs w:val="20"/>
          <w:color w:val="auto"/>
        </w:rPr>
      </w:pPr>
    </w:p>
    <w:p>
      <w:pPr>
        <w:jc w:val="right"/>
        <w:ind w:left="560"/>
        <w:spacing w:after="0" w:line="227"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10.44*    </w:t>
      </w:r>
      <w:hyperlink r:id="rId231">
        <w:r>
          <w:rPr>
            <w:rFonts w:ascii="Arial" w:cs="Arial" w:eastAsia="Arial" w:hAnsi="Arial"/>
            <w:sz w:val="18"/>
            <w:szCs w:val="18"/>
            <w:u w:val="single" w:color="auto"/>
            <w:color w:val="0000FF"/>
          </w:rPr>
          <w:t>2016 Stock Incentive Plan of Honeywell International Inc. and its Affiliates (incorporated by reference to Exhibit A of</w:t>
        </w:r>
      </w:hyperlink>
      <w:r>
        <w:rPr>
          <w:rFonts w:ascii="Arial" w:cs="Arial" w:eastAsia="Arial" w:hAnsi="Arial"/>
          <w:sz w:val="18"/>
          <w:szCs w:val="18"/>
          <w:color w:val="auto"/>
        </w:rPr>
        <w:t xml:space="preserve"> </w:t>
      </w:r>
      <w:hyperlink r:id="rId231">
        <w:r>
          <w:rPr>
            <w:rFonts w:ascii="Arial" w:cs="Arial" w:eastAsia="Arial" w:hAnsi="Arial"/>
            <w:sz w:val="18"/>
            <w:szCs w:val="18"/>
            <w:u w:val="single" w:color="auto"/>
            <w:color w:val="0000FF"/>
          </w:rPr>
          <w:t>Honeywell’s Proxy Statement, dated March 10, 2016, filed pursuant to Rule 14a-6 of the Securities Exchange Act of 1934)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1517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7" w:lineRule="exact"/>
        <w:rPr>
          <w:sz w:val="20"/>
          <w:szCs w:val="20"/>
          <w:color w:val="auto"/>
        </w:rPr>
      </w:pPr>
    </w:p>
    <w:p>
      <w:pPr>
        <w:ind w:left="1480" w:right="20" w:hanging="906"/>
        <w:spacing w:after="0" w:line="227" w:lineRule="auto"/>
        <w:tabs>
          <w:tab w:leader="none" w:pos="1460" w:val="left"/>
        </w:tabs>
        <w:rPr>
          <w:rFonts w:ascii="Arial" w:cs="Arial" w:eastAsia="Arial" w:hAnsi="Arial"/>
          <w:sz w:val="18"/>
          <w:szCs w:val="18"/>
          <w:u w:val="single" w:color="auto"/>
          <w:color w:val="0000FF"/>
        </w:rPr>
      </w:pPr>
      <w:r>
        <w:rPr>
          <w:rFonts w:ascii="Arial" w:cs="Arial" w:eastAsia="Arial" w:hAnsi="Arial"/>
          <w:sz w:val="18"/>
          <w:szCs w:val="18"/>
          <w:color w:val="auto"/>
        </w:rPr>
        <w:t>10.45*</w:t>
      </w:r>
      <w:r>
        <w:rPr>
          <w:sz w:val="20"/>
          <w:szCs w:val="20"/>
          <w:color w:val="auto"/>
        </w:rPr>
        <w:tab/>
      </w:r>
      <w:hyperlink r:id="rId233">
        <w:r>
          <w:rPr>
            <w:rFonts w:ascii="Arial" w:cs="Arial" w:eastAsia="Arial" w:hAnsi="Arial"/>
            <w:sz w:val="18"/>
            <w:szCs w:val="18"/>
            <w:u w:val="single" w:color="auto"/>
            <w:color w:val="0000FF"/>
          </w:rPr>
          <w:t>2016 Stock Incentive Plan of Honeywell International Inc. and its Affiliates—Form of Restricted Unit Agreement</w:t>
        </w:r>
      </w:hyperlink>
      <w:r>
        <w:rPr>
          <w:rFonts w:ascii="Arial" w:cs="Arial" w:eastAsia="Arial" w:hAnsi="Arial"/>
          <w:sz w:val="18"/>
          <w:szCs w:val="18"/>
          <w:u w:val="single" w:color="auto"/>
          <w:color w:val="0000FF"/>
        </w:rPr>
        <w:t xml:space="preserve"> </w:t>
      </w:r>
      <w:hyperlink r:id="rId233">
        <w:r>
          <w:rPr>
            <w:rFonts w:ascii="Arial" w:cs="Arial" w:eastAsia="Arial" w:hAnsi="Arial"/>
            <w:sz w:val="18"/>
            <w:szCs w:val="18"/>
            <w:u w:val="single" w:color="auto"/>
            <w:color w:val="0000FF"/>
          </w:rPr>
          <w:t>(incorporated by reference to Exhibit 10.1 to Honeywell’s Form 10-Q for the quarter ended June 30,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1517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7" w:lineRule="exact"/>
        <w:rPr>
          <w:sz w:val="20"/>
          <w:szCs w:val="20"/>
          <w:color w:val="auto"/>
        </w:rPr>
      </w:pPr>
    </w:p>
    <w:p>
      <w:pPr>
        <w:ind w:left="1480" w:hanging="906"/>
        <w:spacing w:after="0" w:line="227" w:lineRule="auto"/>
        <w:tabs>
          <w:tab w:leader="none" w:pos="1460" w:val="left"/>
        </w:tabs>
        <w:rPr>
          <w:rFonts w:ascii="Arial" w:cs="Arial" w:eastAsia="Arial" w:hAnsi="Arial"/>
          <w:sz w:val="18"/>
          <w:szCs w:val="18"/>
          <w:u w:val="single" w:color="auto"/>
          <w:color w:val="0000FF"/>
        </w:rPr>
      </w:pPr>
      <w:r>
        <w:rPr>
          <w:rFonts w:ascii="Arial" w:cs="Arial" w:eastAsia="Arial" w:hAnsi="Arial"/>
          <w:sz w:val="18"/>
          <w:szCs w:val="18"/>
          <w:color w:val="auto"/>
        </w:rPr>
        <w:t>10.46*</w:t>
      </w:r>
      <w:r>
        <w:rPr>
          <w:sz w:val="20"/>
          <w:szCs w:val="20"/>
          <w:color w:val="auto"/>
        </w:rPr>
        <w:tab/>
      </w:r>
      <w:hyperlink r:id="rId235">
        <w:r>
          <w:rPr>
            <w:rFonts w:ascii="Arial" w:cs="Arial" w:eastAsia="Arial" w:hAnsi="Arial"/>
            <w:sz w:val="18"/>
            <w:szCs w:val="18"/>
            <w:u w:val="single" w:color="auto"/>
            <w:color w:val="0000FF"/>
          </w:rPr>
          <w:t>2016 Stock Incentive Plan of Honeywell International Inc. and its Affiliates—Form of Restricted Unit Agreement, Form 2</w:t>
        </w:r>
      </w:hyperlink>
      <w:r>
        <w:rPr>
          <w:rFonts w:ascii="Arial" w:cs="Arial" w:eastAsia="Arial" w:hAnsi="Arial"/>
          <w:sz w:val="18"/>
          <w:szCs w:val="18"/>
          <w:u w:val="single" w:color="auto"/>
          <w:color w:val="0000FF"/>
        </w:rPr>
        <w:t xml:space="preserve"> </w:t>
      </w:r>
      <w:hyperlink r:id="rId235">
        <w:r>
          <w:rPr>
            <w:rFonts w:ascii="Arial" w:cs="Arial" w:eastAsia="Arial" w:hAnsi="Arial"/>
            <w:sz w:val="18"/>
            <w:szCs w:val="18"/>
            <w:u w:val="single" w:color="auto"/>
            <w:color w:val="0000FF"/>
          </w:rPr>
          <w:t>(incorporated by reference to Exhibit 10.2 to Honeywell’s Form 10-Q for the quarter ended June 30,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1517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7" w:lineRule="exact"/>
        <w:rPr>
          <w:sz w:val="20"/>
          <w:szCs w:val="20"/>
          <w:color w:val="auto"/>
        </w:rPr>
      </w:pPr>
    </w:p>
    <w:p>
      <w:pPr>
        <w:ind w:left="1480" w:right="20" w:hanging="906"/>
        <w:spacing w:after="0" w:line="227" w:lineRule="auto"/>
        <w:tabs>
          <w:tab w:leader="none" w:pos="1460" w:val="left"/>
        </w:tabs>
        <w:rPr>
          <w:rFonts w:ascii="Arial" w:cs="Arial" w:eastAsia="Arial" w:hAnsi="Arial"/>
          <w:sz w:val="18"/>
          <w:szCs w:val="18"/>
          <w:u w:val="single" w:color="auto"/>
          <w:color w:val="0000FF"/>
        </w:rPr>
      </w:pPr>
      <w:r>
        <w:rPr>
          <w:rFonts w:ascii="Arial" w:cs="Arial" w:eastAsia="Arial" w:hAnsi="Arial"/>
          <w:sz w:val="18"/>
          <w:szCs w:val="18"/>
          <w:color w:val="auto"/>
        </w:rPr>
        <w:t>10.47*</w:t>
      </w:r>
      <w:r>
        <w:rPr>
          <w:sz w:val="20"/>
          <w:szCs w:val="20"/>
          <w:color w:val="auto"/>
        </w:rPr>
        <w:tab/>
      </w:r>
      <w:hyperlink r:id="rId237">
        <w:r>
          <w:rPr>
            <w:rFonts w:ascii="Arial" w:cs="Arial" w:eastAsia="Arial" w:hAnsi="Arial"/>
            <w:sz w:val="18"/>
            <w:szCs w:val="18"/>
            <w:u w:val="single" w:color="auto"/>
            <w:color w:val="0000FF"/>
          </w:rPr>
          <w:t>2016 Stock Incentive Plan of Honeywell International Inc. and its Affiliates—Form of Stock Option Award Agreement</w:t>
        </w:r>
      </w:hyperlink>
      <w:r>
        <w:rPr>
          <w:rFonts w:ascii="Arial" w:cs="Arial" w:eastAsia="Arial" w:hAnsi="Arial"/>
          <w:sz w:val="18"/>
          <w:szCs w:val="18"/>
          <w:u w:val="single" w:color="auto"/>
          <w:color w:val="0000FF"/>
        </w:rPr>
        <w:t xml:space="preserve"> </w:t>
      </w:r>
      <w:hyperlink r:id="rId237">
        <w:r>
          <w:rPr>
            <w:rFonts w:ascii="Arial" w:cs="Arial" w:eastAsia="Arial" w:hAnsi="Arial"/>
            <w:sz w:val="18"/>
            <w:szCs w:val="18"/>
            <w:u w:val="single" w:color="auto"/>
            <w:color w:val="0000FF"/>
          </w:rPr>
          <w:t>(incorporated by reference to Exhibit 10.3 to Honeywell’s Form 10-Q for the quarter ended June 30,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1517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8">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7" w:lineRule="exact"/>
        <w:rPr>
          <w:sz w:val="20"/>
          <w:szCs w:val="20"/>
          <w:color w:val="auto"/>
        </w:rPr>
      </w:pPr>
    </w:p>
    <w:p>
      <w:pPr>
        <w:ind w:left="1480" w:right="20" w:hanging="906"/>
        <w:spacing w:after="0" w:line="227" w:lineRule="auto"/>
        <w:tabs>
          <w:tab w:leader="none" w:pos="1460" w:val="left"/>
        </w:tabs>
        <w:rPr>
          <w:rFonts w:ascii="Arial" w:cs="Arial" w:eastAsia="Arial" w:hAnsi="Arial"/>
          <w:sz w:val="18"/>
          <w:szCs w:val="18"/>
          <w:u w:val="single" w:color="auto"/>
          <w:color w:val="0000FF"/>
        </w:rPr>
      </w:pPr>
      <w:r>
        <w:rPr>
          <w:rFonts w:ascii="Arial" w:cs="Arial" w:eastAsia="Arial" w:hAnsi="Arial"/>
          <w:sz w:val="18"/>
          <w:szCs w:val="18"/>
          <w:color w:val="auto"/>
        </w:rPr>
        <w:t>10.48*</w:t>
      </w:r>
      <w:r>
        <w:rPr>
          <w:sz w:val="20"/>
          <w:szCs w:val="20"/>
          <w:color w:val="auto"/>
        </w:rPr>
        <w:tab/>
      </w:r>
      <w:hyperlink r:id="rId231">
        <w:r>
          <w:rPr>
            <w:rFonts w:ascii="Arial" w:cs="Arial" w:eastAsia="Arial" w:hAnsi="Arial"/>
            <w:sz w:val="18"/>
            <w:szCs w:val="18"/>
            <w:u w:val="single" w:color="auto"/>
            <w:color w:val="0000FF"/>
          </w:rPr>
          <w:t>2016 Stock Plan for Non-Employee Directors (incorporated by reference to Exhibit B of Honeywell’s Proxy Statement,</w:t>
        </w:r>
      </w:hyperlink>
      <w:r>
        <w:rPr>
          <w:rFonts w:ascii="Arial" w:cs="Arial" w:eastAsia="Arial" w:hAnsi="Arial"/>
          <w:sz w:val="18"/>
          <w:szCs w:val="18"/>
          <w:u w:val="single" w:color="auto"/>
          <w:color w:val="0000FF"/>
        </w:rPr>
        <w:t xml:space="preserve"> </w:t>
      </w:r>
      <w:hyperlink r:id="rId231">
        <w:r>
          <w:rPr>
            <w:rFonts w:ascii="Arial" w:cs="Arial" w:eastAsia="Arial" w:hAnsi="Arial"/>
            <w:sz w:val="18"/>
            <w:szCs w:val="18"/>
            <w:u w:val="single" w:color="auto"/>
            <w:color w:val="0000FF"/>
          </w:rPr>
          <w:t>dated March 10, 2016, filed pursuant to Rule 14a-6 of the Securities Exchange Act of 1934)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1517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7" w:lineRule="exact"/>
        <w:rPr>
          <w:sz w:val="20"/>
          <w:szCs w:val="20"/>
          <w:color w:val="auto"/>
        </w:rPr>
      </w:pPr>
    </w:p>
    <w:p>
      <w:pPr>
        <w:ind w:left="1480" w:right="20" w:hanging="906"/>
        <w:spacing w:after="0" w:line="227" w:lineRule="auto"/>
        <w:tabs>
          <w:tab w:leader="none" w:pos="1460" w:val="left"/>
        </w:tabs>
        <w:rPr>
          <w:rFonts w:ascii="Arial" w:cs="Arial" w:eastAsia="Arial" w:hAnsi="Arial"/>
          <w:sz w:val="18"/>
          <w:szCs w:val="18"/>
          <w:u w:val="single" w:color="auto"/>
          <w:color w:val="0000FF"/>
        </w:rPr>
      </w:pPr>
      <w:r>
        <w:rPr>
          <w:rFonts w:ascii="Arial" w:cs="Arial" w:eastAsia="Arial" w:hAnsi="Arial"/>
          <w:sz w:val="18"/>
          <w:szCs w:val="18"/>
          <w:color w:val="auto"/>
        </w:rPr>
        <w:t>10.49*</w:t>
      </w:r>
      <w:r>
        <w:rPr>
          <w:sz w:val="20"/>
          <w:szCs w:val="20"/>
          <w:color w:val="auto"/>
        </w:rPr>
        <w:tab/>
      </w:r>
      <w:hyperlink r:id="rId240">
        <w:r>
          <w:rPr>
            <w:rFonts w:ascii="Arial" w:cs="Arial" w:eastAsia="Arial" w:hAnsi="Arial"/>
            <w:sz w:val="18"/>
            <w:szCs w:val="18"/>
            <w:u w:val="single" w:color="auto"/>
            <w:color w:val="0000FF"/>
          </w:rPr>
          <w:t>2016 Stock Plan for Non-Employee Directors of Honeywell International Inc.—Form of Stock Option Award Agreement</w:t>
        </w:r>
      </w:hyperlink>
      <w:r>
        <w:rPr>
          <w:rFonts w:ascii="Arial" w:cs="Arial" w:eastAsia="Arial" w:hAnsi="Arial"/>
          <w:sz w:val="18"/>
          <w:szCs w:val="18"/>
          <w:u w:val="single" w:color="auto"/>
          <w:color w:val="0000FF"/>
        </w:rPr>
        <w:t xml:space="preserve"> </w:t>
      </w:r>
      <w:hyperlink r:id="rId240">
        <w:r>
          <w:rPr>
            <w:rFonts w:ascii="Arial" w:cs="Arial" w:eastAsia="Arial" w:hAnsi="Arial"/>
            <w:sz w:val="18"/>
            <w:szCs w:val="18"/>
            <w:u w:val="single" w:color="auto"/>
            <w:color w:val="0000FF"/>
          </w:rPr>
          <w:t>(incorporated by reference to Exhibit 10.74 to Honeywell’s Form 10-K for the year ended December 31,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1517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4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7" w:lineRule="exact"/>
        <w:rPr>
          <w:sz w:val="20"/>
          <w:szCs w:val="20"/>
          <w:color w:val="auto"/>
        </w:rPr>
      </w:pPr>
    </w:p>
    <w:p>
      <w:pPr>
        <w:ind w:left="1480" w:right="20" w:hanging="906"/>
        <w:spacing w:after="0" w:line="227" w:lineRule="auto"/>
        <w:tabs>
          <w:tab w:leader="none" w:pos="1460" w:val="left"/>
        </w:tabs>
        <w:rPr>
          <w:rFonts w:ascii="Arial" w:cs="Arial" w:eastAsia="Arial" w:hAnsi="Arial"/>
          <w:sz w:val="18"/>
          <w:szCs w:val="18"/>
          <w:u w:val="single" w:color="auto"/>
          <w:color w:val="0000FF"/>
        </w:rPr>
      </w:pPr>
      <w:r>
        <w:rPr>
          <w:rFonts w:ascii="Arial" w:cs="Arial" w:eastAsia="Arial" w:hAnsi="Arial"/>
          <w:sz w:val="18"/>
          <w:szCs w:val="18"/>
          <w:color w:val="auto"/>
        </w:rPr>
        <w:t>10.50*</w:t>
      </w:r>
      <w:r>
        <w:rPr>
          <w:sz w:val="20"/>
          <w:szCs w:val="20"/>
          <w:color w:val="auto"/>
        </w:rPr>
        <w:tab/>
      </w:r>
      <w:hyperlink r:id="rId242">
        <w:r>
          <w:rPr>
            <w:rFonts w:ascii="Arial" w:cs="Arial" w:eastAsia="Arial" w:hAnsi="Arial"/>
            <w:sz w:val="18"/>
            <w:szCs w:val="18"/>
            <w:u w:val="single" w:color="auto"/>
            <w:color w:val="0000FF"/>
          </w:rPr>
          <w:t>2016 Stock Plan for Non-Employee Directors of Honeywell International Inc.—Form of Restricted Unit Agreement</w:t>
        </w:r>
      </w:hyperlink>
      <w:r>
        <w:rPr>
          <w:rFonts w:ascii="Arial" w:cs="Arial" w:eastAsia="Arial" w:hAnsi="Arial"/>
          <w:sz w:val="18"/>
          <w:szCs w:val="18"/>
          <w:u w:val="single" w:color="auto"/>
          <w:color w:val="0000FF"/>
        </w:rPr>
        <w:t xml:space="preserve"> </w:t>
      </w:r>
      <w:hyperlink r:id="rId242">
        <w:r>
          <w:rPr>
            <w:rFonts w:ascii="Arial" w:cs="Arial" w:eastAsia="Arial" w:hAnsi="Arial"/>
            <w:sz w:val="18"/>
            <w:szCs w:val="18"/>
            <w:u w:val="single" w:color="auto"/>
            <w:color w:val="0000FF"/>
          </w:rPr>
          <w:t>(incorporated by reference to Exhibit 10.6 to Honeywell’s Form 10-Q for the quarter ended June 30,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1517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4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120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27" w:right="379" w:bottom="1440" w:gutter="0" w:footer="0" w:header="0"/>
        </w:sectPr>
      </w:pPr>
    </w:p>
    <w:bookmarkStart w:id="123" w:name="page124"/>
    <w:bookmarkEnd w:id="123"/>
    <w:p>
      <w:pPr>
        <w:ind w:left="80"/>
        <w:spacing w:after="0"/>
        <w:tabs>
          <w:tab w:leader="none" w:pos="582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15175"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5">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52" w:lineRule="exact"/>
        <w:rPr>
          <w:sz w:val="20"/>
          <w:szCs w:val="20"/>
          <w:color w:val="auto"/>
        </w:rPr>
      </w:pPr>
    </w:p>
    <w:p>
      <w:pPr>
        <w:ind w:left="1480" w:right="20" w:hanging="906"/>
        <w:spacing w:after="0" w:line="227" w:lineRule="auto"/>
        <w:tabs>
          <w:tab w:leader="none" w:pos="1460" w:val="left"/>
        </w:tabs>
        <w:rPr>
          <w:rFonts w:ascii="Arial" w:cs="Arial" w:eastAsia="Arial" w:hAnsi="Arial"/>
          <w:sz w:val="18"/>
          <w:szCs w:val="18"/>
          <w:u w:val="single" w:color="auto"/>
          <w:color w:val="0000FF"/>
        </w:rPr>
      </w:pPr>
      <w:r>
        <w:rPr>
          <w:rFonts w:ascii="Arial" w:cs="Arial" w:eastAsia="Arial" w:hAnsi="Arial"/>
          <w:sz w:val="18"/>
          <w:szCs w:val="18"/>
          <w:color w:val="auto"/>
        </w:rPr>
        <w:t>10.51*</w:t>
      </w:r>
      <w:r>
        <w:rPr>
          <w:sz w:val="20"/>
          <w:szCs w:val="20"/>
          <w:color w:val="auto"/>
        </w:rPr>
        <w:tab/>
      </w:r>
      <w:hyperlink r:id="rId246">
        <w:r>
          <w:rPr>
            <w:rFonts w:ascii="Arial" w:cs="Arial" w:eastAsia="Arial" w:hAnsi="Arial"/>
            <w:sz w:val="18"/>
            <w:szCs w:val="18"/>
            <w:u w:val="single" w:color="auto"/>
            <w:color w:val="0000FF"/>
          </w:rPr>
          <w:t>UOP LLC Supplemental Pension Plan, as amended and restated (incorporated by reference to Exhibit 10.76 to</w:t>
        </w:r>
      </w:hyperlink>
      <w:r>
        <w:rPr>
          <w:rFonts w:ascii="Arial" w:cs="Arial" w:eastAsia="Arial" w:hAnsi="Arial"/>
          <w:sz w:val="18"/>
          <w:szCs w:val="18"/>
          <w:u w:val="single" w:color="auto"/>
          <w:color w:val="0000FF"/>
        </w:rPr>
        <w:t xml:space="preserve"> </w:t>
      </w:r>
      <w:hyperlink r:id="rId246">
        <w:r>
          <w:rPr>
            <w:rFonts w:ascii="Arial" w:cs="Arial" w:eastAsia="Arial" w:hAnsi="Arial"/>
            <w:sz w:val="18"/>
            <w:szCs w:val="18"/>
            <w:u w:val="single" w:color="auto"/>
            <w:color w:val="0000FF"/>
          </w:rPr>
          <w:t>Honeywell’s 10-K for the year ended December 31,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1517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7">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7" w:lineRule="exact"/>
        <w:rPr>
          <w:sz w:val="20"/>
          <w:szCs w:val="20"/>
          <w:color w:val="auto"/>
        </w:rPr>
      </w:pPr>
    </w:p>
    <w:p>
      <w:pPr>
        <w:ind w:left="1480" w:hanging="906"/>
        <w:spacing w:after="0" w:line="227" w:lineRule="auto"/>
        <w:tabs>
          <w:tab w:leader="none" w:pos="1460" w:val="left"/>
        </w:tabs>
        <w:rPr>
          <w:rFonts w:ascii="Arial" w:cs="Arial" w:eastAsia="Arial" w:hAnsi="Arial"/>
          <w:sz w:val="18"/>
          <w:szCs w:val="18"/>
          <w:u w:val="single" w:color="auto"/>
          <w:color w:val="0000FF"/>
        </w:rPr>
      </w:pPr>
      <w:r>
        <w:rPr>
          <w:rFonts w:ascii="Arial" w:cs="Arial" w:eastAsia="Arial" w:hAnsi="Arial"/>
          <w:sz w:val="18"/>
          <w:szCs w:val="18"/>
          <w:color w:val="auto"/>
        </w:rPr>
        <w:t>10.52*</w:t>
      </w:r>
      <w:r>
        <w:rPr>
          <w:sz w:val="20"/>
          <w:szCs w:val="20"/>
          <w:color w:val="auto"/>
        </w:rPr>
        <w:tab/>
      </w:r>
      <w:hyperlink r:id="rId248">
        <w:r>
          <w:rPr>
            <w:rFonts w:ascii="Arial" w:cs="Arial" w:eastAsia="Arial" w:hAnsi="Arial"/>
            <w:sz w:val="18"/>
            <w:szCs w:val="18"/>
            <w:u w:val="single" w:color="auto"/>
            <w:color w:val="0000FF"/>
          </w:rPr>
          <w:t>Letter Agreement dated April 1, 2016 between Honeywell and Rajeev Gautam (incorporated by reference to Exhibit 10.1</w:t>
        </w:r>
      </w:hyperlink>
      <w:r>
        <w:rPr>
          <w:rFonts w:ascii="Arial" w:cs="Arial" w:eastAsia="Arial" w:hAnsi="Arial"/>
          <w:sz w:val="18"/>
          <w:szCs w:val="18"/>
          <w:u w:val="single" w:color="auto"/>
          <w:color w:val="0000FF"/>
        </w:rPr>
        <w:t xml:space="preserve"> </w:t>
      </w:r>
      <w:hyperlink r:id="rId248">
        <w:r>
          <w:rPr>
            <w:rFonts w:ascii="Arial" w:cs="Arial" w:eastAsia="Arial" w:hAnsi="Arial"/>
            <w:sz w:val="18"/>
            <w:szCs w:val="18"/>
            <w:u w:val="single" w:color="auto"/>
            <w:color w:val="0000FF"/>
          </w:rPr>
          <w:t>to Honeywell’s Form 10-Q for the quarter ended March 31,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1517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7" w:lineRule="exact"/>
        <w:rPr>
          <w:sz w:val="20"/>
          <w:szCs w:val="20"/>
          <w:color w:val="auto"/>
        </w:rPr>
      </w:pPr>
    </w:p>
    <w:p>
      <w:pPr>
        <w:ind w:left="1480" w:right="20" w:hanging="906"/>
        <w:spacing w:after="0" w:line="227" w:lineRule="auto"/>
        <w:tabs>
          <w:tab w:leader="none" w:pos="1460" w:val="left"/>
        </w:tabs>
        <w:rPr>
          <w:rFonts w:ascii="Arial" w:cs="Arial" w:eastAsia="Arial" w:hAnsi="Arial"/>
          <w:sz w:val="18"/>
          <w:szCs w:val="18"/>
          <w:u w:val="single" w:color="auto"/>
          <w:color w:val="0000FF"/>
        </w:rPr>
      </w:pPr>
      <w:r>
        <w:rPr>
          <w:rFonts w:ascii="Arial" w:cs="Arial" w:eastAsia="Arial" w:hAnsi="Arial"/>
          <w:sz w:val="18"/>
          <w:szCs w:val="18"/>
          <w:color w:val="auto"/>
        </w:rPr>
        <w:t>10.53*</w:t>
      </w:r>
      <w:r>
        <w:rPr>
          <w:sz w:val="20"/>
          <w:szCs w:val="20"/>
          <w:color w:val="auto"/>
        </w:rPr>
        <w:tab/>
      </w:r>
      <w:hyperlink r:id="rId250">
        <w:r>
          <w:rPr>
            <w:rFonts w:ascii="Arial" w:cs="Arial" w:eastAsia="Arial" w:hAnsi="Arial"/>
            <w:sz w:val="18"/>
            <w:szCs w:val="18"/>
            <w:u w:val="single" w:color="auto"/>
            <w:color w:val="0000FF"/>
          </w:rPr>
          <w:t>Letter Agreement dated July 27, 2018 between Honeywell and Greg Lewis (incorporated by reference to Exhibit 99.1 to</w:t>
        </w:r>
      </w:hyperlink>
      <w:r>
        <w:rPr>
          <w:rFonts w:ascii="Arial" w:cs="Arial" w:eastAsia="Arial" w:hAnsi="Arial"/>
          <w:sz w:val="18"/>
          <w:szCs w:val="18"/>
          <w:u w:val="single" w:color="auto"/>
          <w:color w:val="0000FF"/>
        </w:rPr>
        <w:t xml:space="preserve"> </w:t>
      </w:r>
      <w:hyperlink r:id="rId250">
        <w:r>
          <w:rPr>
            <w:rFonts w:ascii="Arial" w:cs="Arial" w:eastAsia="Arial" w:hAnsi="Arial"/>
            <w:sz w:val="18"/>
            <w:szCs w:val="18"/>
            <w:u w:val="single" w:color="auto"/>
            <w:color w:val="0000FF"/>
          </w:rPr>
          <w:t>Honeywell’s Form 8-K filed August 2,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1517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5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7" w:lineRule="exact"/>
        <w:rPr>
          <w:sz w:val="20"/>
          <w:szCs w:val="20"/>
          <w:color w:val="auto"/>
        </w:rPr>
      </w:pPr>
    </w:p>
    <w:p>
      <w:pPr>
        <w:jc w:val="both"/>
        <w:ind w:left="1480" w:hanging="836"/>
        <w:spacing w:after="0" w:line="238" w:lineRule="auto"/>
        <w:tabs>
          <w:tab w:leader="none" w:pos="1460" w:val="left"/>
        </w:tabs>
        <w:rPr>
          <w:rFonts w:ascii="Arial" w:cs="Arial" w:eastAsia="Arial" w:hAnsi="Arial"/>
          <w:sz w:val="18"/>
          <w:szCs w:val="18"/>
          <w:u w:val="single" w:color="auto"/>
          <w:color w:val="0000FF"/>
        </w:rPr>
      </w:pPr>
      <w:r>
        <w:rPr>
          <w:rFonts w:ascii="Arial" w:cs="Arial" w:eastAsia="Arial" w:hAnsi="Arial"/>
          <w:sz w:val="18"/>
          <w:szCs w:val="18"/>
          <w:color w:val="auto"/>
        </w:rPr>
        <w:t>10.54</w:t>
      </w:r>
      <w:r>
        <w:rPr>
          <w:sz w:val="20"/>
          <w:szCs w:val="20"/>
          <w:color w:val="auto"/>
        </w:rPr>
        <w:tab/>
      </w:r>
      <w:hyperlink r:id="rId252">
        <w:r>
          <w:rPr>
            <w:rFonts w:ascii="Arial" w:cs="Arial" w:eastAsia="Arial" w:hAnsi="Arial"/>
            <w:sz w:val="18"/>
            <w:szCs w:val="18"/>
            <w:u w:val="single" w:color="auto"/>
            <w:color w:val="0000FF"/>
          </w:rPr>
          <w:t>364-Day Credit Agreement, dated as of April 10, 2020, among Honeywell International Inc., the banks, financial</w:t>
        </w:r>
      </w:hyperlink>
      <w:r>
        <w:rPr>
          <w:rFonts w:ascii="Arial" w:cs="Arial" w:eastAsia="Arial" w:hAnsi="Arial"/>
          <w:sz w:val="18"/>
          <w:szCs w:val="18"/>
          <w:u w:val="single" w:color="auto"/>
          <w:color w:val="0000FF"/>
        </w:rPr>
        <w:t xml:space="preserve"> </w:t>
      </w:r>
      <w:hyperlink r:id="rId252">
        <w:r>
          <w:rPr>
            <w:rFonts w:ascii="Arial" w:cs="Arial" w:eastAsia="Arial" w:hAnsi="Arial"/>
            <w:sz w:val="18"/>
            <w:szCs w:val="18"/>
            <w:u w:val="single" w:color="auto"/>
            <w:color w:val="0000FF"/>
          </w:rPr>
          <w:t>institutions, and other institutional lenders parties thereto, Citibank, N.A., as administrative agent, and JPMorgan Chase</w:t>
        </w:r>
      </w:hyperlink>
      <w:r>
        <w:rPr>
          <w:rFonts w:ascii="Arial" w:cs="Arial" w:eastAsia="Arial" w:hAnsi="Arial"/>
          <w:sz w:val="18"/>
          <w:szCs w:val="18"/>
          <w:u w:val="single" w:color="auto"/>
          <w:color w:val="0000FF"/>
        </w:rPr>
        <w:t xml:space="preserve"> </w:t>
      </w:r>
      <w:hyperlink r:id="rId252">
        <w:r>
          <w:rPr>
            <w:rFonts w:ascii="Arial" w:cs="Arial" w:eastAsia="Arial" w:hAnsi="Arial"/>
            <w:sz w:val="18"/>
            <w:szCs w:val="18"/>
            <w:u w:val="single" w:color="auto"/>
            <w:color w:val="0000FF"/>
          </w:rPr>
          <w:t>Bank, N.A., as syndication agent (incorporated by reference to Exhibit 10.1 to Honeywell’s Form 8-K filed on April 10,</w:t>
        </w:r>
      </w:hyperlink>
      <w:r>
        <w:rPr>
          <w:rFonts w:ascii="Arial" w:cs="Arial" w:eastAsia="Arial" w:hAnsi="Arial"/>
          <w:sz w:val="18"/>
          <w:szCs w:val="18"/>
          <w:u w:val="single" w:color="auto"/>
          <w:color w:val="0000FF"/>
        </w:rPr>
        <w:t xml:space="preserve"> </w:t>
      </w:r>
      <w:hyperlink r:id="rId252">
        <w:r>
          <w:rPr>
            <w:rFonts w:ascii="Arial" w:cs="Arial" w:eastAsia="Arial" w:hAnsi="Arial"/>
            <w:sz w:val="18"/>
            <w:szCs w:val="18"/>
            <w:u w:val="single" w:color="auto"/>
            <w:color w:val="0000FF"/>
          </w:rPr>
          <w:t>2020)</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1517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5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6" w:lineRule="exact"/>
        <w:rPr>
          <w:rFonts w:ascii="Arial" w:cs="Arial" w:eastAsia="Arial" w:hAnsi="Arial"/>
          <w:sz w:val="18"/>
          <w:szCs w:val="18"/>
          <w:u w:val="single" w:color="auto"/>
          <w:color w:val="0000FF"/>
        </w:rPr>
      </w:pPr>
    </w:p>
    <w:p>
      <w:pPr>
        <w:jc w:val="both"/>
        <w:ind w:left="1480" w:hanging="836"/>
        <w:spacing w:after="0" w:line="210" w:lineRule="auto"/>
        <w:tabs>
          <w:tab w:leader="none" w:pos="1460" w:val="left"/>
        </w:tabs>
        <w:rPr>
          <w:rFonts w:ascii="Arial" w:cs="Arial" w:eastAsia="Arial" w:hAnsi="Arial"/>
          <w:sz w:val="18"/>
          <w:szCs w:val="18"/>
          <w:u w:val="single" w:color="auto"/>
          <w:color w:val="0000FF"/>
        </w:rPr>
      </w:pPr>
      <w:r>
        <w:rPr>
          <w:rFonts w:ascii="Arial" w:cs="Arial" w:eastAsia="Arial" w:hAnsi="Arial"/>
          <w:sz w:val="18"/>
          <w:szCs w:val="18"/>
          <w:color w:val="auto"/>
        </w:rPr>
        <w:t>10.55</w:t>
      </w:r>
      <w:r>
        <w:rPr>
          <w:sz w:val="20"/>
          <w:szCs w:val="20"/>
          <w:color w:val="auto"/>
        </w:rPr>
        <w:tab/>
      </w:r>
      <w:hyperlink r:id="rId254">
        <w:r>
          <w:rPr>
            <w:rFonts w:ascii="Arial" w:cs="Arial" w:eastAsia="Arial" w:hAnsi="Arial"/>
            <w:sz w:val="18"/>
            <w:szCs w:val="18"/>
            <w:u w:val="single" w:color="auto"/>
            <w:color w:val="0000FF"/>
          </w:rPr>
          <w:t>Amended and Restated Five-Year Credit Agreement, dated as of April 26, 2019, among Honeywell International Inc., the</w:t>
        </w:r>
      </w:hyperlink>
      <w:r>
        <w:rPr>
          <w:rFonts w:ascii="Arial" w:cs="Arial" w:eastAsia="Arial" w:hAnsi="Arial"/>
          <w:sz w:val="18"/>
          <w:szCs w:val="18"/>
          <w:u w:val="single" w:color="auto"/>
          <w:color w:val="0000FF"/>
        </w:rPr>
        <w:t xml:space="preserve"> </w:t>
      </w:r>
      <w:hyperlink r:id="rId254">
        <w:r>
          <w:rPr>
            <w:rFonts w:ascii="Arial" w:cs="Arial" w:eastAsia="Arial" w:hAnsi="Arial"/>
            <w:sz w:val="18"/>
            <w:szCs w:val="18"/>
            <w:u w:val="single" w:color="auto"/>
            <w:color w:val="0000FF"/>
          </w:rPr>
          <w:t>banks, financial institutions, and other institutional lenders parties thereto, Citibank, N.A., as administrative agent, Citibank</w:t>
        </w:r>
      </w:hyperlink>
      <w:r>
        <w:rPr>
          <w:rFonts w:ascii="Arial" w:cs="Arial" w:eastAsia="Arial" w:hAnsi="Arial"/>
          <w:sz w:val="18"/>
          <w:szCs w:val="18"/>
          <w:u w:val="single" w:color="auto"/>
          <w:color w:val="0000FF"/>
        </w:rPr>
        <w:t xml:space="preserve"> </w:t>
      </w:r>
      <w:hyperlink r:id="rId254">
        <w:r>
          <w:rPr>
            <w:rFonts w:ascii="Arial" w:cs="Arial" w:eastAsia="Arial" w:hAnsi="Arial"/>
            <w:sz w:val="18"/>
            <w:szCs w:val="18"/>
            <w:u w:val="single" w:color="auto"/>
            <w:color w:val="0000FF"/>
          </w:rPr>
          <w:t>Europe PLC, UK Branch, as swing line agent, JPMorgan Chase Bank, N.A., as syndication agent, Bank of America, N.A.,</w:t>
        </w:r>
      </w:hyperlink>
      <w:r>
        <w:rPr>
          <w:rFonts w:ascii="Arial" w:cs="Arial" w:eastAsia="Arial" w:hAnsi="Arial"/>
          <w:sz w:val="18"/>
          <w:szCs w:val="18"/>
          <w:u w:val="single" w:color="auto"/>
          <w:color w:val="0000FF"/>
        </w:rPr>
        <w:t xml:space="preserve"> </w:t>
      </w:r>
      <w:hyperlink r:id="rId254">
        <w:r>
          <w:rPr>
            <w:rFonts w:ascii="Arial" w:cs="Arial" w:eastAsia="Arial" w:hAnsi="Arial"/>
            <w:sz w:val="18"/>
            <w:szCs w:val="18"/>
            <w:u w:val="single" w:color="auto"/>
            <w:color w:val="0000FF"/>
          </w:rPr>
          <w:t>Barclays Bank PLC, Deutsche Bank Securities Inc., Goldman Sachs Bank USA, Morgan Stanley MUFG Loan Partners,</w:t>
        </w:r>
      </w:hyperlink>
      <w:r>
        <w:rPr>
          <w:rFonts w:ascii="Arial" w:cs="Arial" w:eastAsia="Arial" w:hAnsi="Arial"/>
          <w:sz w:val="18"/>
          <w:szCs w:val="18"/>
          <w:u w:val="single" w:color="auto"/>
          <w:color w:val="0000FF"/>
        </w:rPr>
        <w:t xml:space="preserve"> </w:t>
      </w:r>
      <w:hyperlink r:id="rId254">
        <w:r>
          <w:rPr>
            <w:rFonts w:ascii="Arial" w:cs="Arial" w:eastAsia="Arial" w:hAnsi="Arial"/>
            <w:sz w:val="18"/>
            <w:szCs w:val="18"/>
            <w:u w:val="single" w:color="auto"/>
            <w:color w:val="0000FF"/>
          </w:rPr>
          <w:t>LLC, and Wells Fargo Bank, National Association, as documentation agents, and Citibank, N.A. and JPMorgan Chase</w:t>
        </w:r>
      </w:hyperlink>
      <w:r>
        <w:rPr>
          <w:rFonts w:ascii="Arial" w:cs="Arial" w:eastAsia="Arial" w:hAnsi="Arial"/>
          <w:sz w:val="18"/>
          <w:szCs w:val="18"/>
          <w:u w:val="single" w:color="auto"/>
          <w:color w:val="0000FF"/>
        </w:rPr>
        <w:t xml:space="preserve"> </w:t>
      </w:r>
      <w:hyperlink r:id="rId254">
        <w:r>
          <w:rPr>
            <w:rFonts w:ascii="Arial" w:cs="Arial" w:eastAsia="Arial" w:hAnsi="Arial"/>
            <w:sz w:val="18"/>
            <w:szCs w:val="18"/>
            <w:u w:val="single" w:color="auto"/>
            <w:color w:val="0000FF"/>
          </w:rPr>
          <w:t>Bank, N.A., as joint lead arrangers and co-bookrunners (incorporated by reference to Exhibit 10.2 to Honeywell’s Form 8-</w:t>
        </w:r>
      </w:hyperlink>
      <w:hyperlink r:id="rId254">
        <w:r>
          <w:rPr>
            <w:rFonts w:ascii="Arial" w:cs="Arial" w:eastAsia="Arial" w:hAnsi="Arial"/>
            <w:sz w:val="18"/>
            <w:szCs w:val="18"/>
            <w:u w:val="single" w:color="auto"/>
            <w:color w:val="0000FF"/>
          </w:rPr>
          <w:t>K filed April 29, 2019)</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1517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55">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4518660</wp:posOffset>
            </wp:positionH>
            <wp:positionV relativeFrom="paragraph">
              <wp:posOffset>-692150</wp:posOffset>
            </wp:positionV>
            <wp:extent cx="258953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56">
                      <a:extLst>
                        <a:ext uri="{28A0092B-C50C-407E-A947-70E740481C1C}"/>
                      </a:extLst>
                    </a:blip>
                    <a:srcRect/>
                    <a:stretch>
                      <a:fillRect/>
                    </a:stretch>
                  </pic:blipFill>
                  <pic:spPr bwMode="auto">
                    <a:xfrm>
                      <a:off x="0" y="0"/>
                      <a:ext cx="2589530" cy="8890"/>
                    </a:xfrm>
                    <a:prstGeom prst="rect">
                      <a:avLst/>
                    </a:prstGeom>
                    <a:noFill/>
                  </pic:spPr>
                </pic:pic>
              </a:graphicData>
            </a:graphic>
          </wp:anchor>
        </w:drawing>
      </w:r>
    </w:p>
    <w:p>
      <w:pPr>
        <w:spacing w:after="0" w:line="8" w:lineRule="exact"/>
        <w:rPr>
          <w:rFonts w:ascii="Arial" w:cs="Arial" w:eastAsia="Arial" w:hAnsi="Arial"/>
          <w:sz w:val="18"/>
          <w:szCs w:val="18"/>
          <w:u w:val="single" w:color="auto"/>
          <w:color w:val="0000FF"/>
        </w:rPr>
      </w:pPr>
    </w:p>
    <w:p>
      <w:pPr>
        <w:ind w:left="1480" w:right="20" w:hanging="906"/>
        <w:spacing w:after="0" w:line="227" w:lineRule="auto"/>
        <w:tabs>
          <w:tab w:leader="none" w:pos="1460" w:val="left"/>
        </w:tabs>
        <w:rPr>
          <w:rFonts w:ascii="Arial" w:cs="Arial" w:eastAsia="Arial" w:hAnsi="Arial"/>
          <w:sz w:val="18"/>
          <w:szCs w:val="18"/>
          <w:u w:val="single" w:color="auto"/>
          <w:color w:val="0000FF"/>
        </w:rPr>
      </w:pPr>
      <w:r>
        <w:rPr>
          <w:rFonts w:ascii="Arial" w:cs="Arial" w:eastAsia="Arial" w:hAnsi="Arial"/>
          <w:sz w:val="18"/>
          <w:szCs w:val="18"/>
          <w:color w:val="auto"/>
        </w:rPr>
        <w:t>10.56*</w:t>
      </w:r>
      <w:r>
        <w:rPr>
          <w:sz w:val="20"/>
          <w:szCs w:val="20"/>
          <w:color w:val="auto"/>
        </w:rPr>
        <w:tab/>
      </w:r>
      <w:hyperlink r:id="rId257">
        <w:r>
          <w:rPr>
            <w:rFonts w:ascii="Arial" w:cs="Arial" w:eastAsia="Arial" w:hAnsi="Arial"/>
            <w:sz w:val="18"/>
            <w:szCs w:val="18"/>
            <w:u w:val="single" w:color="auto"/>
            <w:color w:val="0000FF"/>
          </w:rPr>
          <w:t>Offer Letter dated July 9, 2018 between Honeywell International Inc. and Mark R. James (incorporated by reference to</w:t>
        </w:r>
      </w:hyperlink>
      <w:r>
        <w:rPr>
          <w:rFonts w:ascii="Arial" w:cs="Arial" w:eastAsia="Arial" w:hAnsi="Arial"/>
          <w:sz w:val="18"/>
          <w:szCs w:val="18"/>
          <w:u w:val="single" w:color="auto"/>
          <w:color w:val="0000FF"/>
        </w:rPr>
        <w:t xml:space="preserve"> </w:t>
      </w:r>
      <w:hyperlink r:id="rId257">
        <w:r>
          <w:rPr>
            <w:rFonts w:ascii="Arial" w:cs="Arial" w:eastAsia="Arial" w:hAnsi="Arial"/>
            <w:sz w:val="18"/>
            <w:szCs w:val="18"/>
            <w:u w:val="single" w:color="auto"/>
            <w:color w:val="0000FF"/>
          </w:rPr>
          <w:t>Exhibit 10.1 to Honeywell’s Form 10-Q for the quarter ended March 31,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1517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5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7" w:lineRule="exact"/>
        <w:rPr>
          <w:sz w:val="20"/>
          <w:szCs w:val="20"/>
          <w:color w:val="auto"/>
        </w:rPr>
      </w:pPr>
    </w:p>
    <w:p>
      <w:pPr>
        <w:jc w:val="both"/>
        <w:ind w:left="1480" w:hanging="836"/>
        <w:spacing w:after="0" w:line="219" w:lineRule="auto"/>
        <w:tabs>
          <w:tab w:leader="none" w:pos="1460" w:val="left"/>
        </w:tabs>
        <w:rPr>
          <w:rFonts w:ascii="Arial" w:cs="Arial" w:eastAsia="Arial" w:hAnsi="Arial"/>
          <w:sz w:val="18"/>
          <w:szCs w:val="18"/>
          <w:u w:val="single" w:color="auto"/>
          <w:color w:val="0000FF"/>
        </w:rPr>
      </w:pPr>
      <w:r>
        <w:rPr>
          <w:rFonts w:ascii="Arial" w:cs="Arial" w:eastAsia="Arial" w:hAnsi="Arial"/>
          <w:sz w:val="18"/>
          <w:szCs w:val="18"/>
          <w:color w:val="auto"/>
        </w:rPr>
        <w:t>10.57</w:t>
      </w:r>
      <w:r>
        <w:rPr>
          <w:sz w:val="20"/>
          <w:szCs w:val="20"/>
          <w:color w:val="auto"/>
        </w:rPr>
        <w:tab/>
      </w:r>
      <w:hyperlink r:id="rId259">
        <w:r>
          <w:rPr>
            <w:rFonts w:ascii="Arial" w:cs="Arial" w:eastAsia="Arial" w:hAnsi="Arial"/>
            <w:sz w:val="18"/>
            <w:szCs w:val="18"/>
            <w:u w:val="single" w:color="auto"/>
            <w:color w:val="0000FF"/>
          </w:rPr>
          <w:t>Indemnification and Reimbursement Agreement, dated September 12, 2018, by and among Honeywell ASASCO Inc.,</w:t>
        </w:r>
      </w:hyperlink>
      <w:r>
        <w:rPr>
          <w:rFonts w:ascii="Arial" w:cs="Arial" w:eastAsia="Arial" w:hAnsi="Arial"/>
          <w:sz w:val="18"/>
          <w:szCs w:val="18"/>
          <w:u w:val="single" w:color="auto"/>
          <w:color w:val="0000FF"/>
        </w:rPr>
        <w:t xml:space="preserve"> </w:t>
      </w:r>
      <w:hyperlink r:id="rId259">
        <w:r>
          <w:rPr>
            <w:rFonts w:ascii="Arial" w:cs="Arial" w:eastAsia="Arial" w:hAnsi="Arial"/>
            <w:sz w:val="18"/>
            <w:szCs w:val="18"/>
            <w:u w:val="single" w:color="auto"/>
            <w:color w:val="0000FF"/>
          </w:rPr>
          <w:t>Honeywell ASASCO 2 Inc., and Honeywell International Inc. (incorporated by reference to Exhibit 2.1 to Honeywell’s Form</w:t>
        </w:r>
      </w:hyperlink>
      <w:r>
        <w:rPr>
          <w:rFonts w:ascii="Arial" w:cs="Arial" w:eastAsia="Arial" w:hAnsi="Arial"/>
          <w:sz w:val="18"/>
          <w:szCs w:val="18"/>
          <w:u w:val="single" w:color="auto"/>
          <w:color w:val="0000FF"/>
        </w:rPr>
        <w:t xml:space="preserve"> </w:t>
      </w:r>
      <w:hyperlink r:id="rId259">
        <w:r>
          <w:rPr>
            <w:rFonts w:ascii="Arial" w:cs="Arial" w:eastAsia="Arial" w:hAnsi="Arial"/>
            <w:sz w:val="18"/>
            <w:szCs w:val="18"/>
            <w:u w:val="single" w:color="auto"/>
            <w:color w:val="0000FF"/>
          </w:rPr>
          <w:t>8-K filed September 14, 2018)</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635</wp:posOffset>
            </wp:positionV>
            <wp:extent cx="711517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6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7" w:lineRule="exact"/>
        <w:rPr>
          <w:rFonts w:ascii="Arial" w:cs="Arial" w:eastAsia="Arial" w:hAnsi="Arial"/>
          <w:sz w:val="18"/>
          <w:szCs w:val="18"/>
          <w:u w:val="single" w:color="auto"/>
          <w:color w:val="0000FF"/>
        </w:rPr>
      </w:pPr>
    </w:p>
    <w:p>
      <w:pPr>
        <w:jc w:val="both"/>
        <w:ind w:left="1480" w:hanging="836"/>
        <w:spacing w:after="0" w:line="227" w:lineRule="auto"/>
        <w:tabs>
          <w:tab w:leader="none" w:pos="1460" w:val="left"/>
        </w:tabs>
        <w:rPr>
          <w:rFonts w:ascii="Arial" w:cs="Arial" w:eastAsia="Arial" w:hAnsi="Arial"/>
          <w:sz w:val="18"/>
          <w:szCs w:val="18"/>
          <w:u w:val="single" w:color="auto"/>
          <w:color w:val="0000FF"/>
        </w:rPr>
      </w:pPr>
      <w:r>
        <w:rPr>
          <w:rFonts w:ascii="Arial" w:cs="Arial" w:eastAsia="Arial" w:hAnsi="Arial"/>
          <w:sz w:val="18"/>
          <w:szCs w:val="18"/>
          <w:color w:val="auto"/>
        </w:rPr>
        <w:t>10.58</w:t>
      </w:r>
      <w:r>
        <w:rPr>
          <w:sz w:val="20"/>
          <w:szCs w:val="20"/>
          <w:color w:val="auto"/>
        </w:rPr>
        <w:tab/>
      </w:r>
      <w:hyperlink r:id="rId261">
        <w:r>
          <w:rPr>
            <w:rFonts w:ascii="Arial" w:cs="Arial" w:eastAsia="Arial" w:hAnsi="Arial"/>
            <w:sz w:val="18"/>
            <w:szCs w:val="18"/>
            <w:u w:val="single" w:color="auto"/>
            <w:color w:val="0000FF"/>
          </w:rPr>
          <w:t>Indemnification and Reimbursement Agreement, dated October 14, 2018, by and among New HAPI Inc. and Honeywell</w:t>
        </w:r>
      </w:hyperlink>
      <w:r>
        <w:rPr>
          <w:rFonts w:ascii="Arial" w:cs="Arial" w:eastAsia="Arial" w:hAnsi="Arial"/>
          <w:sz w:val="18"/>
          <w:szCs w:val="18"/>
          <w:u w:val="single" w:color="auto"/>
          <w:color w:val="0000FF"/>
        </w:rPr>
        <w:t xml:space="preserve"> </w:t>
      </w:r>
      <w:hyperlink r:id="rId261">
        <w:r>
          <w:rPr>
            <w:rFonts w:ascii="Arial" w:cs="Arial" w:eastAsia="Arial" w:hAnsi="Arial"/>
            <w:sz w:val="18"/>
            <w:szCs w:val="18"/>
            <w:u w:val="single" w:color="auto"/>
            <w:color w:val="0000FF"/>
          </w:rPr>
          <w:t>International Inc. (incorporated by reference to Exhibit 2.1 to Honeywell’s Form 8-K filed October 15,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1517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62">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4717415</wp:posOffset>
            </wp:positionH>
            <wp:positionV relativeFrom="paragraph">
              <wp:posOffset>-135890</wp:posOffset>
            </wp:positionV>
            <wp:extent cx="238887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63">
                      <a:extLst>
                        <a:ext uri="{28A0092B-C50C-407E-A947-70E740481C1C}"/>
                      </a:extLst>
                    </a:blip>
                    <a:srcRect/>
                    <a:stretch>
                      <a:fillRect/>
                    </a:stretch>
                  </pic:blipFill>
                  <pic:spPr bwMode="auto">
                    <a:xfrm>
                      <a:off x="0" y="0"/>
                      <a:ext cx="2388870" cy="8890"/>
                    </a:xfrm>
                    <a:prstGeom prst="rect">
                      <a:avLst/>
                    </a:prstGeom>
                    <a:noFill/>
                  </pic:spPr>
                </pic:pic>
              </a:graphicData>
            </a:graphic>
          </wp:anchor>
        </w:drawing>
      </w:r>
    </w:p>
    <w:p>
      <w:pPr>
        <w:spacing w:after="0" w:line="7" w:lineRule="exact"/>
        <w:rPr>
          <w:sz w:val="20"/>
          <w:szCs w:val="20"/>
          <w:color w:val="auto"/>
        </w:rPr>
      </w:pPr>
    </w:p>
    <w:p>
      <w:pPr>
        <w:ind w:left="1480" w:hanging="906"/>
        <w:spacing w:after="0" w:line="227" w:lineRule="auto"/>
        <w:tabs>
          <w:tab w:leader="none" w:pos="1460" w:val="left"/>
        </w:tabs>
        <w:rPr>
          <w:rFonts w:ascii="Arial" w:cs="Arial" w:eastAsia="Arial" w:hAnsi="Arial"/>
          <w:sz w:val="18"/>
          <w:szCs w:val="18"/>
          <w:u w:val="single" w:color="auto"/>
          <w:color w:val="0000FF"/>
        </w:rPr>
      </w:pPr>
      <w:r>
        <w:rPr>
          <w:rFonts w:ascii="Arial" w:cs="Arial" w:eastAsia="Arial" w:hAnsi="Arial"/>
          <w:sz w:val="18"/>
          <w:szCs w:val="18"/>
          <w:color w:val="auto"/>
        </w:rPr>
        <w:t>10.59*</w:t>
      </w:r>
      <w:r>
        <w:rPr>
          <w:sz w:val="20"/>
          <w:szCs w:val="20"/>
          <w:color w:val="auto"/>
        </w:rPr>
        <w:tab/>
      </w:r>
      <w:hyperlink r:id="rId264">
        <w:r>
          <w:rPr>
            <w:rFonts w:ascii="Arial" w:cs="Arial" w:eastAsia="Arial" w:hAnsi="Arial"/>
            <w:sz w:val="18"/>
            <w:szCs w:val="18"/>
            <w:u w:val="single" w:color="auto"/>
            <w:color w:val="0000FF"/>
          </w:rPr>
          <w:t>Amendment to the 2016 Stock Plan for Non-Employee Directors of Honeywell International Inc. (incorporated by reference</w:t>
        </w:r>
      </w:hyperlink>
      <w:r>
        <w:rPr>
          <w:rFonts w:ascii="Arial" w:cs="Arial" w:eastAsia="Arial" w:hAnsi="Arial"/>
          <w:sz w:val="18"/>
          <w:szCs w:val="18"/>
          <w:u w:val="single" w:color="auto"/>
          <w:color w:val="0000FF"/>
        </w:rPr>
        <w:t xml:space="preserve"> </w:t>
      </w:r>
      <w:hyperlink r:id="rId264">
        <w:r>
          <w:rPr>
            <w:rFonts w:ascii="Arial" w:cs="Arial" w:eastAsia="Arial" w:hAnsi="Arial"/>
            <w:sz w:val="18"/>
            <w:szCs w:val="18"/>
            <w:u w:val="single" w:color="auto"/>
            <w:color w:val="0000FF"/>
          </w:rPr>
          <w:t>to Exhibit 99.2 to Honeywell's Form 8-K filed October 8,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1517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6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7" w:lineRule="exact"/>
        <w:rPr>
          <w:sz w:val="20"/>
          <w:szCs w:val="20"/>
          <w:color w:val="auto"/>
        </w:rPr>
      </w:pPr>
    </w:p>
    <w:p>
      <w:pPr>
        <w:ind w:left="1480" w:right="20" w:hanging="906"/>
        <w:spacing w:after="0" w:line="227" w:lineRule="auto"/>
        <w:tabs>
          <w:tab w:leader="none" w:pos="1460" w:val="left"/>
        </w:tabs>
        <w:rPr>
          <w:rFonts w:ascii="Arial" w:cs="Arial" w:eastAsia="Arial" w:hAnsi="Arial"/>
          <w:sz w:val="18"/>
          <w:szCs w:val="18"/>
          <w:u w:val="single" w:color="auto"/>
          <w:color w:val="0000FF"/>
        </w:rPr>
      </w:pPr>
      <w:r>
        <w:rPr>
          <w:rFonts w:ascii="Arial" w:cs="Arial" w:eastAsia="Arial" w:hAnsi="Arial"/>
          <w:sz w:val="18"/>
          <w:szCs w:val="18"/>
          <w:color w:val="auto"/>
        </w:rPr>
        <w:t>10.60*</w:t>
      </w:r>
      <w:r>
        <w:rPr>
          <w:sz w:val="20"/>
          <w:szCs w:val="20"/>
          <w:color w:val="auto"/>
        </w:rPr>
        <w:tab/>
      </w:r>
      <w:hyperlink r:id="rId266">
        <w:r>
          <w:rPr>
            <w:rFonts w:ascii="Arial" w:cs="Arial" w:eastAsia="Arial" w:hAnsi="Arial"/>
            <w:sz w:val="18"/>
            <w:szCs w:val="18"/>
            <w:u w:val="single" w:color="auto"/>
            <w:color w:val="0000FF"/>
          </w:rPr>
          <w:t>Amendment to the 2016 Stock Incentive Plan of Honeywell International Inc. and its Affiliates (incorporated by reference</w:t>
        </w:r>
      </w:hyperlink>
      <w:r>
        <w:rPr>
          <w:rFonts w:ascii="Arial" w:cs="Arial" w:eastAsia="Arial" w:hAnsi="Arial"/>
          <w:sz w:val="18"/>
          <w:szCs w:val="18"/>
          <w:u w:val="single" w:color="auto"/>
          <w:color w:val="0000FF"/>
        </w:rPr>
        <w:t xml:space="preserve"> </w:t>
      </w:r>
      <w:hyperlink r:id="rId266">
        <w:r>
          <w:rPr>
            <w:rFonts w:ascii="Arial" w:cs="Arial" w:eastAsia="Arial" w:hAnsi="Arial"/>
            <w:sz w:val="18"/>
            <w:szCs w:val="18"/>
            <w:u w:val="single" w:color="auto"/>
            <w:color w:val="0000FF"/>
          </w:rPr>
          <w:t>to Exhibit 10.2 to Honeywell’s Form 10-Q for the quarter ended September 30,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1517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67">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7" w:lineRule="exact"/>
        <w:rPr>
          <w:sz w:val="20"/>
          <w:szCs w:val="20"/>
          <w:color w:val="auto"/>
        </w:rPr>
      </w:pPr>
    </w:p>
    <w:p>
      <w:pPr>
        <w:ind w:left="1480" w:right="20" w:hanging="906"/>
        <w:spacing w:after="0" w:line="246" w:lineRule="auto"/>
        <w:tabs>
          <w:tab w:leader="none" w:pos="1460" w:val="left"/>
        </w:tabs>
        <w:rPr>
          <w:rFonts w:ascii="Arial" w:cs="Arial" w:eastAsia="Arial" w:hAnsi="Arial"/>
          <w:sz w:val="18"/>
          <w:szCs w:val="18"/>
          <w:u w:val="single" w:color="auto"/>
          <w:color w:val="0000FF"/>
        </w:rPr>
      </w:pPr>
      <w:r>
        <w:rPr>
          <w:rFonts w:ascii="Arial" w:cs="Arial" w:eastAsia="Arial" w:hAnsi="Arial"/>
          <w:sz w:val="18"/>
          <w:szCs w:val="18"/>
          <w:color w:val="auto"/>
        </w:rPr>
        <w:t>10.61*</w:t>
      </w:r>
      <w:r>
        <w:rPr>
          <w:sz w:val="20"/>
          <w:szCs w:val="20"/>
          <w:color w:val="auto"/>
        </w:rPr>
        <w:tab/>
      </w:r>
      <w:hyperlink r:id="rId268">
        <w:r>
          <w:rPr>
            <w:rFonts w:ascii="Arial" w:cs="Arial" w:eastAsia="Arial" w:hAnsi="Arial"/>
            <w:sz w:val="18"/>
            <w:szCs w:val="18"/>
            <w:u w:val="single" w:color="auto"/>
            <w:color w:val="0000FF"/>
          </w:rPr>
          <w:t>Amendment to the 2016 Stock Plan for Non-Employee Directors (incorporated by reference to Exhibit 10.1 to Honeywell’s</w:t>
        </w:r>
      </w:hyperlink>
      <w:r>
        <w:rPr>
          <w:rFonts w:ascii="Arial" w:cs="Arial" w:eastAsia="Arial" w:hAnsi="Arial"/>
          <w:sz w:val="18"/>
          <w:szCs w:val="18"/>
          <w:u w:val="single" w:color="auto"/>
          <w:color w:val="0000FF"/>
        </w:rPr>
        <w:t xml:space="preserve"> </w:t>
      </w:r>
      <w:hyperlink r:id="rId268">
        <w:r>
          <w:rPr>
            <w:rFonts w:ascii="Arial" w:cs="Arial" w:eastAsia="Arial" w:hAnsi="Arial"/>
            <w:sz w:val="18"/>
            <w:szCs w:val="18"/>
            <w:u w:val="single" w:color="auto"/>
            <w:color w:val="0000FF"/>
          </w:rPr>
          <w:t>Form 10-Q for the quarter ended June 30,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1517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6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8" w:lineRule="exact"/>
        <w:rPr>
          <w:sz w:val="20"/>
          <w:szCs w:val="20"/>
          <w:color w:val="auto"/>
        </w:rPr>
      </w:pPr>
    </w:p>
    <w:p>
      <w:pPr>
        <w:ind w:left="1480" w:hanging="906"/>
        <w:spacing w:after="0" w:line="227" w:lineRule="auto"/>
        <w:tabs>
          <w:tab w:leader="none" w:pos="1460" w:val="left"/>
        </w:tabs>
        <w:rPr>
          <w:rFonts w:ascii="Arial" w:cs="Arial" w:eastAsia="Arial" w:hAnsi="Arial"/>
          <w:sz w:val="18"/>
          <w:szCs w:val="18"/>
          <w:u w:val="single" w:color="auto"/>
          <w:color w:val="0000FF"/>
        </w:rPr>
      </w:pPr>
      <w:r>
        <w:rPr>
          <w:rFonts w:ascii="Arial" w:cs="Arial" w:eastAsia="Arial" w:hAnsi="Arial"/>
          <w:sz w:val="18"/>
          <w:szCs w:val="18"/>
          <w:color w:val="auto"/>
        </w:rPr>
        <w:t>10.62*</w:t>
      </w:r>
      <w:r>
        <w:rPr>
          <w:sz w:val="20"/>
          <w:szCs w:val="20"/>
          <w:color w:val="auto"/>
        </w:rPr>
        <w:tab/>
      </w:r>
      <w:hyperlink r:id="rId270">
        <w:r>
          <w:rPr>
            <w:rFonts w:ascii="Arial" w:cs="Arial" w:eastAsia="Arial" w:hAnsi="Arial"/>
            <w:sz w:val="18"/>
            <w:szCs w:val="18"/>
            <w:u w:val="single" w:color="auto"/>
            <w:color w:val="0000FF"/>
          </w:rPr>
          <w:t>2016 Stock Plan for Non-Employee Directors of Honeywell International Inc. – Form of Stock Option Award Agreement</w:t>
        </w:r>
      </w:hyperlink>
      <w:r>
        <w:rPr>
          <w:rFonts w:ascii="Arial" w:cs="Arial" w:eastAsia="Arial" w:hAnsi="Arial"/>
          <w:sz w:val="18"/>
          <w:szCs w:val="18"/>
          <w:u w:val="single" w:color="auto"/>
          <w:color w:val="0000FF"/>
        </w:rPr>
        <w:t xml:space="preserve"> </w:t>
      </w:r>
      <w:hyperlink r:id="rId270">
        <w:r>
          <w:rPr>
            <w:rFonts w:ascii="Arial" w:cs="Arial" w:eastAsia="Arial" w:hAnsi="Arial"/>
            <w:sz w:val="18"/>
            <w:szCs w:val="18"/>
            <w:u w:val="single" w:color="auto"/>
            <w:color w:val="0000FF"/>
          </w:rPr>
          <w:t>(incorporated by reference to Exhibit 10.2 to Honeywell’s Form 10-Q for the quarter ended June 30,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1517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7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7" w:lineRule="exact"/>
        <w:rPr>
          <w:sz w:val="20"/>
          <w:szCs w:val="20"/>
          <w:color w:val="auto"/>
        </w:rPr>
      </w:pPr>
    </w:p>
    <w:p>
      <w:pPr>
        <w:ind w:left="1480" w:hanging="906"/>
        <w:spacing w:after="0" w:line="227" w:lineRule="auto"/>
        <w:tabs>
          <w:tab w:leader="none" w:pos="1460" w:val="left"/>
        </w:tabs>
        <w:rPr>
          <w:rFonts w:ascii="Arial" w:cs="Arial" w:eastAsia="Arial" w:hAnsi="Arial"/>
          <w:sz w:val="18"/>
          <w:szCs w:val="18"/>
          <w:u w:val="single" w:color="auto"/>
          <w:color w:val="0000FF"/>
        </w:rPr>
      </w:pPr>
      <w:r>
        <w:rPr>
          <w:rFonts w:ascii="Arial" w:cs="Arial" w:eastAsia="Arial" w:hAnsi="Arial"/>
          <w:sz w:val="18"/>
          <w:szCs w:val="18"/>
          <w:color w:val="auto"/>
        </w:rPr>
        <w:t>10.63*</w:t>
      </w:r>
      <w:r>
        <w:rPr>
          <w:sz w:val="20"/>
          <w:szCs w:val="20"/>
          <w:color w:val="auto"/>
        </w:rPr>
        <w:tab/>
      </w:r>
      <w:hyperlink r:id="rId272">
        <w:r>
          <w:rPr>
            <w:rFonts w:ascii="Arial" w:cs="Arial" w:eastAsia="Arial" w:hAnsi="Arial"/>
            <w:sz w:val="18"/>
            <w:szCs w:val="18"/>
            <w:u w:val="single" w:color="auto"/>
            <w:color w:val="0000FF"/>
          </w:rPr>
          <w:t>2016 Stock Plan for Non-Employee Directors of Honeywell International Inc. – Form of Restricted Unit Agreement</w:t>
        </w:r>
      </w:hyperlink>
      <w:r>
        <w:rPr>
          <w:rFonts w:ascii="Arial" w:cs="Arial" w:eastAsia="Arial" w:hAnsi="Arial"/>
          <w:sz w:val="18"/>
          <w:szCs w:val="18"/>
          <w:u w:val="single" w:color="auto"/>
          <w:color w:val="0000FF"/>
        </w:rPr>
        <w:t xml:space="preserve"> </w:t>
      </w:r>
      <w:hyperlink r:id="rId272">
        <w:r>
          <w:rPr>
            <w:rFonts w:ascii="Arial" w:cs="Arial" w:eastAsia="Arial" w:hAnsi="Arial"/>
            <w:sz w:val="18"/>
            <w:szCs w:val="18"/>
            <w:u w:val="single" w:color="auto"/>
            <w:color w:val="0000FF"/>
          </w:rPr>
          <w:t>(incorporated by reference to Exhibit 10.3 to Honeywell’s Form 10-Q for the quarter ended June 30,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1517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7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ind w:left="560"/>
        <w:spacing w:after="0"/>
        <w:tabs>
          <w:tab w:leader="none" w:pos="1460" w:val="left"/>
        </w:tabs>
        <w:rPr>
          <w:rFonts w:ascii="Arial" w:cs="Arial" w:eastAsia="Arial" w:hAnsi="Arial"/>
          <w:sz w:val="17"/>
          <w:szCs w:val="17"/>
          <w:u w:val="single" w:color="auto"/>
          <w:color w:val="0000FF"/>
        </w:rPr>
      </w:pPr>
      <w:r>
        <w:rPr>
          <w:rFonts w:ascii="Arial" w:cs="Arial" w:eastAsia="Arial" w:hAnsi="Arial"/>
          <w:sz w:val="18"/>
          <w:szCs w:val="18"/>
          <w:color w:val="auto"/>
        </w:rPr>
        <w:t>10.64*</w:t>
      </w:r>
      <w:r>
        <w:rPr>
          <w:sz w:val="20"/>
          <w:szCs w:val="20"/>
          <w:color w:val="auto"/>
        </w:rPr>
        <w:tab/>
      </w:r>
      <w:hyperlink r:id="rId274">
        <w:r>
          <w:rPr>
            <w:rFonts w:ascii="Arial" w:cs="Arial" w:eastAsia="Arial" w:hAnsi="Arial"/>
            <w:sz w:val="17"/>
            <w:szCs w:val="17"/>
            <w:u w:val="single" w:color="auto"/>
            <w:color w:val="0000FF"/>
          </w:rPr>
          <w:t>Retirement Agreement, dated July 20, 2020, between Honeywell and Mark R. James (incorporated by reference to Exhibit</w:t>
        </w:r>
      </w:hyperlink>
    </w:p>
    <w:p>
      <w:pPr>
        <w:ind w:left="1480"/>
        <w:spacing w:after="0"/>
        <w:rPr>
          <w:rFonts w:ascii="Arial" w:cs="Arial" w:eastAsia="Arial" w:hAnsi="Arial"/>
          <w:sz w:val="18"/>
          <w:szCs w:val="18"/>
          <w:u w:val="single" w:color="auto"/>
          <w:color w:val="0000FF"/>
        </w:rPr>
      </w:pPr>
      <w:hyperlink r:id="rId274">
        <w:r>
          <w:rPr>
            <w:rFonts w:ascii="Arial" w:cs="Arial" w:eastAsia="Arial" w:hAnsi="Arial"/>
            <w:sz w:val="18"/>
            <w:szCs w:val="18"/>
            <w:u w:val="single" w:color="auto"/>
            <w:color w:val="0000FF"/>
          </w:rPr>
          <w:t>10.4 to Honeywell’s Form 10-Q for the quarter ended June 30,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1517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75">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16" w:lineRule="exact"/>
        <w:rPr>
          <w:sz w:val="20"/>
          <w:szCs w:val="20"/>
          <w:color w:val="auto"/>
        </w:rPr>
      </w:pPr>
    </w:p>
    <w:p>
      <w:pPr>
        <w:jc w:val="both"/>
        <w:ind w:left="1480" w:hanging="836"/>
        <w:spacing w:after="0" w:line="238" w:lineRule="auto"/>
        <w:tabs>
          <w:tab w:leader="none" w:pos="1460" w:val="left"/>
        </w:tabs>
        <w:rPr>
          <w:rFonts w:ascii="Arial" w:cs="Arial" w:eastAsia="Arial" w:hAnsi="Arial"/>
          <w:sz w:val="18"/>
          <w:szCs w:val="18"/>
          <w:u w:val="single" w:color="auto"/>
          <w:color w:val="0000FF"/>
        </w:rPr>
      </w:pPr>
      <w:r>
        <w:rPr>
          <w:rFonts w:ascii="Arial" w:cs="Arial" w:eastAsia="Arial" w:hAnsi="Arial"/>
          <w:sz w:val="18"/>
          <w:szCs w:val="18"/>
          <w:color w:val="auto"/>
        </w:rPr>
        <w:t>10.65</w:t>
      </w:r>
      <w:r>
        <w:rPr>
          <w:sz w:val="20"/>
          <w:szCs w:val="20"/>
          <w:color w:val="auto"/>
        </w:rPr>
        <w:tab/>
      </w:r>
      <w:hyperlink r:id="rId276">
        <w:r>
          <w:rPr>
            <w:rFonts w:ascii="Arial" w:cs="Arial" w:eastAsia="Arial" w:hAnsi="Arial"/>
            <w:sz w:val="18"/>
            <w:szCs w:val="18"/>
            <w:u w:val="single" w:color="auto"/>
            <w:color w:val="0000FF"/>
          </w:rPr>
          <w:t>Delayed Draw Term Loan Agreement, dated as of March 26, 2020, among Honeywell International Inc., the initial lenders</w:t>
        </w:r>
      </w:hyperlink>
      <w:r>
        <w:rPr>
          <w:rFonts w:ascii="Arial" w:cs="Arial" w:eastAsia="Arial" w:hAnsi="Arial"/>
          <w:sz w:val="18"/>
          <w:szCs w:val="18"/>
          <w:u w:val="single" w:color="auto"/>
          <w:color w:val="0000FF"/>
        </w:rPr>
        <w:t xml:space="preserve"> </w:t>
      </w:r>
      <w:hyperlink r:id="rId276">
        <w:r>
          <w:rPr>
            <w:rFonts w:ascii="Arial" w:cs="Arial" w:eastAsia="Arial" w:hAnsi="Arial"/>
            <w:sz w:val="18"/>
            <w:szCs w:val="18"/>
            <w:u w:val="single" w:color="auto"/>
            <w:color w:val="0000FF"/>
          </w:rPr>
          <w:t>named therein, Citibank, N.A., as administrative agent, and Citibank, N.A., Bank of America, N.A., JPMorgan Chase Bank,</w:t>
        </w:r>
      </w:hyperlink>
      <w:r>
        <w:rPr>
          <w:rFonts w:ascii="Arial" w:cs="Arial" w:eastAsia="Arial" w:hAnsi="Arial"/>
          <w:sz w:val="18"/>
          <w:szCs w:val="18"/>
          <w:u w:val="single" w:color="auto"/>
          <w:color w:val="0000FF"/>
        </w:rPr>
        <w:t xml:space="preserve"> </w:t>
      </w:r>
      <w:hyperlink r:id="rId276">
        <w:r>
          <w:rPr>
            <w:rFonts w:ascii="Arial" w:cs="Arial" w:eastAsia="Arial" w:hAnsi="Arial"/>
            <w:sz w:val="18"/>
            <w:szCs w:val="18"/>
            <w:u w:val="single" w:color="auto"/>
            <w:color w:val="0000FF"/>
          </w:rPr>
          <w:t>N.A. and Wells Fargo Bank, National Association, as syndication agents (incorporated by reference to Exhibit 10.1 to</w:t>
        </w:r>
      </w:hyperlink>
      <w:r>
        <w:rPr>
          <w:rFonts w:ascii="Arial" w:cs="Arial" w:eastAsia="Arial" w:hAnsi="Arial"/>
          <w:sz w:val="18"/>
          <w:szCs w:val="18"/>
          <w:u w:val="single" w:color="auto"/>
          <w:color w:val="0000FF"/>
        </w:rPr>
        <w:t xml:space="preserve"> </w:t>
      </w:r>
      <w:hyperlink r:id="rId276">
        <w:r>
          <w:rPr>
            <w:rFonts w:ascii="Arial" w:cs="Arial" w:eastAsia="Arial" w:hAnsi="Arial"/>
            <w:sz w:val="18"/>
            <w:szCs w:val="18"/>
            <w:u w:val="single" w:color="auto"/>
            <w:color w:val="0000FF"/>
          </w:rPr>
          <w:t>Honeywell’s Form 8-K filed on March 31, 2020)</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1517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7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6" w:lineRule="exact"/>
        <w:rPr>
          <w:rFonts w:ascii="Arial" w:cs="Arial" w:eastAsia="Arial" w:hAnsi="Arial"/>
          <w:sz w:val="18"/>
          <w:szCs w:val="18"/>
          <w:u w:val="single" w:color="auto"/>
          <w:color w:val="0000FF"/>
        </w:rPr>
      </w:pPr>
    </w:p>
    <w:p>
      <w:pPr>
        <w:jc w:val="both"/>
        <w:ind w:left="1480" w:right="20" w:hanging="836"/>
        <w:spacing w:after="0" w:line="219" w:lineRule="auto"/>
        <w:tabs>
          <w:tab w:leader="none" w:pos="1460" w:val="left"/>
        </w:tabs>
        <w:rPr>
          <w:rFonts w:ascii="Arial" w:cs="Arial" w:eastAsia="Arial" w:hAnsi="Arial"/>
          <w:sz w:val="18"/>
          <w:szCs w:val="18"/>
          <w:u w:val="single" w:color="auto"/>
          <w:color w:val="0000FF"/>
        </w:rPr>
      </w:pPr>
      <w:r>
        <w:rPr>
          <w:rFonts w:ascii="Arial" w:cs="Arial" w:eastAsia="Arial" w:hAnsi="Arial"/>
          <w:sz w:val="18"/>
          <w:szCs w:val="18"/>
          <w:color w:val="auto"/>
        </w:rPr>
        <w:t>10.66</w:t>
      </w:r>
      <w:r>
        <w:rPr>
          <w:sz w:val="20"/>
          <w:szCs w:val="20"/>
          <w:color w:val="auto"/>
        </w:rPr>
        <w:tab/>
      </w:r>
      <w:hyperlink r:id="rId278">
        <w:r>
          <w:rPr>
            <w:rFonts w:ascii="Arial" w:cs="Arial" w:eastAsia="Arial" w:hAnsi="Arial"/>
            <w:sz w:val="18"/>
            <w:szCs w:val="18"/>
            <w:u w:val="single" w:color="auto"/>
            <w:color w:val="0000FF"/>
          </w:rPr>
          <w:t xml:space="preserve">Second Amendment, </w:t>
        </w:r>
        <w:r>
          <w:rPr>
            <w:rFonts w:ascii="Arial" w:cs="Arial" w:eastAsia="Arial" w:hAnsi="Arial"/>
            <w:sz w:val="18"/>
            <w:szCs w:val="18"/>
            <w:color w:val="0000FF"/>
          </w:rPr>
          <w:t>dated July 28, 2020, to Indemnification and Reimbursement Agreement dated October 14, 2018</w:t>
        </w:r>
      </w:hyperlink>
      <w:r>
        <w:rPr>
          <w:rFonts w:ascii="Arial" w:cs="Arial" w:eastAsia="Arial" w:hAnsi="Arial"/>
          <w:sz w:val="18"/>
          <w:szCs w:val="18"/>
          <w:u w:val="single" w:color="auto"/>
          <w:color w:val="0000FF"/>
        </w:rPr>
        <w:t xml:space="preserve"> </w:t>
      </w:r>
      <w:hyperlink r:id="rId278">
        <w:r>
          <w:rPr>
            <w:rFonts w:ascii="Arial" w:cs="Arial" w:eastAsia="Arial" w:hAnsi="Arial"/>
            <w:sz w:val="18"/>
            <w:szCs w:val="18"/>
            <w:u w:val="single" w:color="auto"/>
            <w:color w:val="0000FF"/>
          </w:rPr>
          <w:t>among Honeywell and Resideo Intermediate Holding Inc. (incorporated by reference to Exhibit 10.1 to Honeywell’s Form</w:t>
        </w:r>
      </w:hyperlink>
      <w:r>
        <w:rPr>
          <w:rFonts w:ascii="Arial" w:cs="Arial" w:eastAsia="Arial" w:hAnsi="Arial"/>
          <w:sz w:val="18"/>
          <w:szCs w:val="18"/>
          <w:u w:val="single" w:color="auto"/>
          <w:color w:val="0000FF"/>
        </w:rPr>
        <w:t xml:space="preserve"> </w:t>
      </w:r>
      <w:hyperlink r:id="rId278">
        <w:r>
          <w:rPr>
            <w:rFonts w:ascii="Arial" w:cs="Arial" w:eastAsia="Arial" w:hAnsi="Arial"/>
            <w:sz w:val="18"/>
            <w:szCs w:val="18"/>
            <w:u w:val="single" w:color="auto"/>
            <w:color w:val="0000FF"/>
          </w:rPr>
          <w:t>10-Q for the quarter ended September 30, 2020)</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635</wp:posOffset>
            </wp:positionV>
            <wp:extent cx="711517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79">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2009140</wp:posOffset>
            </wp:positionH>
            <wp:positionV relativeFrom="paragraph">
              <wp:posOffset>-247015</wp:posOffset>
            </wp:positionV>
            <wp:extent cx="509460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80">
                      <a:extLst>
                        <a:ext uri="{28A0092B-C50C-407E-A947-70E740481C1C}"/>
                      </a:extLst>
                    </a:blip>
                    <a:srcRect/>
                    <a:stretch>
                      <a:fillRect/>
                    </a:stretch>
                  </pic:blipFill>
                  <pic:spPr bwMode="auto">
                    <a:xfrm>
                      <a:off x="0" y="0"/>
                      <a:ext cx="5094605" cy="8255"/>
                    </a:xfrm>
                    <a:prstGeom prst="rect">
                      <a:avLst/>
                    </a:prstGeom>
                    <a:noFill/>
                  </pic:spPr>
                </pic:pic>
              </a:graphicData>
            </a:graphic>
          </wp:anchor>
        </w:drawing>
      </w:r>
    </w:p>
    <w:p>
      <w:pPr>
        <w:spacing w:after="0" w:line="3" w:lineRule="exact"/>
        <w:rPr>
          <w:rFonts w:ascii="Arial" w:cs="Arial" w:eastAsia="Arial" w:hAnsi="Arial"/>
          <w:sz w:val="18"/>
          <w:szCs w:val="18"/>
          <w:u w:val="single" w:color="auto"/>
          <w:color w:val="0000FF"/>
        </w:rPr>
      </w:pPr>
    </w:p>
    <w:p>
      <w:pPr>
        <w:ind w:left="640"/>
        <w:spacing w:after="0"/>
        <w:tabs>
          <w:tab w:leader="none" w:pos="1460" w:val="left"/>
        </w:tabs>
        <w:rPr>
          <w:rFonts w:ascii="Arial" w:cs="Arial" w:eastAsia="Arial" w:hAnsi="Arial"/>
          <w:sz w:val="18"/>
          <w:szCs w:val="18"/>
          <w:u w:val="single" w:color="auto"/>
          <w:color w:val="0000FF"/>
        </w:rPr>
      </w:pPr>
      <w:r>
        <w:rPr>
          <w:rFonts w:ascii="Arial" w:cs="Arial" w:eastAsia="Arial" w:hAnsi="Arial"/>
          <w:sz w:val="18"/>
          <w:szCs w:val="18"/>
          <w:color w:val="auto"/>
        </w:rPr>
        <w:t>10.67</w:t>
      </w:r>
      <w:r>
        <w:rPr>
          <w:sz w:val="20"/>
          <w:szCs w:val="20"/>
          <w:color w:val="auto"/>
        </w:rPr>
        <w:tab/>
      </w:r>
      <w:hyperlink r:id="rId281">
        <w:r>
          <w:rPr>
            <w:rFonts w:ascii="Arial" w:cs="Arial" w:eastAsia="Arial" w:hAnsi="Arial"/>
            <w:sz w:val="18"/>
            <w:szCs w:val="18"/>
            <w:u w:val="single" w:color="auto"/>
            <w:color w:val="0000FF"/>
          </w:rPr>
          <w:t xml:space="preserve">First Amendment, dated April 21, 2020, to Indemnification and Reimbursement Agreement, </w:t>
        </w:r>
        <w:r>
          <w:rPr>
            <w:rFonts w:ascii="Arial" w:cs="Arial" w:eastAsia="Arial" w:hAnsi="Arial"/>
            <w:sz w:val="18"/>
            <w:szCs w:val="18"/>
            <w:color w:val="0000FF"/>
          </w:rPr>
          <w:t>dated October 14, 2018</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5771515</wp:posOffset>
            </wp:positionH>
            <wp:positionV relativeFrom="paragraph">
              <wp:posOffset>-10160</wp:posOffset>
            </wp:positionV>
            <wp:extent cx="133540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82">
                      <a:extLst>
                        <a:ext uri="{28A0092B-C50C-407E-A947-70E740481C1C}"/>
                      </a:extLst>
                    </a:blip>
                    <a:srcRect/>
                    <a:stretch>
                      <a:fillRect/>
                    </a:stretch>
                  </pic:blipFill>
                  <pic:spPr bwMode="auto">
                    <a:xfrm>
                      <a:off x="0" y="0"/>
                      <a:ext cx="1335405" cy="8255"/>
                    </a:xfrm>
                    <a:prstGeom prst="rect">
                      <a:avLst/>
                    </a:prstGeom>
                    <a:noFill/>
                  </pic:spPr>
                </pic:pic>
              </a:graphicData>
            </a:graphic>
          </wp:anchor>
        </w:drawing>
      </w:r>
    </w:p>
    <w:p>
      <w:pPr>
        <w:ind w:left="1480" w:right="20"/>
        <w:spacing w:after="0" w:line="246" w:lineRule="auto"/>
        <w:rPr>
          <w:rFonts w:ascii="Arial" w:cs="Arial" w:eastAsia="Arial" w:hAnsi="Arial"/>
          <w:sz w:val="18"/>
          <w:szCs w:val="18"/>
          <w:u w:val="single" w:color="auto"/>
          <w:color w:val="0000FF"/>
        </w:rPr>
      </w:pPr>
      <w:hyperlink r:id="rId281">
        <w:r>
          <w:rPr>
            <w:rFonts w:ascii="Arial" w:cs="Arial" w:eastAsia="Arial" w:hAnsi="Arial"/>
            <w:sz w:val="18"/>
            <w:szCs w:val="18"/>
            <w:u w:val="single" w:color="auto"/>
            <w:color w:val="0000FF"/>
          </w:rPr>
          <w:t>among Honeywell and Resideo Intermediate Holding Inc. (incorporated by reference to Exhibit 10.6 to Honeywell’s Form</w:t>
        </w:r>
      </w:hyperlink>
      <w:r>
        <w:rPr>
          <w:rFonts w:ascii="Arial" w:cs="Arial" w:eastAsia="Arial" w:hAnsi="Arial"/>
          <w:sz w:val="18"/>
          <w:szCs w:val="18"/>
          <w:u w:val="single" w:color="auto"/>
          <w:color w:val="0000FF"/>
        </w:rPr>
        <w:t xml:space="preserve"> </w:t>
      </w:r>
      <w:hyperlink r:id="rId281">
        <w:r>
          <w:rPr>
            <w:rFonts w:ascii="Arial" w:cs="Arial" w:eastAsia="Arial" w:hAnsi="Arial"/>
            <w:sz w:val="18"/>
            <w:szCs w:val="18"/>
            <w:u w:val="single" w:color="auto"/>
            <w:color w:val="0000FF"/>
          </w:rPr>
          <w:t>10-Q for the quarter ended June 30,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1517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8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121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27" w:right="379" w:bottom="1440" w:gutter="0" w:footer="0" w:header="0"/>
        </w:sectPr>
      </w:pPr>
    </w:p>
    <w:bookmarkStart w:id="124" w:name="page125"/>
    <w:bookmarkEnd w:id="124"/>
    <w:p>
      <w:pPr>
        <w:ind w:left="80"/>
        <w:spacing w:after="0"/>
        <w:tabs>
          <w:tab w:leader="none" w:pos="582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15175"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85">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47" w:lineRule="exact"/>
        <w:rPr>
          <w:sz w:val="20"/>
          <w:szCs w:val="20"/>
          <w:color w:val="auto"/>
        </w:rPr>
      </w:pPr>
    </w:p>
    <w:p>
      <w:pPr>
        <w:ind w:left="640"/>
        <w:spacing w:after="0"/>
        <w:tabs>
          <w:tab w:leader="none" w:pos="1460" w:val="left"/>
        </w:tabs>
        <w:rPr>
          <w:rFonts w:ascii="Arial" w:cs="Arial" w:eastAsia="Arial" w:hAnsi="Arial"/>
          <w:sz w:val="18"/>
          <w:szCs w:val="18"/>
          <w:u w:val="single" w:color="auto"/>
          <w:color w:val="0000FF"/>
        </w:rPr>
      </w:pPr>
      <w:r>
        <w:rPr>
          <w:rFonts w:ascii="Arial" w:cs="Arial" w:eastAsia="Arial" w:hAnsi="Arial"/>
          <w:sz w:val="18"/>
          <w:szCs w:val="18"/>
          <w:color w:val="auto"/>
        </w:rPr>
        <w:t>10.68</w:t>
      </w:r>
      <w:r>
        <w:rPr>
          <w:sz w:val="20"/>
          <w:szCs w:val="20"/>
          <w:color w:val="auto"/>
        </w:rPr>
        <w:tab/>
      </w:r>
      <w:hyperlink r:id="rId286">
        <w:r>
          <w:rPr>
            <w:rFonts w:ascii="Arial" w:cs="Arial" w:eastAsia="Arial" w:hAnsi="Arial"/>
            <w:sz w:val="18"/>
            <w:szCs w:val="18"/>
            <w:u w:val="single" w:color="auto"/>
            <w:color w:val="0000FF"/>
          </w:rPr>
          <w:t>First Amendment, dated June 12, 2020, to Indemnification and Reimbursement Agreement, dated September 12,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5670550</wp:posOffset>
            </wp:positionH>
            <wp:positionV relativeFrom="paragraph">
              <wp:posOffset>-10160</wp:posOffset>
            </wp:positionV>
            <wp:extent cx="143637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87">
                      <a:extLst>
                        <a:ext uri="{28A0092B-C50C-407E-A947-70E740481C1C}"/>
                      </a:extLst>
                    </a:blip>
                    <a:srcRect/>
                    <a:stretch>
                      <a:fillRect/>
                    </a:stretch>
                  </pic:blipFill>
                  <pic:spPr bwMode="auto">
                    <a:xfrm>
                      <a:off x="0" y="0"/>
                      <a:ext cx="1436370" cy="8890"/>
                    </a:xfrm>
                    <a:prstGeom prst="rect">
                      <a:avLst/>
                    </a:prstGeom>
                    <a:noFill/>
                  </pic:spPr>
                </pic:pic>
              </a:graphicData>
            </a:graphic>
          </wp:anchor>
        </w:drawing>
      </w:r>
    </w:p>
    <w:p>
      <w:pPr>
        <w:ind w:left="1480" w:right="40"/>
        <w:spacing w:after="0" w:line="246" w:lineRule="auto"/>
        <w:rPr>
          <w:rFonts w:ascii="Arial" w:cs="Arial" w:eastAsia="Arial" w:hAnsi="Arial"/>
          <w:sz w:val="18"/>
          <w:szCs w:val="18"/>
          <w:u w:val="single" w:color="auto"/>
          <w:color w:val="0000FF"/>
        </w:rPr>
      </w:pPr>
      <w:hyperlink r:id="rId286">
        <w:r>
          <w:rPr>
            <w:rFonts w:ascii="Arial" w:cs="Arial" w:eastAsia="Arial" w:hAnsi="Arial"/>
            <w:sz w:val="18"/>
            <w:szCs w:val="18"/>
            <w:u w:val="single" w:color="auto"/>
            <w:color w:val="0000FF"/>
          </w:rPr>
          <w:t>among Honeywell, Honeywell Holdings International Inc. and Garrett ASASCO Inc. (incorporated by reference to Exhibit</w:t>
        </w:r>
      </w:hyperlink>
      <w:r>
        <w:rPr>
          <w:rFonts w:ascii="Arial" w:cs="Arial" w:eastAsia="Arial" w:hAnsi="Arial"/>
          <w:sz w:val="18"/>
          <w:szCs w:val="18"/>
          <w:u w:val="single" w:color="auto"/>
          <w:color w:val="0000FF"/>
        </w:rPr>
        <w:t xml:space="preserve"> </w:t>
      </w:r>
      <w:hyperlink r:id="rId286">
        <w:r>
          <w:rPr>
            <w:rFonts w:ascii="Arial" w:cs="Arial" w:eastAsia="Arial" w:hAnsi="Arial"/>
            <w:sz w:val="18"/>
            <w:szCs w:val="18"/>
            <w:u w:val="single" w:color="auto"/>
            <w:color w:val="0000FF"/>
          </w:rPr>
          <w:t>10.7 to Honeywell’s Form 10-Q for the quarter ended June 30,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1517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8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5" w:lineRule="exact"/>
        <w:rPr>
          <w:sz w:val="20"/>
          <w:szCs w:val="20"/>
          <w:color w:val="auto"/>
        </w:rPr>
      </w:pPr>
    </w:p>
    <w:p>
      <w:pPr>
        <w:ind w:left="1480" w:right="460" w:hanging="906"/>
        <w:spacing w:after="0" w:line="246" w:lineRule="auto"/>
        <w:tabs>
          <w:tab w:leader="none" w:pos="1460" w:val="left"/>
        </w:tabs>
        <w:rPr>
          <w:rFonts w:ascii="Arial" w:cs="Arial" w:eastAsia="Arial" w:hAnsi="Arial"/>
          <w:sz w:val="18"/>
          <w:szCs w:val="18"/>
          <w:u w:val="single" w:color="auto"/>
          <w:color w:val="0000FF"/>
        </w:rPr>
      </w:pPr>
      <w:r>
        <w:rPr>
          <w:rFonts w:ascii="Arial" w:cs="Arial" w:eastAsia="Arial" w:hAnsi="Arial"/>
          <w:sz w:val="18"/>
          <w:szCs w:val="18"/>
          <w:color w:val="auto"/>
        </w:rPr>
        <w:t>10.69*</w:t>
      </w:r>
      <w:r>
        <w:rPr>
          <w:sz w:val="20"/>
          <w:szCs w:val="20"/>
          <w:color w:val="auto"/>
        </w:rPr>
        <w:tab/>
      </w:r>
      <w:hyperlink w:anchor="page179">
        <w:r>
          <w:rPr>
            <w:rFonts w:ascii="Arial" w:cs="Arial" w:eastAsia="Arial" w:hAnsi="Arial"/>
            <w:sz w:val="18"/>
            <w:szCs w:val="18"/>
            <w:u w:val="single" w:color="auto"/>
            <w:color w:val="0000FF"/>
          </w:rPr>
          <w:t>Amendment to Honeywell International Inc. Incentive Compensation Plan for Executive Employees, as amended and</w:t>
        </w:r>
      </w:hyperlink>
      <w:r>
        <w:rPr>
          <w:rFonts w:ascii="Arial" w:cs="Arial" w:eastAsia="Arial" w:hAnsi="Arial"/>
          <w:sz w:val="18"/>
          <w:szCs w:val="18"/>
          <w:u w:val="single" w:color="auto"/>
          <w:color w:val="0000FF"/>
        </w:rPr>
        <w:t xml:space="preserve"> </w:t>
      </w:r>
      <w:hyperlink w:anchor="page179">
        <w:r>
          <w:rPr>
            <w:rFonts w:ascii="Arial" w:cs="Arial" w:eastAsia="Arial" w:hAnsi="Arial"/>
            <w:sz w:val="18"/>
            <w:szCs w:val="18"/>
            <w:u w:val="single" w:color="auto"/>
            <w:color w:val="0000FF"/>
          </w:rPr>
          <w:t>restated (filed herewith)</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1517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8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8" w:lineRule="exact"/>
        <w:rPr>
          <w:sz w:val="20"/>
          <w:szCs w:val="20"/>
          <w:color w:val="auto"/>
        </w:rPr>
      </w:pPr>
    </w:p>
    <w:p>
      <w:pPr>
        <w:ind w:left="560"/>
        <w:spacing w:after="0"/>
        <w:tabs>
          <w:tab w:leader="none" w:pos="1460" w:val="left"/>
        </w:tabs>
        <w:rPr>
          <w:rFonts w:ascii="Arial" w:cs="Arial" w:eastAsia="Arial" w:hAnsi="Arial"/>
          <w:sz w:val="17"/>
          <w:szCs w:val="17"/>
          <w:u w:val="single" w:color="auto"/>
          <w:color w:val="0000FF"/>
        </w:rPr>
      </w:pPr>
      <w:r>
        <w:rPr>
          <w:rFonts w:ascii="Arial" w:cs="Arial" w:eastAsia="Arial" w:hAnsi="Arial"/>
          <w:sz w:val="18"/>
          <w:szCs w:val="18"/>
          <w:color w:val="auto"/>
        </w:rPr>
        <w:t>10.70*</w:t>
      </w:r>
      <w:r>
        <w:rPr>
          <w:sz w:val="20"/>
          <w:szCs w:val="20"/>
          <w:color w:val="auto"/>
        </w:rPr>
        <w:tab/>
      </w:r>
      <w:hyperlink w:anchor="page180">
        <w:r>
          <w:rPr>
            <w:rFonts w:ascii="Arial" w:cs="Arial" w:eastAsia="Arial" w:hAnsi="Arial"/>
            <w:sz w:val="17"/>
            <w:szCs w:val="17"/>
            <w:u w:val="single" w:color="auto"/>
            <w:color w:val="0000FF"/>
          </w:rPr>
          <w:t>Letter agreement dated October 2, 2017, between Honeywell International Inc. and Anne Madden (filed herewith)</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1517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9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6" w:lineRule="exact"/>
        <w:rPr>
          <w:sz w:val="20"/>
          <w:szCs w:val="20"/>
          <w:color w:val="auto"/>
        </w:rPr>
      </w:pPr>
    </w:p>
    <w:p>
      <w:pPr>
        <w:ind w:left="1480" w:hanging="596"/>
        <w:spacing w:after="0"/>
        <w:tabs>
          <w:tab w:leader="none" w:pos="1480" w:val="left"/>
        </w:tabs>
        <w:numPr>
          <w:ilvl w:val="0"/>
          <w:numId w:val="44"/>
        </w:numPr>
        <w:rPr>
          <w:rFonts w:ascii="Arial" w:cs="Arial" w:eastAsia="Arial" w:hAnsi="Arial"/>
          <w:sz w:val="18"/>
          <w:szCs w:val="18"/>
          <w:u w:val="single" w:color="auto"/>
          <w:color w:val="0000FF"/>
        </w:rPr>
      </w:pPr>
      <w:hyperlink w:anchor="page190">
        <w:r>
          <w:rPr>
            <w:rFonts w:ascii="Arial" w:cs="Arial" w:eastAsia="Arial" w:hAnsi="Arial"/>
            <w:sz w:val="18"/>
            <w:szCs w:val="18"/>
            <w:u w:val="single" w:color="auto"/>
            <w:color w:val="0000FF"/>
          </w:rPr>
          <w:t>Subsidiaries of the Registrant (filed herewith)</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1517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9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16" w:lineRule="exact"/>
        <w:rPr>
          <w:sz w:val="20"/>
          <w:szCs w:val="20"/>
          <w:color w:val="auto"/>
        </w:rPr>
      </w:pPr>
    </w:p>
    <w:p>
      <w:pPr>
        <w:ind w:left="740"/>
        <w:spacing w:after="0"/>
        <w:tabs>
          <w:tab w:leader="none" w:pos="1460" w:val="left"/>
        </w:tabs>
        <w:rPr>
          <w:rFonts w:ascii="Arial" w:cs="Arial" w:eastAsia="Arial" w:hAnsi="Arial"/>
          <w:sz w:val="17"/>
          <w:szCs w:val="17"/>
          <w:u w:val="single" w:color="auto"/>
          <w:color w:val="0000FF"/>
        </w:rPr>
      </w:pPr>
      <w:r>
        <w:rPr>
          <w:rFonts w:ascii="Arial" w:cs="Arial" w:eastAsia="Arial" w:hAnsi="Arial"/>
          <w:sz w:val="18"/>
          <w:szCs w:val="18"/>
          <w:color w:val="auto"/>
        </w:rPr>
        <w:t>23.1</w:t>
      </w:r>
      <w:r>
        <w:rPr>
          <w:sz w:val="20"/>
          <w:szCs w:val="20"/>
          <w:color w:val="auto"/>
        </w:rPr>
        <w:tab/>
      </w:r>
      <w:hyperlink w:anchor="page192">
        <w:r>
          <w:rPr>
            <w:rFonts w:ascii="Arial" w:cs="Arial" w:eastAsia="Arial" w:hAnsi="Arial"/>
            <w:sz w:val="17"/>
            <w:szCs w:val="17"/>
            <w:u w:val="single" w:color="auto"/>
            <w:color w:val="0000FF"/>
          </w:rPr>
          <w:t>Consent of Deloitte &amp; Touche LLP (filed herewith)</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1517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9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6" w:lineRule="exact"/>
        <w:rPr>
          <w:sz w:val="20"/>
          <w:szCs w:val="20"/>
          <w:color w:val="auto"/>
        </w:rPr>
      </w:pPr>
    </w:p>
    <w:p>
      <w:pPr>
        <w:ind w:left="1480" w:hanging="596"/>
        <w:spacing w:after="0"/>
        <w:tabs>
          <w:tab w:leader="none" w:pos="1480" w:val="left"/>
        </w:tabs>
        <w:numPr>
          <w:ilvl w:val="0"/>
          <w:numId w:val="45"/>
        </w:numPr>
        <w:rPr>
          <w:rFonts w:ascii="Arial" w:cs="Arial" w:eastAsia="Arial" w:hAnsi="Arial"/>
          <w:sz w:val="18"/>
          <w:szCs w:val="18"/>
          <w:u w:val="single" w:color="auto"/>
          <w:color w:val="0000FF"/>
        </w:rPr>
      </w:pPr>
      <w:hyperlink w:anchor="page193">
        <w:r>
          <w:rPr>
            <w:rFonts w:ascii="Arial" w:cs="Arial" w:eastAsia="Arial" w:hAnsi="Arial"/>
            <w:sz w:val="18"/>
            <w:szCs w:val="18"/>
            <w:u w:val="single" w:color="auto"/>
            <w:color w:val="0000FF"/>
          </w:rPr>
          <w:t>Powers of Attorney (filed herewith)</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1517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9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6" w:lineRule="exact"/>
        <w:rPr>
          <w:sz w:val="20"/>
          <w:szCs w:val="20"/>
          <w:color w:val="auto"/>
        </w:rPr>
      </w:pPr>
    </w:p>
    <w:p>
      <w:pPr>
        <w:ind w:left="740"/>
        <w:spacing w:after="0"/>
        <w:tabs>
          <w:tab w:leader="none" w:pos="1460" w:val="left"/>
        </w:tabs>
        <w:rPr>
          <w:rFonts w:ascii="Arial" w:cs="Arial" w:eastAsia="Arial" w:hAnsi="Arial"/>
          <w:sz w:val="17"/>
          <w:szCs w:val="17"/>
          <w:u w:val="single" w:color="auto"/>
          <w:color w:val="0000FF"/>
        </w:rPr>
      </w:pPr>
      <w:r>
        <w:rPr>
          <w:rFonts w:ascii="Arial" w:cs="Arial" w:eastAsia="Arial" w:hAnsi="Arial"/>
          <w:sz w:val="18"/>
          <w:szCs w:val="18"/>
          <w:color w:val="auto"/>
        </w:rPr>
        <w:t>31.1</w:t>
      </w:r>
      <w:r>
        <w:rPr>
          <w:sz w:val="20"/>
          <w:szCs w:val="20"/>
          <w:color w:val="auto"/>
        </w:rPr>
        <w:tab/>
      </w:r>
      <w:hyperlink w:anchor="page202">
        <w:r>
          <w:rPr>
            <w:rFonts w:ascii="Arial" w:cs="Arial" w:eastAsia="Arial" w:hAnsi="Arial"/>
            <w:sz w:val="17"/>
            <w:szCs w:val="17"/>
            <w:u w:val="single" w:color="auto"/>
            <w:color w:val="0000FF"/>
          </w:rPr>
          <w:t>Certification of Principal Executive Officer Pursuant to Section 302 of the Sarbanes-Oxley Act of 2002 (filed herewith)</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1517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9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6" w:lineRule="exact"/>
        <w:rPr>
          <w:sz w:val="20"/>
          <w:szCs w:val="20"/>
          <w:color w:val="auto"/>
        </w:rPr>
      </w:pPr>
    </w:p>
    <w:p>
      <w:pPr>
        <w:ind w:left="740"/>
        <w:spacing w:after="0"/>
        <w:tabs>
          <w:tab w:leader="none" w:pos="1460" w:val="left"/>
        </w:tabs>
        <w:rPr>
          <w:rFonts w:ascii="Arial" w:cs="Arial" w:eastAsia="Arial" w:hAnsi="Arial"/>
          <w:sz w:val="17"/>
          <w:szCs w:val="17"/>
          <w:u w:val="single" w:color="auto"/>
          <w:color w:val="0000FF"/>
        </w:rPr>
      </w:pPr>
      <w:r>
        <w:rPr>
          <w:rFonts w:ascii="Arial" w:cs="Arial" w:eastAsia="Arial" w:hAnsi="Arial"/>
          <w:sz w:val="18"/>
          <w:szCs w:val="18"/>
          <w:color w:val="auto"/>
        </w:rPr>
        <w:t>31.2</w:t>
      </w:r>
      <w:r>
        <w:rPr>
          <w:sz w:val="20"/>
          <w:szCs w:val="20"/>
          <w:color w:val="auto"/>
        </w:rPr>
        <w:tab/>
      </w:r>
      <w:hyperlink w:anchor="page203">
        <w:r>
          <w:rPr>
            <w:rFonts w:ascii="Arial" w:cs="Arial" w:eastAsia="Arial" w:hAnsi="Arial"/>
            <w:sz w:val="17"/>
            <w:szCs w:val="17"/>
            <w:u w:val="single" w:color="auto"/>
            <w:color w:val="0000FF"/>
          </w:rPr>
          <w:t>Certification of Principal Financial Officer Pursuant to Section 302 of the Sarbanes-Oxley Act of 2002 (filed herewith)</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1517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9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6" w:lineRule="exact"/>
        <w:rPr>
          <w:sz w:val="20"/>
          <w:szCs w:val="20"/>
          <w:color w:val="auto"/>
        </w:rPr>
      </w:pPr>
    </w:p>
    <w:p>
      <w:pPr>
        <w:ind w:left="1480" w:right="40" w:hanging="736"/>
        <w:spacing w:after="0" w:line="227" w:lineRule="auto"/>
        <w:tabs>
          <w:tab w:leader="none" w:pos="1460" w:val="left"/>
        </w:tabs>
        <w:rPr>
          <w:rFonts w:ascii="Arial" w:cs="Arial" w:eastAsia="Arial" w:hAnsi="Arial"/>
          <w:sz w:val="18"/>
          <w:szCs w:val="18"/>
          <w:u w:val="single" w:color="auto"/>
          <w:color w:val="0000FF"/>
        </w:rPr>
      </w:pPr>
      <w:r>
        <w:rPr>
          <w:rFonts w:ascii="Arial" w:cs="Arial" w:eastAsia="Arial" w:hAnsi="Arial"/>
          <w:sz w:val="18"/>
          <w:szCs w:val="18"/>
          <w:color w:val="auto"/>
        </w:rPr>
        <w:t>32.1</w:t>
      </w:r>
      <w:r>
        <w:rPr>
          <w:sz w:val="20"/>
          <w:szCs w:val="20"/>
          <w:color w:val="auto"/>
        </w:rPr>
        <w:tab/>
      </w:r>
      <w:hyperlink w:anchor="page204">
        <w:r>
          <w:rPr>
            <w:rFonts w:ascii="Arial" w:cs="Arial" w:eastAsia="Arial" w:hAnsi="Arial"/>
            <w:sz w:val="18"/>
            <w:szCs w:val="18"/>
            <w:u w:val="single" w:color="auto"/>
            <w:color w:val="0000FF"/>
          </w:rPr>
          <w:t>Certification of Principal Executive Officer Pursuant to 18 U.S.C. Section 1350, as Adopted Pursuant to Section 906 of the</w:t>
        </w:r>
      </w:hyperlink>
      <w:r>
        <w:rPr>
          <w:rFonts w:ascii="Arial" w:cs="Arial" w:eastAsia="Arial" w:hAnsi="Arial"/>
          <w:sz w:val="18"/>
          <w:szCs w:val="18"/>
          <w:u w:val="single" w:color="auto"/>
          <w:color w:val="0000FF"/>
        </w:rPr>
        <w:t xml:space="preserve"> </w:t>
      </w:r>
      <w:hyperlink w:anchor="page204">
        <w:r>
          <w:rPr>
            <w:rFonts w:ascii="Arial" w:cs="Arial" w:eastAsia="Arial" w:hAnsi="Arial"/>
            <w:sz w:val="18"/>
            <w:szCs w:val="18"/>
            <w:u w:val="single" w:color="auto"/>
            <w:color w:val="0000FF"/>
          </w:rPr>
          <w:t>Sarbanes-Oxley Act of 2002 (furnished herewith)</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1517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9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7" w:lineRule="exact"/>
        <w:rPr>
          <w:sz w:val="20"/>
          <w:szCs w:val="20"/>
          <w:color w:val="auto"/>
        </w:rPr>
      </w:pPr>
    </w:p>
    <w:p>
      <w:pPr>
        <w:ind w:left="1480" w:right="40" w:hanging="736"/>
        <w:spacing w:after="0" w:line="227" w:lineRule="auto"/>
        <w:tabs>
          <w:tab w:leader="none" w:pos="1460" w:val="left"/>
        </w:tabs>
        <w:rPr>
          <w:rFonts w:ascii="Arial" w:cs="Arial" w:eastAsia="Arial" w:hAnsi="Arial"/>
          <w:sz w:val="18"/>
          <w:szCs w:val="18"/>
          <w:u w:val="single" w:color="auto"/>
          <w:color w:val="0000FF"/>
        </w:rPr>
      </w:pPr>
      <w:r>
        <w:rPr>
          <w:rFonts w:ascii="Arial" w:cs="Arial" w:eastAsia="Arial" w:hAnsi="Arial"/>
          <w:sz w:val="18"/>
          <w:szCs w:val="18"/>
          <w:color w:val="auto"/>
        </w:rPr>
        <w:t>32.2</w:t>
      </w:r>
      <w:r>
        <w:rPr>
          <w:sz w:val="20"/>
          <w:szCs w:val="20"/>
          <w:color w:val="auto"/>
        </w:rPr>
        <w:tab/>
      </w:r>
      <w:hyperlink w:anchor="page205">
        <w:r>
          <w:rPr>
            <w:rFonts w:ascii="Arial" w:cs="Arial" w:eastAsia="Arial" w:hAnsi="Arial"/>
            <w:sz w:val="18"/>
            <w:szCs w:val="18"/>
            <w:u w:val="single" w:color="auto"/>
            <w:color w:val="0000FF"/>
          </w:rPr>
          <w:t>Certification of Principal Financial Officer Pursuant to 18 U.S.C. Section 1350, as Adopted Pursuant to Section 906 of the</w:t>
        </w:r>
      </w:hyperlink>
      <w:r>
        <w:rPr>
          <w:rFonts w:ascii="Arial" w:cs="Arial" w:eastAsia="Arial" w:hAnsi="Arial"/>
          <w:sz w:val="18"/>
          <w:szCs w:val="18"/>
          <w:u w:val="single" w:color="auto"/>
          <w:color w:val="0000FF"/>
        </w:rPr>
        <w:t xml:space="preserve"> </w:t>
      </w:r>
      <w:hyperlink w:anchor="page205">
        <w:r>
          <w:rPr>
            <w:rFonts w:ascii="Arial" w:cs="Arial" w:eastAsia="Arial" w:hAnsi="Arial"/>
            <w:sz w:val="18"/>
            <w:szCs w:val="18"/>
            <w:u w:val="single" w:color="auto"/>
            <w:color w:val="0000FF"/>
          </w:rPr>
          <w:t>Sarbanes-Oxley Act of 2002 (furnished herewith)</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1517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9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7" w:lineRule="exact"/>
        <w:rPr>
          <w:sz w:val="20"/>
          <w:szCs w:val="20"/>
          <w:color w:val="auto"/>
        </w:rPr>
      </w:pPr>
    </w:p>
    <w:p>
      <w:pPr>
        <w:ind w:left="1480" w:hanging="596"/>
        <w:spacing w:after="0"/>
        <w:tabs>
          <w:tab w:leader="none" w:pos="1480" w:val="left"/>
        </w:tabs>
        <w:numPr>
          <w:ilvl w:val="0"/>
          <w:numId w:val="46"/>
        </w:numPr>
        <w:rPr>
          <w:rFonts w:ascii="Arial" w:cs="Arial" w:eastAsia="Arial" w:hAnsi="Arial"/>
          <w:sz w:val="18"/>
          <w:szCs w:val="18"/>
          <w:u w:val="single" w:color="auto"/>
          <w:color w:val="0000FF"/>
        </w:rPr>
      </w:pPr>
      <w:hyperlink w:anchor="page206">
        <w:r>
          <w:rPr>
            <w:rFonts w:ascii="Arial" w:cs="Arial" w:eastAsia="Arial" w:hAnsi="Arial"/>
            <w:sz w:val="18"/>
            <w:szCs w:val="18"/>
            <w:u w:val="single" w:color="auto"/>
            <w:color w:val="0000FF"/>
          </w:rPr>
          <w:t>Mine Safety Disclosures (filed herewith)</w:t>
        </w:r>
      </w:hyperlink>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280" w:type="dxa"/>
            <w:vAlign w:val="bottom"/>
            <w:tcBorders>
              <w:top w:val="single" w:sz="8" w:color="auto"/>
            </w:tcBorders>
          </w:tcPr>
          <w:p>
            <w:pPr>
              <w:jc w:val="right"/>
              <w:ind w:right="110"/>
              <w:spacing w:after="0" w:line="182" w:lineRule="exact"/>
              <w:rPr>
                <w:sz w:val="20"/>
                <w:szCs w:val="20"/>
                <w:color w:val="auto"/>
              </w:rPr>
            </w:pPr>
            <w:r>
              <w:rPr>
                <w:rFonts w:ascii="Arial" w:cs="Arial" w:eastAsia="Arial" w:hAnsi="Arial"/>
                <w:sz w:val="18"/>
                <w:szCs w:val="18"/>
                <w:color w:val="auto"/>
              </w:rPr>
              <w:t>101.INS</w:t>
            </w:r>
          </w:p>
        </w:tc>
        <w:tc>
          <w:tcPr>
            <w:tcW w:w="9940" w:type="dxa"/>
            <w:vAlign w:val="bottom"/>
            <w:tcBorders>
              <w:top w:val="single" w:sz="8" w:color="auto"/>
            </w:tcBorders>
          </w:tcPr>
          <w:p>
            <w:pPr>
              <w:ind w:left="200"/>
              <w:spacing w:after="0" w:line="182" w:lineRule="exact"/>
              <w:rPr>
                <w:sz w:val="20"/>
                <w:szCs w:val="20"/>
                <w:color w:val="auto"/>
              </w:rPr>
            </w:pPr>
            <w:r>
              <w:rPr>
                <w:rFonts w:ascii="Arial" w:cs="Arial" w:eastAsia="Arial" w:hAnsi="Arial"/>
                <w:sz w:val="18"/>
                <w:szCs w:val="18"/>
                <w:color w:val="auto"/>
              </w:rPr>
              <w:t>The following financial statements from the Company's Annual Report on Form 10-K for the year ended December 31,</w:t>
            </w:r>
          </w:p>
        </w:tc>
      </w:tr>
      <w:tr>
        <w:trPr>
          <w:trHeight w:val="175"/>
        </w:trPr>
        <w:tc>
          <w:tcPr>
            <w:tcW w:w="1280" w:type="dxa"/>
            <w:vAlign w:val="bottom"/>
          </w:tcPr>
          <w:p>
            <w:pPr>
              <w:spacing w:after="0"/>
              <w:rPr>
                <w:sz w:val="15"/>
                <w:szCs w:val="15"/>
                <w:color w:val="auto"/>
              </w:rPr>
            </w:pPr>
          </w:p>
        </w:tc>
        <w:tc>
          <w:tcPr>
            <w:tcW w:w="9940" w:type="dxa"/>
            <w:vAlign w:val="bottom"/>
          </w:tcPr>
          <w:p>
            <w:pPr>
              <w:ind w:left="200"/>
              <w:spacing w:after="0" w:line="176" w:lineRule="exact"/>
              <w:rPr>
                <w:sz w:val="20"/>
                <w:szCs w:val="20"/>
                <w:color w:val="auto"/>
              </w:rPr>
            </w:pPr>
            <w:r>
              <w:rPr>
                <w:rFonts w:ascii="Arial" w:cs="Arial" w:eastAsia="Arial" w:hAnsi="Arial"/>
                <w:sz w:val="18"/>
                <w:szCs w:val="18"/>
                <w:color w:val="auto"/>
              </w:rPr>
              <w:t>2020, formatted in Inline XBRL: (i) Consolidated Statements of Cash Flows, (ii) Consolidated Statements of Operations,</w:t>
            </w:r>
          </w:p>
        </w:tc>
      </w:tr>
      <w:tr>
        <w:trPr>
          <w:trHeight w:val="176"/>
        </w:trPr>
        <w:tc>
          <w:tcPr>
            <w:tcW w:w="1280" w:type="dxa"/>
            <w:vAlign w:val="bottom"/>
          </w:tcPr>
          <w:p>
            <w:pPr>
              <w:spacing w:after="0"/>
              <w:rPr>
                <w:sz w:val="15"/>
                <w:szCs w:val="15"/>
                <w:color w:val="auto"/>
              </w:rPr>
            </w:pPr>
          </w:p>
        </w:tc>
        <w:tc>
          <w:tcPr>
            <w:tcW w:w="9940" w:type="dxa"/>
            <w:vAlign w:val="bottom"/>
          </w:tcPr>
          <w:p>
            <w:pPr>
              <w:ind w:left="200"/>
              <w:spacing w:after="0" w:line="176" w:lineRule="exact"/>
              <w:rPr>
                <w:sz w:val="20"/>
                <w:szCs w:val="20"/>
                <w:color w:val="auto"/>
              </w:rPr>
            </w:pPr>
            <w:r>
              <w:rPr>
                <w:rFonts w:ascii="Arial" w:cs="Arial" w:eastAsia="Arial" w:hAnsi="Arial"/>
                <w:sz w:val="18"/>
                <w:szCs w:val="18"/>
                <w:color w:val="auto"/>
              </w:rPr>
              <w:t>(iii) Consolidated Statements of Comprehensive Income, (iv) Consolidated Balance Sheets, (v) Consolidated Statements</w:t>
            </w:r>
          </w:p>
        </w:tc>
      </w:tr>
      <w:tr>
        <w:trPr>
          <w:trHeight w:val="175"/>
        </w:trPr>
        <w:tc>
          <w:tcPr>
            <w:tcW w:w="1280" w:type="dxa"/>
            <w:vAlign w:val="bottom"/>
          </w:tcPr>
          <w:p>
            <w:pPr>
              <w:spacing w:after="0"/>
              <w:rPr>
                <w:sz w:val="15"/>
                <w:szCs w:val="15"/>
                <w:color w:val="auto"/>
              </w:rPr>
            </w:pPr>
          </w:p>
        </w:tc>
        <w:tc>
          <w:tcPr>
            <w:tcW w:w="9940" w:type="dxa"/>
            <w:vAlign w:val="bottom"/>
          </w:tcPr>
          <w:p>
            <w:pPr>
              <w:ind w:left="200"/>
              <w:spacing w:after="0" w:line="176" w:lineRule="exact"/>
              <w:rPr>
                <w:sz w:val="20"/>
                <w:szCs w:val="20"/>
                <w:color w:val="auto"/>
              </w:rPr>
            </w:pPr>
            <w:r>
              <w:rPr>
                <w:rFonts w:ascii="Arial" w:cs="Arial" w:eastAsia="Arial" w:hAnsi="Arial"/>
                <w:sz w:val="18"/>
                <w:szCs w:val="18"/>
                <w:color w:val="auto"/>
              </w:rPr>
              <w:t>of Shareholders' Equity and (vi) Notes to Consolidated Financial Statements, tagged as blocks of text and including</w:t>
            </w:r>
          </w:p>
        </w:tc>
      </w:tr>
      <w:tr>
        <w:trPr>
          <w:trHeight w:val="217"/>
        </w:trPr>
        <w:tc>
          <w:tcPr>
            <w:tcW w:w="1280" w:type="dxa"/>
            <w:vAlign w:val="bottom"/>
            <w:tcBorders>
              <w:bottom w:val="single" w:sz="8" w:color="auto"/>
            </w:tcBorders>
          </w:tcPr>
          <w:p>
            <w:pPr>
              <w:spacing w:after="0"/>
              <w:rPr>
                <w:sz w:val="18"/>
                <w:szCs w:val="18"/>
                <w:color w:val="auto"/>
              </w:rPr>
            </w:pPr>
          </w:p>
        </w:tc>
        <w:tc>
          <w:tcPr>
            <w:tcW w:w="99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detailed tags.</w:t>
            </w:r>
          </w:p>
        </w:tc>
      </w:tr>
      <w:tr>
        <w:trPr>
          <w:trHeight w:val="223"/>
        </w:trPr>
        <w:tc>
          <w:tcPr>
            <w:tcW w:w="12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101.SCH</w:t>
            </w:r>
          </w:p>
        </w:tc>
        <w:tc>
          <w:tcPr>
            <w:tcW w:w="99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iXBRL Taxonomy Extension Schema (filed herewith)</w:t>
            </w:r>
          </w:p>
        </w:tc>
      </w:tr>
      <w:tr>
        <w:trPr>
          <w:trHeight w:val="223"/>
        </w:trPr>
        <w:tc>
          <w:tcPr>
            <w:tcW w:w="12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101.CAL</w:t>
            </w:r>
          </w:p>
        </w:tc>
        <w:tc>
          <w:tcPr>
            <w:tcW w:w="99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iXBRL Taxonomy Extension Calculation Linkbase (filed herewith)</w:t>
            </w:r>
          </w:p>
        </w:tc>
      </w:tr>
      <w:tr>
        <w:trPr>
          <w:trHeight w:val="223"/>
        </w:trPr>
        <w:tc>
          <w:tcPr>
            <w:tcW w:w="12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101.DEF</w:t>
            </w:r>
          </w:p>
        </w:tc>
        <w:tc>
          <w:tcPr>
            <w:tcW w:w="99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iXBRL Taxonomy Extension Definition Linkbase (filed herewith)</w:t>
            </w:r>
          </w:p>
        </w:tc>
      </w:tr>
      <w:tr>
        <w:trPr>
          <w:trHeight w:val="223"/>
        </w:trPr>
        <w:tc>
          <w:tcPr>
            <w:tcW w:w="12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101.LAB</w:t>
            </w:r>
          </w:p>
        </w:tc>
        <w:tc>
          <w:tcPr>
            <w:tcW w:w="99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iXBRL Taxonomy Extension Label Linkbase (filed herewith)</w:t>
            </w:r>
          </w:p>
        </w:tc>
      </w:tr>
      <w:tr>
        <w:trPr>
          <w:trHeight w:val="223"/>
        </w:trPr>
        <w:tc>
          <w:tcPr>
            <w:tcW w:w="1280" w:type="dxa"/>
            <w:vAlign w:val="bottom"/>
          </w:tcPr>
          <w:p>
            <w:pPr>
              <w:jc w:val="right"/>
              <w:ind w:right="110"/>
              <w:spacing w:after="0"/>
              <w:rPr>
                <w:sz w:val="20"/>
                <w:szCs w:val="20"/>
                <w:color w:val="auto"/>
              </w:rPr>
            </w:pPr>
            <w:r>
              <w:rPr>
                <w:rFonts w:ascii="Arial" w:cs="Arial" w:eastAsia="Arial" w:hAnsi="Arial"/>
                <w:sz w:val="18"/>
                <w:szCs w:val="18"/>
                <w:color w:val="auto"/>
              </w:rPr>
              <w:t>101.PRE</w:t>
            </w:r>
          </w:p>
        </w:tc>
        <w:tc>
          <w:tcPr>
            <w:tcW w:w="9940" w:type="dxa"/>
            <w:vAlign w:val="bottom"/>
          </w:tcPr>
          <w:p>
            <w:pPr>
              <w:ind w:left="200"/>
              <w:spacing w:after="0"/>
              <w:rPr>
                <w:sz w:val="20"/>
                <w:szCs w:val="20"/>
                <w:color w:val="auto"/>
              </w:rPr>
            </w:pPr>
            <w:r>
              <w:rPr>
                <w:rFonts w:ascii="Arial" w:cs="Arial" w:eastAsia="Arial" w:hAnsi="Arial"/>
                <w:sz w:val="18"/>
                <w:szCs w:val="18"/>
                <w:color w:val="auto"/>
              </w:rPr>
              <w:t>iXBRL Taxonomy Extension Presentation Linkbase (filed 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1517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9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 w:lineRule="exact"/>
        <w:rPr>
          <w:sz w:val="20"/>
          <w:szCs w:val="20"/>
          <w:color w:val="auto"/>
        </w:rPr>
      </w:pPr>
    </w:p>
    <w:p>
      <w:pPr>
        <w:ind w:left="1480" w:right="40" w:hanging="697"/>
        <w:spacing w:after="0" w:line="246" w:lineRule="auto"/>
        <w:tabs>
          <w:tab w:leader="none" w:pos="14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Cover page from the Company’s Annual Report on Form 10-K for the year ended December 31, 2020, formatted in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1517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9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The Exhibits identified above with an asterisk (*) are management contracts or compensatory plans or arrangements.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122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3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125" w:name="page126"/>
    <w:bookmarkEnd w:id="125"/>
    <w:p>
      <w:pPr>
        <w:spacing w:after="0"/>
        <w:rPr>
          <w:sz w:val="20"/>
          <w:szCs w:val="20"/>
          <w:color w:val="auto"/>
        </w:rPr>
      </w:pPr>
      <w:r>
        <w:rPr>
          <w:rFonts w:ascii="Arial" w:cs="Arial" w:eastAsia="Arial" w:hAnsi="Arial"/>
          <w:sz w:val="29"/>
          <w:szCs w:val="29"/>
          <w:b w:val="1"/>
          <w:bCs w:val="1"/>
          <w:color w:val="DC202E"/>
        </w:rPr>
        <w:t>SIGNATURES</w:t>
      </w:r>
    </w:p>
    <w:p>
      <w:pPr>
        <w:spacing w:after="0" w:line="15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HONEYWELL INTERNATIONAL INC.</w:t>
      </w:r>
    </w:p>
    <w:p>
      <w:pPr>
        <w:spacing w:after="0" w:line="252" w:lineRule="exact"/>
        <w:rPr>
          <w:sz w:val="20"/>
          <w:szCs w:val="20"/>
          <w:color w:val="auto"/>
        </w:rPr>
      </w:pPr>
    </w:p>
    <w:p>
      <w:pPr>
        <w:ind w:left="20"/>
        <w:spacing w:after="0"/>
        <w:tabs>
          <w:tab w:leader="none" w:pos="5480" w:val="left"/>
          <w:tab w:leader="none" w:pos="6520" w:val="left"/>
        </w:tabs>
        <w:rPr>
          <w:sz w:val="20"/>
          <w:szCs w:val="20"/>
          <w:color w:val="auto"/>
        </w:rPr>
      </w:pPr>
      <w:r>
        <w:rPr>
          <w:rFonts w:ascii="Arial" w:cs="Arial" w:eastAsia="Arial" w:hAnsi="Arial"/>
          <w:sz w:val="18"/>
          <w:szCs w:val="18"/>
          <w:color w:val="auto"/>
        </w:rPr>
        <w:t>Date: February 12,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Robert D. Mailloux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6350</wp:posOffset>
            </wp:positionV>
            <wp:extent cx="297497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301">
                      <a:extLst>
                        <a:ext uri="{28A0092B-C50C-407E-A947-70E740481C1C}"/>
                      </a:extLst>
                    </a:blip>
                    <a:srcRect/>
                    <a:stretch>
                      <a:fillRect/>
                    </a:stretch>
                  </pic:blipFill>
                  <pic:spPr bwMode="auto">
                    <a:xfrm>
                      <a:off x="0" y="0"/>
                      <a:ext cx="29749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auto"/>
        </w:rPr>
        <w:t>Robert D. Mailloux</w:t>
      </w:r>
    </w:p>
    <w:p>
      <w:pPr>
        <w:ind w:left="6540"/>
        <w:spacing w:after="0" w:line="203" w:lineRule="auto"/>
        <w:rPr>
          <w:sz w:val="20"/>
          <w:szCs w:val="20"/>
          <w:color w:val="auto"/>
        </w:rPr>
      </w:pPr>
      <w:r>
        <w:rPr>
          <w:rFonts w:ascii="Arial" w:cs="Arial" w:eastAsia="Arial" w:hAnsi="Arial"/>
          <w:sz w:val="18"/>
          <w:szCs w:val="18"/>
          <w:color w:val="auto"/>
        </w:rPr>
        <w:t>Vice President and Controller</w:t>
      </w:r>
    </w:p>
    <w:p>
      <w:pPr>
        <w:ind w:left="6540"/>
        <w:spacing w:after="0" w:line="203" w:lineRule="auto"/>
        <w:rPr>
          <w:sz w:val="20"/>
          <w:szCs w:val="20"/>
          <w:color w:val="auto"/>
        </w:rPr>
      </w:pPr>
      <w:r>
        <w:rPr>
          <w:rFonts w:ascii="Arial" w:cs="Arial" w:eastAsia="Arial" w:hAnsi="Arial"/>
          <w:sz w:val="18"/>
          <w:szCs w:val="18"/>
          <w:color w:val="auto"/>
        </w:rPr>
        <w:t>(on behalf of the Registrant</w:t>
      </w:r>
    </w:p>
    <w:p>
      <w:pPr>
        <w:ind w:left="6540"/>
        <w:spacing w:after="0" w:line="204" w:lineRule="auto"/>
        <w:rPr>
          <w:sz w:val="20"/>
          <w:szCs w:val="20"/>
          <w:color w:val="auto"/>
        </w:rPr>
      </w:pPr>
      <w:r>
        <w:rPr>
          <w:rFonts w:ascii="Arial" w:cs="Arial" w:eastAsia="Arial" w:hAnsi="Arial"/>
          <w:sz w:val="18"/>
          <w:szCs w:val="18"/>
          <w:color w:val="auto"/>
        </w:rPr>
        <w:t>and as the Registrant’s</w:t>
      </w:r>
    </w:p>
    <w:p>
      <w:pPr>
        <w:ind w:left="6540"/>
        <w:spacing w:after="0"/>
        <w:rPr>
          <w:sz w:val="20"/>
          <w:szCs w:val="20"/>
          <w:color w:val="auto"/>
        </w:rPr>
      </w:pPr>
      <w:r>
        <w:rPr>
          <w:rFonts w:ascii="Arial" w:cs="Arial" w:eastAsia="Arial" w:hAnsi="Arial"/>
          <w:sz w:val="18"/>
          <w:szCs w:val="18"/>
          <w:color w:val="auto"/>
        </w:rPr>
        <w:t>Principal Accounting Officer)</w:t>
      </w:r>
    </w:p>
    <w:p>
      <w:pPr>
        <w:spacing w:after="0" w:line="22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this annual report has been signed below by the following persons on behalf of the Registrant and in the capacities and on the date indicated:</w:t>
      </w:r>
    </w:p>
    <w:p>
      <w:pPr>
        <w:sectPr>
          <w:pgSz w:w="11900" w:h="16838" w:orient="portrait"/>
          <w:cols w:equalWidth="0" w:num="1">
            <w:col w:w="11240"/>
          </w:cols>
          <w:pgMar w:left="320" w:top="1085" w:right="339" w:bottom="1440" w:gutter="0" w:footer="0" w:header="0"/>
        </w:sectPr>
      </w:pPr>
    </w:p>
    <w:p>
      <w:pPr>
        <w:jc w:val="center"/>
        <w:ind w:right="1280"/>
        <w:spacing w:after="0"/>
        <w:rPr>
          <w:sz w:val="20"/>
          <w:szCs w:val="20"/>
          <w:color w:val="auto"/>
        </w:rPr>
      </w:pPr>
      <w:r>
        <w:rPr>
          <w:rFonts w:ascii="Arial" w:cs="Arial" w:eastAsia="Arial" w:hAnsi="Arial"/>
          <w:sz w:val="18"/>
          <w:szCs w:val="18"/>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339471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302">
                      <a:extLst>
                        <a:ext uri="{28A0092B-C50C-407E-A947-70E740481C1C}"/>
                      </a:extLst>
                    </a:blip>
                    <a:srcRect/>
                    <a:stretch>
                      <a:fillRect/>
                    </a:stretch>
                  </pic:blipFill>
                  <pic:spPr bwMode="auto">
                    <a:xfrm>
                      <a:off x="0" y="0"/>
                      <a:ext cx="3394710" cy="17145"/>
                    </a:xfrm>
                    <a:prstGeom prst="rect">
                      <a:avLst/>
                    </a:prstGeom>
                    <a:noFill/>
                  </pic:spPr>
                </pic:pic>
              </a:graphicData>
            </a:graphic>
          </wp:anchor>
        </w:drawing>
      </w:r>
    </w:p>
    <w:p>
      <w:pPr>
        <w:spacing w:after="0" w:line="281"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/s/ Darius E. Adamczyk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39471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303">
                      <a:extLst>
                        <a:ext uri="{28A0092B-C50C-407E-A947-70E740481C1C}"/>
                      </a:extLst>
                    </a:blip>
                    <a:srcRect/>
                    <a:stretch>
                      <a:fillRect/>
                    </a:stretch>
                  </pic:blipFill>
                  <pic:spPr bwMode="auto">
                    <a:xfrm>
                      <a:off x="0" y="0"/>
                      <a:ext cx="3394710" cy="8890"/>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8"/>
          <w:szCs w:val="18"/>
          <w:color w:val="auto"/>
        </w:rPr>
        <w:t>Darius E. Adamczyk</w:t>
      </w:r>
    </w:p>
    <w:p>
      <w:pPr>
        <w:jc w:val="center"/>
        <w:ind w:right="1280"/>
        <w:spacing w:after="0" w:line="215" w:lineRule="auto"/>
        <w:rPr>
          <w:sz w:val="20"/>
          <w:szCs w:val="20"/>
          <w:color w:val="auto"/>
        </w:rPr>
      </w:pPr>
      <w:r>
        <w:rPr>
          <w:rFonts w:ascii="Arial" w:cs="Arial" w:eastAsia="Arial" w:hAnsi="Arial"/>
          <w:sz w:val="17"/>
          <w:szCs w:val="17"/>
          <w:color w:val="auto"/>
        </w:rPr>
        <w:t>Chairman and Chief Executive Officer</w:t>
      </w:r>
    </w:p>
    <w:p>
      <w:pPr>
        <w:jc w:val="center"/>
        <w:ind w:right="1280"/>
        <w:spacing w:after="0"/>
        <w:rPr>
          <w:sz w:val="20"/>
          <w:szCs w:val="20"/>
          <w:color w:val="auto"/>
        </w:rPr>
      </w:pPr>
      <w:r>
        <w:rPr>
          <w:rFonts w:ascii="Arial" w:cs="Arial" w:eastAsia="Arial" w:hAnsi="Arial"/>
          <w:sz w:val="18"/>
          <w:szCs w:val="18"/>
          <w:color w:val="auto"/>
        </w:rPr>
        <w:t>(Principal Executive Officer)</w:t>
      </w:r>
    </w:p>
    <w:p>
      <w:pPr>
        <w:spacing w:after="0" w:line="252"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39471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304">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ind w:left="1940"/>
        <w:spacing w:after="0"/>
        <w:rPr>
          <w:sz w:val="20"/>
          <w:szCs w:val="20"/>
          <w:color w:val="auto"/>
        </w:rPr>
      </w:pPr>
      <w:r>
        <w:rPr>
          <w:rFonts w:ascii="Arial" w:cs="Arial" w:eastAsia="Arial" w:hAnsi="Arial"/>
          <w:sz w:val="18"/>
          <w:szCs w:val="18"/>
          <w:color w:val="auto"/>
        </w:rPr>
        <w:t>Duncan B. Angove</w:t>
      </w:r>
    </w:p>
    <w:p>
      <w:pPr>
        <w:ind w:left="2360"/>
        <w:spacing w:after="0"/>
        <w:rPr>
          <w:sz w:val="20"/>
          <w:szCs w:val="20"/>
          <w:color w:val="auto"/>
        </w:rPr>
      </w:pPr>
      <w:r>
        <w:rPr>
          <w:rFonts w:ascii="Arial" w:cs="Arial" w:eastAsia="Arial" w:hAnsi="Arial"/>
          <w:sz w:val="18"/>
          <w:szCs w:val="18"/>
          <w:color w:val="auto"/>
        </w:rPr>
        <w:t>Director</w:t>
      </w:r>
    </w:p>
    <w:p>
      <w:pPr>
        <w:spacing w:after="0" w:line="293"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39471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305">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ind w:left="2080"/>
        <w:spacing w:after="0"/>
        <w:rPr>
          <w:sz w:val="20"/>
          <w:szCs w:val="20"/>
          <w:color w:val="auto"/>
        </w:rPr>
      </w:pPr>
      <w:r>
        <w:rPr>
          <w:rFonts w:ascii="Arial" w:cs="Arial" w:eastAsia="Arial" w:hAnsi="Arial"/>
          <w:sz w:val="18"/>
          <w:szCs w:val="18"/>
          <w:color w:val="auto"/>
        </w:rPr>
        <w:t>William S. Ayer</w:t>
      </w:r>
    </w:p>
    <w:p>
      <w:pPr>
        <w:jc w:val="center"/>
        <w:ind w:right="1280"/>
        <w:spacing w:after="0"/>
        <w:rPr>
          <w:sz w:val="20"/>
          <w:szCs w:val="20"/>
          <w:color w:val="auto"/>
        </w:rPr>
      </w:pPr>
      <w:r>
        <w:rPr>
          <w:rFonts w:ascii="Arial" w:cs="Arial" w:eastAsia="Arial" w:hAnsi="Arial"/>
          <w:sz w:val="18"/>
          <w:szCs w:val="18"/>
          <w:color w:val="auto"/>
        </w:rPr>
        <w:t>Director</w:t>
      </w:r>
    </w:p>
    <w:p>
      <w:pPr>
        <w:spacing w:after="0" w:line="252"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39471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306">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ind w:left="2200"/>
        <w:spacing w:after="0"/>
        <w:rPr>
          <w:sz w:val="20"/>
          <w:szCs w:val="20"/>
          <w:color w:val="auto"/>
        </w:rPr>
      </w:pPr>
      <w:r>
        <w:rPr>
          <w:rFonts w:ascii="Arial" w:cs="Arial" w:eastAsia="Arial" w:hAnsi="Arial"/>
          <w:sz w:val="18"/>
          <w:szCs w:val="18"/>
          <w:color w:val="auto"/>
        </w:rPr>
        <w:t>Kevin Burke</w:t>
      </w:r>
    </w:p>
    <w:p>
      <w:pPr>
        <w:jc w:val="center"/>
        <w:ind w:right="1280"/>
        <w:spacing w:after="0"/>
        <w:rPr>
          <w:sz w:val="20"/>
          <w:szCs w:val="20"/>
          <w:color w:val="auto"/>
        </w:rPr>
      </w:pPr>
      <w:r>
        <w:rPr>
          <w:rFonts w:ascii="Arial" w:cs="Arial" w:eastAsia="Arial" w:hAnsi="Arial"/>
          <w:sz w:val="18"/>
          <w:szCs w:val="18"/>
          <w:color w:val="auto"/>
        </w:rPr>
        <w:t>Director</w:t>
      </w:r>
    </w:p>
    <w:p>
      <w:pPr>
        <w:spacing w:after="0" w:line="252"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39471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307">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ind w:left="2120"/>
        <w:spacing w:after="0"/>
        <w:rPr>
          <w:sz w:val="20"/>
          <w:szCs w:val="20"/>
          <w:color w:val="auto"/>
        </w:rPr>
      </w:pPr>
      <w:r>
        <w:rPr>
          <w:rFonts w:ascii="Arial" w:cs="Arial" w:eastAsia="Arial" w:hAnsi="Arial"/>
          <w:sz w:val="18"/>
          <w:szCs w:val="18"/>
          <w:color w:val="auto"/>
        </w:rPr>
        <w:t>D. Scott Davis</w:t>
      </w:r>
    </w:p>
    <w:p>
      <w:pPr>
        <w:jc w:val="center"/>
        <w:ind w:right="1280"/>
        <w:spacing w:after="0"/>
        <w:rPr>
          <w:sz w:val="20"/>
          <w:szCs w:val="20"/>
          <w:color w:val="auto"/>
        </w:rPr>
      </w:pPr>
      <w:r>
        <w:rPr>
          <w:rFonts w:ascii="Arial" w:cs="Arial" w:eastAsia="Arial" w:hAnsi="Arial"/>
          <w:sz w:val="18"/>
          <w:szCs w:val="18"/>
          <w:color w:val="auto"/>
        </w:rPr>
        <w:t>Director</w:t>
      </w:r>
    </w:p>
    <w:p>
      <w:pPr>
        <w:spacing w:after="0" w:line="252"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39471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08">
                      <a:extLst>
                        <a:ext uri="{28A0092B-C50C-407E-A947-70E740481C1C}"/>
                      </a:extLst>
                    </a:blip>
                    <a:srcRect/>
                    <a:stretch>
                      <a:fillRect/>
                    </a:stretch>
                  </pic:blipFill>
                  <pic:spPr bwMode="auto">
                    <a:xfrm>
                      <a:off x="0" y="0"/>
                      <a:ext cx="3394710" cy="8890"/>
                    </a:xfrm>
                    <a:prstGeom prst="rect">
                      <a:avLst/>
                    </a:prstGeom>
                    <a:noFill/>
                  </pic:spPr>
                </pic:pic>
              </a:graphicData>
            </a:graphic>
          </wp:anchor>
        </w:drawing>
      </w:r>
    </w:p>
    <w:p>
      <w:pPr>
        <w:ind w:left="2120"/>
        <w:spacing w:after="0"/>
        <w:rPr>
          <w:sz w:val="20"/>
          <w:szCs w:val="20"/>
          <w:color w:val="auto"/>
        </w:rPr>
      </w:pPr>
      <w:r>
        <w:rPr>
          <w:rFonts w:ascii="Arial" w:cs="Arial" w:eastAsia="Arial" w:hAnsi="Arial"/>
          <w:sz w:val="18"/>
          <w:szCs w:val="18"/>
          <w:color w:val="auto"/>
        </w:rPr>
        <w:t>Linnet F. Deily</w:t>
      </w:r>
    </w:p>
    <w:p>
      <w:pPr>
        <w:ind w:left="236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/s/ Gregory P.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39471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09">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ind w:left="2000"/>
        <w:spacing w:after="0"/>
        <w:rPr>
          <w:sz w:val="20"/>
          <w:szCs w:val="20"/>
          <w:color w:val="auto"/>
        </w:rPr>
      </w:pPr>
      <w:r>
        <w:rPr>
          <w:rFonts w:ascii="Arial" w:cs="Arial" w:eastAsia="Arial" w:hAnsi="Arial"/>
          <w:sz w:val="18"/>
          <w:szCs w:val="18"/>
          <w:color w:val="auto"/>
        </w:rPr>
        <w:t>Gregory P. Lewis</w:t>
      </w:r>
    </w:p>
    <w:p>
      <w:pPr>
        <w:jc w:val="center"/>
        <w:ind w:right="1280"/>
        <w:spacing w:after="0" w:line="203" w:lineRule="auto"/>
        <w:rPr>
          <w:sz w:val="20"/>
          <w:szCs w:val="20"/>
          <w:color w:val="auto"/>
        </w:rPr>
      </w:pPr>
      <w:r>
        <w:rPr>
          <w:rFonts w:ascii="Arial" w:cs="Arial" w:eastAsia="Arial" w:hAnsi="Arial"/>
          <w:sz w:val="18"/>
          <w:szCs w:val="18"/>
          <w:color w:val="auto"/>
        </w:rPr>
        <w:t>Senior Vice President and</w:t>
      </w:r>
    </w:p>
    <w:p>
      <w:pPr>
        <w:jc w:val="center"/>
        <w:ind w:right="1280"/>
        <w:spacing w:after="0" w:line="203"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jc w:val="center"/>
        <w:ind w:right="128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1" w:lineRule="exact"/>
        <w:rPr>
          <w:sz w:val="20"/>
          <w:szCs w:val="20"/>
          <w:color w:val="auto"/>
        </w:rPr>
      </w:pPr>
    </w:p>
    <w:p>
      <w:pPr>
        <w:ind w:left="20"/>
        <w:spacing w:after="0"/>
        <w:tabs>
          <w:tab w:leader="none" w:pos="254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Gregory P.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13335</wp:posOffset>
            </wp:positionV>
            <wp:extent cx="27863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10">
                      <a:extLst>
                        <a:ext uri="{28A0092B-C50C-407E-A947-70E740481C1C}"/>
                      </a:extLst>
                    </a:blip>
                    <a:srcRect/>
                    <a:stretch>
                      <a:fillRect/>
                    </a:stretch>
                  </pic:blipFill>
                  <pic:spPr bwMode="auto">
                    <a:xfrm>
                      <a:off x="0" y="0"/>
                      <a:ext cx="2786380" cy="8890"/>
                    </a:xfrm>
                    <a:prstGeom prst="rect">
                      <a:avLst/>
                    </a:prstGeom>
                    <a:noFill/>
                  </pic:spPr>
                </pic:pic>
              </a:graphicData>
            </a:graphic>
          </wp:anchor>
        </w:drawing>
      </w:r>
    </w:p>
    <w:p>
      <w:pPr>
        <w:jc w:val="center"/>
        <w:ind w:left="80"/>
        <w:spacing w:after="0"/>
        <w:rPr>
          <w:sz w:val="20"/>
          <w:szCs w:val="20"/>
          <w:color w:val="auto"/>
        </w:rPr>
      </w:pPr>
      <w:r>
        <w:rPr>
          <w:rFonts w:ascii="Arial" w:cs="Arial" w:eastAsia="Arial" w:hAnsi="Arial"/>
          <w:sz w:val="18"/>
          <w:szCs w:val="18"/>
          <w:color w:val="auto"/>
        </w:rPr>
        <w:t>(Gregory P. Lewis</w:t>
      </w:r>
    </w:p>
    <w:p>
      <w:pPr>
        <w:jc w:val="center"/>
        <w:ind w:left="80"/>
        <w:spacing w:after="0"/>
        <w:rPr>
          <w:sz w:val="20"/>
          <w:szCs w:val="20"/>
          <w:color w:val="auto"/>
        </w:rPr>
      </w:pPr>
      <w:r>
        <w:rPr>
          <w:rFonts w:ascii="Arial" w:cs="Arial" w:eastAsia="Arial" w:hAnsi="Arial"/>
          <w:sz w:val="18"/>
          <w:szCs w:val="18"/>
          <w:color w:val="auto"/>
        </w:rPr>
        <w:t>Attorney-in-fact)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12, 2021</w:t>
      </w:r>
    </w:p>
    <w:p>
      <w:pPr>
        <w:spacing w:after="0" w:line="20" w:lineRule="exact"/>
        <w:rPr>
          <w:sz w:val="20"/>
          <w:szCs w:val="20"/>
          <w:color w:val="auto"/>
        </w:rPr>
      </w:pPr>
      <w:r>
        <w:rPr>
          <w:sz w:val="20"/>
          <w:szCs w:val="20"/>
          <w:color w:val="auto"/>
        </w:rPr>
        <w:br w:type="column"/>
      </w:r>
    </w:p>
    <w:p>
      <w:pPr>
        <w:jc w:val="center"/>
        <w:ind w:right="1540"/>
        <w:spacing w:after="0"/>
        <w:rPr>
          <w:sz w:val="20"/>
          <w:szCs w:val="20"/>
          <w:color w:val="auto"/>
        </w:rPr>
      </w:pPr>
      <w:r>
        <w:rPr>
          <w:rFonts w:ascii="Arial" w:cs="Arial" w:eastAsia="Arial" w:hAnsi="Arial"/>
          <w:sz w:val="18"/>
          <w:szCs w:val="18"/>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-964565</wp:posOffset>
            </wp:positionH>
            <wp:positionV relativeFrom="paragraph">
              <wp:posOffset>20320</wp:posOffset>
            </wp:positionV>
            <wp:extent cx="3411855"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11">
                      <a:extLst>
                        <a:ext uri="{28A0092B-C50C-407E-A947-70E740481C1C}"/>
                      </a:extLst>
                    </a:blip>
                    <a:srcRect/>
                    <a:stretch>
                      <a:fillRect/>
                    </a:stretch>
                  </pic:blipFill>
                  <pic:spPr bwMode="auto">
                    <a:xfrm>
                      <a:off x="0" y="0"/>
                      <a:ext cx="3411855" cy="17145"/>
                    </a:xfrm>
                    <a:prstGeom prst="rect">
                      <a:avLst/>
                    </a:prstGeom>
                    <a:noFill/>
                  </pic:spPr>
                </pic:pic>
              </a:graphicData>
            </a:graphic>
          </wp:anchor>
        </w:drawing>
      </w:r>
    </w:p>
    <w:p>
      <w:pPr>
        <w:spacing w:after="0" w:line="28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-964565</wp:posOffset>
            </wp:positionH>
            <wp:positionV relativeFrom="paragraph">
              <wp:posOffset>6350</wp:posOffset>
            </wp:positionV>
            <wp:extent cx="341185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12">
                      <a:extLst>
                        <a:ext uri="{28A0092B-C50C-407E-A947-70E740481C1C}"/>
                      </a:extLst>
                    </a:blip>
                    <a:srcRect/>
                    <a:stretch>
                      <a:fillRect/>
                    </a:stretch>
                  </pic:blipFill>
                  <pic:spPr bwMode="auto">
                    <a:xfrm>
                      <a:off x="0" y="0"/>
                      <a:ext cx="3411855" cy="8890"/>
                    </a:xfrm>
                    <a:prstGeom prst="rect">
                      <a:avLst/>
                    </a:prstGeom>
                    <a:noFill/>
                  </pic:spPr>
                </pic:pic>
              </a:graphicData>
            </a:graphic>
          </wp:anchor>
        </w:drawing>
      </w:r>
    </w:p>
    <w:p>
      <w:pPr>
        <w:ind w:left="620"/>
        <w:spacing w:after="0"/>
        <w:rPr>
          <w:sz w:val="20"/>
          <w:szCs w:val="20"/>
          <w:color w:val="auto"/>
        </w:rPr>
      </w:pPr>
      <w:r>
        <w:rPr>
          <w:rFonts w:ascii="Arial" w:cs="Arial" w:eastAsia="Arial" w:hAnsi="Arial"/>
          <w:sz w:val="18"/>
          <w:szCs w:val="18"/>
          <w:color w:val="auto"/>
        </w:rPr>
        <w:t>Deborah Flint</w:t>
      </w:r>
    </w:p>
    <w:p>
      <w:pPr>
        <w:ind w:left="86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2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-964565</wp:posOffset>
            </wp:positionH>
            <wp:positionV relativeFrom="paragraph">
              <wp:posOffset>6350</wp:posOffset>
            </wp:positionV>
            <wp:extent cx="341185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13">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ind w:left="580"/>
        <w:spacing w:after="0"/>
        <w:rPr>
          <w:sz w:val="20"/>
          <w:szCs w:val="20"/>
          <w:color w:val="auto"/>
        </w:rPr>
      </w:pPr>
      <w:r>
        <w:rPr>
          <w:rFonts w:ascii="Arial" w:cs="Arial" w:eastAsia="Arial" w:hAnsi="Arial"/>
          <w:sz w:val="18"/>
          <w:szCs w:val="18"/>
          <w:color w:val="auto"/>
        </w:rPr>
        <w:t>Judd A. Gregg</w:t>
      </w:r>
    </w:p>
    <w:p>
      <w:pPr>
        <w:ind w:left="860"/>
        <w:spacing w:after="0"/>
        <w:rPr>
          <w:sz w:val="20"/>
          <w:szCs w:val="20"/>
          <w:color w:val="auto"/>
        </w:rPr>
      </w:pPr>
      <w:r>
        <w:rPr>
          <w:rFonts w:ascii="Arial" w:cs="Arial" w:eastAsia="Arial" w:hAnsi="Arial"/>
          <w:sz w:val="18"/>
          <w:szCs w:val="18"/>
          <w:color w:val="auto"/>
        </w:rPr>
        <w:t>Director</w:t>
      </w:r>
    </w:p>
    <w:p>
      <w:pPr>
        <w:spacing w:after="0" w:line="29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-964565</wp:posOffset>
            </wp:positionH>
            <wp:positionV relativeFrom="paragraph">
              <wp:posOffset>6350</wp:posOffset>
            </wp:positionV>
            <wp:extent cx="341185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14">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ind w:left="560"/>
        <w:spacing w:after="0"/>
        <w:rPr>
          <w:sz w:val="20"/>
          <w:szCs w:val="20"/>
          <w:color w:val="auto"/>
        </w:rPr>
      </w:pPr>
      <w:r>
        <w:rPr>
          <w:rFonts w:ascii="Arial" w:cs="Arial" w:eastAsia="Arial" w:hAnsi="Arial"/>
          <w:sz w:val="18"/>
          <w:szCs w:val="18"/>
          <w:color w:val="auto"/>
        </w:rPr>
        <w:t>Clive R. Hollick</w:t>
      </w:r>
    </w:p>
    <w:p>
      <w:pPr>
        <w:jc w:val="center"/>
        <w:ind w:right="1540"/>
        <w:spacing w:after="0"/>
        <w:rPr>
          <w:sz w:val="20"/>
          <w:szCs w:val="20"/>
          <w:color w:val="auto"/>
        </w:rPr>
      </w:pPr>
      <w:r>
        <w:rPr>
          <w:rFonts w:ascii="Arial" w:cs="Arial" w:eastAsia="Arial" w:hAnsi="Arial"/>
          <w:sz w:val="18"/>
          <w:szCs w:val="18"/>
          <w:color w:val="auto"/>
        </w:rPr>
        <w:t>Director</w:t>
      </w:r>
    </w:p>
    <w:p>
      <w:pPr>
        <w:spacing w:after="0" w:line="25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-964565</wp:posOffset>
            </wp:positionH>
            <wp:positionV relativeFrom="paragraph">
              <wp:posOffset>6350</wp:posOffset>
            </wp:positionV>
            <wp:extent cx="341185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15">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ind w:left="480"/>
        <w:spacing w:after="0"/>
        <w:rPr>
          <w:sz w:val="20"/>
          <w:szCs w:val="20"/>
          <w:color w:val="auto"/>
        </w:rPr>
      </w:pPr>
      <w:r>
        <w:rPr>
          <w:rFonts w:ascii="Arial" w:cs="Arial" w:eastAsia="Arial" w:hAnsi="Arial"/>
          <w:sz w:val="18"/>
          <w:szCs w:val="18"/>
          <w:color w:val="auto"/>
        </w:rPr>
        <w:t>Grace D. Lieblein</w:t>
      </w:r>
    </w:p>
    <w:p>
      <w:pPr>
        <w:jc w:val="center"/>
        <w:ind w:right="1540"/>
        <w:spacing w:after="0"/>
        <w:rPr>
          <w:sz w:val="20"/>
          <w:szCs w:val="20"/>
          <w:color w:val="auto"/>
        </w:rPr>
      </w:pPr>
      <w:r>
        <w:rPr>
          <w:rFonts w:ascii="Arial" w:cs="Arial" w:eastAsia="Arial" w:hAnsi="Arial"/>
          <w:sz w:val="18"/>
          <w:szCs w:val="18"/>
          <w:color w:val="auto"/>
        </w:rPr>
        <w:t>Director</w:t>
      </w:r>
    </w:p>
    <w:p>
      <w:pPr>
        <w:spacing w:after="0" w:line="25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-964565</wp:posOffset>
            </wp:positionH>
            <wp:positionV relativeFrom="paragraph">
              <wp:posOffset>6350</wp:posOffset>
            </wp:positionV>
            <wp:extent cx="341185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16">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Raymond T. Odierno</w:t>
      </w:r>
    </w:p>
    <w:p>
      <w:pPr>
        <w:jc w:val="center"/>
        <w:ind w:right="1540"/>
        <w:spacing w:after="0"/>
        <w:rPr>
          <w:sz w:val="20"/>
          <w:szCs w:val="20"/>
          <w:color w:val="auto"/>
        </w:rPr>
      </w:pPr>
      <w:r>
        <w:rPr>
          <w:rFonts w:ascii="Arial" w:cs="Arial" w:eastAsia="Arial" w:hAnsi="Arial"/>
          <w:sz w:val="18"/>
          <w:szCs w:val="18"/>
          <w:color w:val="auto"/>
        </w:rPr>
        <w:t>Director</w:t>
      </w:r>
    </w:p>
    <w:p>
      <w:pPr>
        <w:spacing w:after="0" w:line="25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-964565</wp:posOffset>
            </wp:positionH>
            <wp:positionV relativeFrom="paragraph">
              <wp:posOffset>6350</wp:posOffset>
            </wp:positionV>
            <wp:extent cx="341185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17">
                      <a:extLst>
                        <a:ext uri="{28A0092B-C50C-407E-A947-70E740481C1C}"/>
                      </a:extLst>
                    </a:blip>
                    <a:srcRect/>
                    <a:stretch>
                      <a:fillRect/>
                    </a:stretch>
                  </pic:blipFill>
                  <pic:spPr bwMode="auto">
                    <a:xfrm>
                      <a:off x="0" y="0"/>
                      <a:ext cx="3411855" cy="8890"/>
                    </a:xfrm>
                    <a:prstGeom prst="rect">
                      <a:avLst/>
                    </a:prstGeom>
                    <a:noFill/>
                  </pic:spPr>
                </pic:pic>
              </a:graphicData>
            </a:graphic>
          </wp:anchor>
        </w:drawing>
      </w:r>
    </w:p>
    <w:p>
      <w:pPr>
        <w:ind w:left="680"/>
        <w:spacing w:after="0"/>
        <w:rPr>
          <w:sz w:val="20"/>
          <w:szCs w:val="20"/>
          <w:color w:val="auto"/>
        </w:rPr>
      </w:pPr>
      <w:r>
        <w:rPr>
          <w:rFonts w:ascii="Arial" w:cs="Arial" w:eastAsia="Arial" w:hAnsi="Arial"/>
          <w:sz w:val="18"/>
          <w:szCs w:val="18"/>
          <w:color w:val="auto"/>
        </w:rPr>
        <w:t>George Paz</w:t>
      </w:r>
    </w:p>
    <w:p>
      <w:pPr>
        <w:jc w:val="center"/>
        <w:ind w:right="1540"/>
        <w:spacing w:after="0"/>
        <w:rPr>
          <w:sz w:val="20"/>
          <w:szCs w:val="20"/>
          <w:color w:val="auto"/>
        </w:rPr>
      </w:pPr>
      <w:r>
        <w:rPr>
          <w:rFonts w:ascii="Arial" w:cs="Arial" w:eastAsia="Arial" w:hAnsi="Arial"/>
          <w:sz w:val="18"/>
          <w:szCs w:val="18"/>
          <w:color w:val="auto"/>
        </w:rPr>
        <w:t>Director</w:t>
      </w:r>
    </w:p>
    <w:p>
      <w:pPr>
        <w:spacing w:after="0" w:line="25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-964565</wp:posOffset>
            </wp:positionH>
            <wp:positionV relativeFrom="paragraph">
              <wp:posOffset>6350</wp:posOffset>
            </wp:positionV>
            <wp:extent cx="341185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18">
                      <a:extLst>
                        <a:ext uri="{28A0092B-C50C-407E-A947-70E740481C1C}"/>
                      </a:extLst>
                    </a:blip>
                    <a:srcRect/>
                    <a:stretch>
                      <a:fillRect/>
                    </a:stretch>
                  </pic:blipFill>
                  <pic:spPr bwMode="auto">
                    <a:xfrm>
                      <a:off x="0" y="0"/>
                      <a:ext cx="3411855" cy="889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Robin L. Washington</w:t>
      </w:r>
    </w:p>
    <w:p>
      <w:pPr>
        <w:jc w:val="center"/>
        <w:ind w:right="1540"/>
        <w:spacing w:after="0"/>
        <w:rPr>
          <w:sz w:val="20"/>
          <w:szCs w:val="20"/>
          <w:color w:val="auto"/>
        </w:rPr>
      </w:pPr>
      <w:r>
        <w:rPr>
          <w:rFonts w:ascii="Arial" w:cs="Arial" w:eastAsia="Arial" w:hAnsi="Arial"/>
          <w:sz w:val="18"/>
          <w:szCs w:val="18"/>
          <w:color w:val="auto"/>
        </w:rPr>
        <w:t>Director</w:t>
      </w:r>
    </w:p>
    <w:p>
      <w:pPr>
        <w:spacing w:after="0" w:line="25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 Robert D. Mailloux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-964565</wp:posOffset>
            </wp:positionH>
            <wp:positionV relativeFrom="paragraph">
              <wp:posOffset>6350</wp:posOffset>
            </wp:positionV>
            <wp:extent cx="341185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19">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ind w:left="420"/>
        <w:spacing w:after="0"/>
        <w:rPr>
          <w:sz w:val="20"/>
          <w:szCs w:val="20"/>
          <w:color w:val="auto"/>
        </w:rPr>
      </w:pPr>
      <w:r>
        <w:rPr>
          <w:rFonts w:ascii="Arial" w:cs="Arial" w:eastAsia="Arial" w:hAnsi="Arial"/>
          <w:sz w:val="18"/>
          <w:szCs w:val="18"/>
          <w:color w:val="auto"/>
        </w:rPr>
        <w:t>Robert D. Mailloux</w:t>
      </w:r>
    </w:p>
    <w:p>
      <w:pPr>
        <w:spacing w:after="0" w:line="215" w:lineRule="auto"/>
        <w:rPr>
          <w:sz w:val="20"/>
          <w:szCs w:val="20"/>
          <w:color w:val="auto"/>
        </w:rPr>
      </w:pPr>
      <w:r>
        <w:rPr>
          <w:rFonts w:ascii="Arial" w:cs="Arial" w:eastAsia="Arial" w:hAnsi="Arial"/>
          <w:sz w:val="17"/>
          <w:szCs w:val="17"/>
          <w:color w:val="auto"/>
        </w:rPr>
        <w:t>Vice President and Controller</w:t>
      </w:r>
    </w:p>
    <w:p>
      <w:pPr>
        <w:spacing w:after="0"/>
        <w:rPr>
          <w:sz w:val="20"/>
          <w:szCs w:val="20"/>
          <w:color w:val="auto"/>
        </w:rPr>
      </w:pPr>
      <w:r>
        <w:rPr>
          <w:rFonts w:ascii="Arial" w:cs="Arial" w:eastAsia="Arial" w:hAnsi="Arial"/>
          <w:sz w:val="18"/>
          <w:szCs w:val="18"/>
          <w:color w:val="auto"/>
        </w:rPr>
        <w:t>(Principal Accounting Officer)</w:t>
      </w:r>
    </w:p>
    <w:p>
      <w:pPr>
        <w:spacing w:after="0" w:line="1833" w:lineRule="exact"/>
        <w:rPr>
          <w:sz w:val="20"/>
          <w:szCs w:val="20"/>
          <w:color w:val="auto"/>
        </w:rPr>
      </w:pPr>
    </w:p>
    <w:p>
      <w:pPr>
        <w:sectPr>
          <w:pgSz w:w="11900" w:h="16838" w:orient="portrait"/>
          <w:cols w:equalWidth="0" w:num="2">
            <w:col w:w="6640" w:space="720"/>
            <w:col w:w="3880"/>
          </w:cols>
          <w:pgMar w:left="320" w:top="1085" w:right="339" w:bottom="1440" w:gutter="0" w:footer="0" w:header="0"/>
          <w:type w:val="continuous"/>
        </w:sect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123 </w:t>
      </w:r>
      <w:r>
        <w:rPr>
          <w:rFonts w:ascii="Arial" w:cs="Arial" w:eastAsia="Arial" w:hAnsi="Arial"/>
          <w:sz w:val="18"/>
          <w:szCs w:val="18"/>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5" w:right="339" w:bottom="1440" w:gutter="0" w:footer="0" w:header="0"/>
          <w:type w:val="continuous"/>
        </w:sectPr>
      </w:pPr>
    </w:p>
    <w:bookmarkStart w:id="126" w:name="page127"/>
    <w:bookmarkEnd w:id="126"/>
    <w:p>
      <w:pPr>
        <w:spacing w:after="0"/>
        <w:rPr>
          <w:sz w:val="20"/>
          <w:szCs w:val="20"/>
          <w:color w:val="auto"/>
        </w:rPr>
      </w:pPr>
      <w:r>
        <w:rPr>
          <w:rFonts w:ascii="Arial" w:cs="Arial" w:eastAsia="Arial" w:hAnsi="Arial"/>
          <w:sz w:val="29"/>
          <w:szCs w:val="29"/>
          <w:b w:val="1"/>
          <w:bCs w:val="1"/>
          <w:color w:val="DC202E"/>
        </w:rPr>
        <w:t>FORM 10-K CROSS-REFERENCE INDEX</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140" w:type="dxa"/>
            <w:vAlign w:val="bottom"/>
            <w:vMerge w:val="restart"/>
          </w:tcPr>
          <w:p>
            <w:pPr>
              <w:ind w:left="20"/>
              <w:spacing w:after="0"/>
              <w:rPr>
                <w:sz w:val="20"/>
                <w:szCs w:val="20"/>
                <w:color w:val="auto"/>
              </w:rPr>
            </w:pPr>
            <w:r>
              <w:rPr>
                <w:rFonts w:ascii="Arial" w:cs="Arial" w:eastAsia="Arial" w:hAnsi="Arial"/>
                <w:sz w:val="18"/>
                <w:szCs w:val="18"/>
                <w:b w:val="1"/>
                <w:bCs w:val="1"/>
                <w:color w:val="DC202E"/>
              </w:rPr>
              <w:t>PART I</w:t>
            </w: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Page(s)</w:t>
            </w:r>
          </w:p>
        </w:tc>
        <w:tc>
          <w:tcPr>
            <w:tcW w:w="0" w:type="dxa"/>
            <w:vAlign w:val="bottom"/>
          </w:tcPr>
          <w:p>
            <w:pPr>
              <w:spacing w:after="0"/>
              <w:rPr>
                <w:sz w:val="1"/>
                <w:szCs w:val="1"/>
                <w:color w:val="auto"/>
              </w:rPr>
            </w:pPr>
          </w:p>
        </w:tc>
      </w:tr>
      <w:tr>
        <w:trPr>
          <w:trHeight w:val="216"/>
        </w:trPr>
        <w:tc>
          <w:tcPr>
            <w:tcW w:w="2140" w:type="dxa"/>
            <w:vAlign w:val="bottom"/>
            <w:tcBorders>
              <w:bottom w:val="single" w:sz="8" w:color="DC202E"/>
            </w:tcBorders>
            <w:vMerge w:val="continue"/>
          </w:tcPr>
          <w:p>
            <w:pPr>
              <w:spacing w:after="0"/>
              <w:rPr>
                <w:sz w:val="18"/>
                <w:szCs w:val="18"/>
                <w:color w:val="auto"/>
              </w:rPr>
            </w:pPr>
          </w:p>
        </w:tc>
        <w:tc>
          <w:tcPr>
            <w:tcW w:w="20" w:type="dxa"/>
            <w:vAlign w:val="bottom"/>
            <w:tcBorders>
              <w:bottom w:val="single" w:sz="8" w:color="DC202E"/>
            </w:tcBorders>
          </w:tcPr>
          <w:p>
            <w:pPr>
              <w:spacing w:after="0"/>
              <w:rPr>
                <w:sz w:val="18"/>
                <w:szCs w:val="18"/>
                <w:color w:val="auto"/>
              </w:rPr>
            </w:pPr>
          </w:p>
        </w:tc>
        <w:tc>
          <w:tcPr>
            <w:tcW w:w="600" w:type="dxa"/>
            <w:vAlign w:val="bottom"/>
            <w:tcBorders>
              <w:bottom w:val="single" w:sz="8" w:color="DC202E"/>
            </w:tcBorders>
          </w:tcPr>
          <w:p>
            <w:pPr>
              <w:spacing w:after="0"/>
              <w:rPr>
                <w:sz w:val="18"/>
                <w:szCs w:val="18"/>
                <w:color w:val="auto"/>
              </w:rPr>
            </w:pPr>
          </w:p>
        </w:tc>
        <w:tc>
          <w:tcPr>
            <w:tcW w:w="220" w:type="dxa"/>
            <w:vAlign w:val="bottom"/>
            <w:tcBorders>
              <w:bottom w:val="single" w:sz="8" w:color="DC202E"/>
            </w:tcBorders>
          </w:tcPr>
          <w:p>
            <w:pPr>
              <w:spacing w:after="0"/>
              <w:rPr>
                <w:sz w:val="18"/>
                <w:szCs w:val="18"/>
                <w:color w:val="auto"/>
              </w:rPr>
            </w:pPr>
          </w:p>
        </w:tc>
        <w:tc>
          <w:tcPr>
            <w:tcW w:w="520" w:type="dxa"/>
            <w:vAlign w:val="bottom"/>
            <w:tcBorders>
              <w:bottom w:val="single" w:sz="8" w:color="DC202E"/>
            </w:tcBorders>
          </w:tcPr>
          <w:p>
            <w:pPr>
              <w:spacing w:after="0"/>
              <w:rPr>
                <w:sz w:val="18"/>
                <w:szCs w:val="18"/>
                <w:color w:val="auto"/>
              </w:rPr>
            </w:pPr>
          </w:p>
        </w:tc>
        <w:tc>
          <w:tcPr>
            <w:tcW w:w="2460" w:type="dxa"/>
            <w:vAlign w:val="bottom"/>
            <w:tcBorders>
              <w:bottom w:val="single" w:sz="8" w:color="DC202E"/>
            </w:tcBorders>
          </w:tcPr>
          <w:p>
            <w:pPr>
              <w:spacing w:after="0"/>
              <w:rPr>
                <w:sz w:val="18"/>
                <w:szCs w:val="18"/>
                <w:color w:val="auto"/>
              </w:rPr>
            </w:pPr>
          </w:p>
        </w:tc>
        <w:tc>
          <w:tcPr>
            <w:tcW w:w="700" w:type="dxa"/>
            <w:vAlign w:val="bottom"/>
            <w:tcBorders>
              <w:bottom w:val="single" w:sz="8" w:color="DC202E"/>
            </w:tcBorders>
          </w:tcPr>
          <w:p>
            <w:pPr>
              <w:spacing w:after="0"/>
              <w:rPr>
                <w:sz w:val="18"/>
                <w:szCs w:val="18"/>
                <w:color w:val="auto"/>
              </w:rPr>
            </w:pPr>
          </w:p>
        </w:tc>
        <w:tc>
          <w:tcPr>
            <w:tcW w:w="1580" w:type="dxa"/>
            <w:vAlign w:val="bottom"/>
            <w:tcBorders>
              <w:bottom w:val="single" w:sz="8" w:color="DC202E"/>
            </w:tcBorders>
          </w:tcPr>
          <w:p>
            <w:pPr>
              <w:spacing w:after="0"/>
              <w:rPr>
                <w:sz w:val="18"/>
                <w:szCs w:val="18"/>
                <w:color w:val="auto"/>
              </w:rPr>
            </w:pPr>
          </w:p>
        </w:tc>
        <w:tc>
          <w:tcPr>
            <w:tcW w:w="1280" w:type="dxa"/>
            <w:vAlign w:val="bottom"/>
            <w:tcBorders>
              <w:bottom w:val="single" w:sz="8" w:color="DC202E"/>
            </w:tcBorders>
          </w:tcPr>
          <w:p>
            <w:pPr>
              <w:spacing w:after="0"/>
              <w:rPr>
                <w:sz w:val="18"/>
                <w:szCs w:val="18"/>
                <w:color w:val="auto"/>
              </w:rPr>
            </w:pPr>
          </w:p>
        </w:tc>
        <w:tc>
          <w:tcPr>
            <w:tcW w:w="120" w:type="dxa"/>
            <w:vAlign w:val="bottom"/>
            <w:tcBorders>
              <w:bottom w:val="single" w:sz="8" w:color="DC202E"/>
            </w:tcBorders>
          </w:tcPr>
          <w:p>
            <w:pPr>
              <w:spacing w:after="0"/>
              <w:rPr>
                <w:sz w:val="18"/>
                <w:szCs w:val="18"/>
                <w:color w:val="auto"/>
              </w:rPr>
            </w:pPr>
          </w:p>
        </w:tc>
        <w:tc>
          <w:tcPr>
            <w:tcW w:w="560" w:type="dxa"/>
            <w:vAlign w:val="bottom"/>
            <w:tcBorders>
              <w:bottom w:val="single" w:sz="8" w:color="DC202E"/>
            </w:tcBorders>
          </w:tcPr>
          <w:p>
            <w:pPr>
              <w:spacing w:after="0"/>
              <w:rPr>
                <w:sz w:val="18"/>
                <w:szCs w:val="18"/>
                <w:color w:val="auto"/>
              </w:rPr>
            </w:pPr>
          </w:p>
        </w:tc>
        <w:tc>
          <w:tcPr>
            <w:tcW w:w="1040" w:type="dxa"/>
            <w:vAlign w:val="bottom"/>
            <w:tcBorders>
              <w:bottom w:val="single" w:sz="8" w:color="DC202E"/>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40" w:type="dxa"/>
            <w:vAlign w:val="bottom"/>
          </w:tcPr>
          <w:p>
            <w:pPr>
              <w:ind w:left="20"/>
              <w:spacing w:after="0"/>
              <w:rPr>
                <w:sz w:val="20"/>
                <w:szCs w:val="20"/>
                <w:color w:val="auto"/>
              </w:rPr>
            </w:pPr>
            <w:r>
              <w:rPr>
                <w:rFonts w:ascii="Arial" w:cs="Arial" w:eastAsia="Arial" w:hAnsi="Arial"/>
                <w:sz w:val="18"/>
                <w:szCs w:val="18"/>
                <w:b w:val="1"/>
                <w:bCs w:val="1"/>
                <w:color w:val="auto"/>
              </w:rPr>
              <w:t>ITEM 1</w:t>
            </w:r>
          </w:p>
        </w:tc>
        <w:tc>
          <w:tcPr>
            <w:tcW w:w="20" w:type="dxa"/>
            <w:vAlign w:val="bottom"/>
            <w:tcBorders>
              <w:bottom w:val="single" w:sz="8" w:color="auto"/>
            </w:tcBorders>
          </w:tcPr>
          <w:p>
            <w:pPr>
              <w:spacing w:after="0"/>
              <w:rPr>
                <w:sz w:val="19"/>
                <w:szCs w:val="19"/>
                <w:color w:val="auto"/>
              </w:rPr>
            </w:pPr>
          </w:p>
        </w:tc>
        <w:tc>
          <w:tcPr>
            <w:tcW w:w="8040" w:type="dxa"/>
            <w:vAlign w:val="bottom"/>
            <w:tcBorders>
              <w:bottom w:val="single" w:sz="8" w:color="auto"/>
            </w:tcBorders>
            <w:gridSpan w:val="9"/>
          </w:tcPr>
          <w:p>
            <w:pPr>
              <w:spacing w:after="0"/>
              <w:rPr>
                <w:rFonts w:ascii="Arial" w:cs="Arial" w:eastAsia="Arial" w:hAnsi="Arial"/>
                <w:sz w:val="18"/>
                <w:szCs w:val="18"/>
                <w:u w:val="single" w:color="auto"/>
                <w:color w:val="auto"/>
              </w:rPr>
            </w:pPr>
            <w:hyperlink w:anchor="page4">
              <w:r>
                <w:rPr>
                  <w:rFonts w:ascii="Arial" w:cs="Arial" w:eastAsia="Arial" w:hAnsi="Arial"/>
                  <w:sz w:val="18"/>
                  <w:szCs w:val="18"/>
                  <w:u w:val="single" w:color="auto"/>
                  <w:color w:val="auto"/>
                </w:rPr>
                <w:t>Business</w:t>
              </w:r>
            </w:hyperlink>
          </w:p>
        </w:tc>
        <w:tc>
          <w:tcPr>
            <w:tcW w:w="1040" w:type="dxa"/>
            <w:vAlign w:val="bottom"/>
            <w:tcBorders>
              <w:bottom w:val="single" w:sz="8" w:color="auto"/>
            </w:tcBorders>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2</w:t>
              </w:r>
            </w:hyperlink>
          </w:p>
        </w:tc>
        <w:tc>
          <w:tcPr>
            <w:tcW w:w="0" w:type="dxa"/>
            <w:vAlign w:val="bottom"/>
          </w:tcPr>
          <w:p>
            <w:pPr>
              <w:spacing w:after="0"/>
              <w:rPr>
                <w:sz w:val="1"/>
                <w:szCs w:val="1"/>
                <w:color w:val="auto"/>
              </w:rPr>
            </w:pPr>
          </w:p>
        </w:tc>
      </w:tr>
      <w:tr>
        <w:trPr>
          <w:trHeight w:val="223"/>
        </w:trPr>
        <w:tc>
          <w:tcPr>
            <w:tcW w:w="21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40" w:type="dxa"/>
            <w:vAlign w:val="bottom"/>
            <w:tcBorders>
              <w:bottom w:val="single" w:sz="8" w:color="auto"/>
            </w:tcBorders>
            <w:gridSpan w:val="9"/>
          </w:tcPr>
          <w:p>
            <w:pPr>
              <w:spacing w:after="0"/>
              <w:rPr>
                <w:rFonts w:ascii="Arial" w:cs="Arial" w:eastAsia="Arial" w:hAnsi="Arial"/>
                <w:sz w:val="18"/>
                <w:szCs w:val="18"/>
                <w:u w:val="single" w:color="auto"/>
                <w:color w:val="auto"/>
              </w:rPr>
            </w:pPr>
            <w:hyperlink w:anchor="page44">
              <w:r>
                <w:rPr>
                  <w:rFonts w:ascii="Arial" w:cs="Arial" w:eastAsia="Arial" w:hAnsi="Arial"/>
                  <w:sz w:val="18"/>
                  <w:szCs w:val="18"/>
                  <w:u w:val="single" w:color="auto"/>
                  <w:color w:val="auto"/>
                </w:rPr>
                <w:t>Information About our Executive Officers</w:t>
              </w:r>
            </w:hyperlink>
          </w:p>
        </w:tc>
        <w:tc>
          <w:tcPr>
            <w:tcW w:w="1040" w:type="dxa"/>
            <w:vAlign w:val="bottom"/>
            <w:tcBorders>
              <w:bottom w:val="single" w:sz="8" w:color="auto"/>
            </w:tcBorders>
          </w:tcPr>
          <w:p>
            <w:pPr>
              <w:jc w:val="right"/>
              <w:spacing w:after="0"/>
              <w:rPr>
                <w:rFonts w:ascii="Arial" w:cs="Arial" w:eastAsia="Arial" w:hAnsi="Arial"/>
                <w:sz w:val="18"/>
                <w:szCs w:val="18"/>
                <w:color w:val="0000FF"/>
              </w:rPr>
            </w:pPr>
            <w:hyperlink w:anchor="page44">
              <w:r>
                <w:rPr>
                  <w:rFonts w:ascii="Arial" w:cs="Arial" w:eastAsia="Arial" w:hAnsi="Arial"/>
                  <w:sz w:val="18"/>
                  <w:szCs w:val="18"/>
                  <w:color w:val="0000FF"/>
                </w:rPr>
                <w:t>42</w:t>
              </w:r>
            </w:hyperlink>
          </w:p>
        </w:tc>
        <w:tc>
          <w:tcPr>
            <w:tcW w:w="0" w:type="dxa"/>
            <w:vAlign w:val="bottom"/>
          </w:tcPr>
          <w:p>
            <w:pPr>
              <w:spacing w:after="0"/>
              <w:rPr>
                <w:sz w:val="1"/>
                <w:szCs w:val="1"/>
                <w:color w:val="auto"/>
              </w:rPr>
            </w:pPr>
          </w:p>
        </w:tc>
      </w:tr>
      <w:tr>
        <w:trPr>
          <w:trHeight w:val="223"/>
        </w:trPr>
        <w:tc>
          <w:tcPr>
            <w:tcW w:w="21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ITEM 1A.</w:t>
            </w:r>
          </w:p>
        </w:tc>
        <w:tc>
          <w:tcPr>
            <w:tcW w:w="20" w:type="dxa"/>
            <w:vAlign w:val="bottom"/>
            <w:tcBorders>
              <w:bottom w:val="single" w:sz="8" w:color="auto"/>
            </w:tcBorders>
          </w:tcPr>
          <w:p>
            <w:pPr>
              <w:spacing w:after="0"/>
              <w:rPr>
                <w:sz w:val="19"/>
                <w:szCs w:val="19"/>
                <w:color w:val="auto"/>
              </w:rPr>
            </w:pPr>
          </w:p>
        </w:tc>
        <w:tc>
          <w:tcPr>
            <w:tcW w:w="8040" w:type="dxa"/>
            <w:vAlign w:val="bottom"/>
            <w:tcBorders>
              <w:bottom w:val="single" w:sz="8" w:color="auto"/>
            </w:tcBorders>
            <w:gridSpan w:val="9"/>
          </w:tcPr>
          <w:p>
            <w:pPr>
              <w:spacing w:after="0"/>
              <w:rPr>
                <w:rFonts w:ascii="Arial" w:cs="Arial" w:eastAsia="Arial" w:hAnsi="Arial"/>
                <w:sz w:val="18"/>
                <w:szCs w:val="18"/>
                <w:u w:val="single" w:color="auto"/>
                <w:color w:val="auto"/>
              </w:rPr>
            </w:pPr>
            <w:hyperlink w:anchor="page27">
              <w:r>
                <w:rPr>
                  <w:rFonts w:ascii="Arial" w:cs="Arial" w:eastAsia="Arial" w:hAnsi="Arial"/>
                  <w:sz w:val="18"/>
                  <w:szCs w:val="18"/>
                  <w:u w:val="single" w:color="auto"/>
                  <w:color w:val="auto"/>
                </w:rPr>
                <w:t>Risk Factors</w:t>
              </w:r>
            </w:hyperlink>
          </w:p>
        </w:tc>
        <w:tc>
          <w:tcPr>
            <w:tcW w:w="1040" w:type="dxa"/>
            <w:vAlign w:val="bottom"/>
            <w:tcBorders>
              <w:bottom w:val="single" w:sz="8" w:color="auto"/>
            </w:tcBorders>
          </w:tcPr>
          <w:p>
            <w:pPr>
              <w:jc w:val="right"/>
              <w:spacing w:after="0"/>
              <w:rPr>
                <w:rFonts w:ascii="Arial" w:cs="Arial" w:eastAsia="Arial" w:hAnsi="Arial"/>
                <w:sz w:val="18"/>
                <w:szCs w:val="18"/>
                <w:color w:val="0000FF"/>
              </w:rPr>
            </w:pPr>
            <w:hyperlink w:anchor="page27">
              <w:r>
                <w:rPr>
                  <w:rFonts w:ascii="Arial" w:cs="Arial" w:eastAsia="Arial" w:hAnsi="Arial"/>
                  <w:sz w:val="18"/>
                  <w:szCs w:val="18"/>
                  <w:color w:val="0000FF"/>
                </w:rPr>
                <w:t>24</w:t>
              </w:r>
            </w:hyperlink>
          </w:p>
        </w:tc>
        <w:tc>
          <w:tcPr>
            <w:tcW w:w="0" w:type="dxa"/>
            <w:vAlign w:val="bottom"/>
          </w:tcPr>
          <w:p>
            <w:pPr>
              <w:spacing w:after="0"/>
              <w:rPr>
                <w:sz w:val="1"/>
                <w:szCs w:val="1"/>
                <w:color w:val="auto"/>
              </w:rPr>
            </w:pPr>
          </w:p>
        </w:tc>
      </w:tr>
      <w:tr>
        <w:trPr>
          <w:trHeight w:val="223"/>
        </w:trPr>
        <w:tc>
          <w:tcPr>
            <w:tcW w:w="21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ITEM 1B.</w:t>
            </w:r>
          </w:p>
        </w:tc>
        <w:tc>
          <w:tcPr>
            <w:tcW w:w="20" w:type="dxa"/>
            <w:vAlign w:val="bottom"/>
            <w:tcBorders>
              <w:bottom w:val="single" w:sz="8" w:color="auto"/>
            </w:tcBorders>
          </w:tcPr>
          <w:p>
            <w:pPr>
              <w:spacing w:after="0"/>
              <w:rPr>
                <w:sz w:val="19"/>
                <w:szCs w:val="19"/>
                <w:color w:val="auto"/>
              </w:rPr>
            </w:pPr>
          </w:p>
        </w:tc>
        <w:tc>
          <w:tcPr>
            <w:tcW w:w="8040" w:type="dxa"/>
            <w:vAlign w:val="bottom"/>
            <w:tcBorders>
              <w:bottom w:val="single" w:sz="8" w:color="auto"/>
            </w:tcBorders>
            <w:gridSpan w:val="9"/>
          </w:tcPr>
          <w:p>
            <w:pPr>
              <w:spacing w:after="0"/>
              <w:rPr>
                <w:rFonts w:ascii="Arial" w:cs="Arial" w:eastAsia="Arial" w:hAnsi="Arial"/>
                <w:sz w:val="18"/>
                <w:szCs w:val="18"/>
                <w:u w:val="single" w:color="auto"/>
                <w:color w:val="auto"/>
              </w:rPr>
            </w:pPr>
            <w:hyperlink w:anchor="page45">
              <w:r>
                <w:rPr>
                  <w:rFonts w:ascii="Arial" w:cs="Arial" w:eastAsia="Arial" w:hAnsi="Arial"/>
                  <w:sz w:val="18"/>
                  <w:szCs w:val="18"/>
                  <w:u w:val="single" w:color="auto"/>
                  <w:color w:val="auto"/>
                </w:rPr>
                <w:t>Unresolved Staff Comments</w:t>
              </w:r>
            </w:hyperlink>
          </w:p>
        </w:tc>
        <w:tc>
          <w:tcPr>
            <w:tcW w:w="1040" w:type="dxa"/>
            <w:vAlign w:val="bottom"/>
            <w:tcBorders>
              <w:bottom w:val="single" w:sz="8" w:color="auto"/>
            </w:tcBorders>
          </w:tcPr>
          <w:p>
            <w:pPr>
              <w:jc w:val="right"/>
              <w:spacing w:after="0"/>
              <w:rPr>
                <w:rFonts w:ascii="Arial" w:cs="Arial" w:eastAsia="Arial" w:hAnsi="Arial"/>
                <w:sz w:val="18"/>
                <w:szCs w:val="18"/>
                <w:color w:val="0000FF"/>
              </w:rPr>
            </w:pPr>
            <w:hyperlink w:anchor="page45">
              <w:r>
                <w:rPr>
                  <w:rFonts w:ascii="Arial" w:cs="Arial" w:eastAsia="Arial" w:hAnsi="Arial"/>
                  <w:sz w:val="18"/>
                  <w:szCs w:val="18"/>
                  <w:color w:val="0000FF"/>
                </w:rPr>
                <w:t>43</w:t>
              </w:r>
            </w:hyperlink>
          </w:p>
        </w:tc>
        <w:tc>
          <w:tcPr>
            <w:tcW w:w="0" w:type="dxa"/>
            <w:vAlign w:val="bottom"/>
          </w:tcPr>
          <w:p>
            <w:pPr>
              <w:spacing w:after="0"/>
              <w:rPr>
                <w:sz w:val="1"/>
                <w:szCs w:val="1"/>
                <w:color w:val="auto"/>
              </w:rPr>
            </w:pPr>
          </w:p>
        </w:tc>
      </w:tr>
      <w:tr>
        <w:trPr>
          <w:trHeight w:val="223"/>
        </w:trPr>
        <w:tc>
          <w:tcPr>
            <w:tcW w:w="21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ITEM 2</w:t>
            </w:r>
          </w:p>
        </w:tc>
        <w:tc>
          <w:tcPr>
            <w:tcW w:w="20" w:type="dxa"/>
            <w:vAlign w:val="bottom"/>
            <w:tcBorders>
              <w:bottom w:val="single" w:sz="8" w:color="auto"/>
            </w:tcBorders>
          </w:tcPr>
          <w:p>
            <w:pPr>
              <w:spacing w:after="0"/>
              <w:rPr>
                <w:sz w:val="19"/>
                <w:szCs w:val="19"/>
                <w:color w:val="auto"/>
              </w:rPr>
            </w:pPr>
          </w:p>
        </w:tc>
        <w:tc>
          <w:tcPr>
            <w:tcW w:w="8040" w:type="dxa"/>
            <w:vAlign w:val="bottom"/>
            <w:tcBorders>
              <w:bottom w:val="single" w:sz="8" w:color="auto"/>
            </w:tcBorders>
            <w:gridSpan w:val="9"/>
          </w:tcPr>
          <w:p>
            <w:pPr>
              <w:spacing w:after="0"/>
              <w:rPr>
                <w:rFonts w:ascii="Arial" w:cs="Arial" w:eastAsia="Arial" w:hAnsi="Arial"/>
                <w:sz w:val="18"/>
                <w:szCs w:val="18"/>
                <w:u w:val="single" w:color="auto"/>
                <w:color w:val="auto"/>
              </w:rPr>
            </w:pPr>
            <w:hyperlink w:anchor="page46">
              <w:r>
                <w:rPr>
                  <w:rFonts w:ascii="Arial" w:cs="Arial" w:eastAsia="Arial" w:hAnsi="Arial"/>
                  <w:sz w:val="18"/>
                  <w:szCs w:val="18"/>
                  <w:u w:val="single" w:color="auto"/>
                  <w:color w:val="auto"/>
                </w:rPr>
                <w:t>Properties</w:t>
              </w:r>
            </w:hyperlink>
          </w:p>
        </w:tc>
        <w:tc>
          <w:tcPr>
            <w:tcW w:w="1040" w:type="dxa"/>
            <w:vAlign w:val="bottom"/>
            <w:tcBorders>
              <w:bottom w:val="single" w:sz="8" w:color="auto"/>
            </w:tcBorders>
          </w:tcPr>
          <w:p>
            <w:pPr>
              <w:jc w:val="right"/>
              <w:spacing w:after="0"/>
              <w:rPr>
                <w:rFonts w:ascii="Arial" w:cs="Arial" w:eastAsia="Arial" w:hAnsi="Arial"/>
                <w:sz w:val="18"/>
                <w:szCs w:val="18"/>
                <w:color w:val="0000FF"/>
              </w:rPr>
            </w:pPr>
            <w:hyperlink w:anchor="page46">
              <w:r>
                <w:rPr>
                  <w:rFonts w:ascii="Arial" w:cs="Arial" w:eastAsia="Arial" w:hAnsi="Arial"/>
                  <w:sz w:val="18"/>
                  <w:szCs w:val="18"/>
                  <w:color w:val="0000FF"/>
                </w:rPr>
                <w:t>43</w:t>
              </w:r>
            </w:hyperlink>
          </w:p>
        </w:tc>
        <w:tc>
          <w:tcPr>
            <w:tcW w:w="0" w:type="dxa"/>
            <w:vAlign w:val="bottom"/>
          </w:tcPr>
          <w:p>
            <w:pPr>
              <w:spacing w:after="0"/>
              <w:rPr>
                <w:sz w:val="1"/>
                <w:szCs w:val="1"/>
                <w:color w:val="auto"/>
              </w:rPr>
            </w:pPr>
          </w:p>
        </w:tc>
      </w:tr>
      <w:tr>
        <w:trPr>
          <w:trHeight w:val="223"/>
        </w:trPr>
        <w:tc>
          <w:tcPr>
            <w:tcW w:w="21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ITEM 3</w:t>
            </w:r>
          </w:p>
        </w:tc>
        <w:tc>
          <w:tcPr>
            <w:tcW w:w="20" w:type="dxa"/>
            <w:vAlign w:val="bottom"/>
            <w:tcBorders>
              <w:bottom w:val="single" w:sz="8" w:color="auto"/>
            </w:tcBorders>
          </w:tcPr>
          <w:p>
            <w:pPr>
              <w:spacing w:after="0"/>
              <w:rPr>
                <w:sz w:val="19"/>
                <w:szCs w:val="19"/>
                <w:color w:val="auto"/>
              </w:rPr>
            </w:pPr>
          </w:p>
        </w:tc>
        <w:tc>
          <w:tcPr>
            <w:tcW w:w="8040" w:type="dxa"/>
            <w:vAlign w:val="bottom"/>
            <w:tcBorders>
              <w:bottom w:val="single" w:sz="8" w:color="auto"/>
            </w:tcBorders>
            <w:gridSpan w:val="9"/>
          </w:tcPr>
          <w:p>
            <w:pPr>
              <w:spacing w:after="0"/>
              <w:rPr>
                <w:rFonts w:ascii="Arial" w:cs="Arial" w:eastAsia="Arial" w:hAnsi="Arial"/>
                <w:sz w:val="18"/>
                <w:szCs w:val="18"/>
                <w:u w:val="single" w:color="auto"/>
                <w:color w:val="auto"/>
              </w:rPr>
            </w:pPr>
            <w:hyperlink w:anchor="page46">
              <w:r>
                <w:rPr>
                  <w:rFonts w:ascii="Arial" w:cs="Arial" w:eastAsia="Arial" w:hAnsi="Arial"/>
                  <w:sz w:val="18"/>
                  <w:szCs w:val="18"/>
                  <w:u w:val="single" w:color="auto"/>
                  <w:color w:val="auto"/>
                </w:rPr>
                <w:t>Legal Proceedings</w:t>
              </w:r>
            </w:hyperlink>
          </w:p>
        </w:tc>
        <w:tc>
          <w:tcPr>
            <w:tcW w:w="1040" w:type="dxa"/>
            <w:vAlign w:val="bottom"/>
            <w:tcBorders>
              <w:bottom w:val="single" w:sz="8" w:color="auto"/>
            </w:tcBorders>
          </w:tcPr>
          <w:p>
            <w:pPr>
              <w:jc w:val="right"/>
              <w:spacing w:after="0"/>
              <w:rPr>
                <w:rFonts w:ascii="Arial" w:cs="Arial" w:eastAsia="Arial" w:hAnsi="Arial"/>
                <w:sz w:val="18"/>
                <w:szCs w:val="18"/>
                <w:color w:val="0000FF"/>
              </w:rPr>
            </w:pPr>
            <w:hyperlink w:anchor="page46">
              <w:r>
                <w:rPr>
                  <w:rFonts w:ascii="Arial" w:cs="Arial" w:eastAsia="Arial" w:hAnsi="Arial"/>
                  <w:sz w:val="18"/>
                  <w:szCs w:val="18"/>
                  <w:color w:val="0000FF"/>
                </w:rPr>
                <w:t>43</w:t>
              </w:r>
            </w:hyperlink>
          </w:p>
        </w:tc>
        <w:tc>
          <w:tcPr>
            <w:tcW w:w="0" w:type="dxa"/>
            <w:vAlign w:val="bottom"/>
          </w:tcPr>
          <w:p>
            <w:pPr>
              <w:spacing w:after="0"/>
              <w:rPr>
                <w:sz w:val="1"/>
                <w:szCs w:val="1"/>
                <w:color w:val="auto"/>
              </w:rPr>
            </w:pPr>
          </w:p>
        </w:tc>
      </w:tr>
      <w:tr>
        <w:trPr>
          <w:trHeight w:val="223"/>
        </w:trPr>
        <w:tc>
          <w:tcPr>
            <w:tcW w:w="21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ITEM 4</w:t>
            </w:r>
          </w:p>
        </w:tc>
        <w:tc>
          <w:tcPr>
            <w:tcW w:w="20" w:type="dxa"/>
            <w:vAlign w:val="bottom"/>
            <w:tcBorders>
              <w:bottom w:val="single" w:sz="8" w:color="auto"/>
            </w:tcBorders>
          </w:tcPr>
          <w:p>
            <w:pPr>
              <w:spacing w:after="0"/>
              <w:rPr>
                <w:sz w:val="19"/>
                <w:szCs w:val="19"/>
                <w:color w:val="auto"/>
              </w:rPr>
            </w:pPr>
          </w:p>
        </w:tc>
        <w:tc>
          <w:tcPr>
            <w:tcW w:w="8040" w:type="dxa"/>
            <w:vAlign w:val="bottom"/>
            <w:tcBorders>
              <w:bottom w:val="single" w:sz="8" w:color="auto"/>
            </w:tcBorders>
            <w:gridSpan w:val="9"/>
          </w:tcPr>
          <w:p>
            <w:pPr>
              <w:spacing w:after="0"/>
              <w:rPr>
                <w:rFonts w:ascii="Arial" w:cs="Arial" w:eastAsia="Arial" w:hAnsi="Arial"/>
                <w:sz w:val="18"/>
                <w:szCs w:val="18"/>
                <w:u w:val="single" w:color="auto"/>
                <w:color w:val="auto"/>
              </w:rPr>
            </w:pPr>
            <w:hyperlink w:anchor="page46">
              <w:r>
                <w:rPr>
                  <w:rFonts w:ascii="Arial" w:cs="Arial" w:eastAsia="Arial" w:hAnsi="Arial"/>
                  <w:sz w:val="18"/>
                  <w:szCs w:val="18"/>
                  <w:u w:val="single" w:color="auto"/>
                  <w:color w:val="auto"/>
                </w:rPr>
                <w:t>Mine Safety Disclosures</w:t>
              </w:r>
            </w:hyperlink>
          </w:p>
        </w:tc>
        <w:tc>
          <w:tcPr>
            <w:tcW w:w="1040" w:type="dxa"/>
            <w:vAlign w:val="bottom"/>
            <w:tcBorders>
              <w:bottom w:val="single" w:sz="8" w:color="auto"/>
            </w:tcBorders>
          </w:tcPr>
          <w:p>
            <w:pPr>
              <w:jc w:val="right"/>
              <w:spacing w:after="0"/>
              <w:rPr>
                <w:rFonts w:ascii="Arial" w:cs="Arial" w:eastAsia="Arial" w:hAnsi="Arial"/>
                <w:sz w:val="18"/>
                <w:szCs w:val="18"/>
                <w:color w:val="0000FF"/>
              </w:rPr>
            </w:pPr>
            <w:hyperlink w:anchor="page46">
              <w:r>
                <w:rPr>
                  <w:rFonts w:ascii="Arial" w:cs="Arial" w:eastAsia="Arial" w:hAnsi="Arial"/>
                  <w:sz w:val="18"/>
                  <w:szCs w:val="18"/>
                  <w:color w:val="0000FF"/>
                </w:rPr>
                <w:t>43</w:t>
              </w:r>
            </w:hyperlink>
          </w:p>
        </w:tc>
        <w:tc>
          <w:tcPr>
            <w:tcW w:w="0" w:type="dxa"/>
            <w:vAlign w:val="bottom"/>
          </w:tcPr>
          <w:p>
            <w:pPr>
              <w:spacing w:after="0"/>
              <w:rPr>
                <w:sz w:val="1"/>
                <w:szCs w:val="1"/>
                <w:color w:val="auto"/>
              </w:rPr>
            </w:pPr>
          </w:p>
        </w:tc>
      </w:tr>
      <w:tr>
        <w:trPr>
          <w:trHeight w:val="230"/>
        </w:trPr>
        <w:tc>
          <w:tcPr>
            <w:tcW w:w="2140" w:type="dxa"/>
            <w:vAlign w:val="bottom"/>
            <w:tcBorders>
              <w:bottom w:val="single" w:sz="8" w:color="DC202E"/>
            </w:tcBorders>
          </w:tcPr>
          <w:p>
            <w:pPr>
              <w:ind w:left="20"/>
              <w:spacing w:after="0"/>
              <w:rPr>
                <w:sz w:val="20"/>
                <w:szCs w:val="20"/>
                <w:color w:val="auto"/>
              </w:rPr>
            </w:pPr>
            <w:r>
              <w:rPr>
                <w:rFonts w:ascii="Arial" w:cs="Arial" w:eastAsia="Arial" w:hAnsi="Arial"/>
                <w:sz w:val="18"/>
                <w:szCs w:val="18"/>
                <w:b w:val="1"/>
                <w:bCs w:val="1"/>
                <w:color w:val="DC202E"/>
              </w:rPr>
              <w:t>PART II.</w:t>
            </w:r>
          </w:p>
        </w:tc>
        <w:tc>
          <w:tcPr>
            <w:tcW w:w="20" w:type="dxa"/>
            <w:vAlign w:val="bottom"/>
            <w:tcBorders>
              <w:bottom w:val="single" w:sz="8" w:color="DC202E"/>
            </w:tcBorders>
          </w:tcPr>
          <w:p>
            <w:pPr>
              <w:spacing w:after="0"/>
              <w:rPr>
                <w:sz w:val="20"/>
                <w:szCs w:val="20"/>
                <w:color w:val="auto"/>
              </w:rPr>
            </w:pPr>
          </w:p>
        </w:tc>
        <w:tc>
          <w:tcPr>
            <w:tcW w:w="600" w:type="dxa"/>
            <w:vAlign w:val="bottom"/>
            <w:tcBorders>
              <w:bottom w:val="single" w:sz="8" w:color="DC202E"/>
            </w:tcBorders>
          </w:tcPr>
          <w:p>
            <w:pPr>
              <w:spacing w:after="0"/>
              <w:rPr>
                <w:sz w:val="20"/>
                <w:szCs w:val="20"/>
                <w:color w:val="auto"/>
              </w:rPr>
            </w:pPr>
          </w:p>
        </w:tc>
        <w:tc>
          <w:tcPr>
            <w:tcW w:w="220" w:type="dxa"/>
            <w:vAlign w:val="bottom"/>
            <w:tcBorders>
              <w:bottom w:val="single" w:sz="8" w:color="DC202E"/>
            </w:tcBorders>
          </w:tcPr>
          <w:p>
            <w:pPr>
              <w:spacing w:after="0"/>
              <w:rPr>
                <w:sz w:val="20"/>
                <w:szCs w:val="20"/>
                <w:color w:val="auto"/>
              </w:rPr>
            </w:pPr>
          </w:p>
        </w:tc>
        <w:tc>
          <w:tcPr>
            <w:tcW w:w="520" w:type="dxa"/>
            <w:vAlign w:val="bottom"/>
            <w:tcBorders>
              <w:bottom w:val="single" w:sz="8" w:color="DC202E"/>
            </w:tcBorders>
          </w:tcPr>
          <w:p>
            <w:pPr>
              <w:spacing w:after="0"/>
              <w:rPr>
                <w:sz w:val="20"/>
                <w:szCs w:val="20"/>
                <w:color w:val="auto"/>
              </w:rPr>
            </w:pPr>
          </w:p>
        </w:tc>
        <w:tc>
          <w:tcPr>
            <w:tcW w:w="2460" w:type="dxa"/>
            <w:vAlign w:val="bottom"/>
            <w:tcBorders>
              <w:bottom w:val="single" w:sz="8" w:color="DC202E"/>
            </w:tcBorders>
          </w:tcPr>
          <w:p>
            <w:pPr>
              <w:spacing w:after="0"/>
              <w:rPr>
                <w:sz w:val="20"/>
                <w:szCs w:val="20"/>
                <w:color w:val="auto"/>
              </w:rPr>
            </w:pPr>
          </w:p>
        </w:tc>
        <w:tc>
          <w:tcPr>
            <w:tcW w:w="700" w:type="dxa"/>
            <w:vAlign w:val="bottom"/>
            <w:tcBorders>
              <w:bottom w:val="single" w:sz="8" w:color="DC202E"/>
            </w:tcBorders>
          </w:tcPr>
          <w:p>
            <w:pPr>
              <w:spacing w:after="0"/>
              <w:rPr>
                <w:sz w:val="20"/>
                <w:szCs w:val="20"/>
                <w:color w:val="auto"/>
              </w:rPr>
            </w:pPr>
          </w:p>
        </w:tc>
        <w:tc>
          <w:tcPr>
            <w:tcW w:w="1580" w:type="dxa"/>
            <w:vAlign w:val="bottom"/>
            <w:tcBorders>
              <w:bottom w:val="single" w:sz="8" w:color="DC202E"/>
            </w:tcBorders>
          </w:tcPr>
          <w:p>
            <w:pPr>
              <w:spacing w:after="0"/>
              <w:rPr>
                <w:sz w:val="20"/>
                <w:szCs w:val="20"/>
                <w:color w:val="auto"/>
              </w:rPr>
            </w:pPr>
          </w:p>
        </w:tc>
        <w:tc>
          <w:tcPr>
            <w:tcW w:w="1280" w:type="dxa"/>
            <w:vAlign w:val="bottom"/>
            <w:tcBorders>
              <w:bottom w:val="single" w:sz="8" w:color="DC202E"/>
            </w:tcBorders>
          </w:tcPr>
          <w:p>
            <w:pPr>
              <w:spacing w:after="0"/>
              <w:rPr>
                <w:sz w:val="20"/>
                <w:szCs w:val="20"/>
                <w:color w:val="auto"/>
              </w:rPr>
            </w:pPr>
          </w:p>
        </w:tc>
        <w:tc>
          <w:tcPr>
            <w:tcW w:w="120" w:type="dxa"/>
            <w:vAlign w:val="bottom"/>
            <w:tcBorders>
              <w:bottom w:val="single" w:sz="8" w:color="DC202E"/>
            </w:tcBorders>
          </w:tcPr>
          <w:p>
            <w:pPr>
              <w:spacing w:after="0"/>
              <w:rPr>
                <w:sz w:val="20"/>
                <w:szCs w:val="20"/>
                <w:color w:val="auto"/>
              </w:rPr>
            </w:pPr>
          </w:p>
        </w:tc>
        <w:tc>
          <w:tcPr>
            <w:tcW w:w="560" w:type="dxa"/>
            <w:vAlign w:val="bottom"/>
            <w:tcBorders>
              <w:bottom w:val="single" w:sz="8" w:color="DC202E"/>
            </w:tcBorders>
          </w:tcPr>
          <w:p>
            <w:pPr>
              <w:spacing w:after="0"/>
              <w:rPr>
                <w:sz w:val="20"/>
                <w:szCs w:val="20"/>
                <w:color w:val="auto"/>
              </w:rPr>
            </w:pPr>
          </w:p>
        </w:tc>
        <w:tc>
          <w:tcPr>
            <w:tcW w:w="1040" w:type="dxa"/>
            <w:vAlign w:val="bottom"/>
            <w:tcBorders>
              <w:bottom w:val="single" w:sz="8" w:color="DC202E"/>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140" w:type="dxa"/>
            <w:vAlign w:val="bottom"/>
          </w:tcPr>
          <w:p>
            <w:pPr>
              <w:ind w:left="20"/>
              <w:spacing w:after="0" w:line="189" w:lineRule="exact"/>
              <w:rPr>
                <w:sz w:val="20"/>
                <w:szCs w:val="20"/>
                <w:color w:val="auto"/>
              </w:rPr>
            </w:pPr>
            <w:r>
              <w:rPr>
                <w:rFonts w:ascii="Arial" w:cs="Arial" w:eastAsia="Arial" w:hAnsi="Arial"/>
                <w:sz w:val="18"/>
                <w:szCs w:val="18"/>
                <w:b w:val="1"/>
                <w:bCs w:val="1"/>
                <w:color w:val="auto"/>
              </w:rPr>
              <w:t>ITEM 5</w:t>
            </w:r>
          </w:p>
        </w:tc>
        <w:tc>
          <w:tcPr>
            <w:tcW w:w="20" w:type="dxa"/>
            <w:vAlign w:val="bottom"/>
          </w:tcPr>
          <w:p>
            <w:pPr>
              <w:spacing w:after="0"/>
              <w:rPr>
                <w:sz w:val="16"/>
                <w:szCs w:val="16"/>
                <w:color w:val="auto"/>
              </w:rPr>
            </w:pPr>
          </w:p>
        </w:tc>
        <w:tc>
          <w:tcPr>
            <w:tcW w:w="8040" w:type="dxa"/>
            <w:vAlign w:val="bottom"/>
            <w:gridSpan w:val="9"/>
          </w:tcPr>
          <w:p>
            <w:pPr>
              <w:spacing w:after="0" w:line="189" w:lineRule="exact"/>
              <w:rPr>
                <w:rFonts w:ascii="Arial" w:cs="Arial" w:eastAsia="Arial" w:hAnsi="Arial"/>
                <w:sz w:val="18"/>
                <w:szCs w:val="18"/>
                <w:color w:val="auto"/>
              </w:rPr>
            </w:pPr>
            <w:hyperlink w:anchor="page46">
              <w:r>
                <w:rPr>
                  <w:rFonts w:ascii="Arial" w:cs="Arial" w:eastAsia="Arial" w:hAnsi="Arial"/>
                  <w:sz w:val="18"/>
                  <w:szCs w:val="18"/>
                  <w:color w:val="auto"/>
                </w:rPr>
                <w:t>Market for Registrant’s Common Equity, Related Stockholder Matters and Issuer Purchases of</w:t>
              </w:r>
            </w:hyperlink>
          </w:p>
        </w:tc>
        <w:tc>
          <w:tcPr>
            <w:tcW w:w="1040" w:type="dxa"/>
            <w:vAlign w:val="bottom"/>
            <w:vMerge w:val="restart"/>
          </w:tcPr>
          <w:p>
            <w:pPr>
              <w:jc w:val="right"/>
              <w:spacing w:after="0"/>
              <w:rPr>
                <w:rFonts w:ascii="Arial" w:cs="Arial" w:eastAsia="Arial" w:hAnsi="Arial"/>
                <w:sz w:val="18"/>
                <w:szCs w:val="18"/>
                <w:color w:val="0000FF"/>
              </w:rPr>
            </w:pPr>
            <w:hyperlink w:anchor="page46">
              <w:r>
                <w:rPr>
                  <w:rFonts w:ascii="Arial" w:cs="Arial" w:eastAsia="Arial" w:hAnsi="Arial"/>
                  <w:sz w:val="18"/>
                  <w:szCs w:val="18"/>
                  <w:color w:val="0000FF"/>
                </w:rPr>
                <w:t>44</w:t>
              </w:r>
            </w:hyperlink>
          </w:p>
        </w:tc>
        <w:tc>
          <w:tcPr>
            <w:tcW w:w="0" w:type="dxa"/>
            <w:vAlign w:val="bottom"/>
          </w:tcPr>
          <w:p>
            <w:pPr>
              <w:spacing w:after="0"/>
              <w:rPr>
                <w:sz w:val="1"/>
                <w:szCs w:val="1"/>
                <w:color w:val="auto"/>
              </w:rPr>
            </w:pPr>
          </w:p>
        </w:tc>
      </w:tr>
      <w:tr>
        <w:trPr>
          <w:trHeight w:val="156"/>
        </w:trPr>
        <w:tc>
          <w:tcPr>
            <w:tcW w:w="2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80" w:type="dxa"/>
            <w:vAlign w:val="bottom"/>
            <w:tcBorders>
              <w:top w:val="single" w:sz="8" w:color="auto"/>
            </w:tcBorders>
            <w:gridSpan w:val="8"/>
          </w:tcPr>
          <w:p>
            <w:pPr>
              <w:spacing w:after="0" w:line="156" w:lineRule="exact"/>
              <w:rPr>
                <w:rFonts w:ascii="Arial" w:cs="Arial" w:eastAsia="Arial" w:hAnsi="Arial"/>
                <w:sz w:val="18"/>
                <w:szCs w:val="18"/>
                <w:color w:val="auto"/>
              </w:rPr>
            </w:pPr>
            <w:hyperlink w:anchor="page46">
              <w:r>
                <w:rPr>
                  <w:rFonts w:ascii="Arial" w:cs="Arial" w:eastAsia="Arial" w:hAnsi="Arial"/>
                  <w:sz w:val="18"/>
                  <w:szCs w:val="18"/>
                  <w:color w:val="auto"/>
                </w:rPr>
                <w:t>Equity Securities</w:t>
              </w:r>
            </w:hyperlink>
          </w:p>
        </w:tc>
        <w:tc>
          <w:tcPr>
            <w:tcW w:w="56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1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ITEM 6</w:t>
            </w:r>
          </w:p>
        </w:tc>
        <w:tc>
          <w:tcPr>
            <w:tcW w:w="20" w:type="dxa"/>
            <w:vAlign w:val="bottom"/>
            <w:tcBorders>
              <w:bottom w:val="single" w:sz="8" w:color="auto"/>
            </w:tcBorders>
          </w:tcPr>
          <w:p>
            <w:pPr>
              <w:spacing w:after="0"/>
              <w:rPr>
                <w:sz w:val="19"/>
                <w:szCs w:val="19"/>
                <w:color w:val="auto"/>
              </w:rPr>
            </w:pPr>
          </w:p>
        </w:tc>
        <w:tc>
          <w:tcPr>
            <w:tcW w:w="8040" w:type="dxa"/>
            <w:vAlign w:val="bottom"/>
            <w:tcBorders>
              <w:bottom w:val="single" w:sz="8" w:color="auto"/>
            </w:tcBorders>
            <w:gridSpan w:val="9"/>
          </w:tcPr>
          <w:p>
            <w:pPr>
              <w:spacing w:after="0"/>
              <w:rPr>
                <w:rFonts w:ascii="Arial" w:cs="Arial" w:eastAsia="Arial" w:hAnsi="Arial"/>
                <w:sz w:val="18"/>
                <w:szCs w:val="18"/>
                <w:u w:val="single" w:color="auto"/>
                <w:color w:val="auto"/>
              </w:rPr>
            </w:pPr>
            <w:hyperlink w:anchor="page10">
              <w:r>
                <w:rPr>
                  <w:rFonts w:ascii="Arial" w:cs="Arial" w:eastAsia="Arial" w:hAnsi="Arial"/>
                  <w:sz w:val="18"/>
                  <w:szCs w:val="18"/>
                  <w:u w:val="single" w:color="auto"/>
                  <w:color w:val="auto"/>
                </w:rPr>
                <w:t>Selected Financial Data</w:t>
              </w:r>
            </w:hyperlink>
          </w:p>
        </w:tc>
        <w:tc>
          <w:tcPr>
            <w:tcW w:w="1040" w:type="dxa"/>
            <w:vAlign w:val="bottom"/>
            <w:tcBorders>
              <w:bottom w:val="single" w:sz="8" w:color="auto"/>
            </w:tcBorders>
          </w:tcPr>
          <w:p>
            <w:pPr>
              <w:jc w:val="right"/>
              <w:spacing w:after="0"/>
              <w:rPr>
                <w:rFonts w:ascii="Arial" w:cs="Arial" w:eastAsia="Arial" w:hAnsi="Arial"/>
                <w:sz w:val="18"/>
                <w:szCs w:val="18"/>
                <w:color w:val="0000FF"/>
              </w:rPr>
            </w:pPr>
            <w:hyperlink w:anchor="page10">
              <w:r>
                <w:rPr>
                  <w:rFonts w:ascii="Arial" w:cs="Arial" w:eastAsia="Arial" w:hAnsi="Arial"/>
                  <w:sz w:val="18"/>
                  <w:szCs w:val="18"/>
                  <w:color w:val="0000FF"/>
                </w:rPr>
                <w:t>8</w:t>
              </w:r>
            </w:hyperlink>
          </w:p>
        </w:tc>
        <w:tc>
          <w:tcPr>
            <w:tcW w:w="0" w:type="dxa"/>
            <w:vAlign w:val="bottom"/>
          </w:tcPr>
          <w:p>
            <w:pPr>
              <w:spacing w:after="0"/>
              <w:rPr>
                <w:sz w:val="1"/>
                <w:szCs w:val="1"/>
                <w:color w:val="auto"/>
              </w:rPr>
            </w:pPr>
          </w:p>
        </w:tc>
      </w:tr>
      <w:tr>
        <w:trPr>
          <w:trHeight w:val="182"/>
        </w:trPr>
        <w:tc>
          <w:tcPr>
            <w:tcW w:w="2140" w:type="dxa"/>
            <w:vAlign w:val="bottom"/>
          </w:tcPr>
          <w:p>
            <w:pPr>
              <w:ind w:left="20"/>
              <w:spacing w:after="0" w:line="182" w:lineRule="exact"/>
              <w:rPr>
                <w:sz w:val="20"/>
                <w:szCs w:val="20"/>
                <w:color w:val="auto"/>
              </w:rPr>
            </w:pPr>
            <w:r>
              <w:rPr>
                <w:rFonts w:ascii="Arial" w:cs="Arial" w:eastAsia="Arial" w:hAnsi="Arial"/>
                <w:sz w:val="18"/>
                <w:szCs w:val="18"/>
                <w:b w:val="1"/>
                <w:bCs w:val="1"/>
                <w:color w:val="auto"/>
              </w:rPr>
              <w:t>ITEM 7</w:t>
            </w: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40" w:type="dxa"/>
            <w:vAlign w:val="bottom"/>
          </w:tcPr>
          <w:p>
            <w:pPr>
              <w:jc w:val="right"/>
              <w:spacing w:after="0" w:line="182" w:lineRule="exact"/>
              <w:rPr>
                <w:rFonts w:ascii="Arial" w:cs="Arial" w:eastAsia="Arial" w:hAnsi="Arial"/>
                <w:sz w:val="18"/>
                <w:szCs w:val="18"/>
                <w:color w:val="0000FF"/>
              </w:rPr>
            </w:pPr>
            <w:hyperlink w:anchor="page11">
              <w:r>
                <w:rPr>
                  <w:rFonts w:ascii="Arial" w:cs="Arial" w:eastAsia="Arial" w:hAnsi="Arial"/>
                  <w:sz w:val="18"/>
                  <w:szCs w:val="18"/>
                  <w:color w:val="0000FF"/>
                </w:rPr>
                <w:t>9</w:t>
              </w:r>
            </w:hyperlink>
            <w:r>
              <w:rPr>
                <w:rFonts w:ascii="Arial" w:cs="Arial" w:eastAsia="Arial" w:hAnsi="Arial"/>
                <w:sz w:val="18"/>
                <w:szCs w:val="18"/>
                <w:color w:val="000000"/>
              </w:rPr>
              <w:t>-</w:t>
            </w:r>
            <w:hyperlink w:anchor="page27">
              <w:r>
                <w:rPr>
                  <w:rFonts w:ascii="Arial" w:cs="Arial" w:eastAsia="Arial" w:hAnsi="Arial"/>
                  <w:sz w:val="18"/>
                  <w:szCs w:val="18"/>
                  <w:color w:val="0000FF"/>
                </w:rPr>
                <w:t>24</w:t>
              </w:r>
            </w:hyperlink>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217"/>
        </w:trPr>
        <w:tc>
          <w:tcPr>
            <w:tcW w:w="21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40" w:type="dxa"/>
            <w:vAlign w:val="bottom"/>
            <w:tcBorders>
              <w:bottom w:val="single" w:sz="8" w:color="auto"/>
            </w:tcBorders>
            <w:gridSpan w:val="9"/>
          </w:tcPr>
          <w:p>
            <w:pPr>
              <w:spacing w:after="0"/>
              <w:rPr>
                <w:rFonts w:ascii="Arial" w:cs="Arial" w:eastAsia="Arial" w:hAnsi="Arial"/>
                <w:sz w:val="18"/>
                <w:szCs w:val="18"/>
                <w:u w:val="single" w:color="auto"/>
                <w:color w:val="auto"/>
              </w:rPr>
            </w:pPr>
            <w:hyperlink w:anchor="page11">
              <w:r>
                <w:rPr>
                  <w:rFonts w:ascii="Arial" w:cs="Arial" w:eastAsia="Arial" w:hAnsi="Arial"/>
                  <w:sz w:val="18"/>
                  <w:szCs w:val="18"/>
                  <w:u w:val="single" w:color="auto"/>
                  <w:color w:val="auto"/>
                </w:rPr>
                <w:t>Management’s Discussion and Analysis of Financial Condition and Results of Operations</w:t>
              </w:r>
            </w:hyperlink>
          </w:p>
        </w:tc>
        <w:tc>
          <w:tcPr>
            <w:tcW w:w="1040" w:type="dxa"/>
            <w:vAlign w:val="bottom"/>
            <w:tcBorders>
              <w:bottom w:val="single" w:sz="8" w:color="auto"/>
            </w:tcBorders>
          </w:tcPr>
          <w:p>
            <w:pPr>
              <w:jc w:val="right"/>
              <w:spacing w:after="0"/>
              <w:rPr>
                <w:rFonts w:ascii="Arial" w:cs="Arial" w:eastAsia="Arial" w:hAnsi="Arial"/>
                <w:sz w:val="18"/>
                <w:szCs w:val="18"/>
                <w:color w:val="0000FF"/>
              </w:rPr>
            </w:pPr>
            <w:hyperlink w:anchor="page35">
              <w:r>
                <w:rPr>
                  <w:rFonts w:ascii="Arial" w:cs="Arial" w:eastAsia="Arial" w:hAnsi="Arial"/>
                  <w:sz w:val="18"/>
                  <w:szCs w:val="18"/>
                  <w:color w:val="0000FF"/>
                </w:rPr>
                <w:t>33</w:t>
              </w:r>
            </w:hyperlink>
            <w:r>
              <w:rPr>
                <w:rFonts w:ascii="Arial" w:cs="Arial" w:eastAsia="Arial" w:hAnsi="Arial"/>
                <w:sz w:val="18"/>
                <w:szCs w:val="18"/>
                <w:color w:val="000000"/>
              </w:rPr>
              <w:t>-</w:t>
            </w:r>
            <w:hyperlink w:anchor="page44">
              <w:r>
                <w:rPr>
                  <w:rFonts w:ascii="Arial" w:cs="Arial" w:eastAsia="Arial" w:hAnsi="Arial"/>
                  <w:sz w:val="18"/>
                  <w:szCs w:val="18"/>
                  <w:color w:val="0000FF"/>
                </w:rPr>
                <w:t>41</w:t>
              </w:r>
            </w:hyperlink>
          </w:p>
        </w:tc>
        <w:tc>
          <w:tcPr>
            <w:tcW w:w="0" w:type="dxa"/>
            <w:vAlign w:val="bottom"/>
          </w:tcPr>
          <w:p>
            <w:pPr>
              <w:spacing w:after="0"/>
              <w:rPr>
                <w:sz w:val="1"/>
                <w:szCs w:val="1"/>
                <w:color w:val="auto"/>
              </w:rPr>
            </w:pPr>
          </w:p>
        </w:tc>
      </w:tr>
      <w:tr>
        <w:trPr>
          <w:trHeight w:val="223"/>
        </w:trPr>
        <w:tc>
          <w:tcPr>
            <w:tcW w:w="21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ITEM 7A.</w:t>
            </w:r>
          </w:p>
        </w:tc>
        <w:tc>
          <w:tcPr>
            <w:tcW w:w="20" w:type="dxa"/>
            <w:vAlign w:val="bottom"/>
            <w:tcBorders>
              <w:bottom w:val="single" w:sz="8" w:color="auto"/>
            </w:tcBorders>
          </w:tcPr>
          <w:p>
            <w:pPr>
              <w:spacing w:after="0"/>
              <w:rPr>
                <w:sz w:val="19"/>
                <w:szCs w:val="19"/>
                <w:color w:val="auto"/>
              </w:rPr>
            </w:pPr>
          </w:p>
        </w:tc>
        <w:tc>
          <w:tcPr>
            <w:tcW w:w="8040" w:type="dxa"/>
            <w:vAlign w:val="bottom"/>
            <w:tcBorders>
              <w:bottom w:val="single" w:sz="8" w:color="auto"/>
            </w:tcBorders>
            <w:gridSpan w:val="9"/>
          </w:tcPr>
          <w:p>
            <w:pPr>
              <w:spacing w:after="0"/>
              <w:rPr>
                <w:rFonts w:ascii="Arial" w:cs="Arial" w:eastAsia="Arial" w:hAnsi="Arial"/>
                <w:sz w:val="18"/>
                <w:szCs w:val="18"/>
                <w:u w:val="single" w:color="auto"/>
                <w:color w:val="auto"/>
              </w:rPr>
            </w:pPr>
            <w:hyperlink w:anchor="page35">
              <w:r>
                <w:rPr>
                  <w:rFonts w:ascii="Arial" w:cs="Arial" w:eastAsia="Arial" w:hAnsi="Arial"/>
                  <w:sz w:val="18"/>
                  <w:szCs w:val="18"/>
                  <w:u w:val="single" w:color="auto"/>
                  <w:color w:val="auto"/>
                </w:rPr>
                <w:t>Quantitative and Qualitative Disclosures About Market Risks</w:t>
              </w:r>
            </w:hyperlink>
          </w:p>
        </w:tc>
        <w:tc>
          <w:tcPr>
            <w:tcW w:w="1040" w:type="dxa"/>
            <w:vAlign w:val="bottom"/>
            <w:tcBorders>
              <w:bottom w:val="single" w:sz="8" w:color="auto"/>
            </w:tcBorders>
          </w:tcPr>
          <w:p>
            <w:pPr>
              <w:jc w:val="right"/>
              <w:spacing w:after="0"/>
              <w:rPr>
                <w:rFonts w:ascii="Arial" w:cs="Arial" w:eastAsia="Arial" w:hAnsi="Arial"/>
                <w:sz w:val="18"/>
                <w:szCs w:val="18"/>
                <w:color w:val="0000FF"/>
              </w:rPr>
            </w:pPr>
            <w:hyperlink w:anchor="page35">
              <w:r>
                <w:rPr>
                  <w:rFonts w:ascii="Arial" w:cs="Arial" w:eastAsia="Arial" w:hAnsi="Arial"/>
                  <w:sz w:val="18"/>
                  <w:szCs w:val="18"/>
                  <w:color w:val="0000FF"/>
                </w:rPr>
                <w:t>32</w:t>
              </w:r>
            </w:hyperlink>
          </w:p>
        </w:tc>
        <w:tc>
          <w:tcPr>
            <w:tcW w:w="0" w:type="dxa"/>
            <w:vAlign w:val="bottom"/>
          </w:tcPr>
          <w:p>
            <w:pPr>
              <w:spacing w:after="0"/>
              <w:rPr>
                <w:sz w:val="1"/>
                <w:szCs w:val="1"/>
                <w:color w:val="auto"/>
              </w:rPr>
            </w:pPr>
          </w:p>
        </w:tc>
      </w:tr>
      <w:tr>
        <w:trPr>
          <w:trHeight w:val="223"/>
        </w:trPr>
        <w:tc>
          <w:tcPr>
            <w:tcW w:w="21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ITEM 8</w:t>
            </w:r>
          </w:p>
        </w:tc>
        <w:tc>
          <w:tcPr>
            <w:tcW w:w="20" w:type="dxa"/>
            <w:vAlign w:val="bottom"/>
            <w:tcBorders>
              <w:bottom w:val="single" w:sz="8" w:color="auto"/>
            </w:tcBorders>
          </w:tcPr>
          <w:p>
            <w:pPr>
              <w:spacing w:after="0"/>
              <w:rPr>
                <w:sz w:val="19"/>
                <w:szCs w:val="19"/>
                <w:color w:val="auto"/>
              </w:rPr>
            </w:pPr>
          </w:p>
        </w:tc>
        <w:tc>
          <w:tcPr>
            <w:tcW w:w="8040" w:type="dxa"/>
            <w:vAlign w:val="bottom"/>
            <w:tcBorders>
              <w:bottom w:val="single" w:sz="8" w:color="auto"/>
            </w:tcBorders>
            <w:gridSpan w:val="9"/>
          </w:tcPr>
          <w:p>
            <w:pPr>
              <w:spacing w:after="0"/>
              <w:rPr>
                <w:rFonts w:ascii="Arial" w:cs="Arial" w:eastAsia="Arial" w:hAnsi="Arial"/>
                <w:sz w:val="18"/>
                <w:szCs w:val="18"/>
                <w:u w:val="single" w:color="auto"/>
                <w:color w:val="auto"/>
              </w:rPr>
            </w:pPr>
            <w:hyperlink w:anchor="page48">
              <w:r>
                <w:rPr>
                  <w:rFonts w:ascii="Arial" w:cs="Arial" w:eastAsia="Arial" w:hAnsi="Arial"/>
                  <w:sz w:val="18"/>
                  <w:szCs w:val="18"/>
                  <w:u w:val="single" w:color="auto"/>
                  <w:color w:val="auto"/>
                </w:rPr>
                <w:t>Financial Statements and Supplementary Data</w:t>
              </w:r>
            </w:hyperlink>
          </w:p>
        </w:tc>
        <w:tc>
          <w:tcPr>
            <w:tcW w:w="1040" w:type="dxa"/>
            <w:vAlign w:val="bottom"/>
            <w:tcBorders>
              <w:bottom w:val="single" w:sz="8" w:color="auto"/>
            </w:tcBorders>
          </w:tcPr>
          <w:p>
            <w:pPr>
              <w:jc w:val="right"/>
              <w:spacing w:after="0"/>
              <w:rPr>
                <w:rFonts w:ascii="Arial" w:cs="Arial" w:eastAsia="Arial" w:hAnsi="Arial"/>
                <w:sz w:val="18"/>
                <w:szCs w:val="18"/>
                <w:color w:val="0000FF"/>
              </w:rPr>
            </w:pPr>
            <w:hyperlink w:anchor="page48">
              <w:r>
                <w:rPr>
                  <w:rFonts w:ascii="Arial" w:cs="Arial" w:eastAsia="Arial" w:hAnsi="Arial"/>
                  <w:sz w:val="18"/>
                  <w:szCs w:val="18"/>
                  <w:color w:val="0000FF"/>
                </w:rPr>
                <w:t>46</w:t>
              </w:r>
            </w:hyperlink>
          </w:p>
        </w:tc>
        <w:tc>
          <w:tcPr>
            <w:tcW w:w="0" w:type="dxa"/>
            <w:vAlign w:val="bottom"/>
          </w:tcPr>
          <w:p>
            <w:pPr>
              <w:spacing w:after="0"/>
              <w:rPr>
                <w:sz w:val="1"/>
                <w:szCs w:val="1"/>
                <w:color w:val="auto"/>
              </w:rPr>
            </w:pPr>
          </w:p>
        </w:tc>
      </w:tr>
      <w:tr>
        <w:trPr>
          <w:trHeight w:val="223"/>
        </w:trPr>
        <w:tc>
          <w:tcPr>
            <w:tcW w:w="21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ITEM 9</w:t>
            </w:r>
          </w:p>
        </w:tc>
        <w:tc>
          <w:tcPr>
            <w:tcW w:w="20" w:type="dxa"/>
            <w:vAlign w:val="bottom"/>
            <w:tcBorders>
              <w:bottom w:val="single" w:sz="8" w:color="auto"/>
            </w:tcBorders>
          </w:tcPr>
          <w:p>
            <w:pPr>
              <w:spacing w:after="0"/>
              <w:rPr>
                <w:sz w:val="19"/>
                <w:szCs w:val="19"/>
                <w:color w:val="auto"/>
              </w:rPr>
            </w:pPr>
          </w:p>
        </w:tc>
        <w:tc>
          <w:tcPr>
            <w:tcW w:w="8040" w:type="dxa"/>
            <w:vAlign w:val="bottom"/>
            <w:tcBorders>
              <w:bottom w:val="single" w:sz="8" w:color="auto"/>
            </w:tcBorders>
            <w:gridSpan w:val="9"/>
          </w:tcPr>
          <w:p>
            <w:pPr>
              <w:spacing w:after="0"/>
              <w:rPr>
                <w:rFonts w:ascii="Arial" w:cs="Arial" w:eastAsia="Arial" w:hAnsi="Arial"/>
                <w:sz w:val="18"/>
                <w:szCs w:val="18"/>
                <w:u w:val="single" w:color="auto"/>
                <w:color w:val="auto"/>
              </w:rPr>
            </w:pPr>
            <w:hyperlink w:anchor="page116">
              <w:r>
                <w:rPr>
                  <w:rFonts w:ascii="Arial" w:cs="Arial" w:eastAsia="Arial" w:hAnsi="Arial"/>
                  <w:sz w:val="18"/>
                  <w:szCs w:val="18"/>
                  <w:u w:val="single" w:color="auto"/>
                  <w:color w:val="auto"/>
                </w:rPr>
                <w:t>Changes in and Disagreements with Accountants on Accounting and Financial Disclosure</w:t>
              </w:r>
            </w:hyperlink>
          </w:p>
        </w:tc>
        <w:tc>
          <w:tcPr>
            <w:tcW w:w="1040" w:type="dxa"/>
            <w:vAlign w:val="bottom"/>
            <w:tcBorders>
              <w:bottom w:val="single" w:sz="8" w:color="auto"/>
            </w:tcBorders>
          </w:tcPr>
          <w:p>
            <w:pPr>
              <w:jc w:val="right"/>
              <w:spacing w:after="0"/>
              <w:rPr>
                <w:rFonts w:ascii="Arial" w:cs="Arial" w:eastAsia="Arial" w:hAnsi="Arial"/>
                <w:sz w:val="18"/>
                <w:szCs w:val="18"/>
                <w:color w:val="0000FF"/>
              </w:rPr>
            </w:pPr>
            <w:hyperlink w:anchor="page116">
              <w:r>
                <w:rPr>
                  <w:rFonts w:ascii="Arial" w:cs="Arial" w:eastAsia="Arial" w:hAnsi="Arial"/>
                  <w:sz w:val="18"/>
                  <w:szCs w:val="18"/>
                  <w:color w:val="0000FF"/>
                </w:rPr>
                <w:t>114</w:t>
              </w:r>
            </w:hyperlink>
          </w:p>
        </w:tc>
        <w:tc>
          <w:tcPr>
            <w:tcW w:w="0" w:type="dxa"/>
            <w:vAlign w:val="bottom"/>
          </w:tcPr>
          <w:p>
            <w:pPr>
              <w:spacing w:after="0"/>
              <w:rPr>
                <w:sz w:val="1"/>
                <w:szCs w:val="1"/>
                <w:color w:val="auto"/>
              </w:rPr>
            </w:pPr>
          </w:p>
        </w:tc>
      </w:tr>
      <w:tr>
        <w:trPr>
          <w:trHeight w:val="223"/>
        </w:trPr>
        <w:tc>
          <w:tcPr>
            <w:tcW w:w="21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ITEM 9A.</w:t>
            </w:r>
          </w:p>
        </w:tc>
        <w:tc>
          <w:tcPr>
            <w:tcW w:w="20" w:type="dxa"/>
            <w:vAlign w:val="bottom"/>
            <w:tcBorders>
              <w:bottom w:val="single" w:sz="8" w:color="auto"/>
            </w:tcBorders>
          </w:tcPr>
          <w:p>
            <w:pPr>
              <w:spacing w:after="0"/>
              <w:rPr>
                <w:sz w:val="19"/>
                <w:szCs w:val="19"/>
                <w:color w:val="auto"/>
              </w:rPr>
            </w:pPr>
          </w:p>
        </w:tc>
        <w:tc>
          <w:tcPr>
            <w:tcW w:w="8040" w:type="dxa"/>
            <w:vAlign w:val="bottom"/>
            <w:tcBorders>
              <w:bottom w:val="single" w:sz="8" w:color="auto"/>
            </w:tcBorders>
            <w:gridSpan w:val="9"/>
          </w:tcPr>
          <w:p>
            <w:pPr>
              <w:spacing w:after="0"/>
              <w:rPr>
                <w:rFonts w:ascii="Arial" w:cs="Arial" w:eastAsia="Arial" w:hAnsi="Arial"/>
                <w:sz w:val="18"/>
                <w:szCs w:val="18"/>
                <w:u w:val="single" w:color="auto"/>
                <w:color w:val="auto"/>
              </w:rPr>
            </w:pPr>
            <w:hyperlink w:anchor="page117">
              <w:r>
                <w:rPr>
                  <w:rFonts w:ascii="Arial" w:cs="Arial" w:eastAsia="Arial" w:hAnsi="Arial"/>
                  <w:sz w:val="18"/>
                  <w:szCs w:val="18"/>
                  <w:u w:val="single" w:color="auto"/>
                  <w:color w:val="auto"/>
                </w:rPr>
                <w:t>Controls and Procedures</w:t>
              </w:r>
            </w:hyperlink>
          </w:p>
        </w:tc>
        <w:tc>
          <w:tcPr>
            <w:tcW w:w="1040" w:type="dxa"/>
            <w:vAlign w:val="bottom"/>
            <w:tcBorders>
              <w:bottom w:val="single" w:sz="8" w:color="auto"/>
            </w:tcBorders>
          </w:tcPr>
          <w:p>
            <w:pPr>
              <w:jc w:val="right"/>
              <w:spacing w:after="0"/>
              <w:rPr>
                <w:rFonts w:ascii="Arial" w:cs="Arial" w:eastAsia="Arial" w:hAnsi="Arial"/>
                <w:sz w:val="18"/>
                <w:szCs w:val="18"/>
                <w:color w:val="0000FF"/>
              </w:rPr>
            </w:pPr>
            <w:hyperlink w:anchor="page117">
              <w:r>
                <w:rPr>
                  <w:rFonts w:ascii="Arial" w:cs="Arial" w:eastAsia="Arial" w:hAnsi="Arial"/>
                  <w:sz w:val="18"/>
                  <w:szCs w:val="18"/>
                  <w:color w:val="0000FF"/>
                </w:rPr>
                <w:t>114</w:t>
              </w:r>
            </w:hyperlink>
          </w:p>
        </w:tc>
        <w:tc>
          <w:tcPr>
            <w:tcW w:w="0" w:type="dxa"/>
            <w:vAlign w:val="bottom"/>
          </w:tcPr>
          <w:p>
            <w:pPr>
              <w:spacing w:after="0"/>
              <w:rPr>
                <w:sz w:val="1"/>
                <w:szCs w:val="1"/>
                <w:color w:val="auto"/>
              </w:rPr>
            </w:pPr>
          </w:p>
        </w:tc>
      </w:tr>
      <w:tr>
        <w:trPr>
          <w:trHeight w:val="223"/>
        </w:trPr>
        <w:tc>
          <w:tcPr>
            <w:tcW w:w="21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ITEM 9B.</w:t>
            </w:r>
          </w:p>
        </w:tc>
        <w:tc>
          <w:tcPr>
            <w:tcW w:w="20" w:type="dxa"/>
            <w:vAlign w:val="bottom"/>
            <w:tcBorders>
              <w:bottom w:val="single" w:sz="8" w:color="auto"/>
            </w:tcBorders>
          </w:tcPr>
          <w:p>
            <w:pPr>
              <w:spacing w:after="0"/>
              <w:rPr>
                <w:sz w:val="19"/>
                <w:szCs w:val="19"/>
                <w:color w:val="auto"/>
              </w:rPr>
            </w:pPr>
          </w:p>
        </w:tc>
        <w:tc>
          <w:tcPr>
            <w:tcW w:w="8040" w:type="dxa"/>
            <w:vAlign w:val="bottom"/>
            <w:tcBorders>
              <w:bottom w:val="single" w:sz="8" w:color="auto"/>
            </w:tcBorders>
            <w:gridSpan w:val="9"/>
          </w:tcPr>
          <w:p>
            <w:pPr>
              <w:spacing w:after="0"/>
              <w:rPr>
                <w:rFonts w:ascii="Arial" w:cs="Arial" w:eastAsia="Arial" w:hAnsi="Arial"/>
                <w:sz w:val="18"/>
                <w:szCs w:val="18"/>
                <w:u w:val="single" w:color="auto"/>
                <w:color w:val="auto"/>
              </w:rPr>
            </w:pPr>
            <w:hyperlink w:anchor="page117">
              <w:r>
                <w:rPr>
                  <w:rFonts w:ascii="Arial" w:cs="Arial" w:eastAsia="Arial" w:hAnsi="Arial"/>
                  <w:sz w:val="18"/>
                  <w:szCs w:val="18"/>
                  <w:u w:val="single" w:color="auto"/>
                  <w:color w:val="auto"/>
                </w:rPr>
                <w:t>Other Information</w:t>
              </w:r>
            </w:hyperlink>
          </w:p>
        </w:tc>
        <w:tc>
          <w:tcPr>
            <w:tcW w:w="1040" w:type="dxa"/>
            <w:vAlign w:val="bottom"/>
            <w:tcBorders>
              <w:bottom w:val="single" w:sz="8" w:color="auto"/>
            </w:tcBorders>
          </w:tcPr>
          <w:p>
            <w:pPr>
              <w:jc w:val="right"/>
              <w:spacing w:after="0"/>
              <w:rPr>
                <w:rFonts w:ascii="Arial" w:cs="Arial" w:eastAsia="Arial" w:hAnsi="Arial"/>
                <w:sz w:val="18"/>
                <w:szCs w:val="18"/>
                <w:color w:val="0000FF"/>
              </w:rPr>
            </w:pPr>
            <w:hyperlink w:anchor="page117">
              <w:r>
                <w:rPr>
                  <w:rFonts w:ascii="Arial" w:cs="Arial" w:eastAsia="Arial" w:hAnsi="Arial"/>
                  <w:sz w:val="18"/>
                  <w:szCs w:val="18"/>
                  <w:color w:val="0000FF"/>
                </w:rPr>
                <w:t>114</w:t>
              </w:r>
            </w:hyperlink>
          </w:p>
        </w:tc>
        <w:tc>
          <w:tcPr>
            <w:tcW w:w="0" w:type="dxa"/>
            <w:vAlign w:val="bottom"/>
          </w:tcPr>
          <w:p>
            <w:pPr>
              <w:spacing w:after="0"/>
              <w:rPr>
                <w:sz w:val="1"/>
                <w:szCs w:val="1"/>
                <w:color w:val="auto"/>
              </w:rPr>
            </w:pPr>
          </w:p>
        </w:tc>
      </w:tr>
      <w:tr>
        <w:trPr>
          <w:trHeight w:val="230"/>
        </w:trPr>
        <w:tc>
          <w:tcPr>
            <w:tcW w:w="2140" w:type="dxa"/>
            <w:vAlign w:val="bottom"/>
            <w:tcBorders>
              <w:bottom w:val="single" w:sz="8" w:color="DC202E"/>
            </w:tcBorders>
          </w:tcPr>
          <w:p>
            <w:pPr>
              <w:ind w:left="20"/>
              <w:spacing w:after="0"/>
              <w:rPr>
                <w:sz w:val="20"/>
                <w:szCs w:val="20"/>
                <w:color w:val="auto"/>
              </w:rPr>
            </w:pPr>
            <w:r>
              <w:rPr>
                <w:rFonts w:ascii="Arial" w:cs="Arial" w:eastAsia="Arial" w:hAnsi="Arial"/>
                <w:sz w:val="18"/>
                <w:szCs w:val="18"/>
                <w:b w:val="1"/>
                <w:bCs w:val="1"/>
                <w:color w:val="DC202E"/>
              </w:rPr>
              <w:t>Part III.</w:t>
            </w:r>
          </w:p>
        </w:tc>
        <w:tc>
          <w:tcPr>
            <w:tcW w:w="20" w:type="dxa"/>
            <w:vAlign w:val="bottom"/>
            <w:tcBorders>
              <w:bottom w:val="single" w:sz="8" w:color="DC202E"/>
            </w:tcBorders>
          </w:tcPr>
          <w:p>
            <w:pPr>
              <w:spacing w:after="0"/>
              <w:rPr>
                <w:sz w:val="20"/>
                <w:szCs w:val="20"/>
                <w:color w:val="auto"/>
              </w:rPr>
            </w:pPr>
          </w:p>
        </w:tc>
        <w:tc>
          <w:tcPr>
            <w:tcW w:w="600" w:type="dxa"/>
            <w:vAlign w:val="bottom"/>
            <w:tcBorders>
              <w:bottom w:val="single" w:sz="8" w:color="DC202E"/>
            </w:tcBorders>
          </w:tcPr>
          <w:p>
            <w:pPr>
              <w:spacing w:after="0"/>
              <w:rPr>
                <w:sz w:val="20"/>
                <w:szCs w:val="20"/>
                <w:color w:val="auto"/>
              </w:rPr>
            </w:pPr>
          </w:p>
        </w:tc>
        <w:tc>
          <w:tcPr>
            <w:tcW w:w="220" w:type="dxa"/>
            <w:vAlign w:val="bottom"/>
            <w:tcBorders>
              <w:bottom w:val="single" w:sz="8" w:color="DC202E"/>
            </w:tcBorders>
          </w:tcPr>
          <w:p>
            <w:pPr>
              <w:spacing w:after="0"/>
              <w:rPr>
                <w:sz w:val="20"/>
                <w:szCs w:val="20"/>
                <w:color w:val="auto"/>
              </w:rPr>
            </w:pPr>
          </w:p>
        </w:tc>
        <w:tc>
          <w:tcPr>
            <w:tcW w:w="520" w:type="dxa"/>
            <w:vAlign w:val="bottom"/>
            <w:tcBorders>
              <w:bottom w:val="single" w:sz="8" w:color="DC202E"/>
            </w:tcBorders>
          </w:tcPr>
          <w:p>
            <w:pPr>
              <w:spacing w:after="0"/>
              <w:rPr>
                <w:sz w:val="20"/>
                <w:szCs w:val="20"/>
                <w:color w:val="auto"/>
              </w:rPr>
            </w:pPr>
          </w:p>
        </w:tc>
        <w:tc>
          <w:tcPr>
            <w:tcW w:w="2460" w:type="dxa"/>
            <w:vAlign w:val="bottom"/>
            <w:tcBorders>
              <w:bottom w:val="single" w:sz="8" w:color="DC202E"/>
            </w:tcBorders>
          </w:tcPr>
          <w:p>
            <w:pPr>
              <w:spacing w:after="0"/>
              <w:rPr>
                <w:sz w:val="20"/>
                <w:szCs w:val="20"/>
                <w:color w:val="auto"/>
              </w:rPr>
            </w:pPr>
          </w:p>
        </w:tc>
        <w:tc>
          <w:tcPr>
            <w:tcW w:w="700" w:type="dxa"/>
            <w:vAlign w:val="bottom"/>
            <w:tcBorders>
              <w:bottom w:val="single" w:sz="8" w:color="DC202E"/>
            </w:tcBorders>
          </w:tcPr>
          <w:p>
            <w:pPr>
              <w:spacing w:after="0"/>
              <w:rPr>
                <w:sz w:val="20"/>
                <w:szCs w:val="20"/>
                <w:color w:val="auto"/>
              </w:rPr>
            </w:pPr>
          </w:p>
        </w:tc>
        <w:tc>
          <w:tcPr>
            <w:tcW w:w="1580" w:type="dxa"/>
            <w:vAlign w:val="bottom"/>
            <w:tcBorders>
              <w:bottom w:val="single" w:sz="8" w:color="DC202E"/>
            </w:tcBorders>
          </w:tcPr>
          <w:p>
            <w:pPr>
              <w:spacing w:after="0"/>
              <w:rPr>
                <w:sz w:val="20"/>
                <w:szCs w:val="20"/>
                <w:color w:val="auto"/>
              </w:rPr>
            </w:pPr>
          </w:p>
        </w:tc>
        <w:tc>
          <w:tcPr>
            <w:tcW w:w="1280" w:type="dxa"/>
            <w:vAlign w:val="bottom"/>
            <w:tcBorders>
              <w:bottom w:val="single" w:sz="8" w:color="DC202E"/>
            </w:tcBorders>
          </w:tcPr>
          <w:p>
            <w:pPr>
              <w:spacing w:after="0"/>
              <w:rPr>
                <w:sz w:val="20"/>
                <w:szCs w:val="20"/>
                <w:color w:val="auto"/>
              </w:rPr>
            </w:pPr>
          </w:p>
        </w:tc>
        <w:tc>
          <w:tcPr>
            <w:tcW w:w="120" w:type="dxa"/>
            <w:vAlign w:val="bottom"/>
            <w:tcBorders>
              <w:bottom w:val="single" w:sz="8" w:color="DC202E"/>
            </w:tcBorders>
          </w:tcPr>
          <w:p>
            <w:pPr>
              <w:spacing w:after="0"/>
              <w:rPr>
                <w:sz w:val="20"/>
                <w:szCs w:val="20"/>
                <w:color w:val="auto"/>
              </w:rPr>
            </w:pPr>
          </w:p>
        </w:tc>
        <w:tc>
          <w:tcPr>
            <w:tcW w:w="560" w:type="dxa"/>
            <w:vAlign w:val="bottom"/>
            <w:tcBorders>
              <w:bottom w:val="single" w:sz="8" w:color="DC202E"/>
            </w:tcBorders>
          </w:tcPr>
          <w:p>
            <w:pPr>
              <w:spacing w:after="0"/>
              <w:rPr>
                <w:sz w:val="20"/>
                <w:szCs w:val="20"/>
                <w:color w:val="auto"/>
              </w:rPr>
            </w:pPr>
          </w:p>
        </w:tc>
        <w:tc>
          <w:tcPr>
            <w:tcW w:w="1040" w:type="dxa"/>
            <w:vAlign w:val="bottom"/>
            <w:tcBorders>
              <w:bottom w:val="single" w:sz="8" w:color="DC202E"/>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140" w:type="dxa"/>
            <w:vAlign w:val="bottom"/>
          </w:tcPr>
          <w:p>
            <w:pPr>
              <w:ind w:left="20"/>
              <w:spacing w:after="0" w:line="189" w:lineRule="exact"/>
              <w:rPr>
                <w:sz w:val="20"/>
                <w:szCs w:val="20"/>
                <w:color w:val="auto"/>
              </w:rPr>
            </w:pPr>
            <w:r>
              <w:rPr>
                <w:rFonts w:ascii="Arial" w:cs="Arial" w:eastAsia="Arial" w:hAnsi="Arial"/>
                <w:sz w:val="18"/>
                <w:szCs w:val="18"/>
                <w:b w:val="1"/>
                <w:bCs w:val="1"/>
                <w:color w:val="auto"/>
              </w:rPr>
              <w:t>ITEM 10</w:t>
            </w:r>
          </w:p>
        </w:tc>
        <w:tc>
          <w:tcPr>
            <w:tcW w:w="20" w:type="dxa"/>
            <w:vAlign w:val="bottom"/>
          </w:tcPr>
          <w:p>
            <w:pPr>
              <w:spacing w:after="0"/>
              <w:rPr>
                <w:sz w:val="16"/>
                <w:szCs w:val="16"/>
                <w:color w:val="auto"/>
              </w:rPr>
            </w:pPr>
          </w:p>
        </w:tc>
        <w:tc>
          <w:tcPr>
            <w:tcW w:w="8040" w:type="dxa"/>
            <w:vAlign w:val="bottom"/>
            <w:gridSpan w:val="9"/>
          </w:tcPr>
          <w:p>
            <w:pPr>
              <w:spacing w:after="0" w:line="189" w:lineRule="exact"/>
              <w:rPr>
                <w:rFonts w:ascii="Arial" w:cs="Arial" w:eastAsia="Arial" w:hAnsi="Arial"/>
                <w:sz w:val="18"/>
                <w:szCs w:val="18"/>
                <w:color w:val="auto"/>
              </w:rPr>
            </w:pPr>
            <w:hyperlink w:anchor="page117">
              <w:r>
                <w:rPr>
                  <w:rFonts w:ascii="Arial" w:cs="Arial" w:eastAsia="Arial" w:hAnsi="Arial"/>
                  <w:sz w:val="18"/>
                  <w:szCs w:val="18"/>
                  <w:u w:val="single" w:color="auto"/>
                  <w:color w:val="auto"/>
                </w:rPr>
                <w:t>Directors,</w:t>
              </w:r>
              <w:r>
                <w:rPr>
                  <w:rFonts w:ascii="Arial" w:cs="Arial" w:eastAsia="Arial" w:hAnsi="Arial"/>
                  <w:sz w:val="18"/>
                  <w:szCs w:val="18"/>
                  <w:color w:val="auto"/>
                </w:rPr>
                <w:t xml:space="preserve"> Executive Officers </w:t>
              </w:r>
            </w:hyperlink>
            <w:r>
              <w:rPr>
                <w:rFonts w:ascii="Arial" w:cs="Arial" w:eastAsia="Arial" w:hAnsi="Arial"/>
                <w:sz w:val="18"/>
                <w:szCs w:val="18"/>
                <w:color w:val="auto"/>
              </w:rPr>
              <w:t>and Corporate Governance</w:t>
            </w:r>
          </w:p>
        </w:tc>
        <w:tc>
          <w:tcPr>
            <w:tcW w:w="1040" w:type="dxa"/>
            <w:vAlign w:val="bottom"/>
          </w:tcPr>
          <w:p>
            <w:pPr>
              <w:jc w:val="right"/>
              <w:spacing w:after="0" w:line="189" w:lineRule="exact"/>
              <w:rPr>
                <w:rFonts w:ascii="Arial" w:cs="Arial" w:eastAsia="Arial" w:hAnsi="Arial"/>
                <w:sz w:val="18"/>
                <w:szCs w:val="18"/>
                <w:color w:val="0000FF"/>
              </w:rPr>
            </w:pPr>
            <w:hyperlink w:anchor="page117">
              <w:r>
                <w:rPr>
                  <w:rFonts w:ascii="Arial" w:cs="Arial" w:eastAsia="Arial" w:hAnsi="Arial"/>
                  <w:sz w:val="18"/>
                  <w:szCs w:val="18"/>
                  <w:color w:val="0000FF"/>
                </w:rPr>
                <w:t>115</w:t>
              </w:r>
            </w:hyperlink>
          </w:p>
        </w:tc>
        <w:tc>
          <w:tcPr>
            <w:tcW w:w="0" w:type="dxa"/>
            <w:vAlign w:val="bottom"/>
          </w:tcPr>
          <w:p>
            <w:pPr>
              <w:spacing w:after="0"/>
              <w:rPr>
                <w:sz w:val="1"/>
                <w:szCs w:val="1"/>
                <w:color w:val="auto"/>
              </w:rPr>
            </w:pPr>
          </w:p>
        </w:tc>
      </w:tr>
      <w:tr>
        <w:trPr>
          <w:trHeight w:val="20"/>
        </w:trPr>
        <w:tc>
          <w:tcPr>
            <w:tcW w:w="2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1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ITEM 11</w:t>
            </w:r>
          </w:p>
        </w:tc>
        <w:tc>
          <w:tcPr>
            <w:tcW w:w="20" w:type="dxa"/>
            <w:vAlign w:val="bottom"/>
            <w:tcBorders>
              <w:bottom w:val="single" w:sz="8" w:color="auto"/>
            </w:tcBorders>
          </w:tcPr>
          <w:p>
            <w:pPr>
              <w:spacing w:after="0"/>
              <w:rPr>
                <w:sz w:val="19"/>
                <w:szCs w:val="19"/>
                <w:color w:val="auto"/>
              </w:rPr>
            </w:pPr>
          </w:p>
        </w:tc>
        <w:tc>
          <w:tcPr>
            <w:tcW w:w="8040" w:type="dxa"/>
            <w:vAlign w:val="bottom"/>
            <w:tcBorders>
              <w:bottom w:val="single" w:sz="8" w:color="auto"/>
            </w:tcBorders>
            <w:gridSpan w:val="9"/>
          </w:tcPr>
          <w:p>
            <w:pPr>
              <w:spacing w:after="0"/>
              <w:rPr>
                <w:rFonts w:ascii="Arial" w:cs="Arial" w:eastAsia="Arial" w:hAnsi="Arial"/>
                <w:sz w:val="18"/>
                <w:szCs w:val="18"/>
                <w:u w:val="single" w:color="auto"/>
                <w:color w:val="auto"/>
              </w:rPr>
            </w:pPr>
            <w:hyperlink w:anchor="page118">
              <w:r>
                <w:rPr>
                  <w:rFonts w:ascii="Arial" w:cs="Arial" w:eastAsia="Arial" w:hAnsi="Arial"/>
                  <w:sz w:val="18"/>
                  <w:szCs w:val="18"/>
                  <w:u w:val="single" w:color="auto"/>
                  <w:color w:val="auto"/>
                </w:rPr>
                <w:t>Executive Compensation</w:t>
              </w:r>
            </w:hyperlink>
          </w:p>
        </w:tc>
        <w:tc>
          <w:tcPr>
            <w:tcW w:w="1040" w:type="dxa"/>
            <w:vAlign w:val="bottom"/>
            <w:tcBorders>
              <w:bottom w:val="single" w:sz="8" w:color="auto"/>
            </w:tcBorders>
          </w:tcPr>
          <w:p>
            <w:pPr>
              <w:jc w:val="right"/>
              <w:spacing w:after="0"/>
              <w:rPr>
                <w:rFonts w:ascii="Arial" w:cs="Arial" w:eastAsia="Arial" w:hAnsi="Arial"/>
                <w:sz w:val="18"/>
                <w:szCs w:val="18"/>
                <w:color w:val="0000FF"/>
              </w:rPr>
            </w:pPr>
            <w:hyperlink w:anchor="page118">
              <w:r>
                <w:rPr>
                  <w:rFonts w:ascii="Arial" w:cs="Arial" w:eastAsia="Arial" w:hAnsi="Arial"/>
                  <w:sz w:val="18"/>
                  <w:szCs w:val="18"/>
                  <w:color w:val="0000FF"/>
                </w:rPr>
                <w:t>115</w:t>
              </w:r>
            </w:hyperlink>
          </w:p>
        </w:tc>
        <w:tc>
          <w:tcPr>
            <w:tcW w:w="0" w:type="dxa"/>
            <w:vAlign w:val="bottom"/>
          </w:tcPr>
          <w:p>
            <w:pPr>
              <w:spacing w:after="0"/>
              <w:rPr>
                <w:sz w:val="1"/>
                <w:szCs w:val="1"/>
                <w:color w:val="auto"/>
              </w:rPr>
            </w:pPr>
          </w:p>
        </w:tc>
      </w:tr>
      <w:tr>
        <w:trPr>
          <w:trHeight w:val="182"/>
        </w:trPr>
        <w:tc>
          <w:tcPr>
            <w:tcW w:w="2140" w:type="dxa"/>
            <w:vAlign w:val="bottom"/>
          </w:tcPr>
          <w:p>
            <w:pPr>
              <w:ind w:left="20"/>
              <w:spacing w:after="0" w:line="182" w:lineRule="exact"/>
              <w:rPr>
                <w:sz w:val="20"/>
                <w:szCs w:val="20"/>
                <w:color w:val="auto"/>
              </w:rPr>
            </w:pPr>
            <w:r>
              <w:rPr>
                <w:rFonts w:ascii="Arial" w:cs="Arial" w:eastAsia="Arial" w:hAnsi="Arial"/>
                <w:sz w:val="18"/>
                <w:szCs w:val="18"/>
                <w:b w:val="1"/>
                <w:bCs w:val="1"/>
                <w:color w:val="auto"/>
              </w:rPr>
              <w:t>ITEM 12</w:t>
            </w:r>
          </w:p>
        </w:tc>
        <w:tc>
          <w:tcPr>
            <w:tcW w:w="20" w:type="dxa"/>
            <w:vAlign w:val="bottom"/>
          </w:tcPr>
          <w:p>
            <w:pPr>
              <w:spacing w:after="0"/>
              <w:rPr>
                <w:sz w:val="15"/>
                <w:szCs w:val="15"/>
                <w:color w:val="auto"/>
              </w:rPr>
            </w:pPr>
          </w:p>
        </w:tc>
        <w:tc>
          <w:tcPr>
            <w:tcW w:w="8040" w:type="dxa"/>
            <w:vAlign w:val="bottom"/>
            <w:gridSpan w:val="9"/>
          </w:tcPr>
          <w:p>
            <w:pPr>
              <w:spacing w:after="0" w:line="182" w:lineRule="exact"/>
              <w:rPr>
                <w:rFonts w:ascii="Arial" w:cs="Arial" w:eastAsia="Arial" w:hAnsi="Arial"/>
                <w:sz w:val="18"/>
                <w:szCs w:val="18"/>
                <w:color w:val="auto"/>
              </w:rPr>
            </w:pPr>
            <w:hyperlink w:anchor="page118">
              <w:r>
                <w:rPr>
                  <w:rFonts w:ascii="Arial" w:cs="Arial" w:eastAsia="Arial" w:hAnsi="Arial"/>
                  <w:sz w:val="18"/>
                  <w:szCs w:val="18"/>
                  <w:color w:val="auto"/>
                </w:rPr>
                <w:t>Security Ownership of Certain Beneficial Owners and Management and Related Stockholder</w:t>
              </w:r>
            </w:hyperlink>
          </w:p>
        </w:tc>
        <w:tc>
          <w:tcPr>
            <w:tcW w:w="1040" w:type="dxa"/>
            <w:vAlign w:val="bottom"/>
            <w:vMerge w:val="restart"/>
          </w:tcPr>
          <w:p>
            <w:pPr>
              <w:jc w:val="right"/>
              <w:spacing w:after="0"/>
              <w:rPr>
                <w:rFonts w:ascii="Arial" w:cs="Arial" w:eastAsia="Arial" w:hAnsi="Arial"/>
                <w:sz w:val="18"/>
                <w:szCs w:val="18"/>
                <w:color w:val="0000FF"/>
              </w:rPr>
            </w:pPr>
            <w:hyperlink w:anchor="page118">
              <w:r>
                <w:rPr>
                  <w:rFonts w:ascii="Arial" w:cs="Arial" w:eastAsia="Arial" w:hAnsi="Arial"/>
                  <w:sz w:val="18"/>
                  <w:szCs w:val="18"/>
                  <w:color w:val="0000FF"/>
                </w:rPr>
                <w:t>115</w:t>
              </w:r>
            </w:hyperlink>
          </w:p>
        </w:tc>
        <w:tc>
          <w:tcPr>
            <w:tcW w:w="0" w:type="dxa"/>
            <w:vAlign w:val="bottom"/>
          </w:tcPr>
          <w:p>
            <w:pPr>
              <w:spacing w:after="0"/>
              <w:rPr>
                <w:sz w:val="1"/>
                <w:szCs w:val="1"/>
                <w:color w:val="auto"/>
              </w:rPr>
            </w:pPr>
          </w:p>
        </w:tc>
      </w:tr>
      <w:tr>
        <w:trPr>
          <w:trHeight w:val="156"/>
        </w:trPr>
        <w:tc>
          <w:tcPr>
            <w:tcW w:w="2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360" w:type="dxa"/>
            <w:vAlign w:val="bottom"/>
            <w:tcBorders>
              <w:top w:val="single" w:sz="8" w:color="auto"/>
            </w:tcBorders>
            <w:gridSpan w:val="7"/>
          </w:tcPr>
          <w:p>
            <w:pPr>
              <w:spacing w:after="0" w:line="156" w:lineRule="exact"/>
              <w:rPr>
                <w:rFonts w:ascii="Arial" w:cs="Arial" w:eastAsia="Arial" w:hAnsi="Arial"/>
                <w:sz w:val="18"/>
                <w:szCs w:val="18"/>
                <w:color w:val="auto"/>
              </w:rPr>
            </w:pPr>
            <w:hyperlink w:anchor="page118">
              <w:r>
                <w:rPr>
                  <w:rFonts w:ascii="Arial" w:cs="Arial" w:eastAsia="Arial" w:hAnsi="Arial"/>
                  <w:sz w:val="18"/>
                  <w:szCs w:val="18"/>
                  <w:color w:val="auto"/>
                </w:rPr>
                <w:t>Matters</w:t>
              </w:r>
            </w:hyperlink>
          </w:p>
        </w:tc>
        <w:tc>
          <w:tcPr>
            <w:tcW w:w="680" w:type="dxa"/>
            <w:vAlign w:val="bottom"/>
            <w:gridSpan w:val="2"/>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140" w:type="dxa"/>
            <w:vAlign w:val="bottom"/>
          </w:tcPr>
          <w:p>
            <w:pPr>
              <w:ind w:left="20"/>
              <w:spacing w:after="0" w:line="182" w:lineRule="exact"/>
              <w:rPr>
                <w:sz w:val="20"/>
                <w:szCs w:val="20"/>
                <w:color w:val="auto"/>
              </w:rPr>
            </w:pPr>
            <w:r>
              <w:rPr>
                <w:rFonts w:ascii="Arial" w:cs="Arial" w:eastAsia="Arial" w:hAnsi="Arial"/>
                <w:sz w:val="18"/>
                <w:szCs w:val="18"/>
                <w:b w:val="1"/>
                <w:bCs w:val="1"/>
                <w:color w:val="auto"/>
              </w:rPr>
              <w:t>ITEM 13</w:t>
            </w:r>
          </w:p>
        </w:tc>
        <w:tc>
          <w:tcPr>
            <w:tcW w:w="20" w:type="dxa"/>
            <w:vAlign w:val="bottom"/>
          </w:tcPr>
          <w:p>
            <w:pPr>
              <w:spacing w:after="0"/>
              <w:rPr>
                <w:sz w:val="15"/>
                <w:szCs w:val="15"/>
                <w:color w:val="auto"/>
              </w:rPr>
            </w:pPr>
          </w:p>
        </w:tc>
        <w:tc>
          <w:tcPr>
            <w:tcW w:w="8040" w:type="dxa"/>
            <w:vAlign w:val="bottom"/>
            <w:gridSpan w:val="9"/>
          </w:tcPr>
          <w:p>
            <w:pPr>
              <w:spacing w:after="0" w:line="182" w:lineRule="exact"/>
              <w:rPr>
                <w:rFonts w:ascii="Arial" w:cs="Arial" w:eastAsia="Arial" w:hAnsi="Arial"/>
                <w:sz w:val="18"/>
                <w:szCs w:val="18"/>
                <w:color w:val="auto"/>
              </w:rPr>
            </w:pPr>
            <w:hyperlink w:anchor="page119">
              <w:r>
                <w:rPr>
                  <w:rFonts w:ascii="Arial" w:cs="Arial" w:eastAsia="Arial" w:hAnsi="Arial"/>
                  <w:sz w:val="18"/>
                  <w:szCs w:val="18"/>
                  <w:u w:val="single" w:color="auto"/>
                  <w:color w:val="auto"/>
                </w:rPr>
                <w:t>Certain Relationships and Related Transactions,</w:t>
              </w:r>
              <w:r>
                <w:rPr>
                  <w:rFonts w:ascii="Arial" w:cs="Arial" w:eastAsia="Arial" w:hAnsi="Arial"/>
                  <w:sz w:val="18"/>
                  <w:szCs w:val="18"/>
                  <w:color w:val="auto"/>
                </w:rPr>
                <w:t xml:space="preserve"> </w:t>
              </w:r>
            </w:hyperlink>
            <w:r>
              <w:rPr>
                <w:rFonts w:ascii="Arial" w:cs="Arial" w:eastAsia="Arial" w:hAnsi="Arial"/>
                <w:sz w:val="18"/>
                <w:szCs w:val="18"/>
                <w:color w:val="auto"/>
              </w:rPr>
              <w:t>and Director Independence</w:t>
            </w:r>
          </w:p>
        </w:tc>
        <w:tc>
          <w:tcPr>
            <w:tcW w:w="1040" w:type="dxa"/>
            <w:vAlign w:val="bottom"/>
          </w:tcPr>
          <w:p>
            <w:pPr>
              <w:jc w:val="right"/>
              <w:spacing w:after="0" w:line="182" w:lineRule="exact"/>
              <w:rPr>
                <w:rFonts w:ascii="Arial" w:cs="Arial" w:eastAsia="Arial" w:hAnsi="Arial"/>
                <w:sz w:val="18"/>
                <w:szCs w:val="18"/>
                <w:color w:val="0000FF"/>
              </w:rPr>
            </w:pPr>
            <w:hyperlink w:anchor="page119">
              <w:r>
                <w:rPr>
                  <w:rFonts w:ascii="Arial" w:cs="Arial" w:eastAsia="Arial" w:hAnsi="Arial"/>
                  <w:sz w:val="18"/>
                  <w:szCs w:val="18"/>
                  <w:color w:val="0000FF"/>
                </w:rPr>
                <w:t>117</w:t>
              </w:r>
            </w:hyperlink>
          </w:p>
        </w:tc>
        <w:tc>
          <w:tcPr>
            <w:tcW w:w="0" w:type="dxa"/>
            <w:vAlign w:val="bottom"/>
          </w:tcPr>
          <w:p>
            <w:pPr>
              <w:spacing w:after="0"/>
              <w:rPr>
                <w:sz w:val="1"/>
                <w:szCs w:val="1"/>
                <w:color w:val="auto"/>
              </w:rPr>
            </w:pPr>
          </w:p>
        </w:tc>
      </w:tr>
      <w:tr>
        <w:trPr>
          <w:trHeight w:val="20"/>
        </w:trPr>
        <w:tc>
          <w:tcPr>
            <w:tcW w:w="2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1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ITEM 14</w:t>
            </w:r>
          </w:p>
        </w:tc>
        <w:tc>
          <w:tcPr>
            <w:tcW w:w="20" w:type="dxa"/>
            <w:vAlign w:val="bottom"/>
            <w:tcBorders>
              <w:bottom w:val="single" w:sz="8" w:color="auto"/>
            </w:tcBorders>
          </w:tcPr>
          <w:p>
            <w:pPr>
              <w:spacing w:after="0"/>
              <w:rPr>
                <w:sz w:val="19"/>
                <w:szCs w:val="19"/>
                <w:color w:val="auto"/>
              </w:rPr>
            </w:pPr>
          </w:p>
        </w:tc>
        <w:tc>
          <w:tcPr>
            <w:tcW w:w="8040" w:type="dxa"/>
            <w:vAlign w:val="bottom"/>
            <w:tcBorders>
              <w:bottom w:val="single" w:sz="8" w:color="auto"/>
            </w:tcBorders>
            <w:gridSpan w:val="9"/>
          </w:tcPr>
          <w:p>
            <w:pPr>
              <w:spacing w:after="0"/>
              <w:rPr>
                <w:rFonts w:ascii="Arial" w:cs="Arial" w:eastAsia="Arial" w:hAnsi="Arial"/>
                <w:sz w:val="18"/>
                <w:szCs w:val="18"/>
                <w:u w:val="single" w:color="auto"/>
                <w:color w:val="auto"/>
              </w:rPr>
            </w:pPr>
            <w:hyperlink w:anchor="page120">
              <w:r>
                <w:rPr>
                  <w:rFonts w:ascii="Arial" w:cs="Arial" w:eastAsia="Arial" w:hAnsi="Arial"/>
                  <w:sz w:val="18"/>
                  <w:szCs w:val="18"/>
                  <w:u w:val="single" w:color="auto"/>
                  <w:color w:val="auto"/>
                </w:rPr>
                <w:t>Principal Accounting Fees and Services</w:t>
              </w:r>
            </w:hyperlink>
          </w:p>
        </w:tc>
        <w:tc>
          <w:tcPr>
            <w:tcW w:w="1040" w:type="dxa"/>
            <w:vAlign w:val="bottom"/>
            <w:tcBorders>
              <w:bottom w:val="single" w:sz="8" w:color="auto"/>
            </w:tcBorders>
          </w:tcPr>
          <w:p>
            <w:pPr>
              <w:jc w:val="right"/>
              <w:spacing w:after="0"/>
              <w:rPr>
                <w:rFonts w:ascii="Arial" w:cs="Arial" w:eastAsia="Arial" w:hAnsi="Arial"/>
                <w:sz w:val="18"/>
                <w:szCs w:val="18"/>
                <w:color w:val="0000FF"/>
              </w:rPr>
            </w:pPr>
            <w:hyperlink w:anchor="page120">
              <w:r>
                <w:rPr>
                  <w:rFonts w:ascii="Arial" w:cs="Arial" w:eastAsia="Arial" w:hAnsi="Arial"/>
                  <w:sz w:val="18"/>
                  <w:szCs w:val="18"/>
                  <w:color w:val="0000FF"/>
                </w:rPr>
                <w:t>117</w:t>
              </w:r>
            </w:hyperlink>
          </w:p>
        </w:tc>
        <w:tc>
          <w:tcPr>
            <w:tcW w:w="0" w:type="dxa"/>
            <w:vAlign w:val="bottom"/>
          </w:tcPr>
          <w:p>
            <w:pPr>
              <w:spacing w:after="0"/>
              <w:rPr>
                <w:sz w:val="1"/>
                <w:szCs w:val="1"/>
                <w:color w:val="auto"/>
              </w:rPr>
            </w:pPr>
          </w:p>
        </w:tc>
      </w:tr>
      <w:tr>
        <w:trPr>
          <w:trHeight w:val="230"/>
        </w:trPr>
        <w:tc>
          <w:tcPr>
            <w:tcW w:w="2140" w:type="dxa"/>
            <w:vAlign w:val="bottom"/>
            <w:tcBorders>
              <w:bottom w:val="single" w:sz="8" w:color="DC202E"/>
            </w:tcBorders>
          </w:tcPr>
          <w:p>
            <w:pPr>
              <w:ind w:left="20"/>
              <w:spacing w:after="0"/>
              <w:rPr>
                <w:sz w:val="20"/>
                <w:szCs w:val="20"/>
                <w:color w:val="auto"/>
              </w:rPr>
            </w:pPr>
            <w:r>
              <w:rPr>
                <w:rFonts w:ascii="Arial" w:cs="Arial" w:eastAsia="Arial" w:hAnsi="Arial"/>
                <w:sz w:val="18"/>
                <w:szCs w:val="18"/>
                <w:b w:val="1"/>
                <w:bCs w:val="1"/>
                <w:color w:val="DC202E"/>
              </w:rPr>
              <w:t>Part IV.</w:t>
            </w:r>
          </w:p>
        </w:tc>
        <w:tc>
          <w:tcPr>
            <w:tcW w:w="20" w:type="dxa"/>
            <w:vAlign w:val="bottom"/>
            <w:tcBorders>
              <w:bottom w:val="single" w:sz="8" w:color="DC202E"/>
            </w:tcBorders>
          </w:tcPr>
          <w:p>
            <w:pPr>
              <w:spacing w:after="0"/>
              <w:rPr>
                <w:sz w:val="20"/>
                <w:szCs w:val="20"/>
                <w:color w:val="auto"/>
              </w:rPr>
            </w:pPr>
          </w:p>
        </w:tc>
        <w:tc>
          <w:tcPr>
            <w:tcW w:w="600" w:type="dxa"/>
            <w:vAlign w:val="bottom"/>
            <w:tcBorders>
              <w:bottom w:val="single" w:sz="8" w:color="DC202E"/>
            </w:tcBorders>
          </w:tcPr>
          <w:p>
            <w:pPr>
              <w:spacing w:after="0"/>
              <w:rPr>
                <w:sz w:val="20"/>
                <w:szCs w:val="20"/>
                <w:color w:val="auto"/>
              </w:rPr>
            </w:pPr>
          </w:p>
        </w:tc>
        <w:tc>
          <w:tcPr>
            <w:tcW w:w="220" w:type="dxa"/>
            <w:vAlign w:val="bottom"/>
            <w:tcBorders>
              <w:bottom w:val="single" w:sz="8" w:color="DC202E"/>
            </w:tcBorders>
          </w:tcPr>
          <w:p>
            <w:pPr>
              <w:spacing w:after="0"/>
              <w:rPr>
                <w:sz w:val="20"/>
                <w:szCs w:val="20"/>
                <w:color w:val="auto"/>
              </w:rPr>
            </w:pPr>
          </w:p>
        </w:tc>
        <w:tc>
          <w:tcPr>
            <w:tcW w:w="520" w:type="dxa"/>
            <w:vAlign w:val="bottom"/>
            <w:tcBorders>
              <w:bottom w:val="single" w:sz="8" w:color="DC202E"/>
            </w:tcBorders>
          </w:tcPr>
          <w:p>
            <w:pPr>
              <w:spacing w:after="0"/>
              <w:rPr>
                <w:sz w:val="20"/>
                <w:szCs w:val="20"/>
                <w:color w:val="auto"/>
              </w:rPr>
            </w:pPr>
          </w:p>
        </w:tc>
        <w:tc>
          <w:tcPr>
            <w:tcW w:w="2460" w:type="dxa"/>
            <w:vAlign w:val="bottom"/>
            <w:tcBorders>
              <w:bottom w:val="single" w:sz="8" w:color="DC202E"/>
            </w:tcBorders>
          </w:tcPr>
          <w:p>
            <w:pPr>
              <w:spacing w:after="0"/>
              <w:rPr>
                <w:sz w:val="20"/>
                <w:szCs w:val="20"/>
                <w:color w:val="auto"/>
              </w:rPr>
            </w:pPr>
          </w:p>
        </w:tc>
        <w:tc>
          <w:tcPr>
            <w:tcW w:w="700" w:type="dxa"/>
            <w:vAlign w:val="bottom"/>
            <w:tcBorders>
              <w:bottom w:val="single" w:sz="8" w:color="DC202E"/>
            </w:tcBorders>
          </w:tcPr>
          <w:p>
            <w:pPr>
              <w:spacing w:after="0"/>
              <w:rPr>
                <w:sz w:val="20"/>
                <w:szCs w:val="20"/>
                <w:color w:val="auto"/>
              </w:rPr>
            </w:pPr>
          </w:p>
        </w:tc>
        <w:tc>
          <w:tcPr>
            <w:tcW w:w="1580" w:type="dxa"/>
            <w:vAlign w:val="bottom"/>
            <w:tcBorders>
              <w:bottom w:val="single" w:sz="8" w:color="DC202E"/>
            </w:tcBorders>
          </w:tcPr>
          <w:p>
            <w:pPr>
              <w:spacing w:after="0"/>
              <w:rPr>
                <w:sz w:val="20"/>
                <w:szCs w:val="20"/>
                <w:color w:val="auto"/>
              </w:rPr>
            </w:pPr>
          </w:p>
        </w:tc>
        <w:tc>
          <w:tcPr>
            <w:tcW w:w="1280" w:type="dxa"/>
            <w:vAlign w:val="bottom"/>
            <w:tcBorders>
              <w:bottom w:val="single" w:sz="8" w:color="DC202E"/>
            </w:tcBorders>
          </w:tcPr>
          <w:p>
            <w:pPr>
              <w:spacing w:after="0"/>
              <w:rPr>
                <w:sz w:val="20"/>
                <w:szCs w:val="20"/>
                <w:color w:val="auto"/>
              </w:rPr>
            </w:pPr>
          </w:p>
        </w:tc>
        <w:tc>
          <w:tcPr>
            <w:tcW w:w="120" w:type="dxa"/>
            <w:vAlign w:val="bottom"/>
            <w:tcBorders>
              <w:bottom w:val="single" w:sz="8" w:color="DC202E"/>
            </w:tcBorders>
          </w:tcPr>
          <w:p>
            <w:pPr>
              <w:spacing w:after="0"/>
              <w:rPr>
                <w:sz w:val="20"/>
                <w:szCs w:val="20"/>
                <w:color w:val="auto"/>
              </w:rPr>
            </w:pPr>
          </w:p>
        </w:tc>
        <w:tc>
          <w:tcPr>
            <w:tcW w:w="560" w:type="dxa"/>
            <w:vAlign w:val="bottom"/>
            <w:tcBorders>
              <w:bottom w:val="single" w:sz="8" w:color="DC202E"/>
            </w:tcBorders>
          </w:tcPr>
          <w:p>
            <w:pPr>
              <w:spacing w:after="0"/>
              <w:rPr>
                <w:sz w:val="20"/>
                <w:szCs w:val="20"/>
                <w:color w:val="auto"/>
              </w:rPr>
            </w:pPr>
          </w:p>
        </w:tc>
        <w:tc>
          <w:tcPr>
            <w:tcW w:w="1040" w:type="dxa"/>
            <w:vAlign w:val="bottom"/>
            <w:tcBorders>
              <w:bottom w:val="single" w:sz="8" w:color="DC202E"/>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1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ITEM 15</w:t>
            </w:r>
          </w:p>
        </w:tc>
        <w:tc>
          <w:tcPr>
            <w:tcW w:w="20" w:type="dxa"/>
            <w:vAlign w:val="bottom"/>
            <w:tcBorders>
              <w:bottom w:val="single" w:sz="8" w:color="auto"/>
            </w:tcBorders>
          </w:tcPr>
          <w:p>
            <w:pPr>
              <w:spacing w:after="0"/>
              <w:rPr>
                <w:sz w:val="19"/>
                <w:szCs w:val="19"/>
                <w:color w:val="auto"/>
              </w:rPr>
            </w:pPr>
          </w:p>
        </w:tc>
        <w:tc>
          <w:tcPr>
            <w:tcW w:w="8040" w:type="dxa"/>
            <w:vAlign w:val="bottom"/>
            <w:tcBorders>
              <w:bottom w:val="single" w:sz="8" w:color="auto"/>
            </w:tcBorders>
            <w:gridSpan w:val="9"/>
          </w:tcPr>
          <w:p>
            <w:pPr>
              <w:spacing w:after="0"/>
              <w:rPr>
                <w:rFonts w:ascii="Arial" w:cs="Arial" w:eastAsia="Arial" w:hAnsi="Arial"/>
                <w:sz w:val="18"/>
                <w:szCs w:val="18"/>
                <w:u w:val="single" w:color="auto"/>
                <w:color w:val="auto"/>
              </w:rPr>
            </w:pPr>
            <w:hyperlink w:anchor="page120">
              <w:r>
                <w:rPr>
                  <w:rFonts w:ascii="Arial" w:cs="Arial" w:eastAsia="Arial" w:hAnsi="Arial"/>
                  <w:sz w:val="18"/>
                  <w:szCs w:val="18"/>
                  <w:u w:val="single" w:color="auto"/>
                  <w:color w:val="auto"/>
                </w:rPr>
                <w:t>Exhibits and Financial Statement Schedules</w:t>
              </w:r>
            </w:hyperlink>
          </w:p>
        </w:tc>
        <w:tc>
          <w:tcPr>
            <w:tcW w:w="1040" w:type="dxa"/>
            <w:vAlign w:val="bottom"/>
            <w:tcBorders>
              <w:bottom w:val="single" w:sz="8" w:color="auto"/>
            </w:tcBorders>
          </w:tcPr>
          <w:p>
            <w:pPr>
              <w:jc w:val="right"/>
              <w:spacing w:after="0"/>
              <w:rPr>
                <w:rFonts w:ascii="Arial" w:cs="Arial" w:eastAsia="Arial" w:hAnsi="Arial"/>
                <w:sz w:val="18"/>
                <w:szCs w:val="18"/>
                <w:color w:val="0000FF"/>
              </w:rPr>
            </w:pPr>
            <w:hyperlink w:anchor="page120">
              <w:r>
                <w:rPr>
                  <w:rFonts w:ascii="Arial" w:cs="Arial" w:eastAsia="Arial" w:hAnsi="Arial"/>
                  <w:sz w:val="18"/>
                  <w:szCs w:val="18"/>
                  <w:color w:val="0000FF"/>
                </w:rPr>
                <w:t>117</w:t>
              </w:r>
            </w:hyperlink>
          </w:p>
        </w:tc>
        <w:tc>
          <w:tcPr>
            <w:tcW w:w="0" w:type="dxa"/>
            <w:vAlign w:val="bottom"/>
          </w:tcPr>
          <w:p>
            <w:pPr>
              <w:spacing w:after="0"/>
              <w:rPr>
                <w:sz w:val="1"/>
                <w:szCs w:val="1"/>
                <w:color w:val="auto"/>
              </w:rPr>
            </w:pPr>
          </w:p>
        </w:tc>
      </w:tr>
      <w:tr>
        <w:trPr>
          <w:trHeight w:val="223"/>
        </w:trPr>
        <w:tc>
          <w:tcPr>
            <w:tcW w:w="21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ITEM 16</w:t>
            </w:r>
          </w:p>
        </w:tc>
        <w:tc>
          <w:tcPr>
            <w:tcW w:w="20" w:type="dxa"/>
            <w:vAlign w:val="bottom"/>
            <w:tcBorders>
              <w:bottom w:val="single" w:sz="8" w:color="auto"/>
            </w:tcBorders>
          </w:tcPr>
          <w:p>
            <w:pPr>
              <w:spacing w:after="0"/>
              <w:rPr>
                <w:sz w:val="19"/>
                <w:szCs w:val="19"/>
                <w:color w:val="auto"/>
              </w:rPr>
            </w:pPr>
          </w:p>
        </w:tc>
        <w:tc>
          <w:tcPr>
            <w:tcW w:w="8040" w:type="dxa"/>
            <w:vAlign w:val="bottom"/>
            <w:tcBorders>
              <w:bottom w:val="single" w:sz="8" w:color="auto"/>
            </w:tcBorders>
            <w:gridSpan w:val="9"/>
          </w:tcPr>
          <w:p>
            <w:pPr>
              <w:spacing w:after="0"/>
              <w:rPr>
                <w:rFonts w:ascii="Arial" w:cs="Arial" w:eastAsia="Arial" w:hAnsi="Arial"/>
                <w:sz w:val="18"/>
                <w:szCs w:val="18"/>
                <w:u w:val="single" w:color="auto"/>
                <w:color w:val="auto"/>
              </w:rPr>
            </w:pPr>
            <w:hyperlink w:anchor="page120">
              <w:r>
                <w:rPr>
                  <w:rFonts w:ascii="Arial" w:cs="Arial" w:eastAsia="Arial" w:hAnsi="Arial"/>
                  <w:sz w:val="18"/>
                  <w:szCs w:val="18"/>
                  <w:u w:val="single" w:color="auto"/>
                  <w:color w:val="auto"/>
                </w:rPr>
                <w:t>Form 10-K Summary</w:t>
              </w:r>
            </w:hyperlink>
          </w:p>
        </w:tc>
        <w:tc>
          <w:tcPr>
            <w:tcW w:w="1040" w:type="dxa"/>
            <w:vAlign w:val="bottom"/>
            <w:tcBorders>
              <w:bottom w:val="single" w:sz="8" w:color="auto"/>
            </w:tcBorders>
          </w:tcPr>
          <w:p>
            <w:pPr>
              <w:jc w:val="right"/>
              <w:spacing w:after="0"/>
              <w:rPr>
                <w:rFonts w:ascii="Arial" w:cs="Arial" w:eastAsia="Arial" w:hAnsi="Arial"/>
                <w:sz w:val="18"/>
                <w:szCs w:val="18"/>
                <w:color w:val="0000FF"/>
              </w:rPr>
            </w:pPr>
            <w:hyperlink w:anchor="page120">
              <w:r>
                <w:rPr>
                  <w:rFonts w:ascii="Arial" w:cs="Arial" w:eastAsia="Arial" w:hAnsi="Arial"/>
                  <w:sz w:val="18"/>
                  <w:szCs w:val="18"/>
                  <w:color w:val="0000FF"/>
                </w:rPr>
                <w:t>117</w:t>
              </w:r>
            </w:hyperlink>
          </w:p>
        </w:tc>
        <w:tc>
          <w:tcPr>
            <w:tcW w:w="0" w:type="dxa"/>
            <w:vAlign w:val="bottom"/>
          </w:tcPr>
          <w:p>
            <w:pPr>
              <w:spacing w:after="0"/>
              <w:rPr>
                <w:sz w:val="1"/>
                <w:szCs w:val="1"/>
                <w:color w:val="auto"/>
              </w:rPr>
            </w:pPr>
          </w:p>
        </w:tc>
      </w:tr>
      <w:tr>
        <w:trPr>
          <w:trHeight w:val="223"/>
        </w:trPr>
        <w:tc>
          <w:tcPr>
            <w:tcW w:w="21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40" w:type="dxa"/>
            <w:vAlign w:val="bottom"/>
            <w:tcBorders>
              <w:bottom w:val="single" w:sz="8" w:color="auto"/>
            </w:tcBorders>
            <w:gridSpan w:val="9"/>
          </w:tcPr>
          <w:p>
            <w:pPr>
              <w:spacing w:after="0"/>
              <w:rPr>
                <w:rFonts w:ascii="Arial" w:cs="Arial" w:eastAsia="Arial" w:hAnsi="Arial"/>
                <w:sz w:val="18"/>
                <w:szCs w:val="18"/>
                <w:u w:val="single" w:color="auto"/>
                <w:color w:val="auto"/>
              </w:rPr>
            </w:pPr>
            <w:hyperlink w:anchor="page125">
              <w:r>
                <w:rPr>
                  <w:rFonts w:ascii="Arial" w:cs="Arial" w:eastAsia="Arial" w:hAnsi="Arial"/>
                  <w:sz w:val="18"/>
                  <w:szCs w:val="18"/>
                  <w:u w:val="single" w:color="auto"/>
                  <w:color w:val="auto"/>
                </w:rPr>
                <w:t>Signatures</w:t>
              </w:r>
            </w:hyperlink>
          </w:p>
        </w:tc>
        <w:tc>
          <w:tcPr>
            <w:tcW w:w="1040" w:type="dxa"/>
            <w:vAlign w:val="bottom"/>
            <w:tcBorders>
              <w:bottom w:val="single" w:sz="8" w:color="auto"/>
            </w:tcBorders>
          </w:tcPr>
          <w:p>
            <w:pPr>
              <w:jc w:val="right"/>
              <w:spacing w:after="0"/>
              <w:rPr>
                <w:rFonts w:ascii="Arial" w:cs="Arial" w:eastAsia="Arial" w:hAnsi="Arial"/>
                <w:sz w:val="18"/>
                <w:szCs w:val="18"/>
                <w:color w:val="0000FF"/>
              </w:rPr>
            </w:pPr>
            <w:hyperlink w:anchor="page125">
              <w:r>
                <w:rPr>
                  <w:rFonts w:ascii="Arial" w:cs="Arial" w:eastAsia="Arial" w:hAnsi="Arial"/>
                  <w:sz w:val="18"/>
                  <w:szCs w:val="18"/>
                  <w:color w:val="0000FF"/>
                </w:rPr>
                <w:t>123</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DC202E"/>
        </w:rPr>
        <w:t xml:space="preserve">124 </w:t>
      </w:r>
      <w:r>
        <w:rPr>
          <w:rFonts w:ascii="Arial" w:cs="Arial" w:eastAsia="Arial" w:hAnsi="Arial"/>
          <w:sz w:val="18"/>
          <w:szCs w:val="18"/>
          <w:color w:val="000000"/>
        </w:rPr>
        <w:t>Honeywell International, Inc.</w:t>
      </w:r>
    </w:p>
    <w:p>
      <w:pPr>
        <w:sectPr>
          <w:pgSz w:w="11900" w:h="16838" w:orient="portrait"/>
          <w:cols w:equalWidth="0" w:num="1">
            <w:col w:w="11240"/>
          </w:cols>
          <w:pgMar w:left="320" w:top="1085" w:right="3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4.2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REGISTRANT’S SECURITIES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December 31, 2020, Honeywell International Inc. had five classes of securities registered under Section 12 of the Securities Exchange Act of 1934, as amended (the “Exchange Act”): (1) our Common Stock; (2) our 1.300% Senior Notes due 2023; (3) our 0.000% Senior Notes due 2024; (4) our 2.250% Senior Notes due 2028; and (5) our 0.750% Senior Notes due 2032.</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Common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39"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As of the date of this filing, we are authorized to issue up to 2,000,000,000 shares of common stock. As of December 31, 2020, we had approximately 958 million shares of common stock issued (including approximately 261 million shares held in treasury). EQ Shareowner Services, a division of Equiniti Trust Company, is the transfer agent and registrar for our common stock. Shares of common stock are listed on the New York Stock Exchange and the London Stock Exchange under the symbol “HON.”</w:t>
      </w:r>
    </w:p>
    <w:p>
      <w:pPr>
        <w:spacing w:after="0" w:line="96"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8"/>
          <w:szCs w:val="18"/>
          <w:color w:val="auto"/>
        </w:rPr>
        <w:t>The following summary is not complete. You should refer to the applicable provision of Honeywell’s charter and by-laws, each of which are incorporated by reference as an exhibit to the Annual Report on Form 10-K of which this Exhibit 4.2 is a part, and to Delaware corporate law for a complete statement of the terms and rights of our common stock.</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39"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18"/>
          <w:szCs w:val="18"/>
          <w:color w:val="auto"/>
        </w:rPr>
        <w:t>Holders of common stock are entitled to receive dividends when, as and if declared by the board of directors, out of funds legally available for their payment, subject to the rights of holders of any preferred stock outstanding.</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139"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Each holder of common stock is entitled to one vote per share. Subject to any rights of the holders of any series of preferred stock pursuant to applicable law or the provision of the certificate of designations creating that series, all voting rights are vested in the holders of shares of common stock. Holders of shares of common stock have noncumulative voting rights, which means that the holders of more than 50% of the shares voting for the election of directors can elect 100% of the directors, and the holders of the remaining shares voting for the election of directors will not be able to elect any directors.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Upon Liquidation</w:t>
      </w:r>
    </w:p>
    <w:p>
      <w:pPr>
        <w:spacing w:after="0" w:line="139"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8"/>
          <w:szCs w:val="18"/>
          <w:color w:val="auto"/>
        </w:rPr>
        <w:t>In the event of Honeywell’s voluntary or involuntary liquidation, dissolution or winding up, the holders of common stock will be entitled to share equally in any of Honeywell’s assets available for distribution after the payment in full of all debts and distributions and after the holders of any series of outstanding preferred stock have received their liquidation preferences in full.</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Rights</w:t>
      </w:r>
    </w:p>
    <w:p>
      <w:pPr>
        <w:spacing w:after="0" w:line="139"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Holders of shares of common stock are not entitled to preemptive rights. Shares of common stock are not convertible into shares of any other class of capital stock. If we merge or consolidate with or into another company and as a result our common stock is converted into or exchangeable for shares of stock, other securities or property (including cash), all holders of common stock will be entitled to receive the same kind and amount of consideration per share of common stock.</w:t>
      </w:r>
    </w:p>
    <w:p>
      <w:pPr>
        <w:sectPr>
          <w:pgSz w:w="11900" w:h="16838" w:orient="portrait"/>
          <w:cols w:equalWidth="0" w:num="1">
            <w:col w:w="11240"/>
          </w:cols>
          <w:pgMar w:left="320" w:top="1413" w:right="339" w:bottom="1440" w:gutter="0" w:footer="0" w:header="0"/>
        </w:sectPr>
      </w:pPr>
    </w:p>
    <w:bookmarkStart w:id="128" w:name="page129"/>
    <w:bookmarkEnd w:id="128"/>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Possible Anti-Takeover Provisions</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Honeywell’s charter and by-laws provide:</w:t>
      </w:r>
    </w:p>
    <w:p>
      <w:pPr>
        <w:spacing w:after="0" w:line="117" w:lineRule="exact"/>
        <w:rPr>
          <w:sz w:val="20"/>
          <w:szCs w:val="20"/>
          <w:color w:val="auto"/>
        </w:rPr>
      </w:pPr>
    </w:p>
    <w:p>
      <w:pPr>
        <w:jc w:val="both"/>
        <w:ind w:left="660" w:hanging="328"/>
        <w:spacing w:after="0" w:line="256"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that the board of directors may establish the number of seats on the board, subject to the right of preferred stockholders to elect directors in certain circumstances and shareowners’ rights to set the number of seats upon the vote of holders of a majority of the outstanding shares of common stock;</w:t>
      </w:r>
    </w:p>
    <w:p>
      <w:pPr>
        <w:spacing w:after="0" w:line="93"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that vacancies on the board of directors other than at the annual meeting are filled by a vote of the remaining directors;</w:t>
      </w:r>
    </w:p>
    <w:p>
      <w:pPr>
        <w:spacing w:after="0" w:line="117"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that special meetings of shareowners generally may be called only by the chief executive officer, by a majority of the authorized number of directors, or by the holders of not less than fifteen percent of the outstanding shares of Honeywell’s common stock (excluding derivatives);</w:t>
      </w:r>
    </w:p>
    <w:p>
      <w:pPr>
        <w:spacing w:after="0" w:line="93"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that action may be taken by shareowners only at annual or special meetings and not by written consent;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that advance notice must be given to Honeywell for a shareowner to nominate directors for election at a shareowner meeting; and</w:t>
      </w:r>
    </w:p>
    <w:p>
      <w:pPr>
        <w:spacing w:after="0" w:line="117"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that the board of directors may in limited circumstances, without stockholder approval, adopt a plan to provide for the distribution to stockholders of preferred stock or certain other securities upon the occurrence of certain triggering events (but any such plan adopted without stockholder approval must expire within one year of adoption unless ratified by the stockholders).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Any of these provisions could delay, deter or prevent a tender offer for or attempted takeover of Honeywell.</w:t>
      </w:r>
    </w:p>
    <w:p>
      <w:pPr>
        <w:spacing w:after="0" w:line="117"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8"/>
          <w:szCs w:val="18"/>
          <w:color w:val="auto"/>
        </w:rPr>
        <w:t>Our charter permits us to issue up to 40,000,000 shares of preferred stock with terms that may be set by our board of directors or a committee of the board. That preferred stock could have terms that could delay, deter or prevent a tender offer or takeover attempt of Honeywell.</w:t>
      </w:r>
    </w:p>
    <w:p>
      <w:pPr>
        <w:spacing w:after="0" w:line="94"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18"/>
          <w:szCs w:val="18"/>
          <w:color w:val="auto"/>
        </w:rPr>
        <w:t>Under Delaware law, an acquirer of 15% or more of our shares of stock must wait three years before a business combination with us unless one of the following exceptions is available:</w:t>
      </w:r>
    </w:p>
    <w:p>
      <w:pPr>
        <w:spacing w:after="0" w:line="90"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approval by our board of directors prior to the time the acquirer became a 15% shareowner of Honeywell;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acquisition of at least 85% of our voting stock in the transaction in which the acquirer became a 15% shareowner of Honeywell; or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approval of the business combination by our board of directors and two-thirds of our disinterested shareowners.</w:t>
      </w:r>
    </w:p>
    <w:p>
      <w:pPr>
        <w:spacing w:after="0" w:line="117"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8"/>
          <w:szCs w:val="18"/>
          <w:color w:val="auto"/>
        </w:rPr>
        <w:t>Honeywell’s by-laws provide that, unless Honeywell consents in writing to the selection of an alternative forum, a state or federal court located within the State of Delaware will be the sole and exclusive forum for (i) any derivative action or proceeding brought on behalf of Honeywell, (ii) any action asserting a claim of breach of a fiduciary duty owed by any director, officer or other employee of Honeywell to Honeywell or Honeywell’s stockholders, (iii) any action asserting a claim arising pursuant to any provision of the Delaware General Corporation Law or (iv) any action asserting a claim governed by the internal affairs doctrine. Honeywell’s by-laws also provide that any person or entity purchasing or otherwise acquiring any interest in shares of capital stock of Honeywell will be deemed to have notice of and consented to the exclusive forum provisions described above.</w:t>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Debt Securities</w:t>
      </w:r>
    </w:p>
    <w:p>
      <w:pPr>
        <w:spacing w:after="0" w:line="121" w:lineRule="exact"/>
        <w:rPr>
          <w:sz w:val="20"/>
          <w:szCs w:val="20"/>
          <w:color w:val="auto"/>
        </w:rPr>
      </w:pPr>
    </w:p>
    <w:p>
      <w:pPr>
        <w:jc w:val="both"/>
        <w:ind w:firstLine="342"/>
        <w:spacing w:after="0" w:line="256" w:lineRule="auto"/>
        <w:rPr>
          <w:sz w:val="20"/>
          <w:szCs w:val="20"/>
          <w:color w:val="auto"/>
        </w:rPr>
      </w:pPr>
      <w:r>
        <w:rPr>
          <w:rFonts w:ascii="Arial" w:cs="Arial" w:eastAsia="Arial" w:hAnsi="Arial"/>
          <w:sz w:val="18"/>
          <w:szCs w:val="18"/>
          <w:i w:val="1"/>
          <w:iCs w:val="1"/>
          <w:color w:val="auto"/>
        </w:rPr>
        <w:t>The following description of certain material terms of our 1.300% Senior Notes due 2023 (the “2023 notes”), our 0.000% Senior Notes due 2024 (the “2024 notes”), our 2.250% Senior Notes due 2028 (the “2028 notes”), and our 0.750% Senior Notes due 2032 (the “2032 notes”) (collectively referred to in this exhibit as the “debt securities”) does not purport to be complete. The following description is subject to, and is qualified in its entirety by reference to the debt securities and the indenture between us and Deutsche Bank Trust Company Americas, as trustee, dated March 1, 2007 (as may be amended, supplemented or amended and restated from time to time) (the “indenture”). Terms used that are otherwise not defined have the meanings given to them in the indenture.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39" w:lineRule="exact"/>
        <w:rPr>
          <w:sz w:val="20"/>
          <w:szCs w:val="20"/>
          <w:color w:val="auto"/>
        </w:rPr>
      </w:pPr>
    </w:p>
    <w:p>
      <w:pPr>
        <w:jc w:val="both"/>
        <w:ind w:firstLine="342"/>
        <w:spacing w:after="0" w:line="256" w:lineRule="auto"/>
        <w:rPr>
          <w:sz w:val="20"/>
          <w:szCs w:val="20"/>
          <w:color w:val="auto"/>
        </w:rPr>
      </w:pPr>
      <w:r>
        <w:rPr>
          <w:rFonts w:ascii="Arial" w:cs="Arial" w:eastAsia="Arial" w:hAnsi="Arial"/>
          <w:sz w:val="18"/>
          <w:szCs w:val="18"/>
          <w:color w:val="auto"/>
        </w:rPr>
        <w:t>We have outstanding €1.25 billion aggregate principal amount of our 1.300% Senior Notes due 2023, €500 million aggregate principal amount of our 0.000% Senior Notes due 2024, €750 million aggregate principal amount of our 2.250% Senior Notes due 2028, and €500 million aggregate principal amount of our 0.75% Senior Notes due 2032, which securities are listed on the New York Stock Exchange.</w:t>
      </w:r>
    </w:p>
    <w:p>
      <w:pPr>
        <w:spacing w:after="0" w:line="94" w:lineRule="exact"/>
        <w:rPr>
          <w:sz w:val="20"/>
          <w:szCs w:val="20"/>
          <w:color w:val="auto"/>
        </w:rPr>
      </w:pPr>
    </w:p>
    <w:p>
      <w:pPr>
        <w:jc w:val="both"/>
        <w:ind w:firstLine="342"/>
        <w:spacing w:after="0" w:line="256" w:lineRule="auto"/>
        <w:rPr>
          <w:sz w:val="20"/>
          <w:szCs w:val="20"/>
          <w:color w:val="auto"/>
        </w:rPr>
      </w:pPr>
      <w:r>
        <w:rPr>
          <w:rFonts w:ascii="Arial" w:cs="Arial" w:eastAsia="Arial" w:hAnsi="Arial"/>
          <w:sz w:val="18"/>
          <w:szCs w:val="18"/>
          <w:color w:val="auto"/>
        </w:rPr>
        <w:t>Each series of the debt securities was issued as separate series under an indenture dated March 1, 2007 (the “indenture”) between us and Deutsche Bank Trust Company Americas, as trustee. The 2023 notes will mature on February 22, 2023, the 2024 notes will mature on March 10, 2024, the 2028 notes will mature on February 22, 2028, and the 2032 notes will mature on March 10, 2032.</w:t>
      </w:r>
    </w:p>
    <w:p>
      <w:pPr>
        <w:spacing w:after="0" w:line="94" w:lineRule="exact"/>
        <w:rPr>
          <w:sz w:val="20"/>
          <w:szCs w:val="20"/>
          <w:color w:val="auto"/>
        </w:rPr>
      </w:pPr>
    </w:p>
    <w:p>
      <w:pPr>
        <w:jc w:val="both"/>
        <w:ind w:firstLine="342"/>
        <w:spacing w:after="0" w:line="261" w:lineRule="auto"/>
        <w:rPr>
          <w:sz w:val="20"/>
          <w:szCs w:val="20"/>
          <w:color w:val="auto"/>
        </w:rPr>
      </w:pPr>
      <w:r>
        <w:rPr>
          <w:rFonts w:ascii="Arial" w:cs="Arial" w:eastAsia="Arial" w:hAnsi="Arial"/>
          <w:sz w:val="18"/>
          <w:szCs w:val="18"/>
          <w:color w:val="auto"/>
        </w:rPr>
        <w:t>The debt securities are issued only in registered, book-entry form without interest coupons in minimum denominations of €100,000 and integral multiples of €1,000 in excess thereof.</w:t>
      </w:r>
    </w:p>
    <w:p>
      <w:pPr>
        <w:spacing w:after="0" w:line="9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debt securities are not subject to a sinking fund.</w:t>
      </w:r>
    </w:p>
    <w:p>
      <w:pPr>
        <w:spacing w:after="0" w:line="117" w:lineRule="exact"/>
        <w:rPr>
          <w:sz w:val="20"/>
          <w:szCs w:val="20"/>
          <w:color w:val="auto"/>
        </w:rPr>
      </w:pPr>
    </w:p>
    <w:p>
      <w:pPr>
        <w:jc w:val="both"/>
        <w:ind w:firstLine="342"/>
        <w:spacing w:after="0" w:line="256" w:lineRule="auto"/>
        <w:rPr>
          <w:sz w:val="20"/>
          <w:szCs w:val="20"/>
          <w:color w:val="auto"/>
        </w:rPr>
      </w:pPr>
      <w:r>
        <w:rPr>
          <w:rFonts w:ascii="Arial" w:cs="Arial" w:eastAsia="Arial" w:hAnsi="Arial"/>
          <w:sz w:val="18"/>
          <w:szCs w:val="18"/>
          <w:color w:val="auto"/>
        </w:rPr>
        <w:t>The term “business day” means any day, other than a Saturday or Sunday, (1) which is not a day on which banking institutions in The City of New York or The City of London are authorized or required by law or executive order to close and (2) on which the Trans-European Automated Real-time Gross Settlement Express Transfer system (the TARGET2 system), or any successor thereto, operates.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139" w:lineRule="exact"/>
        <w:rPr>
          <w:sz w:val="20"/>
          <w:szCs w:val="20"/>
          <w:color w:val="auto"/>
        </w:rPr>
      </w:pPr>
    </w:p>
    <w:p>
      <w:pPr>
        <w:jc w:val="both"/>
        <w:ind w:firstLine="342"/>
        <w:spacing w:after="0" w:line="252" w:lineRule="auto"/>
        <w:rPr>
          <w:sz w:val="20"/>
          <w:szCs w:val="20"/>
          <w:color w:val="auto"/>
        </w:rPr>
      </w:pPr>
      <w:r>
        <w:rPr>
          <w:rFonts w:ascii="Arial" w:cs="Arial" w:eastAsia="Arial" w:hAnsi="Arial"/>
          <w:sz w:val="18"/>
          <w:szCs w:val="18"/>
          <w:color w:val="auto"/>
        </w:rPr>
        <w:t>Except as described below with respect to any series of debt securities, we are not restricted by the indenture from incurring, assuming or becoming liable for any type of debt or other obligations, from paying dividends or making distributions on our capital stock or purchasing or redeeming our capital stock. The indenture does not require the maintenance of any financial ratios or specified levels of net worth or liquidity. In addition, with certain exceptions, the indenture does not contain any covenants or other provisions that would limit our right to incur additional indebtedness. The indenture does not contain any provisions that would require us to repurchase or redeem or otherwise modify the terms of any of the debt securities upon a change in control or other events that may adversely affect the creditworthiness of the debt securities, such as for example, a highly leveraged transaction.</w:t>
      </w:r>
    </w:p>
    <w:p>
      <w:pPr>
        <w:spacing w:after="0" w:line="99" w:lineRule="exact"/>
        <w:rPr>
          <w:sz w:val="20"/>
          <w:szCs w:val="20"/>
          <w:color w:val="auto"/>
        </w:rPr>
      </w:pPr>
    </w:p>
    <w:p>
      <w:pPr>
        <w:jc w:val="both"/>
        <w:ind w:firstLine="342"/>
        <w:spacing w:after="0" w:line="261" w:lineRule="auto"/>
        <w:rPr>
          <w:sz w:val="20"/>
          <w:szCs w:val="20"/>
          <w:color w:val="auto"/>
        </w:rPr>
      </w:pPr>
      <w:r>
        <w:rPr>
          <w:rFonts w:ascii="Arial" w:cs="Arial" w:eastAsia="Arial" w:hAnsi="Arial"/>
          <w:sz w:val="18"/>
          <w:szCs w:val="18"/>
          <w:color w:val="auto"/>
        </w:rPr>
        <w:t>Covenants contained in the indenture, which are summarized below, are applicable to each series of debt securities so long as any of the debt securities of that series are outstanding.</w:t>
      </w:r>
    </w:p>
    <w:p>
      <w:pPr>
        <w:spacing w:after="0" w:line="72" w:lineRule="exact"/>
        <w:rPr>
          <w:sz w:val="20"/>
          <w:szCs w:val="20"/>
          <w:color w:val="auto"/>
        </w:rPr>
      </w:pPr>
    </w:p>
    <w:p>
      <w:pPr>
        <w:jc w:val="both"/>
        <w:ind w:firstLine="342"/>
        <w:spacing w:after="0" w:line="282" w:lineRule="auto"/>
        <w:rPr>
          <w:sz w:val="20"/>
          <w:szCs w:val="20"/>
          <w:color w:val="auto"/>
        </w:rPr>
      </w:pPr>
      <w:r>
        <w:rPr>
          <w:rFonts w:ascii="Arial" w:cs="Arial" w:eastAsia="Arial" w:hAnsi="Arial"/>
          <w:sz w:val="18"/>
          <w:szCs w:val="18"/>
          <w:i w:val="1"/>
          <w:iCs w:val="1"/>
          <w:color w:val="auto"/>
        </w:rPr>
        <w:t xml:space="preserve">Limitation on Mortgages. </w:t>
      </w:r>
      <w:r>
        <w:rPr>
          <w:rFonts w:ascii="Arial" w:cs="Arial" w:eastAsia="Arial" w:hAnsi="Arial"/>
          <w:sz w:val="18"/>
          <w:szCs w:val="18"/>
          <w:color w:val="auto"/>
        </w:rPr>
        <w:t>In the indenture, we covenant not to issue, assume or guarantee any indebtedness for borrowed money</w:t>
      </w:r>
      <w:r>
        <w:rPr>
          <w:rFonts w:ascii="Arial" w:cs="Arial" w:eastAsia="Arial" w:hAnsi="Arial"/>
          <w:sz w:val="18"/>
          <w:szCs w:val="18"/>
          <w:i w:val="1"/>
          <w:iCs w:val="1"/>
          <w:color w:val="auto"/>
        </w:rPr>
        <w:t xml:space="preserve"> </w:t>
      </w:r>
      <w:r>
        <w:rPr>
          <w:rFonts w:ascii="Arial" w:cs="Arial" w:eastAsia="Arial" w:hAnsi="Arial"/>
          <w:sz w:val="18"/>
          <w:szCs w:val="18"/>
          <w:color w:val="auto"/>
        </w:rPr>
        <w:t>secured by liens on:</w:t>
      </w:r>
    </w:p>
    <w:p>
      <w:pPr>
        <w:spacing w:after="0" w:line="72"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property located in the United States which is in the opinion of our board of directors, a principal manufacturing property; or</w:t>
      </w:r>
    </w:p>
    <w:p>
      <w:pPr>
        <w:spacing w:after="0" w:line="11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shares of capital stock or indebtedness of any subsidiary owning such property, without equally and ratably securing the debt securities, subject to exceptions specified in the indenture. These exceptions include:</w:t>
      </w:r>
    </w:p>
    <w:p>
      <w:pPr>
        <w:spacing w:after="0" w:line="89" w:lineRule="exact"/>
        <w:rPr>
          <w:rFonts w:ascii="Arial" w:cs="Arial" w:eastAsia="Arial" w:hAnsi="Arial"/>
          <w:sz w:val="18"/>
          <w:szCs w:val="18"/>
          <w:color w:val="auto"/>
        </w:rPr>
      </w:pPr>
    </w:p>
    <w:p>
      <w:pPr>
        <w:ind w:left="1300" w:hanging="320"/>
        <w:spacing w:after="0" w:line="261" w:lineRule="auto"/>
        <w:tabs>
          <w:tab w:leader="none" w:pos="1296" w:val="left"/>
        </w:tabs>
        <w:numPr>
          <w:ilvl w:val="1"/>
          <w:numId w:val="50"/>
        </w:numPr>
        <w:rPr>
          <w:rFonts w:ascii="Arial" w:cs="Arial" w:eastAsia="Arial" w:hAnsi="Arial"/>
          <w:sz w:val="18"/>
          <w:szCs w:val="18"/>
          <w:color w:val="auto"/>
        </w:rPr>
      </w:pPr>
      <w:r>
        <w:rPr>
          <w:rFonts w:ascii="Arial" w:cs="Arial" w:eastAsia="Arial" w:hAnsi="Arial"/>
          <w:sz w:val="18"/>
          <w:szCs w:val="18"/>
          <w:color w:val="auto"/>
        </w:rPr>
        <w:t>existing liens on our property or liens on property of corporations at the time those corporations become our subsidiaries or are merged with us;</w:t>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103" w:lineRule="exact"/>
        <w:rPr>
          <w:sz w:val="20"/>
          <w:szCs w:val="20"/>
          <w:color w:val="auto"/>
        </w:rPr>
      </w:pPr>
    </w:p>
    <w:p>
      <w:pPr>
        <w:ind w:left="1300" w:hanging="320"/>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liens existing on property when acquired, or incurred to finance the purchase price of that property;</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certain liens on property to secure the cost of development of, or improvements on, that property;</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certain liens in favor of or required by contracts with governmental entities; and</w:t>
      </w:r>
    </w:p>
    <w:p>
      <w:pPr>
        <w:spacing w:after="0" w:line="117" w:lineRule="exact"/>
        <w:rPr>
          <w:rFonts w:ascii="Arial" w:cs="Arial" w:eastAsia="Arial" w:hAnsi="Arial"/>
          <w:sz w:val="18"/>
          <w:szCs w:val="18"/>
          <w:color w:val="auto"/>
        </w:rPr>
      </w:pPr>
    </w:p>
    <w:p>
      <w:pPr>
        <w:ind w:left="1300" w:right="20" w:hanging="320"/>
        <w:spacing w:after="0" w:line="261" w:lineRule="auto"/>
        <w:tabs>
          <w:tab w:leader="none" w:pos="131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indebtedness secured by liens otherwise prohibited by the covenant not exceeding 10% of the consolidated net tangible assets of Honeywell and our consolidated subsidiaries.</w:t>
      </w:r>
    </w:p>
    <w:p>
      <w:pPr>
        <w:spacing w:after="0" w:line="72" w:lineRule="exact"/>
        <w:rPr>
          <w:sz w:val="20"/>
          <w:szCs w:val="20"/>
          <w:color w:val="auto"/>
        </w:rPr>
      </w:pPr>
    </w:p>
    <w:p>
      <w:pPr>
        <w:ind w:firstLine="342"/>
        <w:spacing w:after="0" w:line="282" w:lineRule="auto"/>
        <w:rPr>
          <w:sz w:val="20"/>
          <w:szCs w:val="20"/>
          <w:color w:val="auto"/>
        </w:rPr>
      </w:pPr>
      <w:r>
        <w:rPr>
          <w:rFonts w:ascii="Arial" w:cs="Arial" w:eastAsia="Arial" w:hAnsi="Arial"/>
          <w:sz w:val="18"/>
          <w:szCs w:val="18"/>
          <w:i w:val="1"/>
          <w:iCs w:val="1"/>
          <w:color w:val="auto"/>
        </w:rPr>
        <w:t xml:space="preserve">Limitation on Sale and Lease-Back. </w:t>
      </w:r>
      <w:r>
        <w:rPr>
          <w:rFonts w:ascii="Arial" w:cs="Arial" w:eastAsia="Arial" w:hAnsi="Arial"/>
          <w:sz w:val="18"/>
          <w:szCs w:val="18"/>
          <w:color w:val="auto"/>
        </w:rPr>
        <w:t>We also covenant not to enter into any sale and lease-back transaction covering any property</w:t>
      </w:r>
      <w:r>
        <w:rPr>
          <w:rFonts w:ascii="Arial" w:cs="Arial" w:eastAsia="Arial" w:hAnsi="Arial"/>
          <w:sz w:val="18"/>
          <w:szCs w:val="18"/>
          <w:i w:val="1"/>
          <w:iCs w:val="1"/>
          <w:color w:val="auto"/>
        </w:rPr>
        <w:t xml:space="preserve"> </w:t>
      </w:r>
      <w:r>
        <w:rPr>
          <w:rFonts w:ascii="Arial" w:cs="Arial" w:eastAsia="Arial" w:hAnsi="Arial"/>
          <w:sz w:val="18"/>
          <w:szCs w:val="18"/>
          <w:color w:val="auto"/>
        </w:rPr>
        <w:t>located in the United States which is in the opinion of our board of directors, a principal manufacturing property, unless:</w:t>
      </w:r>
    </w:p>
    <w:p>
      <w:pPr>
        <w:spacing w:after="0" w:line="72" w:lineRule="exact"/>
        <w:rPr>
          <w:sz w:val="20"/>
          <w:szCs w:val="20"/>
          <w:color w:val="auto"/>
        </w:rPr>
      </w:pPr>
    </w:p>
    <w:p>
      <w:pPr>
        <w:jc w:val="both"/>
        <w:ind w:left="660" w:hanging="328"/>
        <w:spacing w:after="0" w:line="256"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would be entitled under the provisions described under “-Limitation on Mortgages” to incur debt equal to the value of such sale and lease-back transaction, secured by liens on the property to be leased, without equally securing the outstanding debt securities; or</w:t>
      </w:r>
    </w:p>
    <w:p>
      <w:pPr>
        <w:spacing w:after="0" w:line="9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during the four months following the effective date of such sale and lease-back transaction, apply an amount equal to the value of such sale and lease-back transaction to the voluntary retirement of long-term indebtedness of Honeywell or our subsidiaries.</w:t>
      </w:r>
    </w:p>
    <w:p>
      <w:pPr>
        <w:spacing w:after="0" w:line="72" w:lineRule="exact"/>
        <w:rPr>
          <w:sz w:val="20"/>
          <w:szCs w:val="20"/>
          <w:color w:val="auto"/>
        </w:rPr>
      </w:pPr>
    </w:p>
    <w:p>
      <w:pPr>
        <w:ind w:right="20" w:firstLine="342"/>
        <w:spacing w:after="0" w:line="282" w:lineRule="auto"/>
        <w:rPr>
          <w:sz w:val="20"/>
          <w:szCs w:val="20"/>
          <w:color w:val="auto"/>
        </w:rPr>
      </w:pPr>
      <w:r>
        <w:rPr>
          <w:rFonts w:ascii="Arial" w:cs="Arial" w:eastAsia="Arial" w:hAnsi="Arial"/>
          <w:sz w:val="18"/>
          <w:szCs w:val="18"/>
          <w:i w:val="1"/>
          <w:iCs w:val="1"/>
          <w:color w:val="auto"/>
        </w:rPr>
        <w:t xml:space="preserve">Consolidation, Merger and Sale of Assets. </w:t>
      </w:r>
      <w:r>
        <w:rPr>
          <w:rFonts w:ascii="Arial" w:cs="Arial" w:eastAsia="Arial" w:hAnsi="Arial"/>
          <w:sz w:val="18"/>
          <w:szCs w:val="18"/>
          <w:color w:val="auto"/>
        </w:rPr>
        <w:t>The indenture provides that we may not consolidate with or merge into any other person or</w:t>
      </w:r>
      <w:r>
        <w:rPr>
          <w:rFonts w:ascii="Arial" w:cs="Arial" w:eastAsia="Arial" w:hAnsi="Arial"/>
          <w:sz w:val="18"/>
          <w:szCs w:val="18"/>
          <w:i w:val="1"/>
          <w:iCs w:val="1"/>
          <w:color w:val="auto"/>
        </w:rPr>
        <w:t xml:space="preserve"> </w:t>
      </w:r>
      <w:r>
        <w:rPr>
          <w:rFonts w:ascii="Arial" w:cs="Arial" w:eastAsia="Arial" w:hAnsi="Arial"/>
          <w:sz w:val="18"/>
          <w:szCs w:val="18"/>
          <w:color w:val="auto"/>
        </w:rPr>
        <w:t>sell our assets substantially as an entirety, unless:</w:t>
      </w:r>
    </w:p>
    <w:p>
      <w:pPr>
        <w:spacing w:after="0" w:line="72" w:lineRule="exact"/>
        <w:rPr>
          <w:sz w:val="20"/>
          <w:szCs w:val="20"/>
          <w:color w:val="auto"/>
        </w:rPr>
      </w:pPr>
    </w:p>
    <w:p>
      <w:pPr>
        <w:jc w:val="both"/>
        <w:ind w:left="660" w:hanging="328"/>
        <w:spacing w:after="0" w:line="256"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person formed by such consolidation or into which we are merged or the person which acquires our assets is a person organized in the United States of America and expressly assumes the due and punctual payment of the principal of and interest on all the debt securities and the performance of every covenant of the indenture on our part;</w:t>
      </w:r>
    </w:p>
    <w:p>
      <w:pPr>
        <w:spacing w:after="0" w:line="9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event of default, and no event which, after notice or lapse of time, or both, would become an event of default, shall have happened and be continuing; and</w:t>
      </w:r>
    </w:p>
    <w:p>
      <w:pPr>
        <w:spacing w:after="0" w:line="89"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each stating that such consolidation or transfer and a supplemental indenture, if applicable, comply with the indenture and that all conditions precedent herein provided for relating to such transaction have been complied with.</w:t>
      </w:r>
    </w:p>
    <w:p>
      <w:pPr>
        <w:spacing w:after="0" w:line="94" w:lineRule="exact"/>
        <w:rPr>
          <w:sz w:val="20"/>
          <w:szCs w:val="20"/>
          <w:color w:val="auto"/>
        </w:rPr>
      </w:pPr>
    </w:p>
    <w:p>
      <w:pPr>
        <w:jc w:val="both"/>
        <w:ind w:firstLine="342"/>
        <w:spacing w:after="0" w:line="256" w:lineRule="auto"/>
        <w:rPr>
          <w:sz w:val="20"/>
          <w:szCs w:val="20"/>
          <w:color w:val="auto"/>
        </w:rPr>
      </w:pPr>
      <w:r>
        <w:rPr>
          <w:rFonts w:ascii="Arial" w:cs="Arial" w:eastAsia="Arial" w:hAnsi="Arial"/>
          <w:sz w:val="18"/>
          <w:szCs w:val="18"/>
          <w:color w:val="auto"/>
        </w:rPr>
        <w:t>Upon such consolidation, merger or sale, the successor corporation formed by such consolidation or into which we are merged or to which such sale is made will succeed to, and be substituted for, us under the indenture, and the predecessor corporation shall be released from all obligations and covenants under the indenture and the debt securities.</w:t>
      </w:r>
    </w:p>
    <w:p>
      <w:pPr>
        <w:spacing w:after="0" w:line="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indenture does not restrict, or require us to redeem or permit holders to cause redemption of debt securities in the event of:</w:t>
      </w:r>
    </w:p>
    <w:p>
      <w:pPr>
        <w:spacing w:after="0" w:line="117" w:lineRule="exact"/>
        <w:rPr>
          <w:sz w:val="20"/>
          <w:szCs w:val="20"/>
          <w:color w:val="auto"/>
        </w:rPr>
      </w:pPr>
    </w:p>
    <w:p>
      <w:pPr>
        <w:ind w:left="660" w:hanging="328"/>
        <w:spacing w:after="0" w:line="261" w:lineRule="auto"/>
        <w:tabs>
          <w:tab w:leader="none" w:pos="655"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consolidation, merger, sale of assets or other similar transaction that may adversely affect our creditworthiness or the successor or combined entity;</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change in control of us; or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highly leveraged transaction involving us whether or not involving a change in control.</w:t>
      </w:r>
    </w:p>
    <w:p>
      <w:pPr>
        <w:spacing w:after="0" w:line="117" w:lineRule="exact"/>
        <w:rPr>
          <w:sz w:val="20"/>
          <w:szCs w:val="20"/>
          <w:color w:val="auto"/>
        </w:rPr>
      </w:pPr>
    </w:p>
    <w:p>
      <w:pPr>
        <w:jc w:val="both"/>
        <w:ind w:firstLine="342"/>
        <w:spacing w:after="0" w:line="254" w:lineRule="auto"/>
        <w:rPr>
          <w:sz w:val="20"/>
          <w:szCs w:val="20"/>
          <w:color w:val="auto"/>
        </w:rPr>
      </w:pPr>
      <w:r>
        <w:rPr>
          <w:rFonts w:ascii="Arial" w:cs="Arial" w:eastAsia="Arial" w:hAnsi="Arial"/>
          <w:sz w:val="18"/>
          <w:szCs w:val="18"/>
          <w:color w:val="auto"/>
        </w:rPr>
        <w:t>Accordingly, the holders of debt securities would not have protection in the event of a highly leveraged transaction, reorganization, restructuring, merger or similar transaction involving us that may adversely affect the holders. The existing protective covenants applicable to the debt securities would continue to apply to us in the event of a leveraged buyout initiated or supported by us, our management, or any of our affiliates or their management, but may not prevent such a transaction from taking place.</w:t>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Notice and Waiver</w:t>
      </w:r>
    </w:p>
    <w:p>
      <w:pPr>
        <w:spacing w:after="0" w:line="139" w:lineRule="exact"/>
        <w:rPr>
          <w:sz w:val="20"/>
          <w:szCs w:val="20"/>
          <w:color w:val="auto"/>
        </w:rPr>
      </w:pPr>
    </w:p>
    <w:p>
      <w:pPr>
        <w:jc w:val="both"/>
        <w:ind w:firstLine="342"/>
        <w:spacing w:after="0" w:line="252" w:lineRule="auto"/>
        <w:rPr>
          <w:sz w:val="20"/>
          <w:szCs w:val="20"/>
          <w:color w:val="auto"/>
        </w:rPr>
      </w:pPr>
      <w:r>
        <w:rPr>
          <w:rFonts w:ascii="Arial" w:cs="Arial" w:eastAsia="Arial" w:hAnsi="Arial"/>
          <w:sz w:val="18"/>
          <w:szCs w:val="18"/>
          <w:color w:val="auto"/>
        </w:rPr>
        <w:t xml:space="preserve">The indenture provides that if an event of default shall have occurred and be continuing with respect to any series of debt securities, then either the trustee or the holders of not less than 25% in outstanding principal amount of the debt securities of that series may declare to be due and payable immediately the outstanding principal amount of the debt securities of the affected series, together with interest, if any, accrued thereon;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if the event of default is any of certain events of bankruptcy, insolvency or reorganization, all the debt securities, together with interest, if any, accrued thereon, will become immediately due and payable without further action or notice on the part of the trustee or the holders.</w:t>
      </w:r>
    </w:p>
    <w:p>
      <w:pPr>
        <w:spacing w:after="0" w:line="10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Under the indenture, an event of default with respect to the debt securities of any series is any one of the following events:</w:t>
      </w:r>
    </w:p>
    <w:p>
      <w:pPr>
        <w:spacing w:after="0" w:line="63" w:lineRule="exact"/>
        <w:rPr>
          <w:sz w:val="20"/>
          <w:szCs w:val="20"/>
          <w:color w:val="auto"/>
        </w:rPr>
      </w:pPr>
    </w:p>
    <w:p>
      <w:pPr>
        <w:ind w:left="1060" w:hanging="399"/>
        <w:spacing w:after="0"/>
        <w:tabs>
          <w:tab w:leader="none" w:pos="10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default for 30 days in payment when due of any interest due with respect to the debt securities of such series;</w:t>
      </w:r>
    </w:p>
    <w:p>
      <w:pPr>
        <w:spacing w:after="0" w:line="49" w:lineRule="exact"/>
        <w:rPr>
          <w:rFonts w:ascii="Arial" w:cs="Arial" w:eastAsia="Arial" w:hAnsi="Arial"/>
          <w:sz w:val="18"/>
          <w:szCs w:val="18"/>
          <w:color w:val="auto"/>
        </w:rPr>
      </w:pPr>
    </w:p>
    <w:p>
      <w:pPr>
        <w:ind w:left="1060" w:hanging="399"/>
        <w:spacing w:after="0"/>
        <w:tabs>
          <w:tab w:leader="none" w:pos="10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default in payment when due of principal of or of premium, if any, on the debt securities of such series;</w:t>
      </w:r>
    </w:p>
    <w:p>
      <w:pPr>
        <w:spacing w:after="0" w:line="49" w:lineRule="exact"/>
        <w:rPr>
          <w:rFonts w:ascii="Arial" w:cs="Arial" w:eastAsia="Arial" w:hAnsi="Arial"/>
          <w:sz w:val="18"/>
          <w:szCs w:val="18"/>
          <w:color w:val="auto"/>
        </w:rPr>
      </w:pPr>
    </w:p>
    <w:p>
      <w:pPr>
        <w:jc w:val="both"/>
        <w:ind w:left="1060" w:right="20" w:hanging="399"/>
        <w:spacing w:after="0" w:line="251" w:lineRule="auto"/>
        <w:tabs>
          <w:tab w:leader="none" w:pos="10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default in the observance or performance of any other covenant or agreement contained in the indenture which default continues for a period of 90 days after we receive written notice specifying the default (and demanding that such default be remedied) from the trustee or the holders of at least 25% of the principal amount of securities of that series then outstanding (with a copy to the trustee if given by holders) (except in the case of a default with respect to certain consolidations, mergers, or sales of assets as set forth in Section 10.01 of the indenture, which will constitute an event of default with such notice requirement but without such passage of time requirement),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sole remedy of holders of the securities for an event of default relating to the failure to file any documents or reports that Honeywell is required to file with the SEC pursuant to Section 13 or 15(d) of the Securities Exchange Act of 1934, as amended, and for any failure to comply with the requirements of Section 314(a)(1) of the Trust Indenture Act of 1939, as amended, which we refer to as the Trust Indenture Act, to provide such documents or reports, within 30 days after filing with the SEC, to the trustee pursuant to Section 14.04 of the indenture, will for the first 60 days after the occurrence of such an event of default, or such shorter period until such event of default has been cured or waived, consist exclusively of the right to receive additional interest on the securities at an annual rate equal to 0.25% of the outstanding principal amount of the securities, and that, on the 61st day after such event of default (if such event of default is not cured or waived prior to such 61st day), the securities will be subject to acceleration as provided in the indenture;</w:t>
      </w:r>
    </w:p>
    <w:p>
      <w:pPr>
        <w:spacing w:after="0" w:line="46" w:lineRule="exact"/>
        <w:rPr>
          <w:rFonts w:ascii="Arial" w:cs="Arial" w:eastAsia="Arial" w:hAnsi="Arial"/>
          <w:sz w:val="18"/>
          <w:szCs w:val="18"/>
          <w:color w:val="auto"/>
        </w:rPr>
      </w:pPr>
    </w:p>
    <w:p>
      <w:pPr>
        <w:ind w:left="1060" w:hanging="399"/>
        <w:spacing w:after="0"/>
        <w:tabs>
          <w:tab w:leader="none" w:pos="10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certain events of bankruptcy, insolvency and reorganization; and</w:t>
      </w:r>
    </w:p>
    <w:p>
      <w:pPr>
        <w:spacing w:after="0" w:line="49" w:lineRule="exact"/>
        <w:rPr>
          <w:rFonts w:ascii="Arial" w:cs="Arial" w:eastAsia="Arial" w:hAnsi="Arial"/>
          <w:sz w:val="18"/>
          <w:szCs w:val="18"/>
          <w:color w:val="auto"/>
        </w:rPr>
      </w:pPr>
    </w:p>
    <w:p>
      <w:pPr>
        <w:ind w:left="1060" w:hanging="399"/>
        <w:spacing w:after="0"/>
        <w:tabs>
          <w:tab w:leader="none" w:pos="10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debt securities of that series.</w:t>
      </w:r>
    </w:p>
    <w:p>
      <w:pPr>
        <w:spacing w:after="0" w:line="131" w:lineRule="exact"/>
        <w:rPr>
          <w:sz w:val="20"/>
          <w:szCs w:val="20"/>
          <w:color w:val="auto"/>
        </w:rPr>
      </w:pPr>
    </w:p>
    <w:p>
      <w:pPr>
        <w:jc w:val="both"/>
        <w:ind w:firstLine="342"/>
        <w:spacing w:after="0" w:line="252" w:lineRule="auto"/>
        <w:rPr>
          <w:sz w:val="20"/>
          <w:szCs w:val="20"/>
          <w:color w:val="auto"/>
        </w:rPr>
      </w:pPr>
      <w:r>
        <w:rPr>
          <w:rFonts w:ascii="Arial" w:cs="Arial" w:eastAsia="Arial" w:hAnsi="Arial"/>
          <w:sz w:val="18"/>
          <w:szCs w:val="18"/>
          <w:color w:val="auto"/>
        </w:rPr>
        <w:t xml:space="preserve">The indenture provides that the trustee will, within 90 days after the occurrence of a default with respect to the debt securities of any series, give to the holders of debt securities of such series notice of such default known to it, unless cured or waived;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except in the case of default in the payment of principal, or interest or premium, if any, on any debt security of such series or in the payment of any sinking fund installment with respect to debt securities of such series, the trustee will be protected in withholding such notice if and so long as the board of directors, the executive committee or a trust committee of directors and/or specified officers of the trustee in good faith determine that the withholding of such notice is in the interests of the holders of debt securities of such series. The term “default” for the purpose of this provision means any event that is, or after notice or lapse of time, or both, would become, an event of default.</w:t>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103" w:lineRule="exact"/>
        <w:rPr>
          <w:sz w:val="20"/>
          <w:szCs w:val="20"/>
          <w:color w:val="auto"/>
        </w:rPr>
      </w:pPr>
    </w:p>
    <w:p>
      <w:pPr>
        <w:jc w:val="both"/>
        <w:ind w:firstLine="342"/>
        <w:spacing w:after="0" w:line="253" w:lineRule="auto"/>
        <w:rPr>
          <w:sz w:val="20"/>
          <w:szCs w:val="20"/>
          <w:color w:val="auto"/>
        </w:rPr>
      </w:pPr>
      <w:r>
        <w:rPr>
          <w:rFonts w:ascii="Arial" w:cs="Arial" w:eastAsia="Arial" w:hAnsi="Arial"/>
          <w:sz w:val="18"/>
          <w:szCs w:val="18"/>
          <w:color w:val="auto"/>
        </w:rPr>
        <w:t>The indenture contains a provision entitling the trustee, subject to the duty of the trustee during the continuance of an event of default to act with the required standard of care, to be indemnified by the holders before proceeding to exercise any right or power under the indenture at the request of such holders. The indenture provides that the holders of a majority in outstanding principal amount of the debt securities of any series may, subject to certain exceptions, on behalf of the holders of debt securities of such series direct the time, method and place of conducting proceedings for remedies available to the trustee, or exercising any trust or power conferred on the trustee.</w:t>
      </w:r>
    </w:p>
    <w:p>
      <w:pPr>
        <w:spacing w:after="0" w:line="97" w:lineRule="exact"/>
        <w:rPr>
          <w:sz w:val="20"/>
          <w:szCs w:val="20"/>
          <w:color w:val="auto"/>
        </w:rPr>
      </w:pPr>
    </w:p>
    <w:p>
      <w:pPr>
        <w:jc w:val="both"/>
        <w:ind w:right="20" w:firstLine="342"/>
        <w:spacing w:after="0" w:line="261" w:lineRule="auto"/>
        <w:rPr>
          <w:sz w:val="20"/>
          <w:szCs w:val="20"/>
          <w:color w:val="auto"/>
        </w:rPr>
      </w:pPr>
      <w:r>
        <w:rPr>
          <w:rFonts w:ascii="Arial" w:cs="Arial" w:eastAsia="Arial" w:hAnsi="Arial"/>
          <w:sz w:val="18"/>
          <w:szCs w:val="18"/>
          <w:color w:val="auto"/>
        </w:rPr>
        <w:t>The indenture includes a covenant that we will file annually with the trustee a certificate of no default, or specifying any default that exists.</w:t>
      </w:r>
    </w:p>
    <w:p>
      <w:pPr>
        <w:spacing w:after="0" w:line="90" w:lineRule="exact"/>
        <w:rPr>
          <w:sz w:val="20"/>
          <w:szCs w:val="20"/>
          <w:color w:val="auto"/>
        </w:rPr>
      </w:pPr>
    </w:p>
    <w:p>
      <w:pPr>
        <w:jc w:val="both"/>
        <w:ind w:firstLine="342"/>
        <w:spacing w:after="0" w:line="253" w:lineRule="auto"/>
        <w:rPr>
          <w:sz w:val="20"/>
          <w:szCs w:val="20"/>
          <w:color w:val="auto"/>
        </w:rPr>
      </w:pPr>
      <w:r>
        <w:rPr>
          <w:rFonts w:ascii="Arial" w:cs="Arial" w:eastAsia="Arial" w:hAnsi="Arial"/>
          <w:sz w:val="18"/>
          <w:szCs w:val="18"/>
          <w:color w:val="auto"/>
        </w:rPr>
        <w:t>In certain cases, the holders of a majority in outstanding principal amount of the debt securities of any series may on behalf of the holders of debt securities of such series rescind a declaration of acceleration or waive any past default or event of default with respect to the debt securities of that series except a default not theretofore cured in payment of the principal of, or interest or premium, if any, on any debt security of such series or in respect of a provision which under the indenture cannot be modified or amended without the consent of the holder of each such debt security.</w:t>
      </w:r>
    </w:p>
    <w:p>
      <w:pPr>
        <w:spacing w:after="0" w:line="97" w:lineRule="exact"/>
        <w:rPr>
          <w:sz w:val="20"/>
          <w:szCs w:val="20"/>
          <w:color w:val="auto"/>
        </w:rPr>
      </w:pPr>
    </w:p>
    <w:p>
      <w:pPr>
        <w:jc w:val="both"/>
        <w:ind w:firstLine="342"/>
        <w:spacing w:after="0" w:line="261" w:lineRule="auto"/>
        <w:rPr>
          <w:sz w:val="20"/>
          <w:szCs w:val="20"/>
          <w:color w:val="auto"/>
        </w:rPr>
      </w:pPr>
      <w:r>
        <w:rPr>
          <w:rFonts w:ascii="Arial" w:cs="Arial" w:eastAsia="Arial" w:hAnsi="Arial"/>
          <w:sz w:val="18"/>
          <w:szCs w:val="18"/>
          <w:color w:val="auto"/>
        </w:rPr>
        <w:t>No holder of a debt security of any series has any right to institute any proceeding with respect to the indenture or the debt securities of any series or for any remedy thereunder unless:</w:t>
      </w:r>
    </w:p>
    <w:p>
      <w:pPr>
        <w:spacing w:after="0" w:line="90" w:lineRule="exact"/>
        <w:rPr>
          <w:sz w:val="20"/>
          <w:szCs w:val="20"/>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such holder shall have previously given to the trustee written notice of a continuing event of default;</w:t>
      </w:r>
    </w:p>
    <w:p>
      <w:pPr>
        <w:spacing w:after="0" w:line="11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the outstanding debt securities of such series have also made such a written request;</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such holder or holders have provided indemnity satisfactory to the trustee to institute such proceeding as trustee;</w:t>
      </w:r>
    </w:p>
    <w:p>
      <w:pPr>
        <w:spacing w:after="0" w:line="11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trustee has not received from the holders of a majority in outstanding principal amount of the debt securities of such series a direction inconsistent with such request; and</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trustee has failed to institute such proceeding within 90 calendar days of such notice.</w:t>
      </w:r>
    </w:p>
    <w:p>
      <w:pPr>
        <w:spacing w:after="0" w:line="117" w:lineRule="exact"/>
        <w:rPr>
          <w:sz w:val="20"/>
          <w:szCs w:val="20"/>
          <w:color w:val="auto"/>
        </w:rPr>
      </w:pPr>
    </w:p>
    <w:p>
      <w:pPr>
        <w:jc w:val="both"/>
        <w:ind w:firstLine="342"/>
        <w:spacing w:after="0" w:line="256" w:lineRule="auto"/>
        <w:rPr>
          <w:sz w:val="20"/>
          <w:szCs w:val="20"/>
          <w:color w:val="auto"/>
        </w:rPr>
      </w:pPr>
      <w:r>
        <w:rPr>
          <w:rFonts w:ascii="Arial" w:cs="Arial" w:eastAsia="Arial" w:hAnsi="Arial"/>
          <w:sz w:val="18"/>
          <w:szCs w:val="18"/>
          <w:color w:val="auto"/>
        </w:rPr>
        <w:t>However, such limitations do not apply to a suit instituted by a holder of debt securities for enforcement of payment of the principal of, or premium or interest, if any, on such debt securities on or after the respective due dates expressed in such debt securities after any applicable grace periods have expired.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and Waiver</w:t>
      </w:r>
    </w:p>
    <w:p>
      <w:pPr>
        <w:spacing w:after="0" w:line="139" w:lineRule="exact"/>
        <w:rPr>
          <w:sz w:val="20"/>
          <w:szCs w:val="20"/>
          <w:color w:val="auto"/>
        </w:rPr>
      </w:pPr>
    </w:p>
    <w:p>
      <w:pPr>
        <w:jc w:val="both"/>
        <w:ind w:firstLine="342"/>
        <w:spacing w:after="0" w:line="261" w:lineRule="auto"/>
        <w:rPr>
          <w:sz w:val="20"/>
          <w:szCs w:val="20"/>
          <w:color w:val="auto"/>
        </w:rPr>
      </w:pPr>
      <w:r>
        <w:rPr>
          <w:rFonts w:ascii="Arial" w:cs="Arial" w:eastAsia="Arial" w:hAnsi="Arial"/>
          <w:sz w:val="18"/>
          <w:szCs w:val="18"/>
          <w:color w:val="auto"/>
        </w:rPr>
        <w:t>The trustee and we may amend or supplement the indenture or the debt securities of any series without the consent of any holder, in order to:</w:t>
      </w:r>
    </w:p>
    <w:p>
      <w:pPr>
        <w:spacing w:after="0" w:line="90" w:lineRule="exact"/>
        <w:rPr>
          <w:sz w:val="20"/>
          <w:szCs w:val="20"/>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cure any ambiguity, defect or inconsistency;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provide for uncertificated debt securities in addition to or in place of certificated debt securities;</w:t>
      </w:r>
    </w:p>
    <w:p>
      <w:pPr>
        <w:spacing w:after="0" w:line="117" w:lineRule="exact"/>
        <w:rPr>
          <w:rFonts w:ascii="Arial" w:cs="Arial" w:eastAsia="Arial" w:hAnsi="Arial"/>
          <w:sz w:val="18"/>
          <w:szCs w:val="18"/>
          <w:color w:val="auto"/>
        </w:rPr>
      </w:pPr>
    </w:p>
    <w:p>
      <w:pPr>
        <w:ind w:left="660" w:right="680" w:hanging="328"/>
        <w:spacing w:after="0" w:line="261"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color w:val="auto"/>
        </w:rPr>
        <w:t>provide for the assumption of our obligations to the holders in the case of a merger or consolidation of us as permitted by the indenture;</w:t>
      </w:r>
    </w:p>
    <w:p>
      <w:pPr>
        <w:spacing w:after="0" w:line="89"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color w:val="auto"/>
        </w:rPr>
        <w:t>evidence and provide for the acceptance of appointment by a successor trustee and to add to or change any of the provisions of the indenture as are necessary to provide for or facilitate the administration of the trusts by more than one trustee;</w:t>
      </w:r>
    </w:p>
    <w:p>
      <w:pPr>
        <w:spacing w:after="0" w:line="8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color w:val="auto"/>
        </w:rPr>
        <w:t>make any change that would provide any additional rights or benefits to the holders of all or any series of debt securities and that does not adversely affect any such holder; or</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comply with SEC requirements in order to effect or maintain the qualification of the indenture under the Trust Indenture Act.</w:t>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103" w:lineRule="exact"/>
        <w:rPr>
          <w:sz w:val="20"/>
          <w:szCs w:val="20"/>
          <w:color w:val="auto"/>
        </w:rPr>
      </w:pPr>
    </w:p>
    <w:p>
      <w:pPr>
        <w:jc w:val="both"/>
        <w:ind w:firstLine="342"/>
        <w:spacing w:after="0" w:line="256" w:lineRule="auto"/>
        <w:rPr>
          <w:sz w:val="20"/>
          <w:szCs w:val="20"/>
          <w:color w:val="auto"/>
        </w:rPr>
      </w:pPr>
      <w:r>
        <w:rPr>
          <w:rFonts w:ascii="Arial" w:cs="Arial" w:eastAsia="Arial" w:hAnsi="Arial"/>
          <w:sz w:val="18"/>
          <w:szCs w:val="18"/>
          <w:color w:val="auto"/>
        </w:rPr>
        <w:t>In addition, except as described below, modifications and amendments of the indenture or the debt securities of any series may be made by the trustee and us with the consent of the holders of a majority in outstanding principal amount of the debt securities affected by such modification or amendment. However, no such modification or amendment may, without the consent of each holder affected thereby:</w:t>
      </w:r>
    </w:p>
    <w:p>
      <w:pPr>
        <w:spacing w:after="0" w:line="94" w:lineRule="exact"/>
        <w:rPr>
          <w:sz w:val="20"/>
          <w:szCs w:val="20"/>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change the stated maturity of, or time for payment of interest on, any debt security;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reduce the principal amount of, or the rate of interest or the premium, payable upon the redemption of, if any, on any debt security;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change the place or currency of payment of principal of, or interest or premium, if any, on any debt security;</w:t>
      </w:r>
    </w:p>
    <w:p>
      <w:pPr>
        <w:spacing w:after="0" w:line="11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payment on or with respect to such debt securities on or after the stated maturity or prepayment date thereof; or</w:t>
      </w:r>
    </w:p>
    <w:p>
      <w:pPr>
        <w:spacing w:after="0" w:line="8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reduce the percentage in principal amount of debt securities of any series where holders must consent to an amendment, supplement or waiver.</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spacing w:after="0" w:line="139" w:lineRule="exact"/>
        <w:rPr>
          <w:sz w:val="20"/>
          <w:szCs w:val="20"/>
          <w:color w:val="auto"/>
        </w:rPr>
      </w:pPr>
    </w:p>
    <w:p>
      <w:pPr>
        <w:jc w:val="both"/>
        <w:ind w:firstLine="342"/>
        <w:spacing w:after="0" w:line="251" w:lineRule="auto"/>
        <w:rPr>
          <w:sz w:val="20"/>
          <w:szCs w:val="20"/>
          <w:color w:val="auto"/>
        </w:rPr>
      </w:pPr>
      <w:r>
        <w:rPr>
          <w:rFonts w:ascii="Arial" w:cs="Arial" w:eastAsia="Arial" w:hAnsi="Arial"/>
          <w:sz w:val="18"/>
          <w:szCs w:val="18"/>
          <w:color w:val="auto"/>
        </w:rPr>
        <w:t>The indenture provides that we will be discharged from any and all obligations in respect of the debt securities of any series (except for certain obligations to register the transfer or exchange of the debt securities, to replace stolen, lost or mutilated debt securities, to maintain paying agencies and hold monies for payment in trust and to pay the principal of and interest, if any, on such debt securities), upon the irrevocable deposit with the trustee, in trust, of money and/or U.S. government securities, which through the payment of interest and principal thereof in accordance with their terms provides money in an amount sufficient to pay the principal of (and premium, if any) and interest, if any, in respect of the debt securities of such series on the stated maturity date of such principal and any installment of principal, or interest or premium, if any. Also, the establishment of such a trust will be conditioned on the delivery by us to the trustee of an opinion of counsel reasonably satisfactory to the trustee to the effect that, based upon applicable U.S. federal income tax law or a ruling published by the United States Internal Revenue Service, such a defeasance and discharge will not be deemed, or result in, a taxable event with respect to the holders. For the avoidance of doubt, such an opinion would require a change in current U.S. tax law.</w:t>
      </w:r>
    </w:p>
    <w:p>
      <w:pPr>
        <w:spacing w:after="0" w:line="103" w:lineRule="exact"/>
        <w:rPr>
          <w:sz w:val="20"/>
          <w:szCs w:val="20"/>
          <w:color w:val="auto"/>
        </w:rPr>
      </w:pPr>
    </w:p>
    <w:p>
      <w:pPr>
        <w:jc w:val="both"/>
        <w:ind w:firstLine="342"/>
        <w:spacing w:after="0" w:line="251" w:lineRule="auto"/>
        <w:rPr>
          <w:sz w:val="20"/>
          <w:szCs w:val="20"/>
          <w:color w:val="auto"/>
        </w:rPr>
      </w:pPr>
      <w:r>
        <w:rPr>
          <w:rFonts w:ascii="Arial" w:cs="Arial" w:eastAsia="Arial" w:hAnsi="Arial"/>
          <w:sz w:val="18"/>
          <w:szCs w:val="18"/>
          <w:color w:val="auto"/>
        </w:rPr>
        <w:t>We may also omit to comply with the restrictive covenants, if any, of any particular series of debt securities, other than our covenant to pay the amounts due and owing with respect to such series of debt securities. Thereafter, any such omission shall not be an event of default with respect to the debt securities of such series, upon the deposit with the trustee, in trust, of money and/or U.S. government securities which through the payment of interest and principal in respect thereof in accordance with their terms provides money in an amount sufficient to pay any installment of principal of (and premium, if any) and interest, if any, in respect of debt securities of such series on the stated maturity date of such principal or installment of principal, or interest or premium, if any. Our obligations under the indenture and the debt securities of such series other than with respect to such covenants shall remain in full force and effect. Also, the establishment of such a trust will be conditioned on the delivery by us to the trustee of an opinion of counsel to the effect that such a defeasance and discharge will not be deemed, or result in a taxable event with respect to the holders.</w:t>
      </w:r>
    </w:p>
    <w:p>
      <w:pPr>
        <w:spacing w:after="0" w:line="104" w:lineRule="exact"/>
        <w:rPr>
          <w:sz w:val="20"/>
          <w:szCs w:val="20"/>
          <w:color w:val="auto"/>
        </w:rPr>
      </w:pPr>
    </w:p>
    <w:p>
      <w:pPr>
        <w:jc w:val="both"/>
        <w:ind w:firstLine="342"/>
        <w:spacing w:after="0" w:line="253" w:lineRule="auto"/>
        <w:rPr>
          <w:sz w:val="20"/>
          <w:szCs w:val="20"/>
          <w:color w:val="auto"/>
        </w:rPr>
      </w:pPr>
      <w:r>
        <w:rPr>
          <w:rFonts w:ascii="Arial" w:cs="Arial" w:eastAsia="Arial" w:hAnsi="Arial"/>
          <w:sz w:val="18"/>
          <w:szCs w:val="18"/>
          <w:color w:val="auto"/>
        </w:rPr>
        <w:t>In the event we exercise our option to omit compliance with certain covenants as described in the preceding paragraph and the debt securities of such series are declared due and payable because of the occurrence of any event of default, then the amount of monies and U.S. government securities on deposit with the trustee will be sufficient to pay amounts due on the debt securities of such series at the time of the acceleration resulting from such event of default. We remain liable in any event for such payments as provided in the debt securities of such series.</w:t>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w:t>
      </w:r>
    </w:p>
    <w:p>
      <w:pPr>
        <w:spacing w:after="0" w:line="139" w:lineRule="exact"/>
        <w:rPr>
          <w:sz w:val="20"/>
          <w:szCs w:val="20"/>
          <w:color w:val="auto"/>
        </w:rPr>
      </w:pPr>
    </w:p>
    <w:p>
      <w:pPr>
        <w:ind w:firstLine="342"/>
        <w:spacing w:after="0" w:line="261" w:lineRule="auto"/>
        <w:rPr>
          <w:sz w:val="20"/>
          <w:szCs w:val="20"/>
          <w:color w:val="auto"/>
        </w:rPr>
      </w:pPr>
      <w:r>
        <w:rPr>
          <w:rFonts w:ascii="Arial" w:cs="Arial" w:eastAsia="Arial" w:hAnsi="Arial"/>
          <w:sz w:val="18"/>
          <w:szCs w:val="18"/>
          <w:color w:val="auto"/>
        </w:rPr>
        <w:t>At our option, we may satisfy and discharge the indenture with respect to the debt securities of any series (except for specified obligations of the trustee and ours, including, among others, the obligations to apply money held in trust) when:</w:t>
      </w:r>
    </w:p>
    <w:p>
      <w:pPr>
        <w:spacing w:after="0" w:line="90" w:lineRule="exact"/>
        <w:rPr>
          <w:sz w:val="20"/>
          <w:szCs w:val="20"/>
          <w:color w:val="auto"/>
        </w:rPr>
      </w:pPr>
    </w:p>
    <w:p>
      <w:pPr>
        <w:jc w:val="both"/>
        <w:ind w:left="660" w:hanging="328"/>
        <w:spacing w:after="0" w:line="252" w:lineRule="auto"/>
        <w:tabs>
          <w:tab w:leader="none" w:pos="655" w:val="left"/>
        </w:tabs>
        <w:numPr>
          <w:ilvl w:val="0"/>
          <w:numId w:val="59"/>
        </w:numPr>
        <w:rPr>
          <w:rFonts w:ascii="Arial" w:cs="Arial" w:eastAsia="Arial" w:hAnsi="Arial"/>
          <w:sz w:val="18"/>
          <w:szCs w:val="18"/>
          <w:color w:val="auto"/>
        </w:rPr>
      </w:pPr>
      <w:r>
        <w:rPr>
          <w:rFonts w:ascii="Arial" w:cs="Arial" w:eastAsia="Arial" w:hAnsi="Arial"/>
          <w:sz w:val="18"/>
          <w:szCs w:val="18"/>
          <w:color w:val="auto"/>
        </w:rPr>
        <w:t>either (a) all debt securities of such series previously authenticated and delivered under the indenture have been delivered to the trustee for cancellation or (b) all debt securities of such series not theretofore delivered to the trustee for cancellation have become due and payable, will become due and payable at their stated maturity within one year, or are to be called for redemption within one year under arrangements satisfactory to the trustee for the giving of notice of redemption by the trustee, and we have deposited or caused to be deposited with the trustee as trust funds in trust for such purpose an amount sufficient to pay and discharge the entire indebtedness on debt securities of such series;</w:t>
      </w:r>
    </w:p>
    <w:p>
      <w:pPr>
        <w:spacing w:after="0" w:line="100"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59"/>
        </w:numPr>
        <w:rPr>
          <w:rFonts w:ascii="Arial" w:cs="Arial" w:eastAsia="Arial" w:hAnsi="Arial"/>
          <w:sz w:val="18"/>
          <w:szCs w:val="18"/>
          <w:color w:val="auto"/>
        </w:rPr>
      </w:pPr>
      <w:r>
        <w:rPr>
          <w:rFonts w:ascii="Arial" w:cs="Arial" w:eastAsia="Arial" w:hAnsi="Arial"/>
          <w:sz w:val="18"/>
          <w:szCs w:val="18"/>
          <w:color w:val="auto"/>
        </w:rPr>
        <w:t>we have paid or caused to be paid all other sums payable under the indenture with respect to the debt securities of such series by us; and</w:t>
      </w:r>
    </w:p>
    <w:p>
      <w:pPr>
        <w:spacing w:after="0" w:line="8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59"/>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each to the effect that all conditions precedent relating to the satisfaction and discharge of the indenture as to such series have been satisfied.</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on the Debt Securities</w:t>
      </w:r>
    </w:p>
    <w:p>
      <w:pPr>
        <w:spacing w:after="0" w:line="139" w:lineRule="exact"/>
        <w:rPr>
          <w:sz w:val="20"/>
          <w:szCs w:val="20"/>
          <w:color w:val="auto"/>
        </w:rPr>
      </w:pPr>
    </w:p>
    <w:p>
      <w:pPr>
        <w:jc w:val="both"/>
        <w:ind w:firstLine="342"/>
        <w:spacing w:after="0" w:line="251" w:lineRule="auto"/>
        <w:rPr>
          <w:sz w:val="20"/>
          <w:szCs w:val="20"/>
          <w:color w:val="auto"/>
        </w:rPr>
      </w:pPr>
      <w:r>
        <w:rPr>
          <w:rFonts w:ascii="Arial" w:cs="Arial" w:eastAsia="Arial" w:hAnsi="Arial"/>
          <w:sz w:val="18"/>
          <w:szCs w:val="18"/>
          <w:color w:val="auto"/>
        </w:rPr>
        <w:t xml:space="preserve">All payments on the debt securities are payable in euros; provided that if the euro is unavailable to us due to the imposition of exchange controls or other circumstances beyond our control or if the euro is no longer being used by the then member states of the European Monetary Union that have adopted the euro as their currency or for the settlement of transactions by public institutions of or within the international banking community, then all payments in respect of the debt securities will be made in U.S. dollars until the euro is again available to us or so used. The amount payable on any date in euro will be converted into U.S. dollars at the rate mandated by the U.S. Federal Reserve Board as of the close of business on the second business day prior to the relevant payment date or, in the event the U.S. Federal Reserve Board has not mandated a rate of conversion, on the basis of the most recent U.S. dollar/euro exchange rate published in </w:t>
      </w:r>
      <w:r>
        <w:rPr>
          <w:rFonts w:ascii="Arial" w:cs="Arial" w:eastAsia="Arial" w:hAnsi="Arial"/>
          <w:sz w:val="18"/>
          <w:szCs w:val="18"/>
          <w:i w:val="1"/>
          <w:iCs w:val="1"/>
          <w:color w:val="auto"/>
        </w:rPr>
        <w:t xml:space="preserve">The Wall Street Journal </w:t>
      </w:r>
      <w:r>
        <w:rPr>
          <w:rFonts w:ascii="Arial" w:cs="Arial" w:eastAsia="Arial" w:hAnsi="Arial"/>
          <w:sz w:val="18"/>
          <w:szCs w:val="18"/>
          <w:color w:val="auto"/>
        </w:rPr>
        <w:t>on or prior to the second business day prior to the relevant payment date. Any payment in respect of the debt</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so made in U.S. dollars does not constitute an event of default under the debt securities or the indenture. Neither the trustee nor the paying agent will have any responsibility for any calculation or conversion in connection with the foregoing.</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w:t>
      </w:r>
    </w:p>
    <w:p>
      <w:pPr>
        <w:spacing w:after="0" w:line="139" w:lineRule="exact"/>
        <w:rPr>
          <w:sz w:val="20"/>
          <w:szCs w:val="20"/>
          <w:color w:val="auto"/>
        </w:rPr>
      </w:pPr>
    </w:p>
    <w:p>
      <w:pPr>
        <w:jc w:val="both"/>
        <w:ind w:firstLine="342"/>
        <w:spacing w:after="0" w:line="261" w:lineRule="auto"/>
        <w:rPr>
          <w:sz w:val="20"/>
          <w:szCs w:val="20"/>
          <w:color w:val="auto"/>
        </w:rPr>
      </w:pPr>
      <w:r>
        <w:rPr>
          <w:rFonts w:ascii="Arial" w:cs="Arial" w:eastAsia="Arial" w:hAnsi="Arial"/>
          <w:sz w:val="18"/>
          <w:szCs w:val="18"/>
          <w:color w:val="auto"/>
        </w:rPr>
        <w:t>The debt securities are our senior unsecured and unsubordinated debt obligations and rank equally among themselves and with all of our other existing and future senior unsecured indebtedness and senior to all of our subordinated debt.</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w:t>
      </w:r>
    </w:p>
    <w:p>
      <w:pPr>
        <w:spacing w:after="0" w:line="139"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The 2023 notes and the 2028 notes began bearing interest as of February 22, 2016, and the 2024 notes and the 2032 notes began bearing interest from March 10, 2020.</w:t>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Fixed Rate Notes</w:t>
      </w:r>
    </w:p>
    <w:p>
      <w:pPr>
        <w:spacing w:after="0" w:line="135" w:lineRule="exact"/>
        <w:rPr>
          <w:sz w:val="20"/>
          <w:szCs w:val="20"/>
          <w:color w:val="auto"/>
        </w:rPr>
      </w:pPr>
    </w:p>
    <w:p>
      <w:pPr>
        <w:jc w:val="both"/>
        <w:ind w:firstLine="342"/>
        <w:spacing w:after="0" w:line="251" w:lineRule="auto"/>
        <w:rPr>
          <w:sz w:val="20"/>
          <w:szCs w:val="20"/>
          <w:color w:val="auto"/>
        </w:rPr>
      </w:pPr>
      <w:r>
        <w:rPr>
          <w:rFonts w:ascii="Arial" w:cs="Arial" w:eastAsia="Arial" w:hAnsi="Arial"/>
          <w:sz w:val="18"/>
          <w:szCs w:val="18"/>
          <w:color w:val="auto"/>
        </w:rPr>
        <w:t>The 2023 notes bear interest at a fixed rate of 1.300% per annum, the 2024 notes bear interest at a fixed rate of 0.000% per annum, the 2028 notes bear interest at a fixed rate of 2.250% per annum, and the 2032 notes bear interest at a fixed rate of 0.750% per annum. Interest on the 2023 notes and the 2028 notes accrues from February 22, 2016, or from the most recent date to which interest has been paid or provided for, and interest on the 2024 notes and the 2032 notes accrues from March 10, 2020, or from the most recent date to which interest has been paid or provided for, in each case payable annually in arrears on February 22 of each year with respect to the 2023 notes and the 2028 notes and on March 10 of each year with respect to the 2024 notes and the 2032 notes (each a “debt securities interest payment date”), commencing February 22, 2017 with respect to the 2023 notes and the 2028 notes and March 10, 2021 with respect to the 2024 notes and the 2032 notes to holders of record at the close of business on the 15th calendar day (whether or not a business day) immediately preceding the interest payment date or, if the debt securities are represented by one or more global notes, the close of business on the business day (for this purpose a day on which Clearstream and Euroclear are open for business) immediately preceding the debt securities interest payment date; provided, however, that interest payable on the maturity date of the debt securities or any redemption date of the debt securities shall be payable to the person to whom the principal of such debt securities shall be payable.</w:t>
      </w:r>
    </w:p>
    <w:p>
      <w:pPr>
        <w:spacing w:after="0" w:line="102" w:lineRule="exact"/>
        <w:rPr>
          <w:sz w:val="20"/>
          <w:szCs w:val="20"/>
          <w:color w:val="auto"/>
        </w:rPr>
      </w:pPr>
    </w:p>
    <w:p>
      <w:pPr>
        <w:jc w:val="both"/>
        <w:ind w:firstLine="342"/>
        <w:spacing w:after="0" w:line="251" w:lineRule="auto"/>
        <w:rPr>
          <w:sz w:val="20"/>
          <w:szCs w:val="20"/>
          <w:color w:val="auto"/>
        </w:rPr>
      </w:pPr>
      <w:r>
        <w:rPr>
          <w:rFonts w:ascii="Arial" w:cs="Arial" w:eastAsia="Arial" w:hAnsi="Arial"/>
          <w:sz w:val="18"/>
          <w:szCs w:val="18"/>
          <w:color w:val="auto"/>
        </w:rPr>
        <w:t>Interest payable on the debt securities on any debt securities interest payment date, redemption date or maturity date is the amount of interest accrued from, and including, the next preceding debt securities interest payment date in respect of which interest has been paid or duly provided for to, but excluding, such debt securities interest payment date, redemption date or maturity date, as the case may be. This payment convention is referred to as ACTUAL/ACTUAL (ICMA) as defined in the rulebook of the International Capital Markets Association. If any debt securities interest payment date falls on a day that is not a business day, the interest payment will be made on the next succeeding day that is a business day, but no additional interest will accrue as a result of the delay in payment. If the maturity date or the redemption date of the debt securities falls on a day that is not a business day, the related payment of principal, premium, if any, and interest will be made on the next succeeding business day as if it were made on the date such payment was due, and no interest will accrue on the amounts so payable for the period from and after such date to the next succeeding business day. The rights of holders of beneficial interests of debt securities to receive the payments of interest on such notes are subject to the applicable procedures of Euroclear and Clearstream.</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 of the Debt Securities</w:t>
      </w:r>
    </w:p>
    <w:p>
      <w:pPr>
        <w:spacing w:after="0" w:line="139" w:lineRule="exact"/>
        <w:rPr>
          <w:sz w:val="20"/>
          <w:szCs w:val="20"/>
          <w:color w:val="auto"/>
        </w:rPr>
      </w:pPr>
    </w:p>
    <w:p>
      <w:pPr>
        <w:jc w:val="both"/>
        <w:ind w:firstLine="342"/>
        <w:spacing w:after="0" w:line="251" w:lineRule="auto"/>
        <w:rPr>
          <w:sz w:val="20"/>
          <w:szCs w:val="20"/>
          <w:color w:val="auto"/>
        </w:rPr>
      </w:pPr>
      <w:r>
        <w:rPr>
          <w:rFonts w:ascii="Arial" w:cs="Arial" w:eastAsia="Arial" w:hAnsi="Arial"/>
          <w:sz w:val="18"/>
          <w:szCs w:val="18"/>
          <w:color w:val="auto"/>
        </w:rPr>
        <w:t>The 2023 notes and the 2028 notes are redeemable, in whole or in part, at any time and from time to time at our option, the 2024 notes are redeemable at our option, in whole or in part, at any time prior to February 10, 2024, and the 2032 notes are redeemable at our option, in whole or in part, at any time prior to December 10, 2031, at a redemption price equal to the greater of (i) 100% of the principal amount of the notes to be redeemed and (ii) the sum of the present values of the remaining scheduled payments of principal and interest on the fixed rate notes to be redeemed (exclusive of interest accrued to the date of redemption), discounted to the redemption date on an annual basis (ACTUAL/ACTUAL (ICMA)), at the applicable Comparable Government Bond Rate described below plus 25 basis points for the 2023 notes, plus 15 basis points for the 2024 notes, plus 30 basis points for the 2028 notes, and plus 25 basis points for the 2032 notes, plus, in each case, accrued and unpaid interest on the principal amount of the fixed rate notes to be redeemed to the date of redemption. We will calculate the redemption price.</w:t>
      </w:r>
    </w:p>
    <w:p>
      <w:pPr>
        <w:spacing w:after="0" w:line="104" w:lineRule="exact"/>
        <w:rPr>
          <w:sz w:val="20"/>
          <w:szCs w:val="20"/>
          <w:color w:val="auto"/>
        </w:rPr>
      </w:pPr>
    </w:p>
    <w:p>
      <w:pPr>
        <w:jc w:val="both"/>
        <w:ind w:firstLine="342"/>
        <w:spacing w:after="0" w:line="254" w:lineRule="auto"/>
        <w:rPr>
          <w:sz w:val="20"/>
          <w:szCs w:val="20"/>
          <w:color w:val="auto"/>
        </w:rPr>
      </w:pPr>
      <w:r>
        <w:rPr>
          <w:rFonts w:ascii="Arial" w:cs="Arial" w:eastAsia="Arial" w:hAnsi="Arial"/>
          <w:sz w:val="18"/>
          <w:szCs w:val="18"/>
          <w:color w:val="auto"/>
        </w:rPr>
        <w:t>At any time on or after February 10, 2024 with respect to the 2024 notes and at any time on or after December 10, 2031 with respect to the 2032 notes, we may redeem the notes, in whole or in part, at a redemption price equal to 100% of the principal amount of such notes of such series being redeemed, plus accrued and unpaid interest on the principal amount of such notes of such series to be redeemed to the date of redemption.</w:t>
      </w:r>
    </w:p>
    <w:p>
      <w:pPr>
        <w:spacing w:after="0" w:line="96" w:lineRule="exact"/>
        <w:rPr>
          <w:sz w:val="20"/>
          <w:szCs w:val="20"/>
          <w:color w:val="auto"/>
        </w:rPr>
      </w:pPr>
    </w:p>
    <w:p>
      <w:pPr>
        <w:jc w:val="both"/>
        <w:ind w:firstLine="342"/>
        <w:spacing w:after="0" w:line="256" w:lineRule="auto"/>
        <w:rPr>
          <w:sz w:val="20"/>
          <w:szCs w:val="20"/>
          <w:color w:val="auto"/>
        </w:rPr>
      </w:pPr>
      <w:r>
        <w:rPr>
          <w:rFonts w:ascii="Arial" w:cs="Arial" w:eastAsia="Arial" w:hAnsi="Arial"/>
          <w:sz w:val="18"/>
          <w:szCs w:val="18"/>
          <w:color w:val="auto"/>
        </w:rPr>
        <w:t>“Comparable Government Bond Rate” means, with respect to any redemption date, the rate per annum equal to the yield to maturity, expressed as a percentage (rounded to three decimal places, with 0.0005 being rounded upwards), on the third business day prior to the date fixed for redemption,</w:t>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10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calculated in accordance with customary financial practice in pricing new issues of comparable corporate debt securities paying interest on an annual basis (ACTUAL/ACTUAL (ICMA)) of the Comparable Government Bond (as defined below), assuming a price for the Comparable Government Bond (expressed as a percentage of its principal amount) equal to the Comparable Government Bond Price for such redemption date.</w:t>
      </w:r>
    </w:p>
    <w:p>
      <w:pPr>
        <w:spacing w:after="0" w:line="96" w:lineRule="exact"/>
        <w:rPr>
          <w:sz w:val="20"/>
          <w:szCs w:val="20"/>
          <w:color w:val="auto"/>
        </w:rPr>
      </w:pPr>
    </w:p>
    <w:p>
      <w:pPr>
        <w:jc w:val="both"/>
        <w:ind w:firstLine="342"/>
        <w:spacing w:after="0" w:line="253" w:lineRule="auto"/>
        <w:rPr>
          <w:sz w:val="20"/>
          <w:szCs w:val="20"/>
          <w:color w:val="auto"/>
        </w:rPr>
      </w:pPr>
      <w:r>
        <w:rPr>
          <w:rFonts w:ascii="Arial" w:cs="Arial" w:eastAsia="Arial" w:hAnsi="Arial"/>
          <w:sz w:val="18"/>
          <w:szCs w:val="18"/>
          <w:color w:val="auto"/>
        </w:rPr>
        <w:t>“Comparable Government Bond” means, in relation to any Comparable Government Bond Rate calculation, the German government bond (Bundesanleihe) selected by an Independent Investment Banker as having an actual or interpolated maturity comparable to the remaining term of the fixed rate notes to be redeemed that would be utilized, at the time of selection and in accordance with customary financial practice, in pricing new issues of euro-denominated corporate debt securities of a comparable maturity to the remaining term of such fixed rate notes.</w:t>
      </w:r>
    </w:p>
    <w:p>
      <w:pPr>
        <w:spacing w:after="0" w:line="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“Independent Investment Banker” means one of the Reference Government Bond Dealers selected by us.</w:t>
      </w:r>
    </w:p>
    <w:p>
      <w:pPr>
        <w:spacing w:after="0" w:line="117" w:lineRule="exact"/>
        <w:rPr>
          <w:sz w:val="20"/>
          <w:szCs w:val="20"/>
          <w:color w:val="auto"/>
        </w:rPr>
      </w:pPr>
    </w:p>
    <w:p>
      <w:pPr>
        <w:jc w:val="both"/>
        <w:ind w:firstLine="342"/>
        <w:spacing w:after="0" w:line="254" w:lineRule="auto"/>
        <w:rPr>
          <w:sz w:val="20"/>
          <w:szCs w:val="20"/>
          <w:color w:val="auto"/>
        </w:rPr>
      </w:pPr>
      <w:r>
        <w:rPr>
          <w:rFonts w:ascii="Arial" w:cs="Arial" w:eastAsia="Arial" w:hAnsi="Arial"/>
          <w:sz w:val="18"/>
          <w:szCs w:val="18"/>
          <w:color w:val="auto"/>
        </w:rPr>
        <w:t>“Comparable Government Bond Price” means, with respect to any redemption date, (1) the arithmetic average of the Reference Government Bond Dealer Quotations for such redemption date, after excluding the highest and lowest such Reference Government Bond Dealer Quotations, or (2) if we obtain fewer than four such Reference Government Bond Dealer Quotations, the arithmetic average of all such quotations.</w:t>
      </w:r>
    </w:p>
    <w:p>
      <w:pPr>
        <w:spacing w:after="0" w:line="96" w:lineRule="exact"/>
        <w:rPr>
          <w:sz w:val="20"/>
          <w:szCs w:val="20"/>
          <w:color w:val="auto"/>
        </w:rPr>
      </w:pPr>
    </w:p>
    <w:p>
      <w:pPr>
        <w:jc w:val="both"/>
        <w:ind w:firstLine="342"/>
        <w:spacing w:after="0" w:line="252" w:lineRule="auto"/>
        <w:rPr>
          <w:sz w:val="20"/>
          <w:szCs w:val="20"/>
          <w:color w:val="auto"/>
        </w:rPr>
      </w:pPr>
      <w:r>
        <w:rPr>
          <w:rFonts w:ascii="Arial" w:cs="Arial" w:eastAsia="Arial" w:hAnsi="Arial"/>
          <w:sz w:val="18"/>
          <w:szCs w:val="18"/>
          <w:color w:val="auto"/>
        </w:rPr>
        <w:t>“Reference Government Bond Dealer” means each of (i) with respect to the 2023 notes and the 2028 notes, Barclays Bank PLC, Citigroup Global Markets Limited, Goldman, Sachs &amp; Co. and Merrill Lynch International or any of their affiliates that are primary European government securities dealers, and their respective successors, and with respect to the 2024 notes and the 2032 notes, Barclays Bank PLC, BNP Paribas, Goldman, Sachs &amp; Co. LLC and UniCredit Bank AG or any of their affiliates that are primary European government securities dealers, and their respective successors; provided that if any of the foregoing or any of their affiliates shall cease to be a primary European government securities dealer (“Primary Dealer”), we shall substitute therefor another Primary Dealer and (ii) three other Primary Dealers selected by us.</w:t>
      </w:r>
    </w:p>
    <w:p>
      <w:pPr>
        <w:spacing w:after="0" w:line="99" w:lineRule="exact"/>
        <w:rPr>
          <w:sz w:val="20"/>
          <w:szCs w:val="20"/>
          <w:color w:val="auto"/>
        </w:rPr>
      </w:pPr>
    </w:p>
    <w:p>
      <w:pPr>
        <w:jc w:val="both"/>
        <w:ind w:firstLine="342"/>
        <w:spacing w:after="0" w:line="254" w:lineRule="auto"/>
        <w:rPr>
          <w:sz w:val="20"/>
          <w:szCs w:val="20"/>
          <w:color w:val="auto"/>
        </w:rPr>
      </w:pPr>
      <w:r>
        <w:rPr>
          <w:rFonts w:ascii="Arial" w:cs="Arial" w:eastAsia="Arial" w:hAnsi="Arial"/>
          <w:sz w:val="18"/>
          <w:szCs w:val="18"/>
          <w:color w:val="auto"/>
        </w:rPr>
        <w:t>“Reference Government Bond Dealer Quotations” means, with respect to each Reference Government Bond Dealer and any redemption date, the arithmetic average, as determined by us, of the bid and asked prices for the Comparable Government Bond (expressed in each case as a percentage of its principal amount) quoted in writing to us by such Reference Government Bond Dealer at 11:00 a.m., Brussels time, on the third business day preceding such redemption date.</w:t>
      </w:r>
    </w:p>
    <w:p>
      <w:pPr>
        <w:spacing w:after="0" w:line="96" w:lineRule="exact"/>
        <w:rPr>
          <w:sz w:val="20"/>
          <w:szCs w:val="20"/>
          <w:color w:val="auto"/>
        </w:rPr>
      </w:pPr>
    </w:p>
    <w:p>
      <w:pPr>
        <w:jc w:val="both"/>
        <w:ind w:firstLine="342"/>
        <w:spacing w:after="0" w:line="252" w:lineRule="auto"/>
        <w:rPr>
          <w:sz w:val="20"/>
          <w:szCs w:val="20"/>
          <w:color w:val="auto"/>
        </w:rPr>
      </w:pPr>
      <w:r>
        <w:rPr>
          <w:rFonts w:ascii="Arial" w:cs="Arial" w:eastAsia="Arial" w:hAnsi="Arial"/>
          <w:sz w:val="18"/>
          <w:szCs w:val="18"/>
          <w:color w:val="auto"/>
        </w:rPr>
        <w:t>With respect to the 2023 notes and the 2028 notes, notice of any redemption will be mailed at least 30 days but not more than 60 days before the redemption date to each holder of fixed rate notes of such series to be redeemed. With respect to the 2024 notes and the 2032 notes, notice of any redemption will be mailed at least 10 days but not more than 60 days before the redemption date to each holder of fixed rate notes of such series to be redeemed. If we elect to redeem fewer than all the fixed rate notes of such series, the trustee will select the particular fixed rate notes of such series to be redeemed by such method that the trustee deems fair and appropriate; provided that if the fixed rate notes of such series are represented by one or more global securities, beneficial interests therein will be selected for redemption by Clearstream and Euroclear in accordance with their respective applicable procedures therefor; and provided, further, that no fixed rate notes of a principal amount of €100,000 or less will be redeemed in part.</w:t>
      </w:r>
    </w:p>
    <w:p>
      <w:pPr>
        <w:spacing w:after="0" w:line="97" w:lineRule="exact"/>
        <w:rPr>
          <w:sz w:val="20"/>
          <w:szCs w:val="20"/>
          <w:color w:val="auto"/>
        </w:rPr>
      </w:pPr>
    </w:p>
    <w:p>
      <w:pPr>
        <w:jc w:val="both"/>
        <w:ind w:firstLine="342"/>
        <w:spacing w:after="0" w:line="261" w:lineRule="auto"/>
        <w:rPr>
          <w:sz w:val="20"/>
          <w:szCs w:val="20"/>
          <w:color w:val="auto"/>
        </w:rPr>
      </w:pPr>
      <w:r>
        <w:rPr>
          <w:rFonts w:ascii="Arial" w:cs="Arial" w:eastAsia="Arial" w:hAnsi="Arial"/>
          <w:sz w:val="18"/>
          <w:szCs w:val="18"/>
          <w:color w:val="auto"/>
        </w:rPr>
        <w:t>Unless we default in payment of the redemption price, on and after the redemption date interest will cease to accrue on the fixed rate notes or portions thereof called for redemption.</w:t>
      </w:r>
    </w:p>
    <w:p>
      <w:pPr>
        <w:spacing w:after="0" w:line="90" w:lineRule="exact"/>
        <w:rPr>
          <w:sz w:val="20"/>
          <w:szCs w:val="20"/>
          <w:color w:val="auto"/>
        </w:rPr>
      </w:pPr>
    </w:p>
    <w:p>
      <w:pPr>
        <w:jc w:val="both"/>
        <w:ind w:firstLine="342"/>
        <w:spacing w:after="0" w:line="256" w:lineRule="auto"/>
        <w:rPr>
          <w:sz w:val="20"/>
          <w:szCs w:val="20"/>
          <w:color w:val="auto"/>
        </w:rPr>
      </w:pPr>
      <w:r>
        <w:rPr>
          <w:rFonts w:ascii="Arial" w:cs="Arial" w:eastAsia="Arial" w:hAnsi="Arial"/>
          <w:sz w:val="18"/>
          <w:szCs w:val="18"/>
          <w:color w:val="auto"/>
        </w:rPr>
        <w:t>The debt securities are also subject to redemption prior to maturity if certain changes in U.S. tax law occur. If such changes occur, the debt securities may be redeemed at a redemption price of 100% of their principal amount plus accrued and unpaid interest to the date of redemption. See “Redemption for Tax Reasons.”</w:t>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Additional Amounts</w:t>
      </w:r>
    </w:p>
    <w:p>
      <w:pPr>
        <w:spacing w:after="0" w:line="139" w:lineRule="exact"/>
        <w:rPr>
          <w:sz w:val="20"/>
          <w:szCs w:val="20"/>
          <w:color w:val="auto"/>
        </w:rPr>
      </w:pPr>
    </w:p>
    <w:p>
      <w:pPr>
        <w:jc w:val="both"/>
        <w:ind w:firstLine="342"/>
        <w:spacing w:after="0" w:line="252" w:lineRule="auto"/>
        <w:rPr>
          <w:sz w:val="20"/>
          <w:szCs w:val="20"/>
          <w:color w:val="auto"/>
        </w:rPr>
      </w:pPr>
      <w:r>
        <w:rPr>
          <w:rFonts w:ascii="Arial" w:cs="Arial" w:eastAsia="Arial" w:hAnsi="Arial"/>
          <w:sz w:val="18"/>
          <w:szCs w:val="18"/>
          <w:color w:val="auto"/>
        </w:rPr>
        <w:t>We will, subject to the exceptions and limitations set forth below, pay as additional interest on the debt securities such additional amounts as are necessary in order that the net payment by us or a paying agent of the principal, premium and interest with respect to the debt securities to a holder that is not a United States person (as defined below), after withholding or deduction for any present or future tax, assessment or other governmental charge imposed by the United States or a taxing authority in the United States, will not be less than the amount provided in the debt securities to be then due and payable; provided, however, that the foregoing obligation to pay additional amounts will not apply:</w:t>
      </w:r>
    </w:p>
    <w:p>
      <w:pPr>
        <w:spacing w:after="0" w:line="397" w:lineRule="exact"/>
        <w:rPr>
          <w:sz w:val="20"/>
          <w:szCs w:val="20"/>
          <w:color w:val="auto"/>
        </w:rPr>
      </w:pPr>
    </w:p>
    <w:p>
      <w:pPr>
        <w:jc w:val="both"/>
        <w:ind w:left="900" w:right="20" w:hanging="254"/>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any tax, assessment or other governmental charge that would not have been imposed but for the holder, a fiduciary, settlor, beneficiary, member or shareholder of the holder, or a person holding a power over an estate or trust administered by a fiduciary holder, being treated as:</w:t>
      </w:r>
    </w:p>
    <w:p>
      <w:pPr>
        <w:spacing w:after="0" w:line="67" w:lineRule="exact"/>
        <w:rPr>
          <w:rFonts w:ascii="Arial" w:cs="Arial" w:eastAsia="Arial" w:hAnsi="Arial"/>
          <w:sz w:val="18"/>
          <w:szCs w:val="18"/>
          <w:color w:val="auto"/>
        </w:rPr>
      </w:pPr>
    </w:p>
    <w:p>
      <w:pPr>
        <w:jc w:val="both"/>
        <w:ind w:left="1340" w:right="20" w:hanging="298"/>
        <w:spacing w:after="0"/>
        <w:tabs>
          <w:tab w:leader="none" w:pos="13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being or having been present in, or engaged in a trade or business in, the United States, being treated as having been present in, or engaged in a trade or business in, the United States, or having or having had a permanent establishment in the United States;</w:t>
      </w:r>
    </w:p>
    <w:p>
      <w:pPr>
        <w:spacing w:after="0" w:line="40" w:lineRule="exact"/>
        <w:rPr>
          <w:rFonts w:ascii="Arial" w:cs="Arial" w:eastAsia="Arial" w:hAnsi="Arial"/>
          <w:sz w:val="18"/>
          <w:szCs w:val="18"/>
          <w:color w:val="auto"/>
        </w:rPr>
      </w:pPr>
    </w:p>
    <w:p>
      <w:pPr>
        <w:jc w:val="both"/>
        <w:ind w:left="1340" w:right="20" w:hanging="298"/>
        <w:spacing w:after="0" w:line="238" w:lineRule="auto"/>
        <w:tabs>
          <w:tab w:leader="none" w:pos="13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having a current or former connection with the United States (other than a connection arising solely as a result of the ownership of the debt securities, the receipt of any payment in respect of the debt securities or the enforcement of any rights under the indenture), including being or having been a citizen or resident of the United States or treated as being or having been a resident thereof;</w:t>
      </w:r>
    </w:p>
    <w:p>
      <w:pPr>
        <w:spacing w:after="0" w:line="42" w:lineRule="exact"/>
        <w:rPr>
          <w:rFonts w:ascii="Arial" w:cs="Arial" w:eastAsia="Arial" w:hAnsi="Arial"/>
          <w:sz w:val="18"/>
          <w:szCs w:val="18"/>
          <w:color w:val="auto"/>
        </w:rPr>
      </w:pPr>
    </w:p>
    <w:p>
      <w:pPr>
        <w:jc w:val="both"/>
        <w:ind w:left="1340" w:right="20" w:hanging="288"/>
        <w:spacing w:after="0"/>
        <w:tabs>
          <w:tab w:leader="none" w:pos="13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being or having been a personal holding company, a passive foreign investment company or a controlled foreign corporation for U.S. federal income tax purposes, a foreign tax exempt organization, or a corporation that has accumulated earnings to avoid United States federal income tax;</w:t>
      </w:r>
    </w:p>
    <w:p>
      <w:pPr>
        <w:spacing w:after="0" w:line="40" w:lineRule="exact"/>
        <w:rPr>
          <w:rFonts w:ascii="Arial" w:cs="Arial" w:eastAsia="Arial" w:hAnsi="Arial"/>
          <w:sz w:val="18"/>
          <w:szCs w:val="18"/>
          <w:color w:val="auto"/>
        </w:rPr>
      </w:pPr>
    </w:p>
    <w:p>
      <w:pPr>
        <w:ind w:left="1340" w:right="20" w:hanging="298"/>
        <w:spacing w:after="0" w:line="246" w:lineRule="auto"/>
        <w:tabs>
          <w:tab w:leader="none" w:pos="13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being or having been a “10-percent shareholder,” as defined in section 871(h)(3) of the United States Internal Revenue Code of 1986, as amended (the “Code”), or any successor provision, of us; or</w:t>
      </w:r>
    </w:p>
    <w:p>
      <w:pPr>
        <w:spacing w:after="0" w:line="34" w:lineRule="exact"/>
        <w:rPr>
          <w:rFonts w:ascii="Arial" w:cs="Arial" w:eastAsia="Arial" w:hAnsi="Arial"/>
          <w:sz w:val="18"/>
          <w:szCs w:val="18"/>
          <w:color w:val="auto"/>
        </w:rPr>
      </w:pPr>
    </w:p>
    <w:p>
      <w:pPr>
        <w:ind w:left="1340" w:right="20" w:hanging="298"/>
        <w:spacing w:after="0" w:line="246" w:lineRule="auto"/>
        <w:tabs>
          <w:tab w:leader="none" w:pos="13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being a bank receiving payments on an extension of credit made pursuant to a loan agreement entered into in the ordinary course of its trade or business, within the meaning of section 881(c)(3) of the Code or any successor provision;</w:t>
      </w:r>
    </w:p>
    <w:p>
      <w:pPr>
        <w:spacing w:after="0" w:line="62" w:lineRule="exact"/>
        <w:rPr>
          <w:sz w:val="20"/>
          <w:szCs w:val="20"/>
          <w:color w:val="auto"/>
        </w:rPr>
      </w:pPr>
    </w:p>
    <w:p>
      <w:pPr>
        <w:jc w:val="both"/>
        <w:ind w:left="1040" w:right="20" w:hanging="259"/>
        <w:spacing w:after="0" w:line="238" w:lineRule="auto"/>
        <w:tabs>
          <w:tab w:leader="none" w:pos="10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 any holder that is not the sole beneficial owner of the debt securities, or a portion of the debt securities, or that is a fiduciary, partnership or limited liability company, but only to the extent that a beneficiary or settlor with respect to the fiduciary, a beneficial owner or member of the partnership or limited liability company would not have been entitled to the payment of an additional amount had the beneficiary, settlor, beneficial owner or member received directly its beneficial or distributive share of the payment;</w:t>
      </w:r>
    </w:p>
    <w:p>
      <w:pPr>
        <w:spacing w:after="0" w:line="40" w:lineRule="exact"/>
        <w:rPr>
          <w:sz w:val="20"/>
          <w:szCs w:val="20"/>
          <w:color w:val="auto"/>
        </w:rPr>
      </w:pPr>
    </w:p>
    <w:p>
      <w:pPr>
        <w:jc w:val="both"/>
        <w:ind w:left="1040" w:right="20" w:hanging="259"/>
        <w:spacing w:after="0" w:line="238" w:lineRule="auto"/>
        <w:tabs>
          <w:tab w:leader="none" w:pos="10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to any tax, assessment or other governmental charge that would not have been imposed but for the failure of the holder or any other person to comply with certification, identification or information reporting requirements concerning the nationality, residence, identity or connection with the United States of the holder or beneficial owner of the debt securities, if compliance is required by statute, by regulation of the United States or any taxing authority therein or by an applicable income tax treaty to which the United States is a party as a precondition to exemption from such tax, assessment or other governmental charge;</w:t>
      </w:r>
    </w:p>
    <w:p>
      <w:pPr>
        <w:spacing w:after="0" w:line="40" w:lineRule="exact"/>
        <w:rPr>
          <w:sz w:val="20"/>
          <w:szCs w:val="20"/>
          <w:color w:val="auto"/>
        </w:rPr>
      </w:pPr>
    </w:p>
    <w:p>
      <w:pPr>
        <w:ind w:left="1040" w:right="20" w:hanging="259"/>
        <w:spacing w:after="0" w:line="246" w:lineRule="auto"/>
        <w:tabs>
          <w:tab w:leader="none" w:pos="10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to any tax, assessment or other governmental charge that is imposed otherwise than by withholding by us or a paying agent from the payment;</w:t>
      </w:r>
    </w:p>
    <w:p>
      <w:pPr>
        <w:spacing w:after="0" w:line="35" w:lineRule="exact"/>
        <w:rPr>
          <w:sz w:val="20"/>
          <w:szCs w:val="20"/>
          <w:color w:val="auto"/>
        </w:rPr>
      </w:pPr>
    </w:p>
    <w:p>
      <w:pPr>
        <w:ind w:left="1040" w:right="20" w:hanging="259"/>
        <w:spacing w:after="0" w:line="246" w:lineRule="auto"/>
        <w:tabs>
          <w:tab w:leader="none" w:pos="10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to any estate, inheritance, gift, sales, excise, transfer, wealth, capital gains or personal property tax or similar tax, assessment or other governmental charge;</w:t>
      </w:r>
    </w:p>
    <w:p>
      <w:pPr>
        <w:spacing w:after="0" w:line="35" w:lineRule="exact"/>
        <w:rPr>
          <w:sz w:val="20"/>
          <w:szCs w:val="20"/>
          <w:color w:val="auto"/>
        </w:rPr>
      </w:pPr>
    </w:p>
    <w:p>
      <w:pPr>
        <w:jc w:val="both"/>
        <w:ind w:left="1040" w:right="20" w:hanging="259"/>
        <w:spacing w:after="0"/>
        <w:tabs>
          <w:tab w:leader="none" w:pos="10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to any tax, assessment or other governmental charge that would not have been imposed but for the presentation by the holder of any debt securities, where presentation is required, for payment on a date more than 30 days after the date on which payment became due and payable or the date on which payment thereof is duly provided for, whichever occurs later;</w:t>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49" w:lineRule="exact"/>
        <w:rPr>
          <w:sz w:val="20"/>
          <w:szCs w:val="20"/>
          <w:color w:val="auto"/>
        </w:rPr>
      </w:pPr>
    </w:p>
    <w:p>
      <w:pPr>
        <w:jc w:val="both"/>
        <w:ind w:left="1040" w:right="20" w:hanging="259"/>
        <w:spacing w:after="0" w:line="237" w:lineRule="auto"/>
        <w:tabs>
          <w:tab w:leader="none" w:pos="10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to any tax, assessment or other governmental charge required to be withheld or deducted that is imposed on a payment pursuant to Sections 1471 through 1474 of the Code (or any amended or successor version of such Sections that is substantively comparable and not materially more onerous to comply with), any Treasury regulations promulgated thereunder, or any other official interpretations thereof (collectively, “FATCA”), any agreement (including any intergovernmental agreement) entered into in connection therewith, or any law, regulation or other official guidance enacted in any jurisdiction implementing FATCA or an intergovernmental agreement in respect of FATCA;</w:t>
      </w:r>
    </w:p>
    <w:p>
      <w:pPr>
        <w:spacing w:after="0" w:line="43" w:lineRule="exact"/>
        <w:rPr>
          <w:sz w:val="20"/>
          <w:szCs w:val="20"/>
          <w:color w:val="auto"/>
        </w:rPr>
      </w:pPr>
    </w:p>
    <w:p>
      <w:pPr>
        <w:jc w:val="both"/>
        <w:ind w:left="1040" w:right="20" w:hanging="259"/>
        <w:spacing w:after="0"/>
        <w:tabs>
          <w:tab w:leader="none" w:pos="10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tax, assessment or other governmental charge that is imposed or withheld solely by reason of a change in law, regulation, or administrative or judicial interpretation that becomes effective more than 15 days after the payment becomes due or is duly provided for, whichever occurs later;</w:t>
      </w:r>
    </w:p>
    <w:p>
      <w:pPr>
        <w:spacing w:after="0" w:line="41" w:lineRule="exact"/>
        <w:rPr>
          <w:sz w:val="20"/>
          <w:szCs w:val="20"/>
          <w:color w:val="auto"/>
        </w:rPr>
      </w:pPr>
    </w:p>
    <w:p>
      <w:pPr>
        <w:ind w:left="1040" w:right="20" w:hanging="259"/>
        <w:spacing w:after="0" w:line="246" w:lineRule="auto"/>
        <w:tabs>
          <w:tab w:leader="none" w:pos="10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tax, assessment or other governmental charge imposed by reason of the failure of the beneficial owner to fulfill the statement requirements of Section 871(h) or Section 881(c) of the Code;</w:t>
      </w:r>
    </w:p>
    <w:p>
      <w:pPr>
        <w:spacing w:after="0" w:line="35" w:lineRule="exact"/>
        <w:rPr>
          <w:sz w:val="20"/>
          <w:szCs w:val="20"/>
          <w:color w:val="auto"/>
        </w:rPr>
      </w:pPr>
    </w:p>
    <w:p>
      <w:pPr>
        <w:ind w:left="1040" w:hanging="359"/>
        <w:spacing w:after="0"/>
        <w:tabs>
          <w:tab w:leader="none" w:pos="10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tax imposed pursuant to Section 871(h)(6) or 881(c)(6) of the Code (or any amended or successor provisions); or</w:t>
      </w:r>
    </w:p>
    <w:p>
      <w:pPr>
        <w:spacing w:after="0" w:line="49" w:lineRule="exact"/>
        <w:rPr>
          <w:rFonts w:ascii="Arial" w:cs="Arial" w:eastAsia="Arial" w:hAnsi="Arial"/>
          <w:sz w:val="18"/>
          <w:szCs w:val="18"/>
          <w:color w:val="auto"/>
        </w:rPr>
      </w:pPr>
    </w:p>
    <w:p>
      <w:pPr>
        <w:ind w:left="1040" w:hanging="359"/>
        <w:spacing w:after="0"/>
        <w:tabs>
          <w:tab w:leader="none" w:pos="10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 the case of any combination of items (1) through (10).</w:t>
      </w:r>
    </w:p>
    <w:p>
      <w:pPr>
        <w:spacing w:after="0" w:line="131" w:lineRule="exact"/>
        <w:rPr>
          <w:sz w:val="20"/>
          <w:szCs w:val="20"/>
          <w:color w:val="auto"/>
        </w:rPr>
      </w:pPr>
    </w:p>
    <w:p>
      <w:pPr>
        <w:jc w:val="both"/>
        <w:ind w:firstLine="342"/>
        <w:spacing w:after="0" w:line="256" w:lineRule="auto"/>
        <w:rPr>
          <w:sz w:val="20"/>
          <w:szCs w:val="20"/>
          <w:color w:val="auto"/>
        </w:rPr>
      </w:pPr>
      <w:r>
        <w:rPr>
          <w:rFonts w:ascii="Arial" w:cs="Arial" w:eastAsia="Arial" w:hAnsi="Arial"/>
          <w:sz w:val="18"/>
          <w:szCs w:val="18"/>
          <w:color w:val="auto"/>
        </w:rPr>
        <w:t>Except as specifically provided under this heading “Payment of Additional Amounts,” we are not required to pay additional amounts in respect of any tax, assessment or other governmental charge. References to any payment on the debt securities include the related payment of additional amounts, as applicable.</w:t>
      </w:r>
    </w:p>
    <w:p>
      <w:pPr>
        <w:spacing w:after="0" w:line="94" w:lineRule="exact"/>
        <w:rPr>
          <w:sz w:val="20"/>
          <w:szCs w:val="20"/>
          <w:color w:val="auto"/>
        </w:rPr>
      </w:pPr>
    </w:p>
    <w:p>
      <w:pPr>
        <w:jc w:val="both"/>
        <w:ind w:firstLine="342"/>
        <w:spacing w:after="0" w:line="252" w:lineRule="auto"/>
        <w:rPr>
          <w:sz w:val="20"/>
          <w:szCs w:val="20"/>
          <w:color w:val="auto"/>
        </w:rPr>
      </w:pPr>
      <w:r>
        <w:rPr>
          <w:rFonts w:ascii="Arial" w:cs="Arial" w:eastAsia="Arial" w:hAnsi="Arial"/>
          <w:sz w:val="18"/>
          <w:szCs w:val="18"/>
          <w:color w:val="auto"/>
        </w:rPr>
        <w:t>As used under this heading “Payment of Additional Amounts” and under the heading “Redemption for Tax Reasons,” the term “United States” means the United States of America, any state thereof, and the District of Columbia, and the term “United States person” means (i) any individual who is a citizen or resident of the United States for U.S. federal income tax purposes, (ii) a corporation, partnership or other entity created or organized in or under the laws of the United States, any state thereof or the District of Columbia (other than a partnership that is not treated as a United States person for U.S. federal income tax purposes), (iii) any estate the income of which is subject to U.S. federal income taxation regardless of its source, or (iv) any trust if a U.S. court can exercise primary supervision over the administration of the trust and one or more United States persons can control all substantial trust decisions, or if a valid election is in place to treat the trust as a United States person.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for Tax Reasons</w:t>
      </w:r>
    </w:p>
    <w:p>
      <w:pPr>
        <w:spacing w:after="0" w:line="139" w:lineRule="exact"/>
        <w:rPr>
          <w:sz w:val="20"/>
          <w:szCs w:val="20"/>
          <w:color w:val="auto"/>
        </w:rPr>
      </w:pPr>
    </w:p>
    <w:p>
      <w:pPr>
        <w:jc w:val="both"/>
        <w:ind w:firstLine="342"/>
        <w:spacing w:after="0" w:line="252" w:lineRule="auto"/>
        <w:rPr>
          <w:sz w:val="20"/>
          <w:szCs w:val="20"/>
          <w:color w:val="auto"/>
        </w:rPr>
      </w:pPr>
      <w:r>
        <w:rPr>
          <w:rFonts w:ascii="Arial" w:cs="Arial" w:eastAsia="Arial" w:hAnsi="Arial"/>
          <w:sz w:val="18"/>
          <w:szCs w:val="18"/>
          <w:color w:val="auto"/>
        </w:rPr>
        <w:t>If, as a result of any change in, or amendment to, the laws of the United States or the official interpretation thereof that is announced or becomes effective on or after February 17, 2016, with respect to the 2023 notes and the 2028 notes, or on or after March 5, 2020, with respect to the 2024 notes and the 2030 notes, we become or, based upon a written opinion of independent counsel selected by us, will become obligated to pay additional amounts as described herein under the heading “Payment of Additional Amounts” with respect to the debt securities of any series, then we may at any time at our option redeem, in whole, but not in part, the debt securities of such series on not less than 30 nor more than 60 days’ prior notice with respect to the 2023 notes and the 2028 notes, or not less than 10 nor more than 60 days’ prior notice, with respect to the 2024 notes and the 2030 notes, at a redemption price equal to 100% of their principal amount, plus accrued and unpaid interest on the debt securities of such series to be redeemed to the date of redemption.</w:t>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Further Issues</w:t>
      </w:r>
    </w:p>
    <w:p>
      <w:pPr>
        <w:spacing w:after="0" w:line="139" w:lineRule="exact"/>
        <w:rPr>
          <w:sz w:val="20"/>
          <w:szCs w:val="20"/>
          <w:color w:val="auto"/>
        </w:rPr>
      </w:pPr>
    </w:p>
    <w:p>
      <w:pPr>
        <w:jc w:val="both"/>
        <w:ind w:firstLine="342"/>
        <w:spacing w:after="0" w:line="252" w:lineRule="auto"/>
        <w:rPr>
          <w:sz w:val="20"/>
          <w:szCs w:val="20"/>
          <w:color w:val="auto"/>
        </w:rPr>
      </w:pPr>
      <w:r>
        <w:rPr>
          <w:rFonts w:ascii="Arial" w:cs="Arial" w:eastAsia="Arial" w:hAnsi="Arial"/>
          <w:sz w:val="18"/>
          <w:szCs w:val="18"/>
          <w:color w:val="auto"/>
        </w:rPr>
        <w:t>We may from time to time, without notice to or the consent of the registered holders of a series of debt securities, create and issue further debt securities of any such series ranking equally with the debt securities of the corresponding series and having the same terms in all respects (other than the payment of interest accruing prior to the issue date of such further debt securities or except for the first payment of interest following the issue date of such further debt securities); provided that such additional debt securities of any series shall not be issued with the same ISIN or Common Code number as the debt securities of its corresponding series unless such additional debt securities are issued for U.S. federal income tax purposes in a “qualified reopening” or are otherwise treated as part of the same issue for U.S. federal income tax purposes. Such further debt securities will be consolidated and form a single series with the debt securities of the corresponding series.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139" w:lineRule="exact"/>
        <w:rPr>
          <w:sz w:val="20"/>
          <w:szCs w:val="20"/>
          <w:color w:val="auto"/>
        </w:rPr>
      </w:pPr>
    </w:p>
    <w:p>
      <w:pPr>
        <w:jc w:val="both"/>
        <w:ind w:right="20" w:firstLine="342"/>
        <w:spacing w:after="0" w:line="261" w:lineRule="auto"/>
        <w:rPr>
          <w:sz w:val="20"/>
          <w:szCs w:val="20"/>
          <w:color w:val="auto"/>
        </w:rPr>
      </w:pPr>
      <w:r>
        <w:rPr>
          <w:rFonts w:ascii="Arial" w:cs="Arial" w:eastAsia="Arial" w:hAnsi="Arial"/>
          <w:sz w:val="18"/>
          <w:szCs w:val="18"/>
          <w:color w:val="auto"/>
        </w:rPr>
        <w:t>Notices to holders of the debt securities will be sent by mail or email to the registered holders, or otherwise in accordance with the procedures of the applicable depositary.</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Regarding the Trustee, Paying Agent, Transfer Agent and Registrar</w:t>
      </w:r>
    </w:p>
    <w:p>
      <w:pPr>
        <w:spacing w:after="0" w:line="139" w:lineRule="exact"/>
        <w:rPr>
          <w:sz w:val="20"/>
          <w:szCs w:val="20"/>
          <w:color w:val="auto"/>
        </w:rPr>
      </w:pPr>
    </w:p>
    <w:p>
      <w:pPr>
        <w:jc w:val="both"/>
        <w:ind w:firstLine="342"/>
        <w:spacing w:after="0" w:line="261" w:lineRule="auto"/>
        <w:rPr>
          <w:sz w:val="20"/>
          <w:szCs w:val="20"/>
          <w:color w:val="auto"/>
        </w:rPr>
      </w:pPr>
      <w:r>
        <w:rPr>
          <w:rFonts w:ascii="Arial" w:cs="Arial" w:eastAsia="Arial" w:hAnsi="Arial"/>
          <w:sz w:val="18"/>
          <w:szCs w:val="18"/>
          <w:color w:val="auto"/>
        </w:rPr>
        <w:t>Deutsche Bank Trust Company Americas is the paying agent, trustee, transfer agent and registrar with respect to the debt securities. We and our affiliates maintain various commercial and service relationships with the trustee and its affiliates in the ordinary course of business.</w:t>
      </w:r>
    </w:p>
    <w:p>
      <w:pPr>
        <w:spacing w:after="0" w:line="90" w:lineRule="exact"/>
        <w:rPr>
          <w:sz w:val="20"/>
          <w:szCs w:val="20"/>
          <w:color w:val="auto"/>
        </w:rPr>
      </w:pPr>
    </w:p>
    <w:p>
      <w:pPr>
        <w:jc w:val="both"/>
        <w:ind w:firstLine="342"/>
        <w:spacing w:after="0" w:line="253" w:lineRule="auto"/>
        <w:rPr>
          <w:sz w:val="20"/>
          <w:szCs w:val="20"/>
          <w:color w:val="auto"/>
        </w:rPr>
      </w:pPr>
      <w:r>
        <w:rPr>
          <w:rFonts w:ascii="Arial" w:cs="Arial" w:eastAsia="Arial" w:hAnsi="Arial"/>
          <w:sz w:val="18"/>
          <w:szCs w:val="18"/>
          <w:color w:val="auto"/>
        </w:rPr>
        <w:t>The indenture contains certain limitations on the right of the trustee, should it become a creditor of ours within three months of, or subsequent to, a default by us to make payment in full of principal of or interest on any series of debt securities issued pursuant to the indenture when and as the same becomes due and payable, to obtain payment of claims, or to realize for its own account on property received in respect of any such claim as security or otherwise, unless and until such default is cured. However, the trustee’s rights as a creditor of ours will not be limited if the creditor relationship arises from, among other things:</w:t>
      </w:r>
    </w:p>
    <w:p>
      <w:pPr>
        <w:spacing w:after="0" w:line="97" w:lineRule="exact"/>
        <w:rPr>
          <w:sz w:val="20"/>
          <w:szCs w:val="20"/>
          <w:color w:val="auto"/>
        </w:rPr>
      </w:pPr>
    </w:p>
    <w:p>
      <w:pPr>
        <w:ind w:left="660" w:hanging="328"/>
        <w:spacing w:after="0" w:line="261" w:lineRule="auto"/>
        <w:tabs>
          <w:tab w:leader="none" w:pos="655"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ownership or acquisition of securities issued under any indenture or having a maturity of one year or more at the time of acquisition by the trustee;</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certain advances authorized by a receivership or bankruptcy court of competent jurisdiction or by the indenture;</w:t>
      </w:r>
    </w:p>
    <w:p>
      <w:pPr>
        <w:spacing w:after="0" w:line="11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70"/>
        </w:numPr>
        <w:rPr>
          <w:rFonts w:ascii="Arial" w:cs="Arial" w:eastAsia="Arial" w:hAnsi="Arial"/>
          <w:sz w:val="18"/>
          <w:szCs w:val="18"/>
          <w:color w:val="auto"/>
        </w:rPr>
      </w:pPr>
      <w:r>
        <w:rPr>
          <w:rFonts w:ascii="Arial" w:cs="Arial" w:eastAsia="Arial" w:hAnsi="Arial"/>
          <w:sz w:val="18"/>
          <w:szCs w:val="18"/>
          <w:color w:val="auto"/>
        </w:rPr>
        <w:t>disbursements made in the ordinary course of business in its capacity as indenture trustee, transfer agent, registrar, custodian or paying agent or in any other similar capacity;</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indebtedness created as a result of goods or securities sold in a cash transaction or services rendered or premises rented; or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acquisition, ownership, acceptance or negotiation of certain drafts, bills of exchange, acceptances or other obligations.</w:t>
      </w:r>
    </w:p>
    <w:p>
      <w:pPr>
        <w:spacing w:after="0" w:line="117" w:lineRule="exact"/>
        <w:rPr>
          <w:sz w:val="20"/>
          <w:szCs w:val="20"/>
          <w:color w:val="auto"/>
        </w:rPr>
      </w:pPr>
    </w:p>
    <w:p>
      <w:pPr>
        <w:jc w:val="both"/>
        <w:ind w:firstLine="342"/>
        <w:spacing w:after="0" w:line="256" w:lineRule="auto"/>
        <w:rPr>
          <w:sz w:val="20"/>
          <w:szCs w:val="20"/>
          <w:color w:val="auto"/>
        </w:rPr>
      </w:pPr>
      <w:r>
        <w:rPr>
          <w:rFonts w:ascii="Arial" w:cs="Arial" w:eastAsia="Arial" w:hAnsi="Arial"/>
          <w:sz w:val="18"/>
          <w:szCs w:val="18"/>
          <w:color w:val="auto"/>
        </w:rPr>
        <w:t>The indenture does not prohibit the trustee from serving as trustee under any other indenture to which we may be a party from time to time or from engaging in other transactions with us. If the trustee acquires any conflicting interest within the meaning of the Trust Indenture Act and any debt securities issued pursuant to the indenture are in default, it must eliminate such conflict or resign.</w:t>
      </w:r>
    </w:p>
    <w:p>
      <w:pPr>
        <w:spacing w:after="0" w:line="94" w:lineRule="exact"/>
        <w:rPr>
          <w:sz w:val="20"/>
          <w:szCs w:val="20"/>
          <w:color w:val="auto"/>
        </w:rPr>
      </w:pPr>
    </w:p>
    <w:p>
      <w:pPr>
        <w:jc w:val="both"/>
        <w:ind w:right="20" w:firstLine="342"/>
        <w:spacing w:after="0" w:line="261" w:lineRule="auto"/>
        <w:rPr>
          <w:sz w:val="20"/>
          <w:szCs w:val="20"/>
          <w:color w:val="auto"/>
        </w:rPr>
      </w:pPr>
      <w:r>
        <w:rPr>
          <w:rFonts w:ascii="Arial" w:cs="Arial" w:eastAsia="Arial" w:hAnsi="Arial"/>
          <w:sz w:val="18"/>
          <w:szCs w:val="18"/>
          <w:color w:val="auto"/>
        </w:rPr>
        <w:t>An affiliate of the trustee is a participant in our $4.0 billion Amended and Restated Five Year Credit Agreement, maturing in April 2024, and our $1.5 billion 364-Day Credit Agreement, maturing in April 2021.</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39" w:lineRule="exact"/>
        <w:rPr>
          <w:sz w:val="20"/>
          <w:szCs w:val="20"/>
          <w:color w:val="auto"/>
        </w:rPr>
      </w:pPr>
    </w:p>
    <w:p>
      <w:pPr>
        <w:jc w:val="both"/>
        <w:ind w:firstLine="342"/>
        <w:spacing w:after="0" w:line="261" w:lineRule="auto"/>
        <w:rPr>
          <w:sz w:val="20"/>
          <w:szCs w:val="20"/>
          <w:color w:val="auto"/>
        </w:rPr>
      </w:pPr>
      <w:r>
        <w:rPr>
          <w:rFonts w:ascii="Arial" w:cs="Arial" w:eastAsia="Arial" w:hAnsi="Arial"/>
          <w:sz w:val="18"/>
          <w:szCs w:val="18"/>
          <w:color w:val="auto"/>
        </w:rPr>
        <w:t>We have listed each series of the debt securities on the NYSE. We have no obligation to maintain such listing and we may delist any series of the debt securities at any time.</w:t>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139" w:lineRule="exact"/>
        <w:rPr>
          <w:sz w:val="20"/>
          <w:szCs w:val="20"/>
          <w:color w:val="auto"/>
        </w:rPr>
      </w:pPr>
    </w:p>
    <w:p>
      <w:pPr>
        <w:ind w:firstLine="342"/>
        <w:spacing w:after="0" w:line="261" w:lineRule="auto"/>
        <w:rPr>
          <w:sz w:val="20"/>
          <w:szCs w:val="20"/>
          <w:color w:val="auto"/>
        </w:rPr>
      </w:pPr>
      <w:r>
        <w:rPr>
          <w:rFonts w:ascii="Arial" w:cs="Arial" w:eastAsia="Arial" w:hAnsi="Arial"/>
          <w:sz w:val="18"/>
          <w:szCs w:val="18"/>
          <w:color w:val="auto"/>
        </w:rPr>
        <w:t>The indenture and the debt securities for all purposes shall be governed by and construed in accordance with the laws of the State of New York.</w:t>
      </w:r>
    </w:p>
    <w:p>
      <w:pPr>
        <w:sectPr>
          <w:pgSz w:w="11900" w:h="16838" w:orient="portrait"/>
          <w:cols w:equalWidth="0" w:num="1">
            <w:col w:w="11240"/>
          </w:cols>
          <w:pgMar w:left="320" w:top="1440" w:right="3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10.5</w:t>
      </w:r>
    </w:p>
    <w:p>
      <w:pPr>
        <w:spacing w:after="0" w:line="27"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color w:val="auto"/>
        </w:rPr>
        <w:t>HONEYWELL EXCESS BENEFIT PLAN</w:t>
      </w:r>
    </w:p>
    <w:p>
      <w:pPr>
        <w:jc w:val="center"/>
        <w:ind w:right="312"/>
        <w:spacing w:after="0" w:line="234" w:lineRule="auto"/>
        <w:rPr>
          <w:sz w:val="20"/>
          <w:szCs w:val="20"/>
          <w:color w:val="auto"/>
        </w:rPr>
      </w:pPr>
      <w:r>
        <w:rPr>
          <w:rFonts w:ascii="Arial" w:cs="Arial" w:eastAsia="Arial" w:hAnsi="Arial"/>
          <w:sz w:val="18"/>
          <w:szCs w:val="18"/>
          <w:b w:val="1"/>
          <w:bCs w:val="1"/>
          <w:color w:val="auto"/>
        </w:rPr>
        <w:t>AND</w:t>
      </w:r>
    </w:p>
    <w:p>
      <w:pPr>
        <w:jc w:val="center"/>
        <w:ind w:right="312"/>
        <w:spacing w:after="0" w:line="235" w:lineRule="auto"/>
        <w:rPr>
          <w:sz w:val="20"/>
          <w:szCs w:val="20"/>
          <w:color w:val="auto"/>
        </w:rPr>
      </w:pPr>
      <w:r>
        <w:rPr>
          <w:rFonts w:ascii="Arial" w:cs="Arial" w:eastAsia="Arial" w:hAnsi="Arial"/>
          <w:sz w:val="18"/>
          <w:szCs w:val="18"/>
          <w:b w:val="1"/>
          <w:bCs w:val="1"/>
          <w:color w:val="auto"/>
        </w:rPr>
        <w:t>HONEYWELL SUPPLEMENTAL SAVINGS PLAN</w:t>
      </w:r>
    </w:p>
    <w:p>
      <w:pPr>
        <w:spacing w:after="0" w:line="1"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color w:val="auto"/>
        </w:rPr>
        <w:t>(amended and restated effective January 1, 2021)</w:t>
      </w:r>
    </w:p>
    <w:p>
      <w:pPr>
        <w:spacing w:after="0" w:line="239" w:lineRule="exact"/>
        <w:rPr>
          <w:sz w:val="20"/>
          <w:szCs w:val="20"/>
          <w:color w:val="auto"/>
        </w:rPr>
      </w:pPr>
    </w:p>
    <w:p>
      <w:pPr>
        <w:jc w:val="both"/>
        <w:ind w:left="328" w:hanging="328"/>
        <w:spacing w:after="0" w:line="237" w:lineRule="auto"/>
        <w:tabs>
          <w:tab w:leader="none" w:pos="316"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History</w:t>
      </w:r>
      <w:r>
        <w:rPr>
          <w:rFonts w:ascii="Arial" w:cs="Arial" w:eastAsia="Arial" w:hAnsi="Arial"/>
          <w:sz w:val="18"/>
          <w:szCs w:val="18"/>
          <w:color w:val="auto"/>
        </w:rPr>
        <w:t>. Honeywell International Inc. (the “</w:t>
      </w:r>
      <w:r>
        <w:rPr>
          <w:rFonts w:ascii="Arial" w:cs="Arial" w:eastAsia="Arial" w:hAnsi="Arial"/>
          <w:sz w:val="18"/>
          <w:szCs w:val="18"/>
          <w:u w:val="single" w:color="auto"/>
          <w:color w:val="auto"/>
        </w:rPr>
        <w:t>Corporation</w:t>
      </w:r>
      <w:r>
        <w:rPr>
          <w:rFonts w:ascii="Arial" w:cs="Arial" w:eastAsia="Arial" w:hAnsi="Arial"/>
          <w:sz w:val="18"/>
          <w:szCs w:val="18"/>
          <w:color w:val="auto"/>
        </w:rPr>
        <w:t>”) initially established an excess benefit plan effective January 1, 2006 when the Supplemental Non-Qualified Savings Plan For Highly Compensated Employees Of Honeywell International Inc. And Its Subsidiaries (Career Band 5 and Below) was merged with and into the Supplemental Non-Qualified Savings Plan for Highly Compensated Employees of Honeywell International Inc. and its Subsidiaries (Career Band 6 and above) and the resulting plan from this merger became known as the Supplemental Non-Qualified Savings Plan for Highly Compensated Employees of Honeywell International Inc. and its Subsidiaries.</w:t>
      </w:r>
    </w:p>
    <w:p>
      <w:pPr>
        <w:spacing w:after="0" w:line="231" w:lineRule="exact"/>
        <w:rPr>
          <w:rFonts w:ascii="Arial" w:cs="Arial" w:eastAsia="Arial" w:hAnsi="Arial"/>
          <w:sz w:val="18"/>
          <w:szCs w:val="18"/>
          <w:color w:val="auto"/>
        </w:rPr>
      </w:pPr>
    </w:p>
    <w:p>
      <w:pPr>
        <w:jc w:val="both"/>
        <w:ind w:left="328"/>
        <w:spacing w:after="0" w:line="238" w:lineRule="auto"/>
        <w:rPr>
          <w:rFonts w:ascii="Arial" w:cs="Arial" w:eastAsia="Arial" w:hAnsi="Arial"/>
          <w:sz w:val="18"/>
          <w:szCs w:val="18"/>
          <w:color w:val="auto"/>
        </w:rPr>
      </w:pPr>
      <w:r>
        <w:rPr>
          <w:rFonts w:ascii="Arial" w:cs="Arial" w:eastAsia="Arial" w:hAnsi="Arial"/>
          <w:sz w:val="18"/>
          <w:szCs w:val="18"/>
          <w:color w:val="auto"/>
        </w:rPr>
        <w:t>Effective July 1, 2015, the Supplemental Non-Qualified Savings Plan for Highly Compensated Employees of Honeywell International Inc. and its Subsidiaries was then separated into two separate plans for all legal purposes in order to ensure its qualification as an excess benefit plan within the meaning of Rule 16b-3 under the Securities Exchange Act of 1934, as amended. The following provisions constitute and govern the terms of those two plans as follows:</w:t>
      </w:r>
    </w:p>
    <w:p>
      <w:pPr>
        <w:spacing w:after="0" w:line="231" w:lineRule="exact"/>
        <w:rPr>
          <w:rFonts w:ascii="Arial" w:cs="Arial" w:eastAsia="Arial" w:hAnsi="Arial"/>
          <w:sz w:val="18"/>
          <w:szCs w:val="18"/>
          <w:color w:val="auto"/>
        </w:rPr>
      </w:pPr>
    </w:p>
    <w:p>
      <w:pPr>
        <w:jc w:val="both"/>
        <w:ind w:left="968" w:hanging="320"/>
        <w:spacing w:after="0" w:line="237" w:lineRule="auto"/>
        <w:tabs>
          <w:tab w:leader="none" w:pos="956"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The Excess Benefit Plan of Honeywell International Inc. and its Subsidiaries (the “</w:t>
      </w:r>
      <w:r>
        <w:rPr>
          <w:rFonts w:ascii="Arial" w:cs="Arial" w:eastAsia="Arial" w:hAnsi="Arial"/>
          <w:sz w:val="18"/>
          <w:szCs w:val="18"/>
          <w:u w:val="single" w:color="auto"/>
          <w:color w:val="auto"/>
        </w:rPr>
        <w:t>Excess Benefit Plan</w:t>
      </w:r>
      <w:r>
        <w:rPr>
          <w:rFonts w:ascii="Arial" w:cs="Arial" w:eastAsia="Arial" w:hAnsi="Arial"/>
          <w:sz w:val="18"/>
          <w:szCs w:val="18"/>
          <w:color w:val="auto"/>
        </w:rPr>
        <w:t>”) provides only for the benefits and contributions that would be provided under the Qualified Savings Plans but for any benefit or limitations set forth in the Code, including any amounts credited to each Participant’s Account as of July 1, 2015, that would have been so characterized at the time such amounts were credited, and including (for purposes of clarity) all Employer Matching Contributions described in Subparagraph 5(b). The Excess Benefit Plan shall consist of, be governed by, and be subject to, the terms set forth below excluding Clause 5(a)(ii) and the other provisions of the Plan to the extent relating to Clause 5(a) (ii).</w:t>
      </w:r>
    </w:p>
    <w:p>
      <w:pPr>
        <w:spacing w:after="0" w:line="229" w:lineRule="exact"/>
        <w:rPr>
          <w:rFonts w:ascii="Arial" w:cs="Arial" w:eastAsia="Arial" w:hAnsi="Arial"/>
          <w:sz w:val="18"/>
          <w:szCs w:val="18"/>
          <w:color w:val="auto"/>
        </w:rPr>
      </w:pPr>
    </w:p>
    <w:p>
      <w:pPr>
        <w:jc w:val="both"/>
        <w:ind w:left="968" w:hanging="320"/>
        <w:spacing w:after="0" w:line="234" w:lineRule="auto"/>
        <w:tabs>
          <w:tab w:leader="none" w:pos="956"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The Supplemental Non-Qualified Savings Plan for Highly Compensated Employees of Honeywell International Inc. and its Subsidiaries (the “</w:t>
      </w:r>
      <w:r>
        <w:rPr>
          <w:rFonts w:ascii="Arial" w:cs="Arial" w:eastAsia="Arial" w:hAnsi="Arial"/>
          <w:sz w:val="18"/>
          <w:szCs w:val="18"/>
          <w:u w:val="single" w:color="auto"/>
          <w:color w:val="auto"/>
        </w:rPr>
        <w:t>Supplemental Savings Plan</w:t>
      </w:r>
      <w:r>
        <w:rPr>
          <w:rFonts w:ascii="Arial" w:cs="Arial" w:eastAsia="Arial" w:hAnsi="Arial"/>
          <w:sz w:val="18"/>
          <w:szCs w:val="18"/>
          <w:color w:val="auto"/>
        </w:rPr>
        <w:t>”) provides for all other benefits and contributions under the Plan. The Supplemental Savings Plan shall consist of, be governed by, and be subject to, the terms set forth below excluding Clause 5(a)(i) and Subparagraph 5(b) and the other provisions of the Plan to the extent relating to Clause 5(a)(i) and Subparagraph</w:t>
      </w:r>
    </w:p>
    <w:p>
      <w:pPr>
        <w:spacing w:after="0" w:line="2" w:lineRule="exact"/>
        <w:rPr>
          <w:rFonts w:ascii="Arial" w:cs="Arial" w:eastAsia="Arial" w:hAnsi="Arial"/>
          <w:sz w:val="18"/>
          <w:szCs w:val="18"/>
          <w:color w:val="auto"/>
        </w:rPr>
      </w:pPr>
    </w:p>
    <w:p>
      <w:pPr>
        <w:ind w:left="968"/>
        <w:spacing w:after="0"/>
        <w:rPr>
          <w:rFonts w:ascii="Arial" w:cs="Arial" w:eastAsia="Arial" w:hAnsi="Arial"/>
          <w:sz w:val="18"/>
          <w:szCs w:val="18"/>
          <w:color w:val="auto"/>
        </w:rPr>
      </w:pPr>
      <w:r>
        <w:rPr>
          <w:rFonts w:ascii="Arial" w:cs="Arial" w:eastAsia="Arial" w:hAnsi="Arial"/>
          <w:sz w:val="18"/>
          <w:szCs w:val="18"/>
          <w:color w:val="auto"/>
        </w:rPr>
        <w:t>5(b).</w:t>
      </w:r>
    </w:p>
    <w:p>
      <w:pPr>
        <w:spacing w:after="0" w:line="238" w:lineRule="exact"/>
        <w:rPr>
          <w:rFonts w:ascii="Arial" w:cs="Arial" w:eastAsia="Arial" w:hAnsi="Arial"/>
          <w:sz w:val="18"/>
          <w:szCs w:val="18"/>
          <w:color w:val="auto"/>
        </w:rPr>
      </w:pPr>
    </w:p>
    <w:p>
      <w:pPr>
        <w:jc w:val="both"/>
        <w:ind w:left="968" w:hanging="320"/>
        <w:spacing w:after="0"/>
        <w:tabs>
          <w:tab w:leader="none" w:pos="959" w:val="left"/>
        </w:tabs>
        <w:numPr>
          <w:ilvl w:val="1"/>
          <w:numId w:val="71"/>
        </w:numPr>
        <w:rPr>
          <w:rFonts w:ascii="Arial" w:cs="Arial" w:eastAsia="Arial" w:hAnsi="Arial"/>
          <w:sz w:val="18"/>
          <w:szCs w:val="18"/>
          <w:color w:val="auto"/>
        </w:rPr>
      </w:pPr>
      <w:r>
        <w:rPr>
          <w:rFonts w:ascii="Arial" w:cs="Arial" w:eastAsia="Arial" w:hAnsi="Arial"/>
          <w:sz w:val="18"/>
          <w:szCs w:val="18"/>
          <w:color w:val="auto"/>
        </w:rPr>
        <w:t>Both the Excess Benefit Plan and the Supplemental Savings Plan are now part of a plan named the “Honeywell Excess Benefit Plan and the Honeywell Supplemental Savings Plan” and, unless the context specifically states otherwise, are collectively referred to herein as the “</w:t>
      </w:r>
      <w:r>
        <w:rPr>
          <w:rFonts w:ascii="Arial" w:cs="Arial" w:eastAsia="Arial" w:hAnsi="Arial"/>
          <w:sz w:val="18"/>
          <w:szCs w:val="18"/>
          <w:u w:val="single" w:color="auto"/>
          <w:color w:val="auto"/>
        </w:rPr>
        <w:t>Plan</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968" w:hanging="320"/>
        <w:spacing w:after="0" w:line="238" w:lineRule="auto"/>
        <w:tabs>
          <w:tab w:leader="none" w:pos="956"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The Plan was amended and restated, effective as of January 1, 2009, to implement changes required pursuant to and consistent with Section 409A of the Internal Revenue Code of 1986, as amended (the “</w:t>
      </w:r>
      <w:r>
        <w:rPr>
          <w:rFonts w:ascii="Arial" w:cs="Arial" w:eastAsia="Arial" w:hAnsi="Arial"/>
          <w:sz w:val="18"/>
          <w:szCs w:val="18"/>
          <w:u w:val="single" w:color="auto"/>
          <w:color w:val="auto"/>
        </w:rPr>
        <w:t>Code</w:t>
      </w:r>
      <w:r>
        <w:rPr>
          <w:rFonts w:ascii="Arial" w:cs="Arial" w:eastAsia="Arial" w:hAnsi="Arial"/>
          <w:sz w:val="18"/>
          <w:szCs w:val="18"/>
          <w:color w:val="auto"/>
        </w:rPr>
        <w:t>”), and the corresponding regulations. The Plan was amended and restated, effective as of April 1, 2018, to implement changes required or desired to reflect a change in the amount of Employer Matching Contributions, a change in the Plan record keeper, and to change the collective Plan name. The Plan was last amended and restated, effective as of January 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08"/>
          </w:cols>
          <w:pgMar w:left="652" w:top="1413" w:right="339" w:bottom="1440" w:gutter="0" w:footer="0" w:header="0"/>
        </w:sectPr>
      </w:pPr>
    </w:p>
    <w:bookmarkStart w:id="142" w:name="page143"/>
    <w:bookmarkEnd w:id="142"/>
    <w:p>
      <w:pPr>
        <w:jc w:val="both"/>
        <w:ind w:left="968"/>
        <w:spacing w:after="0" w:line="237" w:lineRule="auto"/>
        <w:rPr>
          <w:sz w:val="20"/>
          <w:szCs w:val="20"/>
          <w:color w:val="auto"/>
        </w:rPr>
      </w:pPr>
      <w:r>
        <w:rPr>
          <w:rFonts w:ascii="Arial" w:cs="Arial" w:eastAsia="Arial" w:hAnsi="Arial"/>
          <w:sz w:val="18"/>
          <w:szCs w:val="18"/>
          <w:color w:val="auto"/>
        </w:rPr>
        <w:t>The Plan is hereby amended and restated, effective as of January 1, 2021. This Plan document covers any Participant (as defined below) who was entitled to receive a benefit from the Plan as of December 31, 2020, but did not receive full payment of such benefit under the Plan as of such date, as well as any individual who becomes a Participant in the Plan on or after January 1, 2021. Plan benefit payments commencing before January 1, 2021 are governed by the terms of Plan as they existed before this amendment and restatement and are either grandfathered from the requirements of Section 409A of the Code or payable pursuant to a fixed schedule as required by, and in compliance with, Section 409A of the Code.</w:t>
      </w:r>
    </w:p>
    <w:p>
      <w:pPr>
        <w:spacing w:after="0" w:line="232" w:lineRule="exact"/>
        <w:rPr>
          <w:sz w:val="20"/>
          <w:szCs w:val="20"/>
          <w:color w:val="auto"/>
        </w:rPr>
      </w:pPr>
    </w:p>
    <w:p>
      <w:pPr>
        <w:jc w:val="both"/>
        <w:ind w:left="328" w:hanging="328"/>
        <w:spacing w:after="0" w:line="236" w:lineRule="auto"/>
        <w:tabs>
          <w:tab w:leader="none" w:pos="316"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 Any employee of the Corporation and its participating affiliates who is (i) the Chief Executive Officer of the Corporation or designated by the Corporation as an “officer” of the Corporation (an “</w:t>
      </w:r>
      <w:r>
        <w:rPr>
          <w:rFonts w:ascii="Arial" w:cs="Arial" w:eastAsia="Arial" w:hAnsi="Arial"/>
          <w:sz w:val="18"/>
          <w:szCs w:val="18"/>
          <w:u w:val="single" w:color="auto"/>
          <w:color w:val="auto"/>
        </w:rPr>
        <w:t>Officer</w:t>
      </w:r>
      <w:r>
        <w:rPr>
          <w:rFonts w:ascii="Arial" w:cs="Arial" w:eastAsia="Arial" w:hAnsi="Arial"/>
          <w:sz w:val="18"/>
          <w:szCs w:val="18"/>
          <w:color w:val="auto"/>
        </w:rPr>
        <w:t>”), during the designated election period (the “</w:t>
      </w:r>
      <w:r>
        <w:rPr>
          <w:rFonts w:ascii="Arial" w:cs="Arial" w:eastAsia="Arial" w:hAnsi="Arial"/>
          <w:sz w:val="18"/>
          <w:szCs w:val="18"/>
          <w:u w:val="single" w:color="auto"/>
          <w:color w:val="auto"/>
        </w:rPr>
        <w:t>Open</w:t>
      </w:r>
      <w:r>
        <w:rPr>
          <w:rFonts w:ascii="Arial" w:cs="Arial" w:eastAsia="Arial" w:hAnsi="Arial"/>
          <w:sz w:val="18"/>
          <w:szCs w:val="18"/>
          <w:color w:val="auto"/>
        </w:rPr>
        <w:t xml:space="preserve"> </w:t>
      </w:r>
      <w:r>
        <w:rPr>
          <w:rFonts w:ascii="Arial" w:cs="Arial" w:eastAsia="Arial" w:hAnsi="Arial"/>
          <w:sz w:val="18"/>
          <w:szCs w:val="18"/>
          <w:u w:val="single" w:color="auto"/>
          <w:color w:val="auto"/>
        </w:rPr>
        <w:t>Enrollment Period</w:t>
      </w:r>
      <w:r>
        <w:rPr>
          <w:rFonts w:ascii="Arial" w:cs="Arial" w:eastAsia="Arial" w:hAnsi="Arial"/>
          <w:sz w:val="18"/>
          <w:szCs w:val="18"/>
          <w:color w:val="auto"/>
        </w:rPr>
        <w:t>”) that occurs before the beginning of the applicable Plan Year (as defined below), or (ii) (A) an Executive level employee but not an Officer at any time during the Open Enrollment Period that occurs before the beginning of the applicable Plan Year, and (B) whose year-to-date Base Annual Salary (as defined in Subparagraph 4(a)(i)) that is paid and posted to the Plan’s electronic recordkeeping system as of the last pay date in September of the Plan Year immediately preceding the applicable Plan Year exceeds the dollar limit for a highly compensated employee for the Plan Year under Section 414(q) of the Code, shall be eligible (both (i) and (ii), an “</w:t>
      </w:r>
      <w:r>
        <w:rPr>
          <w:rFonts w:ascii="Arial" w:cs="Arial" w:eastAsia="Arial" w:hAnsi="Arial"/>
          <w:sz w:val="18"/>
          <w:szCs w:val="18"/>
          <w:u w:val="single" w:color="auto"/>
          <w:color w:val="auto"/>
        </w:rPr>
        <w:t>Eligible Employee</w:t>
      </w:r>
      <w:r>
        <w:rPr>
          <w:rFonts w:ascii="Arial" w:cs="Arial" w:eastAsia="Arial" w:hAnsi="Arial"/>
          <w:sz w:val="18"/>
          <w:szCs w:val="18"/>
          <w:color w:val="auto"/>
        </w:rPr>
        <w:t>”) to participate in the Plan (subject to the limitations set forth in the following paragraph) and elect or continue deferrals under Section 4(c) of Base Annual Salary for such Plan Year effective as of the first playdate of such Plan Year that follows the Open Enrollment Period.</w:t>
      </w:r>
    </w:p>
    <w:p>
      <w:pPr>
        <w:spacing w:after="0" w:line="232" w:lineRule="exact"/>
        <w:rPr>
          <w:rFonts w:ascii="Arial" w:cs="Arial" w:eastAsia="Arial" w:hAnsi="Arial"/>
          <w:sz w:val="18"/>
          <w:szCs w:val="18"/>
          <w:color w:val="auto"/>
        </w:rPr>
      </w:pPr>
    </w:p>
    <w:p>
      <w:pPr>
        <w:jc w:val="both"/>
        <w:ind w:left="328"/>
        <w:spacing w:after="0" w:line="238" w:lineRule="auto"/>
        <w:rPr>
          <w:rFonts w:ascii="Arial" w:cs="Arial" w:eastAsia="Arial" w:hAnsi="Arial"/>
          <w:sz w:val="18"/>
          <w:szCs w:val="18"/>
          <w:color w:val="auto"/>
        </w:rPr>
      </w:pPr>
      <w:r>
        <w:rPr>
          <w:rFonts w:ascii="Arial" w:cs="Arial" w:eastAsia="Arial" w:hAnsi="Arial"/>
          <w:sz w:val="18"/>
          <w:szCs w:val="18"/>
          <w:color w:val="auto"/>
        </w:rPr>
        <w:t>Notwithstanding the foregoing, an Eligible Employee may only participate in the Plan for a Plan Year if such employee is eligible to participate in the Honeywell 401(k) Plan (formerly the Honeywell Savings and Ownership Plan) or any other savings plan designated as included by the Corporation from time to time (the “</w:t>
      </w:r>
      <w:r>
        <w:rPr>
          <w:rFonts w:ascii="Arial" w:cs="Arial" w:eastAsia="Arial" w:hAnsi="Arial"/>
          <w:sz w:val="18"/>
          <w:szCs w:val="18"/>
          <w:u w:val="single" w:color="auto"/>
          <w:color w:val="auto"/>
        </w:rPr>
        <w:t>Qualified Savings Plans</w:t>
      </w:r>
      <w:r>
        <w:rPr>
          <w:rFonts w:ascii="Arial" w:cs="Arial" w:eastAsia="Arial" w:hAnsi="Arial"/>
          <w:sz w:val="18"/>
          <w:szCs w:val="18"/>
          <w:color w:val="auto"/>
        </w:rPr>
        <w:t>”), and has made an irrevocable election during the applicable Open Enrollment Period to defer Base Pay to the applicable Qualified Savings Plan. For purposes of this Plan, the “</w:t>
      </w:r>
      <w:r>
        <w:rPr>
          <w:rFonts w:ascii="Arial" w:cs="Arial" w:eastAsia="Arial" w:hAnsi="Arial"/>
          <w:sz w:val="18"/>
          <w:szCs w:val="18"/>
          <w:u w:val="single" w:color="auto"/>
          <w:color w:val="auto"/>
        </w:rPr>
        <w:t>Plan</w:t>
      </w:r>
      <w:r>
        <w:rPr>
          <w:rFonts w:ascii="Arial" w:cs="Arial" w:eastAsia="Arial" w:hAnsi="Arial"/>
          <w:sz w:val="18"/>
          <w:szCs w:val="18"/>
          <w:color w:val="auto"/>
        </w:rPr>
        <w:t xml:space="preserve"> </w:t>
      </w:r>
      <w:r>
        <w:rPr>
          <w:rFonts w:ascii="Arial" w:cs="Arial" w:eastAsia="Arial" w:hAnsi="Arial"/>
          <w:sz w:val="18"/>
          <w:szCs w:val="18"/>
          <w:u w:val="single" w:color="auto"/>
          <w:color w:val="auto"/>
        </w:rPr>
        <w:t>Year</w:t>
      </w:r>
      <w:r>
        <w:rPr>
          <w:rFonts w:ascii="Arial" w:cs="Arial" w:eastAsia="Arial" w:hAnsi="Arial"/>
          <w:sz w:val="18"/>
          <w:szCs w:val="18"/>
          <w:color w:val="auto"/>
        </w:rPr>
        <w:t>” shall mean the calendar year.</w:t>
      </w:r>
    </w:p>
    <w:p>
      <w:pPr>
        <w:spacing w:after="0" w:line="229" w:lineRule="exact"/>
        <w:rPr>
          <w:rFonts w:ascii="Arial" w:cs="Arial" w:eastAsia="Arial" w:hAnsi="Arial"/>
          <w:sz w:val="18"/>
          <w:szCs w:val="18"/>
          <w:color w:val="auto"/>
        </w:rPr>
      </w:pPr>
    </w:p>
    <w:p>
      <w:pPr>
        <w:ind w:left="328" w:hanging="328"/>
        <w:spacing w:after="0" w:line="246" w:lineRule="auto"/>
        <w:tabs>
          <w:tab w:leader="none" w:pos="316"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Capitalized terms not otherwise defined in the Plan have the respective meanings set forth in the applicable Qualified Savings Plans.</w:t>
      </w:r>
    </w:p>
    <w:p>
      <w:pPr>
        <w:spacing w:after="0" w:line="223" w:lineRule="exact"/>
        <w:rPr>
          <w:rFonts w:ascii="Arial" w:cs="Arial" w:eastAsia="Arial" w:hAnsi="Arial"/>
          <w:sz w:val="18"/>
          <w:szCs w:val="18"/>
          <w:color w:val="auto"/>
        </w:rPr>
      </w:pPr>
    </w:p>
    <w:p>
      <w:pPr>
        <w:ind w:left="308" w:hanging="308"/>
        <w:spacing w:after="0"/>
        <w:tabs>
          <w:tab w:leader="none" w:pos="308"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Participation</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648"/>
        <w:spacing w:after="0"/>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Time and Form of Election</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jc w:val="both"/>
        <w:ind w:left="1628" w:hanging="422"/>
        <w:spacing w:after="0" w:line="236" w:lineRule="auto"/>
        <w:tabs>
          <w:tab w:leader="none" w:pos="1628" w:val="left"/>
        </w:tabs>
        <w:numPr>
          <w:ilvl w:val="2"/>
          <w:numId w:val="72"/>
        </w:numPr>
        <w:rPr>
          <w:rFonts w:ascii="Arial" w:cs="Arial" w:eastAsia="Arial" w:hAnsi="Arial"/>
          <w:sz w:val="18"/>
          <w:szCs w:val="18"/>
          <w:color w:val="auto"/>
        </w:rPr>
      </w:pPr>
      <w:r>
        <w:rPr>
          <w:rFonts w:ascii="Arial" w:cs="Arial" w:eastAsia="Arial" w:hAnsi="Arial"/>
          <w:sz w:val="18"/>
          <w:szCs w:val="18"/>
          <w:color w:val="auto"/>
        </w:rPr>
        <w:t>Each Eligible Employee who wishes to participate in the Plan for a particular Plan Year (a “</w:t>
      </w:r>
      <w:r>
        <w:rPr>
          <w:rFonts w:ascii="Arial" w:cs="Arial" w:eastAsia="Arial" w:hAnsi="Arial"/>
          <w:sz w:val="18"/>
          <w:szCs w:val="18"/>
          <w:u w:val="single" w:color="auto"/>
          <w:color w:val="auto"/>
        </w:rPr>
        <w:t>Participant</w:t>
      </w:r>
      <w:r>
        <w:rPr>
          <w:rFonts w:ascii="Arial" w:cs="Arial" w:eastAsia="Arial" w:hAnsi="Arial"/>
          <w:sz w:val="18"/>
          <w:szCs w:val="18"/>
          <w:color w:val="auto"/>
        </w:rPr>
        <w:t>”), must file a timely deferral election (the “</w:t>
      </w:r>
      <w:r>
        <w:rPr>
          <w:rFonts w:ascii="Arial" w:cs="Arial" w:eastAsia="Arial" w:hAnsi="Arial"/>
          <w:sz w:val="18"/>
          <w:szCs w:val="18"/>
          <w:u w:val="single" w:color="auto"/>
          <w:color w:val="auto"/>
        </w:rPr>
        <w:t>Election</w:t>
      </w:r>
      <w:r>
        <w:rPr>
          <w:rFonts w:ascii="Arial" w:cs="Arial" w:eastAsia="Arial" w:hAnsi="Arial"/>
          <w:sz w:val="18"/>
          <w:szCs w:val="18"/>
          <w:color w:val="auto"/>
        </w:rPr>
        <w:t>”) with the Plan Administrator during the applicable Open Enrollment Period. Such Eligible Employee shall designate in the Election that a portion (determined in accordance with Subparagraph 5(a)) of the Eligible Employee’s Base Pay as defined in the Qualified Savings Plan without regard to any benefit or contribution limitations under the Code or the applicable Qualified Savings Plan and inclusive of salary deferred for the Plan Year under this Plan (“</w:t>
      </w:r>
      <w:r>
        <w:rPr>
          <w:rFonts w:ascii="Arial" w:cs="Arial" w:eastAsia="Arial" w:hAnsi="Arial"/>
          <w:sz w:val="18"/>
          <w:szCs w:val="18"/>
          <w:u w:val="single" w:color="auto"/>
          <w:color w:val="auto"/>
        </w:rPr>
        <w:t>Base Annual Salary</w:t>
      </w:r>
      <w:r>
        <w:rPr>
          <w:rFonts w:ascii="Arial" w:cs="Arial" w:eastAsia="Arial" w:hAnsi="Arial"/>
          <w:sz w:val="18"/>
          <w:szCs w:val="18"/>
          <w:color w:val="auto"/>
        </w:rPr>
        <w:t>”), which would have been payable to such Eligible Employee during such Plan Year, in lieu of such payment, be credited to a deferred compensation account maintained under the Plan as an unfunded book entry account stated as a cash balance (the “</w:t>
      </w:r>
      <w:r>
        <w:rPr>
          <w:rFonts w:ascii="Arial" w:cs="Arial" w:eastAsia="Arial" w:hAnsi="Arial"/>
          <w:sz w:val="18"/>
          <w:szCs w:val="18"/>
          <w:u w:val="single" w:color="auto"/>
          <w:color w:val="auto"/>
        </w:rPr>
        <w:t>Account</w:t>
      </w:r>
      <w:r>
        <w:rPr>
          <w:rFonts w:ascii="Arial" w:cs="Arial" w:eastAsia="Arial" w:hAnsi="Arial"/>
          <w:sz w:val="18"/>
          <w:szCs w:val="18"/>
          <w:color w:val="auto"/>
        </w:rPr>
        <w:t>”). On a Participant’s Election, the Participant shall also indicate the form of payment for all deferrals credited to the Participant’s Account, as described in Paragraph 7 below, and shall indicate if he wishes to change the default Change in Control election, as described in Paragraph 10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08"/>
          </w:cols>
          <w:pgMar w:left="652" w:top="1435" w:right="339" w:bottom="1440" w:gutter="0" w:footer="0" w:header="0"/>
        </w:sectPr>
      </w:pPr>
    </w:p>
    <w:bookmarkStart w:id="143" w:name="page144"/>
    <w:bookmarkEnd w:id="143"/>
    <w:p>
      <w:pPr>
        <w:ind w:left="968" w:hanging="320"/>
        <w:spacing w:after="0" w:line="246" w:lineRule="auto"/>
        <w:tabs>
          <w:tab w:leader="none" w:pos="956" w:val="left"/>
        </w:tabs>
        <w:numPr>
          <w:ilvl w:val="1"/>
          <w:numId w:val="73"/>
        </w:numPr>
        <w:rPr>
          <w:rFonts w:ascii="Arial" w:cs="Arial" w:eastAsia="Arial" w:hAnsi="Arial"/>
          <w:sz w:val="18"/>
          <w:szCs w:val="18"/>
          <w:color w:val="auto"/>
        </w:rPr>
      </w:pPr>
      <w:r>
        <w:rPr>
          <w:rFonts w:ascii="Arial" w:cs="Arial" w:eastAsia="Arial" w:hAnsi="Arial"/>
          <w:sz w:val="18"/>
          <w:szCs w:val="18"/>
          <w:u w:val="single" w:color="auto"/>
          <w:color w:val="auto"/>
        </w:rPr>
        <w:t>Election Changes</w:t>
      </w:r>
      <w:r>
        <w:rPr>
          <w:rFonts w:ascii="Arial" w:cs="Arial" w:eastAsia="Arial" w:hAnsi="Arial"/>
          <w:sz w:val="18"/>
          <w:szCs w:val="18"/>
          <w:color w:val="auto"/>
        </w:rPr>
        <w:t>. A Participant may not modify his deferral election for a particular Plan Year at any time during that Plan Year.</w:t>
      </w:r>
    </w:p>
    <w:p>
      <w:pPr>
        <w:spacing w:after="0" w:line="223" w:lineRule="exact"/>
        <w:rPr>
          <w:rFonts w:ascii="Arial" w:cs="Arial" w:eastAsia="Arial" w:hAnsi="Arial"/>
          <w:sz w:val="18"/>
          <w:szCs w:val="18"/>
          <w:color w:val="auto"/>
        </w:rPr>
      </w:pPr>
    </w:p>
    <w:p>
      <w:pPr>
        <w:jc w:val="both"/>
        <w:ind w:left="968" w:hanging="320"/>
        <w:spacing w:after="0" w:line="236" w:lineRule="auto"/>
        <w:tabs>
          <w:tab w:leader="none" w:pos="959" w:val="left"/>
        </w:tabs>
        <w:numPr>
          <w:ilvl w:val="1"/>
          <w:numId w:val="73"/>
        </w:numPr>
        <w:rPr>
          <w:rFonts w:ascii="Arial" w:cs="Arial" w:eastAsia="Arial" w:hAnsi="Arial"/>
          <w:sz w:val="18"/>
          <w:szCs w:val="18"/>
          <w:color w:val="auto"/>
        </w:rPr>
      </w:pPr>
      <w:r>
        <w:rPr>
          <w:rFonts w:ascii="Arial" w:cs="Arial" w:eastAsia="Arial" w:hAnsi="Arial"/>
          <w:sz w:val="18"/>
          <w:szCs w:val="18"/>
          <w:u w:val="single" w:color="auto"/>
          <w:color w:val="auto"/>
        </w:rPr>
        <w:t>Continuing Elections from Prior Plan Year</w:t>
      </w:r>
      <w:r>
        <w:rPr>
          <w:rFonts w:ascii="Arial" w:cs="Arial" w:eastAsia="Arial" w:hAnsi="Arial"/>
          <w:sz w:val="18"/>
          <w:szCs w:val="18"/>
          <w:color w:val="auto"/>
        </w:rPr>
        <w:t>. Notwithstanding any contrary provisions of Paragraph 4(a) or the Plan, effective with the Plan Year beginning January 1, 2021, if an Eligible Employee participated in the Plan during the prior Plan Year, their contribution, distribution and Change in Control elections from the prior Plan Year (whether made through an affirmative Election during the prior Plan Year’s Open Enrollment Period or through the application of this Paragraph 4(c) for the prior Plan Year) shall continue to apply for the Plan Year, unless such Participant files an Election with the Plan Administrator during the applicable Open Enrollment Period for the Plan Year to change their elections or decline enrollment for the Plan Year. For any such Eligible Employee who does not affirmatively decline enrollment during the Plan Year’s Open Enrollment Period, their irrevocable election to defer Base Pay to the Qualified Savings Plan shall remain in effect for the Plan Year.</w:t>
      </w:r>
    </w:p>
    <w:p>
      <w:pPr>
        <w:spacing w:after="0" w:line="234" w:lineRule="exact"/>
        <w:rPr>
          <w:rFonts w:ascii="Arial" w:cs="Arial" w:eastAsia="Arial" w:hAnsi="Arial"/>
          <w:sz w:val="18"/>
          <w:szCs w:val="18"/>
          <w:color w:val="auto"/>
        </w:rPr>
      </w:pPr>
    </w:p>
    <w:p>
      <w:pPr>
        <w:jc w:val="both"/>
        <w:ind w:left="968"/>
        <w:spacing w:after="0"/>
        <w:rPr>
          <w:rFonts w:ascii="Arial" w:cs="Arial" w:eastAsia="Arial" w:hAnsi="Arial"/>
          <w:sz w:val="18"/>
          <w:szCs w:val="18"/>
          <w:color w:val="auto"/>
        </w:rPr>
      </w:pPr>
      <w:r>
        <w:rPr>
          <w:rFonts w:ascii="Arial" w:cs="Arial" w:eastAsia="Arial" w:hAnsi="Arial"/>
          <w:sz w:val="18"/>
          <w:szCs w:val="18"/>
          <w:color w:val="auto"/>
        </w:rPr>
        <w:t>For the avoidance of doubt, all other Eligible Employees (</w:t>
      </w:r>
      <w:r>
        <w:rPr>
          <w:rFonts w:ascii="Arial" w:cs="Arial" w:eastAsia="Arial" w:hAnsi="Arial"/>
          <w:sz w:val="18"/>
          <w:szCs w:val="18"/>
          <w:u w:val="single" w:color="auto"/>
          <w:color w:val="auto"/>
        </w:rPr>
        <w:t>e.g.</w:t>
      </w:r>
      <w:r>
        <w:rPr>
          <w:rFonts w:ascii="Arial" w:cs="Arial" w:eastAsia="Arial" w:hAnsi="Arial"/>
          <w:sz w:val="18"/>
          <w:szCs w:val="18"/>
          <w:color w:val="auto"/>
        </w:rPr>
        <w:t>, Eligible Employees who did not participate in the Plan for the prior Plan Year or new Eligible Employees) must file an Election with the Plan Administrator during the applicable Open Enrollment Period to participate in the Plan for the Plan Year.</w:t>
      </w:r>
    </w:p>
    <w:p>
      <w:pPr>
        <w:spacing w:after="0" w:line="229" w:lineRule="exact"/>
        <w:rPr>
          <w:rFonts w:ascii="Arial" w:cs="Arial" w:eastAsia="Arial" w:hAnsi="Arial"/>
          <w:sz w:val="18"/>
          <w:szCs w:val="18"/>
          <w:color w:val="auto"/>
        </w:rPr>
      </w:pPr>
    </w:p>
    <w:p>
      <w:pPr>
        <w:ind w:left="308" w:hanging="308"/>
        <w:spacing w:after="0"/>
        <w:tabs>
          <w:tab w:leader="none" w:pos="308"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Contributions to Participants’ Accounts</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jc w:val="both"/>
        <w:ind w:left="968" w:hanging="320"/>
        <w:spacing w:after="0" w:line="236" w:lineRule="auto"/>
        <w:tabs>
          <w:tab w:leader="none" w:pos="956" w:val="left"/>
        </w:tabs>
        <w:numPr>
          <w:ilvl w:val="1"/>
          <w:numId w:val="74"/>
        </w:numPr>
        <w:rPr>
          <w:rFonts w:ascii="Arial" w:cs="Arial" w:eastAsia="Arial" w:hAnsi="Arial"/>
          <w:sz w:val="18"/>
          <w:szCs w:val="18"/>
          <w:color w:val="auto"/>
        </w:rPr>
      </w:pPr>
      <w:r>
        <w:rPr>
          <w:rFonts w:ascii="Arial" w:cs="Arial" w:eastAsia="Arial" w:hAnsi="Arial"/>
          <w:sz w:val="18"/>
          <w:szCs w:val="18"/>
          <w:u w:val="single" w:color="auto"/>
          <w:color w:val="auto"/>
        </w:rPr>
        <w:t>Participant Deferred Contributions</w:t>
      </w:r>
      <w:r>
        <w:rPr>
          <w:rFonts w:ascii="Arial" w:cs="Arial" w:eastAsia="Arial" w:hAnsi="Arial"/>
          <w:sz w:val="18"/>
          <w:szCs w:val="18"/>
          <w:color w:val="auto"/>
        </w:rPr>
        <w:t>. For a particular Plan Year, and subject to Paragraph 4(c), a Participant may elect to defer an aggregate amount equal to (i) the difference between the maximum percentage of Base Annual Salary that the Participant may contribute for the Plan Year as Pre-tax Contributions and/or Roth Contributions under the Qualified Savings Plans (8% for 2021), without regard to any other limitations that may apply under the Code or the Qualified Savings Plans, and the actual Pre-tax Contributions and/or Roth Contributions the Participant contributes to the Qualified Savings Plans for the Plan Year, and/or (ii) from 1% to 25% (in whole percentages) of such Participant’s Base Annual Salary, without regard to any other limitations that may apply under the Code (collectively, “</w:t>
      </w:r>
      <w:r>
        <w:rPr>
          <w:rFonts w:ascii="Arial" w:cs="Arial" w:eastAsia="Arial" w:hAnsi="Arial"/>
          <w:sz w:val="18"/>
          <w:szCs w:val="18"/>
          <w:u w:val="single" w:color="auto"/>
          <w:color w:val="auto"/>
        </w:rPr>
        <w:t>Participant Deferred Contributions</w:t>
      </w:r>
      <w:r>
        <w:rPr>
          <w:rFonts w:ascii="Arial" w:cs="Arial" w:eastAsia="Arial" w:hAnsi="Arial"/>
          <w:sz w:val="18"/>
          <w:szCs w:val="18"/>
          <w:color w:val="auto"/>
        </w:rPr>
        <w:t>”); provided, however, that a Participant who elects to defer any amount hereunder shall be required to make the maximum Pre-tax Contributions and/or Roth Contributions permissible under the Qualified Savings Plans for the applicable Plan Year (after giving effect to deferrals under the Plan or otherwise).</w:t>
      </w:r>
    </w:p>
    <w:p>
      <w:pPr>
        <w:spacing w:after="0" w:line="232" w:lineRule="exact"/>
        <w:rPr>
          <w:rFonts w:ascii="Arial" w:cs="Arial" w:eastAsia="Arial" w:hAnsi="Arial"/>
          <w:sz w:val="18"/>
          <w:szCs w:val="18"/>
          <w:color w:val="auto"/>
        </w:rPr>
      </w:pPr>
    </w:p>
    <w:p>
      <w:pPr>
        <w:jc w:val="both"/>
        <w:ind w:left="968"/>
        <w:spacing w:after="0" w:line="238" w:lineRule="auto"/>
        <w:rPr>
          <w:rFonts w:ascii="Arial" w:cs="Arial" w:eastAsia="Arial" w:hAnsi="Arial"/>
          <w:sz w:val="18"/>
          <w:szCs w:val="18"/>
          <w:color w:val="auto"/>
        </w:rPr>
      </w:pPr>
      <w:r>
        <w:rPr>
          <w:rFonts w:ascii="Arial" w:cs="Arial" w:eastAsia="Arial" w:hAnsi="Arial"/>
          <w:sz w:val="18"/>
          <w:szCs w:val="18"/>
          <w:color w:val="auto"/>
        </w:rPr>
        <w:t>For the avoidance of doubt, all Participant Deferred Contributions to the Plan shall be deferred on a pre-tax basis. No after-tax contributions (such as Roth 401(k) contributions) shall be permitted. For purposes of any “spillover” of deferrals from the Qualified Savings Plans to the Excess Benefit Plan, any amounts that were contributed as Roth Contributions to the Qualified Savings Plans shall be contributed as pre-tax contributions to the Plan.</w:t>
      </w:r>
    </w:p>
    <w:p>
      <w:pPr>
        <w:spacing w:after="0" w:line="231" w:lineRule="exact"/>
        <w:rPr>
          <w:rFonts w:ascii="Arial" w:cs="Arial" w:eastAsia="Arial" w:hAnsi="Arial"/>
          <w:sz w:val="18"/>
          <w:szCs w:val="18"/>
          <w:color w:val="auto"/>
        </w:rPr>
      </w:pPr>
    </w:p>
    <w:p>
      <w:pPr>
        <w:jc w:val="both"/>
        <w:ind w:left="968" w:hanging="320"/>
        <w:spacing w:after="0" w:line="238" w:lineRule="auto"/>
        <w:tabs>
          <w:tab w:leader="none" w:pos="956" w:val="left"/>
        </w:tabs>
        <w:numPr>
          <w:ilvl w:val="1"/>
          <w:numId w:val="74"/>
        </w:numPr>
        <w:rPr>
          <w:rFonts w:ascii="Arial" w:cs="Arial" w:eastAsia="Arial" w:hAnsi="Arial"/>
          <w:sz w:val="18"/>
          <w:szCs w:val="18"/>
          <w:color w:val="auto"/>
        </w:rPr>
      </w:pPr>
      <w:r>
        <w:rPr>
          <w:rFonts w:ascii="Arial" w:cs="Arial" w:eastAsia="Arial" w:hAnsi="Arial"/>
          <w:sz w:val="18"/>
          <w:szCs w:val="18"/>
          <w:u w:val="single" w:color="auto"/>
          <w:color w:val="auto"/>
        </w:rPr>
        <w:t>Plan Employer Contributions</w:t>
      </w:r>
      <w:r>
        <w:rPr>
          <w:rFonts w:ascii="Arial" w:cs="Arial" w:eastAsia="Arial" w:hAnsi="Arial"/>
          <w:sz w:val="18"/>
          <w:szCs w:val="18"/>
          <w:color w:val="auto"/>
        </w:rPr>
        <w:t>. There shall be credited to the Participant’s Account employer contributions under the Plan (“</w:t>
      </w:r>
      <w:r>
        <w:rPr>
          <w:rFonts w:ascii="Arial" w:cs="Arial" w:eastAsia="Arial" w:hAnsi="Arial"/>
          <w:sz w:val="18"/>
          <w:szCs w:val="18"/>
          <w:u w:val="single" w:color="auto"/>
          <w:color w:val="auto"/>
        </w:rPr>
        <w:t>Plan Employer Contributions</w:t>
      </w:r>
      <w:r>
        <w:rPr>
          <w:rFonts w:ascii="Arial" w:cs="Arial" w:eastAsia="Arial" w:hAnsi="Arial"/>
          <w:sz w:val="18"/>
          <w:szCs w:val="18"/>
          <w:color w:val="auto"/>
        </w:rPr>
        <w:t>”) in an aggregate amount equal to the difference between (i) the maximum Employer Matching Contributions that could be contributed for the Plan Year under the Qualified Savings Plans, without regard to any limitations that may apply under the Code or the Qualified Savings Plans, and (ii) the total amount of Employer Matching Contributions actually contributed to the Participant’s account under the Qualified Savings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08"/>
          </w:cols>
          <w:pgMar w:left="652" w:top="1435" w:right="339" w:bottom="1440" w:gutter="0" w:footer="0" w:header="0"/>
        </w:sectPr>
      </w:pPr>
    </w:p>
    <w:bookmarkStart w:id="144" w:name="page145"/>
    <w:bookmarkEnd w:id="144"/>
    <w:p>
      <w:pPr>
        <w:ind w:left="968"/>
        <w:spacing w:after="0"/>
        <w:rPr>
          <w:sz w:val="20"/>
          <w:szCs w:val="20"/>
          <w:color w:val="auto"/>
        </w:rPr>
      </w:pPr>
      <w:r>
        <w:rPr>
          <w:rFonts w:ascii="Arial" w:cs="Arial" w:eastAsia="Arial" w:hAnsi="Arial"/>
          <w:sz w:val="18"/>
          <w:szCs w:val="18"/>
          <w:color w:val="auto"/>
        </w:rPr>
        <w:t>Notwithstanding the foregoing:</w:t>
      </w:r>
    </w:p>
    <w:p>
      <w:pPr>
        <w:jc w:val="both"/>
        <w:ind w:left="968" w:firstLine="1300"/>
        <w:spacing w:after="0" w:line="223" w:lineRule="auto"/>
        <w:tabs>
          <w:tab w:leader="none" w:pos="2556" w:val="left"/>
        </w:tabs>
        <w:numPr>
          <w:ilvl w:val="3"/>
          <w:numId w:val="75"/>
        </w:numPr>
        <w:rPr>
          <w:rFonts w:ascii="Arial" w:cs="Arial" w:eastAsia="Arial" w:hAnsi="Arial"/>
          <w:sz w:val="18"/>
          <w:szCs w:val="18"/>
          <w:color w:val="auto"/>
        </w:rPr>
      </w:pPr>
      <w:r>
        <w:rPr>
          <w:rFonts w:ascii="Arial" w:cs="Arial" w:eastAsia="Arial" w:hAnsi="Arial"/>
          <w:sz w:val="18"/>
          <w:szCs w:val="18"/>
          <w:color w:val="auto"/>
        </w:rPr>
        <w:t>beginning April 1, 2018, the Plan Employer Contributions described in this Paragraph shall be credited to a Participant’s Account only if the Participant is actively employed by the Corporation or an affiliate on December 15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of the Plan Year, has died while actively employed by the Corporation or an affiliate during the Plan Year, or has incurred a Disability while actively employed by the Corporation or an affiliate during the Plan Year, and</w:t>
      </w:r>
    </w:p>
    <w:p>
      <w:pPr>
        <w:spacing w:after="0" w:line="230" w:lineRule="exact"/>
        <w:rPr>
          <w:rFonts w:ascii="Arial" w:cs="Arial" w:eastAsia="Arial" w:hAnsi="Arial"/>
          <w:sz w:val="18"/>
          <w:szCs w:val="18"/>
          <w:color w:val="auto"/>
        </w:rPr>
      </w:pPr>
    </w:p>
    <w:p>
      <w:pPr>
        <w:ind w:left="968" w:firstLine="1300"/>
        <w:spacing w:after="0" w:line="246" w:lineRule="auto"/>
        <w:tabs>
          <w:tab w:leader="none" w:pos="2590" w:val="left"/>
        </w:tabs>
        <w:numPr>
          <w:ilvl w:val="3"/>
          <w:numId w:val="75"/>
        </w:numPr>
        <w:rPr>
          <w:rFonts w:ascii="Arial" w:cs="Arial" w:eastAsia="Arial" w:hAnsi="Arial"/>
          <w:sz w:val="18"/>
          <w:szCs w:val="18"/>
          <w:color w:val="auto"/>
        </w:rPr>
      </w:pPr>
      <w:r>
        <w:rPr>
          <w:rFonts w:ascii="Arial" w:cs="Arial" w:eastAsia="Arial" w:hAnsi="Arial"/>
          <w:sz w:val="18"/>
          <w:szCs w:val="18"/>
          <w:color w:val="auto"/>
        </w:rPr>
        <w:t>only Participant Deferred Contributions described in Clause 5(a)(i) shall be used in determining the amount of Plan Employer Contributions to be credited to an Account for a Plan Year.</w:t>
      </w:r>
    </w:p>
    <w:p>
      <w:pPr>
        <w:spacing w:after="0" w:line="223" w:lineRule="exact"/>
        <w:rPr>
          <w:rFonts w:ascii="Arial" w:cs="Arial" w:eastAsia="Arial" w:hAnsi="Arial"/>
          <w:sz w:val="18"/>
          <w:szCs w:val="18"/>
          <w:color w:val="auto"/>
        </w:rPr>
      </w:pPr>
    </w:p>
    <w:p>
      <w:pPr>
        <w:jc w:val="both"/>
        <w:ind w:left="968" w:hanging="320"/>
        <w:spacing w:after="0"/>
        <w:tabs>
          <w:tab w:leader="none" w:pos="959" w:val="left"/>
        </w:tabs>
        <w:numPr>
          <w:ilvl w:val="1"/>
          <w:numId w:val="76"/>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Participant Deferred Contributions and Plan Employer Contributions (collectively “</w:t>
      </w:r>
      <w:r>
        <w:rPr>
          <w:rFonts w:ascii="Arial" w:cs="Arial" w:eastAsia="Arial" w:hAnsi="Arial"/>
          <w:sz w:val="18"/>
          <w:szCs w:val="18"/>
          <w:u w:val="single" w:color="auto"/>
          <w:color w:val="auto"/>
        </w:rPr>
        <w:t>Total Contribution Amounts</w:t>
      </w:r>
      <w:r>
        <w:rPr>
          <w:rFonts w:ascii="Arial" w:cs="Arial" w:eastAsia="Arial" w:hAnsi="Arial"/>
          <w:sz w:val="18"/>
          <w:szCs w:val="18"/>
          <w:color w:val="auto"/>
        </w:rPr>
        <w:t>”) and all amounts accrued with respect to Total Contribution Amounts in accordance with Paragraph 6, shall be vested at the time such amounts are credited to the Participant’s Account.</w:t>
      </w:r>
    </w:p>
    <w:p>
      <w:pPr>
        <w:spacing w:after="0" w:line="229" w:lineRule="exact"/>
        <w:rPr>
          <w:rFonts w:ascii="Arial" w:cs="Arial" w:eastAsia="Arial" w:hAnsi="Arial"/>
          <w:sz w:val="18"/>
          <w:szCs w:val="18"/>
          <w:color w:val="auto"/>
        </w:rPr>
      </w:pPr>
    </w:p>
    <w:p>
      <w:pPr>
        <w:jc w:val="both"/>
        <w:ind w:left="968" w:hanging="320"/>
        <w:spacing w:after="0" w:line="237" w:lineRule="auto"/>
        <w:tabs>
          <w:tab w:leader="none" w:pos="956" w:val="left"/>
        </w:tabs>
        <w:numPr>
          <w:ilvl w:val="1"/>
          <w:numId w:val="76"/>
        </w:numPr>
        <w:rPr>
          <w:rFonts w:ascii="Arial" w:cs="Arial" w:eastAsia="Arial" w:hAnsi="Arial"/>
          <w:sz w:val="18"/>
          <w:szCs w:val="18"/>
          <w:color w:val="auto"/>
        </w:rPr>
      </w:pPr>
      <w:r>
        <w:rPr>
          <w:rFonts w:ascii="Arial" w:cs="Arial" w:eastAsia="Arial" w:hAnsi="Arial"/>
          <w:sz w:val="18"/>
          <w:szCs w:val="18"/>
          <w:u w:val="single" w:color="auto"/>
          <w:color w:val="auto"/>
        </w:rPr>
        <w:t>Timing of Contributions</w:t>
      </w:r>
      <w:r>
        <w:rPr>
          <w:rFonts w:ascii="Arial" w:cs="Arial" w:eastAsia="Arial" w:hAnsi="Arial"/>
          <w:sz w:val="18"/>
          <w:szCs w:val="18"/>
          <w:color w:val="auto"/>
        </w:rPr>
        <w:t>. Effective for Plan Years beginning on and after January 1, 2017, the Participant Deferred Contributions described in Clause 5(a)(i) shall be credited to a Participant’s Account once the Participant has contributed the maximum Pre-tax Contributions and/or Roth Contributions for the Plan Year to the Qualified Savings Plans. The Participant Deferred Contributions described in Clause 5(a)(ii) shall be credited to a Participant’s Account each pay period during the Plan Year. The Plan Employer Contributions described in Paragraph 5(b) shall be credited to a Participant’s Account at the same time Employer Matching Contributions are credited to the Participant account under the applicable Qualified Savings Plans.</w:t>
      </w:r>
    </w:p>
    <w:p>
      <w:pPr>
        <w:spacing w:after="0" w:line="229" w:lineRule="exact"/>
        <w:rPr>
          <w:rFonts w:ascii="Arial" w:cs="Arial" w:eastAsia="Arial" w:hAnsi="Arial"/>
          <w:sz w:val="18"/>
          <w:szCs w:val="18"/>
          <w:color w:val="auto"/>
        </w:rPr>
      </w:pPr>
    </w:p>
    <w:p>
      <w:pPr>
        <w:ind w:left="308" w:hanging="308"/>
        <w:spacing w:after="0"/>
        <w:tabs>
          <w:tab w:leader="none" w:pos="308"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The Participant’s Account</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jc w:val="both"/>
        <w:ind w:left="968" w:hanging="320"/>
        <w:spacing w:after="0" w:line="238" w:lineRule="auto"/>
        <w:tabs>
          <w:tab w:leader="none" w:pos="956" w:val="left"/>
        </w:tabs>
        <w:numPr>
          <w:ilvl w:val="1"/>
          <w:numId w:val="77"/>
        </w:numPr>
        <w:rPr>
          <w:rFonts w:ascii="Arial" w:cs="Arial" w:eastAsia="Arial" w:hAnsi="Arial"/>
          <w:sz w:val="18"/>
          <w:szCs w:val="18"/>
          <w:color w:val="auto"/>
        </w:rPr>
      </w:pPr>
      <w:r>
        <w:rPr>
          <w:rFonts w:ascii="Arial" w:cs="Arial" w:eastAsia="Arial" w:hAnsi="Arial"/>
          <w:sz w:val="18"/>
          <w:szCs w:val="18"/>
          <w:u w:val="single" w:color="auto"/>
          <w:color w:val="auto"/>
        </w:rPr>
        <w:t>Types of Accounts</w:t>
      </w:r>
      <w:r>
        <w:rPr>
          <w:rFonts w:ascii="Arial" w:cs="Arial" w:eastAsia="Arial" w:hAnsi="Arial"/>
          <w:sz w:val="18"/>
          <w:szCs w:val="18"/>
          <w:color w:val="auto"/>
        </w:rPr>
        <w:t>. A Participant’s Account shall consist of two sub-accounts, as applicable: (1) a sub-account which consists of Participant Deferred Contributions and Plan Employer Contributions, and interest and earnings thereon, for amounts that were earned and vested as of December 31, 2004 (the “</w:t>
      </w:r>
      <w:r>
        <w:rPr>
          <w:rFonts w:ascii="Arial" w:cs="Arial" w:eastAsia="Arial" w:hAnsi="Arial"/>
          <w:sz w:val="18"/>
          <w:szCs w:val="18"/>
          <w:u w:val="single" w:color="auto"/>
          <w:color w:val="auto"/>
        </w:rPr>
        <w:t>Grandfathered Account</w:t>
      </w:r>
      <w:r>
        <w:rPr>
          <w:rFonts w:ascii="Arial" w:cs="Arial" w:eastAsia="Arial" w:hAnsi="Arial"/>
          <w:sz w:val="18"/>
          <w:szCs w:val="18"/>
          <w:color w:val="auto"/>
        </w:rPr>
        <w:t>”), and (2) a sub-account which consists of Participant Deferred Contributions and Plan Employer Contributions, and interest and earnings thereon, for amounts that are earned and vested on or after January 1, 2005 (the “</w:t>
      </w:r>
      <w:r>
        <w:rPr>
          <w:rFonts w:ascii="Arial" w:cs="Arial" w:eastAsia="Arial" w:hAnsi="Arial"/>
          <w:sz w:val="18"/>
          <w:szCs w:val="18"/>
          <w:u w:val="single" w:color="auto"/>
          <w:color w:val="auto"/>
        </w:rPr>
        <w:t>Non-Grandfathered Account</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968" w:hanging="320"/>
        <w:spacing w:after="0"/>
        <w:tabs>
          <w:tab w:leader="none" w:pos="968" w:val="left"/>
        </w:tabs>
        <w:numPr>
          <w:ilvl w:val="1"/>
          <w:numId w:val="77"/>
        </w:numPr>
        <w:rPr>
          <w:rFonts w:ascii="Arial" w:cs="Arial" w:eastAsia="Arial" w:hAnsi="Arial"/>
          <w:sz w:val="18"/>
          <w:szCs w:val="18"/>
          <w:color w:val="auto"/>
        </w:rPr>
      </w:pPr>
      <w:r>
        <w:rPr>
          <w:rFonts w:ascii="Arial" w:cs="Arial" w:eastAsia="Arial" w:hAnsi="Arial"/>
          <w:sz w:val="18"/>
          <w:szCs w:val="18"/>
          <w:u w:val="single" w:color="auto"/>
          <w:color w:val="auto"/>
        </w:rPr>
        <w:t>Participant Deferred Contributions</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1628" w:hanging="422"/>
        <w:spacing w:after="0" w:line="246" w:lineRule="auto"/>
        <w:tabs>
          <w:tab w:leader="none" w:pos="1628" w:val="left"/>
        </w:tabs>
        <w:numPr>
          <w:ilvl w:val="2"/>
          <w:numId w:val="77"/>
        </w:numPr>
        <w:rPr>
          <w:rFonts w:ascii="Arial" w:cs="Arial" w:eastAsia="Arial" w:hAnsi="Arial"/>
          <w:sz w:val="18"/>
          <w:szCs w:val="18"/>
          <w:color w:val="auto"/>
        </w:rPr>
      </w:pPr>
      <w:r>
        <w:rPr>
          <w:rFonts w:ascii="Arial" w:cs="Arial" w:eastAsia="Arial" w:hAnsi="Arial"/>
          <w:sz w:val="18"/>
          <w:szCs w:val="18"/>
          <w:color w:val="auto"/>
        </w:rPr>
        <w:t>Participant Deferred Contributions shall be credited to the Participant’s Account under the Plan as unfunded book entries stated as cash balances.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08"/>
          </w:cols>
          <w:pgMar w:left="652" w:top="1430" w:right="339" w:bottom="1440" w:gutter="0" w:footer="0" w:header="0"/>
        </w:sectPr>
      </w:pPr>
    </w:p>
    <w:bookmarkStart w:id="145" w:name="page146"/>
    <w:bookmarkEnd w:id="145"/>
    <w:p>
      <w:pPr>
        <w:jc w:val="both"/>
        <w:ind w:left="980" w:hanging="462"/>
        <w:spacing w:after="0" w:line="236" w:lineRule="auto"/>
        <w:tabs>
          <w:tab w:leader="none" w:pos="980" w:val="left"/>
        </w:tabs>
        <w:numPr>
          <w:ilvl w:val="2"/>
          <w:numId w:val="78"/>
        </w:numPr>
        <w:rPr>
          <w:rFonts w:ascii="Arial" w:cs="Arial" w:eastAsia="Arial" w:hAnsi="Arial"/>
          <w:sz w:val="18"/>
          <w:szCs w:val="18"/>
          <w:color w:val="auto"/>
        </w:rPr>
      </w:pPr>
      <w:r>
        <w:rPr>
          <w:rFonts w:ascii="Arial" w:cs="Arial" w:eastAsia="Arial" w:hAnsi="Arial"/>
          <w:sz w:val="18"/>
          <w:szCs w:val="18"/>
          <w:color w:val="auto"/>
        </w:rPr>
        <w:t>Participant Deferred Contributions credited to the Participant’s Account after December 31, 2004, and all Participant Deferred Contributions credited to a Participant’s Account under the Supplemental Non-Qualified Savings Plan For Highly Compensated Employees Of Honeywell International Inc. And Its Subsidiaries (Career Band 5 and Below) before January 1, 2006, shall accrue amounts (to be posted on the Valuation Date) equivalent to interest, compounded daily, at a rate based upon the cost to the Corporation of borrowing at a fixed rate for a 15-year term; provided, however, that for 2005, Participant Deferred Contributions credited to the Supplemental Non-Qualified Savings Plan for Highly Compensated Employees of Honeywell International Inc. and its Subsidiaries (Career Band 6 and above) between January 1, 2005 and December 31, 2005 shall accrue amounts (to be posted each Valuation Date) equivalent to interest, compounded daily, at a rate equal to 8%. The interest rate described in this paragraph is subject to change from Plan Year to Plan Year and shall be determined annually by the Chief Financial Officer of the Corporation in consultation with the Treasurer of the Corporation before January 1 of each Plan Year.</w:t>
      </w:r>
    </w:p>
    <w:p>
      <w:pPr>
        <w:spacing w:after="0" w:line="231" w:lineRule="exact"/>
        <w:rPr>
          <w:rFonts w:ascii="Arial" w:cs="Arial" w:eastAsia="Arial" w:hAnsi="Arial"/>
          <w:sz w:val="18"/>
          <w:szCs w:val="18"/>
          <w:color w:val="auto"/>
        </w:rPr>
      </w:pPr>
    </w:p>
    <w:p>
      <w:pPr>
        <w:jc w:val="both"/>
        <w:ind w:left="980" w:hanging="502"/>
        <w:spacing w:after="0" w:line="237" w:lineRule="auto"/>
        <w:tabs>
          <w:tab w:leader="none" w:pos="980" w:val="left"/>
        </w:tabs>
        <w:numPr>
          <w:ilvl w:val="2"/>
          <w:numId w:val="78"/>
        </w:numPr>
        <w:rPr>
          <w:rFonts w:ascii="Arial" w:cs="Arial" w:eastAsia="Arial" w:hAnsi="Arial"/>
          <w:sz w:val="18"/>
          <w:szCs w:val="18"/>
          <w:color w:val="auto"/>
        </w:rPr>
      </w:pPr>
      <w:r>
        <w:rPr>
          <w:rFonts w:ascii="Arial" w:cs="Arial" w:eastAsia="Arial" w:hAnsi="Arial"/>
          <w:sz w:val="18"/>
          <w:szCs w:val="18"/>
          <w:color w:val="auto"/>
        </w:rPr>
        <w:t>Participant Deferred Contributions credited to the Participant’s Account under the Supplemental Non-Qualified Savings Plan for Highly Compensated Employees of Honeywell International Inc. and its Subsidiaries (Career Band 6 and above) before January 1, 1994 or after the Participant has terminated employment shall accrue amounts (to be posted each Valuation Date) equivalent to interest, compounded daily, at a rate based upon the cost to the Corporation of borrowing at a fixed rate for a 15-year term. The interest rate described in this paragraph is subject to change from Plan Year to Plan Year and shall be determined annually by the Chief Financial Officer of the Corporation in consultation with the Treasurer of the Corporation before January 1 of each Plan Year.</w:t>
      </w:r>
    </w:p>
    <w:p>
      <w:pPr>
        <w:spacing w:after="0" w:line="229" w:lineRule="exact"/>
        <w:rPr>
          <w:rFonts w:ascii="Arial" w:cs="Arial" w:eastAsia="Arial" w:hAnsi="Arial"/>
          <w:sz w:val="18"/>
          <w:szCs w:val="18"/>
          <w:color w:val="auto"/>
        </w:rPr>
      </w:pPr>
    </w:p>
    <w:p>
      <w:pPr>
        <w:jc w:val="both"/>
        <w:ind w:left="980" w:hanging="512"/>
        <w:spacing w:after="0" w:line="236" w:lineRule="auto"/>
        <w:tabs>
          <w:tab w:leader="none" w:pos="967" w:val="left"/>
        </w:tabs>
        <w:numPr>
          <w:ilvl w:val="1"/>
          <w:numId w:val="79"/>
        </w:numPr>
        <w:rPr>
          <w:rFonts w:ascii="Arial" w:cs="Arial" w:eastAsia="Arial" w:hAnsi="Arial"/>
          <w:sz w:val="18"/>
          <w:szCs w:val="18"/>
          <w:color w:val="auto"/>
        </w:rPr>
      </w:pPr>
      <w:r>
        <w:rPr>
          <w:rFonts w:ascii="Arial" w:cs="Arial" w:eastAsia="Arial" w:hAnsi="Arial"/>
          <w:sz w:val="18"/>
          <w:szCs w:val="18"/>
          <w:color w:val="auto"/>
        </w:rPr>
        <w:t>Participant Deferred Contributions credited to the Participant’s Account under the Supplemental Non-Qualified Savings Plan for Highly Compensated Employees of Honeywell International Inc. and its Subsidiaries (Career Band 6 and above) between January 1, 1994 and December 31, 2004, but before a Participant terminates employment, shall accrue amounts (to be posted each Valuation Date) equivalent to interest, compounded daily, at a rate that was determined annually by the Management Development and Compensation Committee (the “</w:t>
      </w:r>
      <w:r>
        <w:rPr>
          <w:rFonts w:ascii="Arial" w:cs="Arial" w:eastAsia="Arial" w:hAnsi="Arial"/>
          <w:sz w:val="18"/>
          <w:szCs w:val="18"/>
          <w:u w:val="single" w:color="auto"/>
          <w:color w:val="auto"/>
        </w:rPr>
        <w:t>Committee</w:t>
      </w:r>
      <w:r>
        <w:rPr>
          <w:rFonts w:ascii="Arial" w:cs="Arial" w:eastAsia="Arial" w:hAnsi="Arial"/>
          <w:sz w:val="18"/>
          <w:szCs w:val="18"/>
          <w:color w:val="auto"/>
        </w:rPr>
        <w:t>”) of the Board of Directors of the Corporation (the “</w:t>
      </w:r>
      <w:r>
        <w:rPr>
          <w:rFonts w:ascii="Arial" w:cs="Arial" w:eastAsia="Arial" w:hAnsi="Arial"/>
          <w:sz w:val="18"/>
          <w:szCs w:val="18"/>
          <w:u w:val="single" w:color="auto"/>
          <w:color w:val="auto"/>
        </w:rPr>
        <w:t>Board</w:t>
      </w:r>
      <w:r>
        <w:rPr>
          <w:rFonts w:ascii="Arial" w:cs="Arial" w:eastAsia="Arial" w:hAnsi="Arial"/>
          <w:sz w:val="18"/>
          <w:szCs w:val="18"/>
          <w:color w:val="auto"/>
        </w:rPr>
        <w:t>”). This rate, once established for a Plan Year, remains in effect with respect to all Participant Deferred Contributions credited to the Participant’s Account during such Plan Year until such amounts are distributed.</w:t>
      </w:r>
    </w:p>
    <w:p>
      <w:pPr>
        <w:spacing w:after="0" w:line="234" w:lineRule="exact"/>
        <w:rPr>
          <w:rFonts w:ascii="Arial" w:cs="Arial" w:eastAsia="Arial" w:hAnsi="Arial"/>
          <w:sz w:val="18"/>
          <w:szCs w:val="18"/>
          <w:color w:val="auto"/>
        </w:rPr>
      </w:pPr>
    </w:p>
    <w:p>
      <w:pPr>
        <w:jc w:val="both"/>
        <w:ind w:left="320" w:hanging="320"/>
        <w:spacing w:after="0" w:line="236" w:lineRule="auto"/>
        <w:tabs>
          <w:tab w:leader="none" w:pos="311"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Plan Employer Contributions</w:t>
      </w:r>
      <w:r>
        <w:rPr>
          <w:rFonts w:ascii="Arial" w:cs="Arial" w:eastAsia="Arial" w:hAnsi="Arial"/>
          <w:sz w:val="18"/>
          <w:szCs w:val="18"/>
          <w:color w:val="auto"/>
        </w:rPr>
        <w:t>. Plan Employer Contributions shall be credited to the Participant’s Account under the Plan as unfunded book entries stated as shares of Common Stock (including fractional shares). The number of shares of Common Stock credited to a Participant’s Account shall be determined by dividing the equivalent cash amount (as determined under Subparagraph 5(b)) by the closing price of Common Stock on the day that such Plan Employer Contributions are credited to the Participant’s Account. Amounts equivalent to the dividends that would have been payable in respect of the Common Stock shall be credited to the Participant’s Account as if reinvested in Common Stock, with the number of shares credited determined by dividing the equivalent cash dividend amount by the closing price of Common Stock on the date the dividends would have been payable. Amounts credited to the Participant’s Account shall accrue amounts equivalent to interest and dividends, as the case may be, until distributed in accordance with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260"/>
          </w:cols>
          <w:pgMar w:left="1300" w:top="1435" w:right="339" w:bottom="1440" w:gutter="0" w:footer="0" w:header="0"/>
        </w:sectPr>
      </w:pPr>
    </w:p>
    <w:bookmarkStart w:id="146" w:name="page147"/>
    <w:bookmarkEnd w:id="146"/>
    <w:p>
      <w:pPr>
        <w:jc w:val="both"/>
        <w:ind w:left="968" w:hanging="320"/>
        <w:spacing w:after="0" w:line="236" w:lineRule="auto"/>
        <w:tabs>
          <w:tab w:leader="none" w:pos="956" w:val="left"/>
        </w:tabs>
        <w:numPr>
          <w:ilvl w:val="1"/>
          <w:numId w:val="81"/>
        </w:numPr>
        <w:rPr>
          <w:rFonts w:ascii="Arial" w:cs="Arial" w:eastAsia="Arial" w:hAnsi="Arial"/>
          <w:sz w:val="18"/>
          <w:szCs w:val="18"/>
          <w:color w:val="auto"/>
        </w:rPr>
      </w:pPr>
      <w:r>
        <w:rPr>
          <w:rFonts w:ascii="Arial" w:cs="Arial" w:eastAsia="Arial" w:hAnsi="Arial"/>
          <w:sz w:val="18"/>
          <w:szCs w:val="18"/>
          <w:u w:val="single" w:color="auto"/>
          <w:color w:val="auto"/>
        </w:rPr>
        <w:t>Grandfathered and Non-Grandfathered Accounts</w:t>
      </w:r>
      <w:r>
        <w:rPr>
          <w:rFonts w:ascii="Arial" w:cs="Arial" w:eastAsia="Arial" w:hAnsi="Arial"/>
          <w:sz w:val="18"/>
          <w:szCs w:val="18"/>
          <w:color w:val="auto"/>
        </w:rPr>
        <w:t>. The aggregate amount of the Participant’s Deferred Contributions, plus interest and earnings credited thereon pursuant to this Paragraph 6 (collectively, the “</w:t>
      </w:r>
      <w:r>
        <w:rPr>
          <w:rFonts w:ascii="Arial" w:cs="Arial" w:eastAsia="Arial" w:hAnsi="Arial"/>
          <w:sz w:val="18"/>
          <w:szCs w:val="18"/>
          <w:u w:val="single" w:color="auto"/>
          <w:color w:val="auto"/>
        </w:rPr>
        <w:t>Participant Deferred Contribution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Amounts</w:t>
      </w:r>
      <w:r>
        <w:rPr>
          <w:rFonts w:ascii="Arial" w:cs="Arial" w:eastAsia="Arial" w:hAnsi="Arial"/>
          <w:sz w:val="18"/>
          <w:szCs w:val="18"/>
          <w:color w:val="auto"/>
        </w:rPr>
        <w:t>”), and the aggregate number of shares of Common Stock representing the Plan Employer Contributions, plus dividends reinvested pursuant to this Paragraph 6 (collectively the “</w:t>
      </w:r>
      <w:r>
        <w:rPr>
          <w:rFonts w:ascii="Arial" w:cs="Arial" w:eastAsia="Arial" w:hAnsi="Arial"/>
          <w:sz w:val="18"/>
          <w:szCs w:val="18"/>
          <w:u w:val="single" w:color="auto"/>
          <w:color w:val="auto"/>
        </w:rPr>
        <w:t>Plan Employer Contribution Amounts</w:t>
      </w:r>
      <w:r>
        <w:rPr>
          <w:rFonts w:ascii="Arial" w:cs="Arial" w:eastAsia="Arial" w:hAnsi="Arial"/>
          <w:sz w:val="18"/>
          <w:szCs w:val="18"/>
          <w:color w:val="auto"/>
        </w:rPr>
        <w:t>,” and together with Participant Deferred Contribution Amounts, the “</w:t>
      </w:r>
      <w:r>
        <w:rPr>
          <w:rFonts w:ascii="Arial" w:cs="Arial" w:eastAsia="Arial" w:hAnsi="Arial"/>
          <w:sz w:val="18"/>
          <w:szCs w:val="18"/>
          <w:u w:val="single" w:color="auto"/>
          <w:color w:val="auto"/>
        </w:rPr>
        <w:t>Total Contribution Amounts</w:t>
      </w:r>
      <w:r>
        <w:rPr>
          <w:rFonts w:ascii="Arial" w:cs="Arial" w:eastAsia="Arial" w:hAnsi="Arial"/>
          <w:sz w:val="18"/>
          <w:szCs w:val="18"/>
          <w:color w:val="auto"/>
        </w:rPr>
        <w:t>”) credited to the Participant’s Grandfathered Account pursuant to this Paragraph 6, will hereinafter be referred to as “</w:t>
      </w:r>
      <w:r>
        <w:rPr>
          <w:rFonts w:ascii="Arial" w:cs="Arial" w:eastAsia="Arial" w:hAnsi="Arial"/>
          <w:sz w:val="18"/>
          <w:szCs w:val="18"/>
          <w:u w:val="single" w:color="auto"/>
          <w:color w:val="auto"/>
        </w:rPr>
        <w:t>Grandfathered Contribution Amounts</w:t>
      </w:r>
      <w:r>
        <w:rPr>
          <w:rFonts w:ascii="Arial" w:cs="Arial" w:eastAsia="Arial" w:hAnsi="Arial"/>
          <w:sz w:val="18"/>
          <w:szCs w:val="18"/>
          <w:color w:val="auto"/>
        </w:rPr>
        <w:t>.” Total Contribution Amounts credited to a Participant’s Non-Grandfathered Account will hereinafter be referred to as “</w:t>
      </w:r>
      <w:r>
        <w:rPr>
          <w:rFonts w:ascii="Arial" w:cs="Arial" w:eastAsia="Arial" w:hAnsi="Arial"/>
          <w:sz w:val="18"/>
          <w:szCs w:val="18"/>
          <w:u w:val="single" w:color="auto"/>
          <w:color w:val="auto"/>
        </w:rPr>
        <w:t>Non-Grandfathered Contribution Amounts</w:t>
      </w:r>
      <w:r>
        <w:rPr>
          <w:rFonts w:ascii="Arial" w:cs="Arial" w:eastAsia="Arial" w:hAnsi="Arial"/>
          <w:sz w:val="18"/>
          <w:szCs w:val="18"/>
          <w:color w:val="auto"/>
        </w:rPr>
        <w:t>.”</w:t>
      </w:r>
    </w:p>
    <w:p>
      <w:pPr>
        <w:spacing w:after="0" w:line="234" w:lineRule="exact"/>
        <w:rPr>
          <w:rFonts w:ascii="Arial" w:cs="Arial" w:eastAsia="Arial" w:hAnsi="Arial"/>
          <w:sz w:val="18"/>
          <w:szCs w:val="18"/>
          <w:color w:val="auto"/>
        </w:rPr>
      </w:pPr>
    </w:p>
    <w:p>
      <w:pPr>
        <w:ind w:left="308" w:hanging="308"/>
        <w:spacing w:after="0"/>
        <w:tabs>
          <w:tab w:leader="none" w:pos="308"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Distribution from Accounts</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968" w:hanging="320"/>
        <w:spacing w:after="0"/>
        <w:tabs>
          <w:tab w:leader="none" w:pos="968" w:val="left"/>
        </w:tabs>
        <w:numPr>
          <w:ilvl w:val="1"/>
          <w:numId w:val="82"/>
        </w:numPr>
        <w:rPr>
          <w:rFonts w:ascii="Arial" w:cs="Arial" w:eastAsia="Arial" w:hAnsi="Arial"/>
          <w:sz w:val="18"/>
          <w:szCs w:val="18"/>
          <w:color w:val="auto"/>
        </w:rPr>
      </w:pPr>
      <w:r>
        <w:rPr>
          <w:rFonts w:ascii="Arial" w:cs="Arial" w:eastAsia="Arial" w:hAnsi="Arial"/>
          <w:sz w:val="18"/>
          <w:szCs w:val="18"/>
          <w:u w:val="single" w:color="auto"/>
          <w:color w:val="auto"/>
        </w:rPr>
        <w:t>Form and Timing of Payment</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1628" w:hanging="422"/>
        <w:spacing w:after="0"/>
        <w:tabs>
          <w:tab w:leader="none" w:pos="1628" w:val="left"/>
        </w:tabs>
        <w:numPr>
          <w:ilvl w:val="2"/>
          <w:numId w:val="82"/>
        </w:numPr>
        <w:rPr>
          <w:rFonts w:ascii="Arial" w:cs="Arial" w:eastAsia="Arial" w:hAnsi="Arial"/>
          <w:sz w:val="18"/>
          <w:szCs w:val="18"/>
          <w:color w:val="auto"/>
        </w:rPr>
      </w:pPr>
      <w:r>
        <w:rPr>
          <w:rFonts w:ascii="Arial" w:cs="Arial" w:eastAsia="Arial" w:hAnsi="Arial"/>
          <w:sz w:val="18"/>
          <w:szCs w:val="18"/>
          <w:u w:val="single" w:color="auto"/>
          <w:color w:val="auto"/>
        </w:rPr>
        <w:t>Participant Deferred Contributions</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jc w:val="both"/>
        <w:ind w:left="2268" w:hanging="324"/>
        <w:spacing w:after="0" w:line="236" w:lineRule="auto"/>
        <w:tabs>
          <w:tab w:leader="none" w:pos="2262" w:val="left"/>
        </w:tabs>
        <w:numPr>
          <w:ilvl w:val="3"/>
          <w:numId w:val="82"/>
        </w:numPr>
        <w:rPr>
          <w:rFonts w:ascii="Arial" w:cs="Arial" w:eastAsia="Arial" w:hAnsi="Arial"/>
          <w:sz w:val="18"/>
          <w:szCs w:val="18"/>
          <w:color w:val="auto"/>
        </w:rPr>
      </w:pPr>
      <w:r>
        <w:rPr>
          <w:rFonts w:ascii="Arial" w:cs="Arial" w:eastAsia="Arial" w:hAnsi="Arial"/>
          <w:sz w:val="18"/>
          <w:szCs w:val="18"/>
          <w:u w:val="single" w:color="auto"/>
          <w:color w:val="auto"/>
        </w:rPr>
        <w:t>2006 Plan Year and Later</w:t>
      </w:r>
      <w:r>
        <w:rPr>
          <w:rFonts w:ascii="Arial" w:cs="Arial" w:eastAsia="Arial" w:hAnsi="Arial"/>
          <w:sz w:val="18"/>
          <w:szCs w:val="18"/>
          <w:color w:val="auto"/>
        </w:rPr>
        <w:t>. The aggregate amount of the Participant’s Participant Deferred Contribution Amounts credited to the Participant’s Non-Grandfathered Account for Plan Years beginning on or after January 1, 2006 shall be paid in one lump-sum in cash in the January of the Plan Year that follows the Plan Year in which the Participant has a Separation from Service (as defined in Section 409A(a)(2)(A)(i) of the Code and its corresponding regulations) with the Corporation and its affiliates, unless, subject to Paragraph 4(c), the Participant elects in his Election for any such Plan Year that his Participant Deferred Contribution Amounts for such Plan Year be paid in substantially equal annual installments over five, ten, or 15 years (or, for Plan Years beginning between January 1, 2006 and January 1, 2019, inclusive, not to exceed ten years) if his Separation from Service occurs on or after he attains age 55 and has completed ten (10) Years of Service (as defined below), in which case the first installment shall be paid in the January of the Plan Year that follows the Plan Year in which he has a Separation from Service and each remaining installment will be paid in each succeeding January.</w:t>
      </w:r>
    </w:p>
    <w:p>
      <w:pPr>
        <w:spacing w:after="0" w:line="230" w:lineRule="exact"/>
        <w:rPr>
          <w:rFonts w:ascii="Arial" w:cs="Arial" w:eastAsia="Arial" w:hAnsi="Arial"/>
          <w:sz w:val="18"/>
          <w:szCs w:val="18"/>
          <w:color w:val="auto"/>
        </w:rPr>
      </w:pPr>
    </w:p>
    <w:p>
      <w:pPr>
        <w:jc w:val="both"/>
        <w:ind w:left="2268"/>
        <w:spacing w:after="0" w:line="236" w:lineRule="auto"/>
        <w:rPr>
          <w:rFonts w:ascii="Arial" w:cs="Arial" w:eastAsia="Arial" w:hAnsi="Arial"/>
          <w:sz w:val="18"/>
          <w:szCs w:val="18"/>
          <w:color w:val="auto"/>
        </w:rPr>
      </w:pPr>
      <w:r>
        <w:rPr>
          <w:rFonts w:ascii="Arial" w:cs="Arial" w:eastAsia="Arial" w:hAnsi="Arial"/>
          <w:sz w:val="18"/>
          <w:szCs w:val="18"/>
          <w:color w:val="auto"/>
        </w:rPr>
        <w:t>Notwithstanding the foregoing, if the Participant is a “Specified Employee” (as defined below) at his Separation from Service, the payments provided in the immediately preceding paragraph shall be paid (or begin for installments) in (i) the January of the Plan Year that follows the Plan Year in which the Participant’s Separation from Service with the Corporation and its affiliates occurs, if the Participant’s Separation from Service occurs before July 1 of such Plan Year, or (ii) the July of the Plan Year that follows the Plan Year in which the Participant’s Separation from Service with the Corporation and its affiliates occurs, if the Participant’s Separation from Service occurs after June 30 of such Plan Year. If the Participant is scheduled to receive his distribution in installments, after the first payment is made, each subsequent installment will be paid in the January of each Plan Year that follows until all installments are paid to the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08"/>
          </w:cols>
          <w:pgMar w:left="652" w:top="1435" w:right="339" w:bottom="1440" w:gutter="0" w:footer="0" w:header="0"/>
        </w:sectPr>
      </w:pPr>
    </w:p>
    <w:bookmarkStart w:id="147" w:name="page148"/>
    <w:bookmarkEnd w:id="147"/>
    <w:p>
      <w:pPr>
        <w:jc w:val="both"/>
        <w:ind w:left="1480" w:hanging="324"/>
        <w:spacing w:after="0" w:line="236" w:lineRule="auto"/>
        <w:tabs>
          <w:tab w:leader="none" w:pos="1474" w:val="left"/>
        </w:tabs>
        <w:numPr>
          <w:ilvl w:val="0"/>
          <w:numId w:val="83"/>
        </w:numPr>
        <w:rPr>
          <w:rFonts w:ascii="Arial" w:cs="Arial" w:eastAsia="Arial" w:hAnsi="Arial"/>
          <w:sz w:val="18"/>
          <w:szCs w:val="18"/>
          <w:color w:val="auto"/>
        </w:rPr>
      </w:pPr>
      <w:r>
        <w:rPr>
          <w:rFonts w:ascii="Arial" w:cs="Arial" w:eastAsia="Arial" w:hAnsi="Arial"/>
          <w:sz w:val="18"/>
          <w:szCs w:val="18"/>
          <w:color w:val="auto"/>
        </w:rPr>
        <w:t>For purposes of this Plan, the term (i) “</w:t>
      </w:r>
      <w:r>
        <w:rPr>
          <w:rFonts w:ascii="Arial" w:cs="Arial" w:eastAsia="Arial" w:hAnsi="Arial"/>
          <w:sz w:val="18"/>
          <w:szCs w:val="18"/>
          <w:u w:val="single" w:color="auto"/>
          <w:color w:val="auto"/>
        </w:rPr>
        <w:t>Years of Service</w:t>
      </w:r>
      <w:r>
        <w:rPr>
          <w:rFonts w:ascii="Arial" w:cs="Arial" w:eastAsia="Arial" w:hAnsi="Arial"/>
          <w:sz w:val="18"/>
          <w:szCs w:val="18"/>
          <w:color w:val="auto"/>
        </w:rPr>
        <w:t>” shall be determined using the Participant’s most-recent adjusted service date, as reflected at the Participant’s Separation from Service in the Corporation’s records, and (ii) “</w:t>
      </w:r>
      <w:r>
        <w:rPr>
          <w:rFonts w:ascii="Arial" w:cs="Arial" w:eastAsia="Arial" w:hAnsi="Arial"/>
          <w:sz w:val="18"/>
          <w:szCs w:val="18"/>
          <w:u w:val="single" w:color="auto"/>
          <w:color w:val="auto"/>
        </w:rPr>
        <w:t>Specified Employee</w:t>
      </w:r>
      <w:r>
        <w:rPr>
          <w:rFonts w:ascii="Arial" w:cs="Arial" w:eastAsia="Arial" w:hAnsi="Arial"/>
          <w:sz w:val="18"/>
          <w:szCs w:val="18"/>
          <w:color w:val="auto"/>
        </w:rPr>
        <w:t>” shall mean any Participant who, at any time during the twelve (12) month period ending on the identification date, is a specified employee under Section 409A of the Code, which determination of “specified employees,” including the number and identity of persons considered “specified employees” and the identification date, shall be made by the Vice President – HR, Compensation &amp; Benefits (or his delegate) in accordance with the provisions of Sections 416(i) and 409A of the Code and the regulations issued thereunder.</w:t>
      </w:r>
    </w:p>
    <w:p>
      <w:pPr>
        <w:spacing w:after="0" w:line="234" w:lineRule="exact"/>
        <w:rPr>
          <w:rFonts w:ascii="Arial" w:cs="Arial" w:eastAsia="Arial" w:hAnsi="Arial"/>
          <w:sz w:val="18"/>
          <w:szCs w:val="18"/>
          <w:color w:val="auto"/>
        </w:rPr>
      </w:pPr>
    </w:p>
    <w:p>
      <w:pPr>
        <w:jc w:val="both"/>
        <w:ind w:left="1480" w:hanging="324"/>
        <w:spacing w:after="0" w:line="238" w:lineRule="auto"/>
        <w:tabs>
          <w:tab w:leader="none" w:pos="1471"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2005 Plan Year</w:t>
      </w:r>
      <w:r>
        <w:rPr>
          <w:rFonts w:ascii="Arial" w:cs="Arial" w:eastAsia="Arial" w:hAnsi="Arial"/>
          <w:sz w:val="18"/>
          <w:szCs w:val="18"/>
          <w:color w:val="auto"/>
        </w:rPr>
        <w:t>. For the 2005 Plan Year only, the Participant Deferred Contribution Amounts credited to the Participant’s Non-Grandfathered Account for such Plan Year shall be paid in one lump-sum in cash in January of the Plan Year immediately following the Plan Year in which the Participant has a Separation from Service with the Corporation and its affiliates.</w:t>
      </w:r>
    </w:p>
    <w:p>
      <w:pPr>
        <w:spacing w:after="0" w:line="232" w:lineRule="exact"/>
        <w:rPr>
          <w:sz w:val="20"/>
          <w:szCs w:val="20"/>
          <w:color w:val="auto"/>
        </w:rPr>
      </w:pPr>
    </w:p>
    <w:p>
      <w:pPr>
        <w:jc w:val="both"/>
        <w:ind w:left="1480" w:firstLine="648"/>
        <w:spacing w:after="0" w:line="237" w:lineRule="auto"/>
        <w:rPr>
          <w:sz w:val="20"/>
          <w:szCs w:val="20"/>
          <w:color w:val="auto"/>
        </w:rPr>
      </w:pPr>
      <w:r>
        <w:rPr>
          <w:rFonts w:ascii="Arial" w:cs="Arial" w:eastAsia="Arial" w:hAnsi="Arial"/>
          <w:sz w:val="18"/>
          <w:szCs w:val="18"/>
          <w:color w:val="auto"/>
        </w:rPr>
        <w:t>Notwithstanding the foregoing, if the Participant is a Specified Employee at his Separation from Service, the payment provided in the immediately preceding paragraph shall be paid in (i) the January of the Plan Year that follows the Plan Year in which the Participant’s Separation from Service with the Corporation and its affiliates occurs, if the Participant’s Separation from Service occurs before July 1 of such Plan Year, or (ii) the July of the Plan Year that follows the Plan Year in which the Participant’s Separation from Service with the Corporation and its affiliates occurs, if the Participant’s Separation from Service occurs after June 30 of such Plan Year.</w:t>
      </w:r>
    </w:p>
    <w:p>
      <w:pPr>
        <w:spacing w:after="0" w:line="230" w:lineRule="exact"/>
        <w:rPr>
          <w:sz w:val="20"/>
          <w:szCs w:val="20"/>
          <w:color w:val="auto"/>
        </w:rPr>
      </w:pPr>
    </w:p>
    <w:p>
      <w:pPr>
        <w:jc w:val="both"/>
        <w:ind w:left="1480" w:hanging="324"/>
        <w:spacing w:after="0" w:line="236" w:lineRule="auto"/>
        <w:tabs>
          <w:tab w:leader="none" w:pos="1471"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Plan Years Before January 1, 2005</w:t>
      </w:r>
      <w:r>
        <w:rPr>
          <w:rFonts w:ascii="Arial" w:cs="Arial" w:eastAsia="Arial" w:hAnsi="Arial"/>
          <w:sz w:val="18"/>
          <w:szCs w:val="18"/>
          <w:color w:val="auto"/>
        </w:rPr>
        <w:t>. Each Participant made an election when he made a deferral election for Plan Years beginning before January 1, 2005, with respect to the distribution of the Participant Deferred Contribution Amounts credited to the Participant’s Grandfathered Account pursuant to such election. A Participant elected to receive such amount in one lump-sum or in a number of annual installments (up to fifteen (15)). The lump-sum payment or the first installment shall be paid in cash as soon as practicable during the month of January of such future calendar year as the Participant may designate or, if the Participant so elects, as soon as practicable during the month of January of the calendar year immediately following the year in which the Participant last contributed to the Plan or the year in which the Participant terminates employment with the Corporation and its affiliates. Subsequent installments shall be paid in cash as soon as practicable during the month of January of each succeeding calendar year until the entire amount of the Participant Deferred Contribution Amounts credited to the Participant’s Grandfathered Account has been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120"/>
          </w:cols>
          <w:pgMar w:left="1440" w:top="1435" w:right="339" w:bottom="1440" w:gutter="0" w:footer="0" w:header="0"/>
        </w:sectPr>
      </w:pPr>
    </w:p>
    <w:bookmarkStart w:id="148" w:name="page149"/>
    <w:bookmarkEnd w:id="148"/>
    <w:p>
      <w:pPr>
        <w:jc w:val="both"/>
        <w:ind w:left="980" w:hanging="462"/>
        <w:spacing w:after="0" w:line="237" w:lineRule="auto"/>
        <w:tabs>
          <w:tab w:leader="none" w:pos="980" w:val="left"/>
        </w:tabs>
        <w:numPr>
          <w:ilvl w:val="1"/>
          <w:numId w:val="85"/>
        </w:numPr>
        <w:rPr>
          <w:rFonts w:ascii="Arial" w:cs="Arial" w:eastAsia="Arial" w:hAnsi="Arial"/>
          <w:sz w:val="18"/>
          <w:szCs w:val="18"/>
          <w:color w:val="auto"/>
        </w:rPr>
      </w:pPr>
      <w:r>
        <w:rPr>
          <w:rFonts w:ascii="Arial" w:cs="Arial" w:eastAsia="Arial" w:hAnsi="Arial"/>
          <w:sz w:val="18"/>
          <w:szCs w:val="18"/>
          <w:u w:val="single" w:color="auto"/>
          <w:color w:val="auto"/>
        </w:rPr>
        <w:t>Plan Employer Contributions</w:t>
      </w:r>
      <w:r>
        <w:rPr>
          <w:rFonts w:ascii="Arial" w:cs="Arial" w:eastAsia="Arial" w:hAnsi="Arial"/>
          <w:sz w:val="18"/>
          <w:szCs w:val="18"/>
          <w:color w:val="auto"/>
        </w:rPr>
        <w:t>. The distribution form and timing that apply to the Participant’s Deferred Contribution Amounts for a Plan Year pursuant to Subparagraph 7(a)(i) above shall also apply to the form and timing of the distribution of the Plan Employer Contribution Amounts credited to the Participant’s Account. Except to the extent otherwise provided with respect to fractional shares, all distributions of Plan Employer Contribution Amounts shall be made in Common Stock. Installments after the first installment payment, if applicable, shall be paid in the January of each succeeding calendar year until the entire amount of the Plan Employer Contribution Amounts has been paid. Any fractional shares of Common Stock shall be paid in an equivalent cash amount.</w:t>
      </w:r>
    </w:p>
    <w:p>
      <w:pPr>
        <w:spacing w:after="0" w:line="229" w:lineRule="exact"/>
        <w:rPr>
          <w:rFonts w:ascii="Arial" w:cs="Arial" w:eastAsia="Arial" w:hAnsi="Arial"/>
          <w:sz w:val="18"/>
          <w:szCs w:val="18"/>
          <w:color w:val="auto"/>
        </w:rPr>
      </w:pPr>
    </w:p>
    <w:p>
      <w:pPr>
        <w:jc w:val="both"/>
        <w:ind w:left="980" w:hanging="502"/>
        <w:spacing w:after="0" w:line="236" w:lineRule="auto"/>
        <w:tabs>
          <w:tab w:leader="none" w:pos="980" w:val="left"/>
        </w:tabs>
        <w:numPr>
          <w:ilvl w:val="1"/>
          <w:numId w:val="85"/>
        </w:numPr>
        <w:rPr>
          <w:rFonts w:ascii="Arial" w:cs="Arial" w:eastAsia="Arial" w:hAnsi="Arial"/>
          <w:sz w:val="18"/>
          <w:szCs w:val="18"/>
          <w:color w:val="auto"/>
        </w:rPr>
      </w:pPr>
      <w:r>
        <w:rPr>
          <w:rFonts w:ascii="Arial" w:cs="Arial" w:eastAsia="Arial" w:hAnsi="Arial"/>
          <w:sz w:val="18"/>
          <w:szCs w:val="18"/>
          <w:u w:val="single" w:color="auto"/>
          <w:color w:val="auto"/>
        </w:rPr>
        <w:t>Calculation of Installment Payments</w:t>
      </w:r>
      <w:r>
        <w:rPr>
          <w:rFonts w:ascii="Arial" w:cs="Arial" w:eastAsia="Arial" w:hAnsi="Arial"/>
          <w:sz w:val="18"/>
          <w:szCs w:val="18"/>
          <w:color w:val="auto"/>
        </w:rPr>
        <w:t>. If installment payments are to be made to a Participant for any Plan Year, the amount of each installment shall be determined by (A) multiplying the balance of the Participant Deferred Contribution Amounts credited to the Participant for such Plan Year by a fraction, the numerator of which is one and the denominator of which is (x) the number of installments elected, reduced by (y) one for each annual installment previously received, and (B) multiplying the balance of the Plan Employer Contribution Amount as of the day before installment payments are processed each Plan Year by a fraction, the numerator of which is one and the denominator of which is (x) the number of installments elected, reduced by (y) one for each annual installment previously received, and then rounding down to the next whole share of Common Stock; provided, however, the amount of the last installment shall consist of the amount remaining in the Participant’s Account on the distribution date.</w:t>
      </w:r>
    </w:p>
    <w:p>
      <w:pPr>
        <w:spacing w:after="0" w:line="23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Adjustment of Form of Distribution</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jc w:val="both"/>
        <w:ind w:left="980" w:hanging="422"/>
        <w:spacing w:after="0" w:line="238" w:lineRule="auto"/>
        <w:tabs>
          <w:tab w:leader="none" w:pos="980" w:val="left"/>
        </w:tabs>
        <w:numPr>
          <w:ilvl w:val="1"/>
          <w:numId w:val="86"/>
        </w:numPr>
        <w:rPr>
          <w:rFonts w:ascii="Arial" w:cs="Arial" w:eastAsia="Arial" w:hAnsi="Arial"/>
          <w:sz w:val="18"/>
          <w:szCs w:val="18"/>
          <w:color w:val="auto"/>
        </w:rPr>
      </w:pPr>
      <w:r>
        <w:rPr>
          <w:rFonts w:ascii="Arial" w:cs="Arial" w:eastAsia="Arial" w:hAnsi="Arial"/>
          <w:sz w:val="18"/>
          <w:szCs w:val="18"/>
          <w:u w:val="single" w:color="auto"/>
          <w:color w:val="auto"/>
        </w:rPr>
        <w:t>2005 Plan Year and Later</w:t>
      </w:r>
      <w:r>
        <w:rPr>
          <w:rFonts w:ascii="Arial" w:cs="Arial" w:eastAsia="Arial" w:hAnsi="Arial"/>
          <w:sz w:val="18"/>
          <w:szCs w:val="18"/>
          <w:color w:val="auto"/>
        </w:rPr>
        <w:t>. For Plan Years beginning on or after January 1, 2005, a Participant may not change the timing or payment form of distribution of the Non-Grandfathered Contribution Amounts credited to his Non-Grandfathered Account unless otherwise permitted by the Plan Administrator in its sole and absolute discretion in accordance with Code Section 409A and its corresponding regulations.</w:t>
      </w:r>
    </w:p>
    <w:p>
      <w:pPr>
        <w:spacing w:after="0" w:line="231" w:lineRule="exact"/>
        <w:rPr>
          <w:rFonts w:ascii="Arial" w:cs="Arial" w:eastAsia="Arial" w:hAnsi="Arial"/>
          <w:sz w:val="18"/>
          <w:szCs w:val="18"/>
          <w:color w:val="auto"/>
        </w:rPr>
      </w:pPr>
    </w:p>
    <w:p>
      <w:pPr>
        <w:jc w:val="both"/>
        <w:ind w:left="980" w:hanging="462"/>
        <w:spacing w:after="0"/>
        <w:tabs>
          <w:tab w:leader="none" w:pos="980" w:val="left"/>
        </w:tabs>
        <w:numPr>
          <w:ilvl w:val="1"/>
          <w:numId w:val="86"/>
        </w:numPr>
        <w:rPr>
          <w:rFonts w:ascii="Arial" w:cs="Arial" w:eastAsia="Arial" w:hAnsi="Arial"/>
          <w:sz w:val="18"/>
          <w:szCs w:val="18"/>
          <w:color w:val="auto"/>
        </w:rPr>
      </w:pPr>
      <w:r>
        <w:rPr>
          <w:rFonts w:ascii="Arial" w:cs="Arial" w:eastAsia="Arial" w:hAnsi="Arial"/>
          <w:sz w:val="18"/>
          <w:szCs w:val="18"/>
          <w:u w:val="single" w:color="auto"/>
          <w:color w:val="auto"/>
        </w:rPr>
        <w:t>2004 Plan Year and Earlier</w:t>
      </w:r>
      <w:r>
        <w:rPr>
          <w:rFonts w:ascii="Arial" w:cs="Arial" w:eastAsia="Arial" w:hAnsi="Arial"/>
          <w:sz w:val="18"/>
          <w:szCs w:val="18"/>
          <w:color w:val="auto"/>
        </w:rPr>
        <w:t>. For Plan Years beginning before January 1, 2005, a Participant may change the timing and/or form of distribution of all or any portion of the Participant’s Grandfathered Account only in accordance with Clause 7(c)(i).</w:t>
      </w:r>
    </w:p>
    <w:p>
      <w:pPr>
        <w:spacing w:after="0" w:line="229" w:lineRule="exact"/>
        <w:rPr>
          <w:rFonts w:ascii="Arial" w:cs="Arial" w:eastAsia="Arial" w:hAnsi="Arial"/>
          <w:sz w:val="18"/>
          <w:szCs w:val="18"/>
          <w:color w:val="auto"/>
        </w:rPr>
      </w:pPr>
    </w:p>
    <w:p>
      <w:pPr>
        <w:ind w:left="980" w:hanging="502"/>
        <w:spacing w:after="0"/>
        <w:tabs>
          <w:tab w:leader="none" w:pos="980" w:val="left"/>
        </w:tabs>
        <w:numPr>
          <w:ilvl w:val="1"/>
          <w:numId w:val="86"/>
        </w:numPr>
        <w:rPr>
          <w:rFonts w:ascii="Arial" w:cs="Arial" w:eastAsia="Arial" w:hAnsi="Arial"/>
          <w:sz w:val="18"/>
          <w:szCs w:val="18"/>
          <w:color w:val="auto"/>
        </w:rPr>
      </w:pPr>
      <w:r>
        <w:rPr>
          <w:rFonts w:ascii="Arial" w:cs="Arial" w:eastAsia="Arial" w:hAnsi="Arial"/>
          <w:sz w:val="18"/>
          <w:szCs w:val="18"/>
          <w:u w:val="single" w:color="auto"/>
          <w:color w:val="auto"/>
        </w:rPr>
        <w:t>Distribution Default for Amounts Credited to the Participant’s Grandfathered Account</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jc w:val="both"/>
        <w:ind w:left="1620" w:hanging="324"/>
        <w:spacing w:after="0" w:line="236" w:lineRule="auto"/>
        <w:tabs>
          <w:tab w:leader="none" w:pos="1614" w:val="left"/>
        </w:tabs>
        <w:numPr>
          <w:ilvl w:val="2"/>
          <w:numId w:val="86"/>
        </w:numPr>
        <w:rPr>
          <w:rFonts w:ascii="Arial" w:cs="Arial" w:eastAsia="Arial" w:hAnsi="Arial"/>
          <w:sz w:val="18"/>
          <w:szCs w:val="18"/>
          <w:color w:val="auto"/>
        </w:rPr>
      </w:pPr>
      <w:r>
        <w:rPr>
          <w:rFonts w:ascii="Arial" w:cs="Arial" w:eastAsia="Arial" w:hAnsi="Arial"/>
          <w:sz w:val="18"/>
          <w:szCs w:val="18"/>
          <w:u w:val="single" w:color="auto"/>
          <w:color w:val="auto"/>
        </w:rPr>
        <w:t>Distribution Default for Participant Deferred Contribution Amounts</w:t>
      </w:r>
      <w:r>
        <w:rPr>
          <w:rFonts w:ascii="Arial" w:cs="Arial" w:eastAsia="Arial" w:hAnsi="Arial"/>
          <w:sz w:val="18"/>
          <w:szCs w:val="18"/>
          <w:color w:val="auto"/>
        </w:rPr>
        <w:t>. Any Participant Deferred Contribution Amounts credited to a Participant’s Grandfathered Account that are not covered by a timely distribution election shall be distributed to the Participant in one lump-sum in cash as soon as practicable during the month of January of the calendar year immediately following the later of the calendar year in which the Participant last contributed to the Plan or the year in which the Participant terminates his employment with the Corporation and its affiliates; provided, however, if the Participant has made an election pursuant to Subparagraphs 10(a), 10(b) or 10(c), the lump sum payment shall be made within the ninety (90) day period following a Change in Control, as defined in Subparagraph 10(e).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260"/>
          </w:cols>
          <w:pgMar w:left="1300" w:top="1435" w:right="339" w:bottom="1440" w:gutter="0" w:footer="0" w:header="0"/>
        </w:sectPr>
      </w:pPr>
    </w:p>
    <w:bookmarkStart w:id="149" w:name="page150"/>
    <w:bookmarkEnd w:id="149"/>
    <w:p>
      <w:pPr>
        <w:jc w:val="both"/>
        <w:ind w:left="1620" w:hanging="324"/>
        <w:spacing w:after="0" w:line="236" w:lineRule="auto"/>
        <w:tabs>
          <w:tab w:leader="none" w:pos="1614" w:val="left"/>
        </w:tabs>
        <w:numPr>
          <w:ilvl w:val="2"/>
          <w:numId w:val="87"/>
        </w:numPr>
        <w:rPr>
          <w:rFonts w:ascii="Arial" w:cs="Arial" w:eastAsia="Arial" w:hAnsi="Arial"/>
          <w:sz w:val="18"/>
          <w:szCs w:val="18"/>
          <w:color w:val="auto"/>
        </w:rPr>
      </w:pPr>
      <w:r>
        <w:rPr>
          <w:rFonts w:ascii="Arial" w:cs="Arial" w:eastAsia="Arial" w:hAnsi="Arial"/>
          <w:sz w:val="18"/>
          <w:szCs w:val="18"/>
          <w:u w:val="single" w:color="auto"/>
          <w:color w:val="auto"/>
        </w:rPr>
        <w:t>Distribution Default for Plan Employer Contribution Amounts</w:t>
      </w:r>
      <w:r>
        <w:rPr>
          <w:rFonts w:ascii="Arial" w:cs="Arial" w:eastAsia="Arial" w:hAnsi="Arial"/>
          <w:sz w:val="18"/>
          <w:szCs w:val="18"/>
          <w:color w:val="auto"/>
        </w:rPr>
        <w:t>. Any Plan Employer Contribution Amounts credited to a Participant’s Grandfathered Account that are not covered by a timely distribution election shall be distributed to the Participant in Common Stock as soon as practicable during the month of January of the calendar year immediately following the later of the calendar year in which the Participant last contributed to the Plan or the calendar year in which the Participant terminates his employment with the Corporation and its affiliates; provided, however, if the Participant has made an election pursuant to Subparagraphs 10(a), 10(b) or 10(c), the distribution shall be made within the ninety (90) day period following a Change in Control, as defined in Subparagraph 10(e). Any fractional shares of Common Stock shall be paid in an equivalent cash amount.</w:t>
      </w:r>
    </w:p>
    <w:p>
      <w:pPr>
        <w:spacing w:after="0" w:line="233" w:lineRule="exact"/>
        <w:rPr>
          <w:rFonts w:ascii="Arial" w:cs="Arial" w:eastAsia="Arial" w:hAnsi="Arial"/>
          <w:sz w:val="18"/>
          <w:szCs w:val="18"/>
          <w:color w:val="auto"/>
        </w:rPr>
      </w:pPr>
    </w:p>
    <w:p>
      <w:pPr>
        <w:ind w:left="320" w:hanging="320"/>
        <w:spacing w:after="0"/>
        <w:tabs>
          <w:tab w:leader="none" w:pos="32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Changing Distribution Elections for Plan Years Before January 1, 2005</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jc w:val="both"/>
        <w:ind w:left="980" w:hanging="422"/>
        <w:spacing w:after="0" w:line="237" w:lineRule="auto"/>
        <w:tabs>
          <w:tab w:leader="none" w:pos="980" w:val="left"/>
        </w:tabs>
        <w:numPr>
          <w:ilvl w:val="1"/>
          <w:numId w:val="88"/>
        </w:numPr>
        <w:rPr>
          <w:rFonts w:ascii="Arial" w:cs="Arial" w:eastAsia="Arial" w:hAnsi="Arial"/>
          <w:sz w:val="18"/>
          <w:szCs w:val="18"/>
          <w:color w:val="auto"/>
        </w:rPr>
      </w:pPr>
      <w:r>
        <w:rPr>
          <w:rFonts w:ascii="Arial" w:cs="Arial" w:eastAsia="Arial" w:hAnsi="Arial"/>
          <w:sz w:val="18"/>
          <w:szCs w:val="18"/>
          <w:color w:val="auto"/>
        </w:rPr>
        <w:t>For Total Contribution Amounts credited to the Participant’s Grandfathered Account, the Plan Administrator may from time to time allow a Participant to request new elections (other than with respect to any such amounts for which distributions have already commenced). The Plan Administrator shall reserve the right to accept or reject any such request at any time and such election shall be subject to such restrictions and limitations as the Plan Administrator shall determine in its sole discretion, provided that any new election shall generally be required to be made at least twelve (12) months before any scheduled payment date.</w:t>
      </w:r>
    </w:p>
    <w:p>
      <w:pPr>
        <w:spacing w:after="0" w:line="231" w:lineRule="exact"/>
        <w:rPr>
          <w:rFonts w:ascii="Arial" w:cs="Arial" w:eastAsia="Arial" w:hAnsi="Arial"/>
          <w:sz w:val="18"/>
          <w:szCs w:val="18"/>
          <w:color w:val="auto"/>
        </w:rPr>
      </w:pPr>
    </w:p>
    <w:p>
      <w:pPr>
        <w:jc w:val="both"/>
        <w:ind w:left="980" w:hanging="462"/>
        <w:spacing w:after="0" w:line="237" w:lineRule="auto"/>
        <w:tabs>
          <w:tab w:leader="none" w:pos="980" w:val="left"/>
        </w:tabs>
        <w:numPr>
          <w:ilvl w:val="1"/>
          <w:numId w:val="88"/>
        </w:numPr>
        <w:rPr>
          <w:rFonts w:ascii="Arial" w:cs="Arial" w:eastAsia="Arial" w:hAnsi="Arial"/>
          <w:sz w:val="18"/>
          <w:szCs w:val="18"/>
          <w:color w:val="auto"/>
        </w:rPr>
      </w:pPr>
      <w:r>
        <w:rPr>
          <w:rFonts w:ascii="Arial" w:cs="Arial" w:eastAsia="Arial" w:hAnsi="Arial"/>
          <w:sz w:val="18"/>
          <w:szCs w:val="18"/>
          <w:color w:val="auto"/>
        </w:rPr>
        <w:t>For Total Contribution Amounts credited to the Participant’s Grandfathered Account, the Plan Administrator may allow a Participant to request an immediate distribution of all or a portion of such Participant’s Grandfathered Account (including any portion for which distributions have already commenced). Any such immediate distribution shall be subject to a penalty equal to six percent (6%) of the amount requested to be distributed and shall be subject to the approval of the Plan Administrator and such other restrictions or conditions as may be established by the Plan Administrator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260"/>
          </w:cols>
          <w:pgMar w:left="1300" w:top="1435" w:right="339" w:bottom="1440" w:gutter="0" w:footer="0" w:header="0"/>
        </w:sectPr>
      </w:pPr>
    </w:p>
    <w:bookmarkStart w:id="150" w:name="page151"/>
    <w:bookmarkEnd w:id="150"/>
    <w:p>
      <w:pPr>
        <w:ind w:left="308" w:hanging="308"/>
        <w:spacing w:after="0"/>
        <w:tabs>
          <w:tab w:leader="none" w:pos="308"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Distribution on Death</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jc w:val="both"/>
        <w:ind w:left="968" w:hanging="320"/>
        <w:spacing w:after="0" w:line="235" w:lineRule="auto"/>
        <w:tabs>
          <w:tab w:leader="none" w:pos="956" w:val="left"/>
        </w:tabs>
        <w:numPr>
          <w:ilvl w:val="1"/>
          <w:numId w:val="89"/>
        </w:numPr>
        <w:rPr>
          <w:rFonts w:ascii="Arial" w:cs="Arial" w:eastAsia="Arial" w:hAnsi="Arial"/>
          <w:sz w:val="18"/>
          <w:szCs w:val="18"/>
          <w:color w:val="auto"/>
        </w:rPr>
      </w:pPr>
      <w:r>
        <w:rPr>
          <w:rFonts w:ascii="Arial" w:cs="Arial" w:eastAsia="Arial" w:hAnsi="Arial"/>
          <w:sz w:val="18"/>
          <w:szCs w:val="18"/>
          <w:u w:val="single" w:color="auto"/>
          <w:color w:val="auto"/>
        </w:rPr>
        <w:t>Participant Deferred Contribution Amounts</w:t>
      </w:r>
      <w:r>
        <w:rPr>
          <w:rFonts w:ascii="Arial" w:cs="Arial" w:eastAsia="Arial" w:hAnsi="Arial"/>
          <w:sz w:val="18"/>
          <w:szCs w:val="18"/>
          <w:color w:val="auto"/>
        </w:rPr>
        <w:t>. If a Participant dies before all Participant Deferred Contribution Amounts credited to the Participant’s Non-Grandfathered Account have been paid, the balance of the Participant Deferred Contribution Amounts in the Non-Grandfathered Account shall be paid in cash within sixty (60) days following the date of the Participant’s death to the beneficiary designated by the Participant and filed with the Plan Administrator in the form and manner prescribed by the Plan Administrator. If a Participant dies before all Participant Deferred Contribution Amounts credited to the Participant’s Grandfathered Account have been paid, the balance of the Participant Deferred Contribution Amounts in the Grandfathered Account shall be paid in cash as soon as practicable following the Participant’s death to the beneficiary designated by the Participant and filed with the Plan Administrator in the form and manner prescribed by the Plan Administrator; provided, however, if the Participant made an election pursuant to Subparagraphs 10(a), 10(b) or 10(c) for Participant Deferred Contribution Amounts credited to the Participant’s Grandfathered Account, such amount shall be paid within the ninety (90) day period following a Change in Control, as defined in Subparagraph 10(e). If (i) no beneficiary designation has been made, or (ii) the designated beneficiary has predeceased the Participant and no further designation has been made, then such balance shall be paid to the Participant’s estate. A Participant may change the designated beneficiary at any time during the Participant’s lifetime by filing a subsequent designation with the Plan Administrator in the form and manner prescribed by the Plan Administrator.</w:t>
      </w:r>
    </w:p>
    <w:p>
      <w:pPr>
        <w:spacing w:after="0" w:line="240" w:lineRule="exact"/>
        <w:rPr>
          <w:rFonts w:ascii="Arial" w:cs="Arial" w:eastAsia="Arial" w:hAnsi="Arial"/>
          <w:sz w:val="18"/>
          <w:szCs w:val="18"/>
          <w:color w:val="auto"/>
        </w:rPr>
      </w:pPr>
    </w:p>
    <w:p>
      <w:pPr>
        <w:jc w:val="both"/>
        <w:ind w:left="968" w:hanging="320"/>
        <w:spacing w:after="0" w:line="235" w:lineRule="auto"/>
        <w:tabs>
          <w:tab w:leader="none" w:pos="956" w:val="left"/>
        </w:tabs>
        <w:numPr>
          <w:ilvl w:val="1"/>
          <w:numId w:val="89"/>
        </w:numPr>
        <w:rPr>
          <w:rFonts w:ascii="Arial" w:cs="Arial" w:eastAsia="Arial" w:hAnsi="Arial"/>
          <w:sz w:val="18"/>
          <w:szCs w:val="18"/>
          <w:color w:val="auto"/>
        </w:rPr>
      </w:pPr>
      <w:r>
        <w:rPr>
          <w:rFonts w:ascii="Arial" w:cs="Arial" w:eastAsia="Arial" w:hAnsi="Arial"/>
          <w:sz w:val="18"/>
          <w:szCs w:val="18"/>
          <w:u w:val="single" w:color="auto"/>
          <w:color w:val="auto"/>
        </w:rPr>
        <w:t>Plan Employer Contribution Amounts</w:t>
      </w:r>
      <w:r>
        <w:rPr>
          <w:rFonts w:ascii="Arial" w:cs="Arial" w:eastAsia="Arial" w:hAnsi="Arial"/>
          <w:sz w:val="18"/>
          <w:szCs w:val="18"/>
          <w:color w:val="auto"/>
        </w:rPr>
        <w:t>. If a Participant dies before all Plan Employer Contribution Amounts credited to the Participant’s Non-Grandfathered Account have been paid, the balance of the Plan Employer Contribution Amounts in such Participant’s Non-Grandfathered Account shall be paid in Common Stock within sixty (60) days following the date of the Participant’s death to the beneficiary designated by the Participant and filed with the Plan Administrator in the form and manner prescribed by the Plan Administrator. If a Participant dies before all Plan Employer Contribution Amounts credited to the Participant’s Grandfathered Account have been paid, the balance of the Plan Employer Contribution Amounts in such Participant’s Grandfathered Account shall be paid in Common Stock as soon as practicable following the Participant’s death to the beneficiary designated by the Participant and filed with the Plan Administrator in the form and manner prescribed by the Plan Administrator; provided, however, if the Participant has made an election pursuant to Subparagraphs 10(a), 10(b) or 10(c) for Plan Employer Contribution Amounts credited to the Participant’s Grandfathered Account, such amount shall be paid within the ninety (90) day period following a Change in Control, as defined in Subparagraph 10(e). If (i) no such beneficiary designation has been made, or (ii) the designated beneficiary has predeceased the Participant and no further designation has been made, then such balance shall be paid to the Participant’s estate. A Participant may change the designated beneficiary at any time during the Participant’s lifetime by filing a subsequent designation with the Plan Administrator in the form and manner prescribed by the Plan Administrator. Any fractional shares of Common Stock shall be paid in an equivalent cash amount.</w:t>
      </w:r>
    </w:p>
    <w:p>
      <w:pPr>
        <w:spacing w:after="0" w:line="240" w:lineRule="exact"/>
        <w:rPr>
          <w:rFonts w:ascii="Arial" w:cs="Arial" w:eastAsia="Arial" w:hAnsi="Arial"/>
          <w:sz w:val="18"/>
          <w:szCs w:val="18"/>
          <w:color w:val="auto"/>
        </w:rPr>
      </w:pPr>
    </w:p>
    <w:p>
      <w:pPr>
        <w:ind w:left="308" w:hanging="308"/>
        <w:spacing w:after="0"/>
        <w:tabs>
          <w:tab w:leader="none" w:pos="308"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Payment in the Event of Hardship</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jc w:val="both"/>
        <w:ind w:left="968" w:hanging="320"/>
        <w:spacing w:after="0" w:line="238" w:lineRule="auto"/>
        <w:tabs>
          <w:tab w:leader="none" w:pos="956" w:val="left"/>
        </w:tabs>
        <w:numPr>
          <w:ilvl w:val="1"/>
          <w:numId w:val="89"/>
        </w:numPr>
        <w:rPr>
          <w:rFonts w:ascii="Arial" w:cs="Arial" w:eastAsia="Arial" w:hAnsi="Arial"/>
          <w:sz w:val="18"/>
          <w:szCs w:val="18"/>
          <w:color w:val="auto"/>
        </w:rPr>
      </w:pPr>
      <w:r>
        <w:rPr>
          <w:rFonts w:ascii="Arial" w:cs="Arial" w:eastAsia="Arial" w:hAnsi="Arial"/>
          <w:sz w:val="18"/>
          <w:szCs w:val="18"/>
          <w:u w:val="single" w:color="auto"/>
          <w:color w:val="auto"/>
        </w:rPr>
        <w:t>Non-Grandfathered Account</w:t>
      </w:r>
      <w:r>
        <w:rPr>
          <w:rFonts w:ascii="Arial" w:cs="Arial" w:eastAsia="Arial" w:hAnsi="Arial"/>
          <w:sz w:val="18"/>
          <w:szCs w:val="18"/>
          <w:color w:val="auto"/>
        </w:rPr>
        <w:t>. For Plan Years beginning on or after January 1, 2005, a Participant may not receive a distribution in the event of hardship or unforeseeable emergency from his Non-Grandfathered Account unless otherwise permitted by the Plan Administrator in its sole and absolute discretion in accordance with Code Section 409A and its corresponding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08"/>
          </w:cols>
          <w:pgMar w:left="652" w:top="1435" w:right="339" w:bottom="1440" w:gutter="0" w:footer="0" w:header="0"/>
        </w:sectPr>
      </w:pPr>
    </w:p>
    <w:bookmarkStart w:id="151" w:name="page152"/>
    <w:bookmarkEnd w:id="151"/>
    <w:p>
      <w:pPr>
        <w:jc w:val="both"/>
        <w:ind w:left="968" w:hanging="320"/>
        <w:spacing w:after="0" w:line="236" w:lineRule="auto"/>
        <w:tabs>
          <w:tab w:leader="none" w:pos="956" w:val="left"/>
        </w:tabs>
        <w:numPr>
          <w:ilvl w:val="1"/>
          <w:numId w:val="90"/>
        </w:numPr>
        <w:rPr>
          <w:rFonts w:ascii="Arial" w:cs="Arial" w:eastAsia="Arial" w:hAnsi="Arial"/>
          <w:sz w:val="18"/>
          <w:szCs w:val="18"/>
          <w:color w:val="auto"/>
        </w:rPr>
      </w:pPr>
      <w:r>
        <w:rPr>
          <w:rFonts w:ascii="Arial" w:cs="Arial" w:eastAsia="Arial" w:hAnsi="Arial"/>
          <w:sz w:val="18"/>
          <w:szCs w:val="18"/>
          <w:u w:val="single" w:color="auto"/>
          <w:color w:val="auto"/>
        </w:rPr>
        <w:t>Grandfathered Account</w:t>
      </w:r>
      <w:r>
        <w:rPr>
          <w:rFonts w:ascii="Arial" w:cs="Arial" w:eastAsia="Arial" w:hAnsi="Arial"/>
          <w:sz w:val="18"/>
          <w:szCs w:val="18"/>
          <w:color w:val="auto"/>
        </w:rPr>
        <w:t>. Upon receipt of a request from a Participant delivered in writing to the Plan Administrator along with a Certificate of Unavailability of Resources form, the Plan Administrator or his designee may cause the Corporation to accelerate payment of all or any part of the amount credited to the Participant’s Grandfathered Account if it finds in its sole discretion that payment of such amounts in accordance with the Participant’s prior Election would result in severe financial hardship to the Participant, and such hardship is the result of an unforeseeable emergency caused by circumstances beyond the control of the Participant. Acceleration of payment may not be made to the extent that such hardship is or may be relieved (a) through reimbursement or compensation by insurance or otherwise, or (b) by liquidation of the Participant’s assets, to the extent the liquidation of assets would not itself cause severe financial hardship. Any distribution of Participant Deferred Contribution Amounts pursuant to this Subparagraph shall be made in cash, while any distribution of Plan Employer Contribution Amounts pursuant to this Subparagraph shall be made in Common Stock. Any fractional shares of Common Stock shall be paid in an equivalent cash amount.</w:t>
      </w:r>
    </w:p>
    <w:p>
      <w:pPr>
        <w:spacing w:after="0" w:line="231" w:lineRule="exact"/>
        <w:rPr>
          <w:rFonts w:ascii="Arial" w:cs="Arial" w:eastAsia="Arial" w:hAnsi="Arial"/>
          <w:sz w:val="18"/>
          <w:szCs w:val="18"/>
          <w:color w:val="auto"/>
        </w:rPr>
      </w:pPr>
    </w:p>
    <w:p>
      <w:pPr>
        <w:ind w:left="308" w:hanging="308"/>
        <w:spacing w:after="0"/>
        <w:tabs>
          <w:tab w:leader="none" w:pos="308"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968" w:hanging="320"/>
        <w:spacing w:after="0"/>
        <w:tabs>
          <w:tab w:leader="none" w:pos="968" w:val="left"/>
        </w:tabs>
        <w:numPr>
          <w:ilvl w:val="1"/>
          <w:numId w:val="91"/>
        </w:numPr>
        <w:rPr>
          <w:rFonts w:ascii="Arial" w:cs="Arial" w:eastAsia="Arial" w:hAnsi="Arial"/>
          <w:sz w:val="18"/>
          <w:szCs w:val="18"/>
          <w:color w:val="auto"/>
        </w:rPr>
      </w:pPr>
      <w:r>
        <w:rPr>
          <w:rFonts w:ascii="Arial" w:cs="Arial" w:eastAsia="Arial" w:hAnsi="Arial"/>
          <w:sz w:val="18"/>
          <w:szCs w:val="18"/>
          <w:u w:val="single" w:color="auto"/>
          <w:color w:val="auto"/>
        </w:rPr>
        <w:t>Initial Lump-Sum Payment Election</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jc w:val="both"/>
        <w:ind w:left="1628" w:hanging="422"/>
        <w:spacing w:after="0" w:line="234" w:lineRule="auto"/>
        <w:tabs>
          <w:tab w:leader="none" w:pos="1628" w:val="left"/>
        </w:tabs>
        <w:numPr>
          <w:ilvl w:val="2"/>
          <w:numId w:val="91"/>
        </w:numPr>
        <w:rPr>
          <w:rFonts w:ascii="Arial" w:cs="Arial" w:eastAsia="Arial" w:hAnsi="Arial"/>
          <w:sz w:val="18"/>
          <w:szCs w:val="18"/>
          <w:color w:val="auto"/>
        </w:rPr>
      </w:pPr>
      <w:r>
        <w:rPr>
          <w:rFonts w:ascii="Arial" w:cs="Arial" w:eastAsia="Arial" w:hAnsi="Arial"/>
          <w:sz w:val="18"/>
          <w:szCs w:val="18"/>
          <w:u w:val="single" w:color="auto"/>
          <w:color w:val="auto"/>
        </w:rPr>
        <w:t>Non-Grandfathered Contribution Amounts</w:t>
      </w:r>
      <w:r>
        <w:rPr>
          <w:rFonts w:ascii="Arial" w:cs="Arial" w:eastAsia="Arial" w:hAnsi="Arial"/>
          <w:sz w:val="18"/>
          <w:szCs w:val="18"/>
          <w:color w:val="auto"/>
        </w:rPr>
        <w:t>. Notwithstanding any election in effect pursuant to Paragraph 4 hereof (including Paragraph 4(c)), for Participant Deferred Contributions attributable to each Plan Year beginning on or after January 1, 2007, a Participant may designate as part of his Election during the Open Enrollment Period for a Plan Year to have his Participant Deferred Contributions and corresponding Plan Employer Contributions for such Plan Year paid in a lump sum as soon as practicable following a Change in Control, but in no event later than ninety (90) days after such Change in Control (as defined below); provided however that if the event that constitutes a Change in Control does not qualify as a change in ownership or effective control of the Corporation, or in the ownership of a substantial portion of the assets of the Corporation, within the meaning of Section 409A(a)(2)(A)(v) of the Code and its corresponding regulations, a Change in Control shall not be deemed to have occurred for purposes of this clause</w:t>
      </w:r>
    </w:p>
    <w:p>
      <w:pPr>
        <w:spacing w:after="0" w:line="6" w:lineRule="exact"/>
        <w:rPr>
          <w:rFonts w:ascii="Arial" w:cs="Arial" w:eastAsia="Arial" w:hAnsi="Arial"/>
          <w:sz w:val="18"/>
          <w:szCs w:val="18"/>
          <w:color w:val="auto"/>
        </w:rPr>
      </w:pPr>
    </w:p>
    <w:p>
      <w:pPr>
        <w:ind w:left="1628"/>
        <w:spacing w:after="0"/>
        <w:rPr>
          <w:rFonts w:ascii="Arial" w:cs="Arial" w:eastAsia="Arial" w:hAnsi="Arial"/>
          <w:sz w:val="18"/>
          <w:szCs w:val="18"/>
          <w:color w:val="auto"/>
        </w:rPr>
      </w:pPr>
      <w:r>
        <w:rPr>
          <w:rFonts w:ascii="Arial" w:cs="Arial" w:eastAsia="Arial" w:hAnsi="Arial"/>
          <w:sz w:val="18"/>
          <w:szCs w:val="18"/>
          <w:color w:val="auto"/>
        </w:rPr>
        <w:t>(i).</w:t>
      </w:r>
    </w:p>
    <w:p>
      <w:pPr>
        <w:spacing w:after="0" w:line="238" w:lineRule="exact"/>
        <w:rPr>
          <w:rFonts w:ascii="Arial" w:cs="Arial" w:eastAsia="Arial" w:hAnsi="Arial"/>
          <w:sz w:val="18"/>
          <w:szCs w:val="18"/>
          <w:color w:val="auto"/>
        </w:rPr>
      </w:pPr>
    </w:p>
    <w:p>
      <w:pPr>
        <w:jc w:val="both"/>
        <w:ind w:left="1628" w:hanging="462"/>
        <w:spacing w:after="0" w:line="238" w:lineRule="auto"/>
        <w:tabs>
          <w:tab w:leader="none" w:pos="1628" w:val="left"/>
        </w:tabs>
        <w:numPr>
          <w:ilvl w:val="2"/>
          <w:numId w:val="91"/>
        </w:numPr>
        <w:rPr>
          <w:rFonts w:ascii="Arial" w:cs="Arial" w:eastAsia="Arial" w:hAnsi="Arial"/>
          <w:sz w:val="18"/>
          <w:szCs w:val="18"/>
          <w:color w:val="auto"/>
        </w:rPr>
      </w:pPr>
      <w:r>
        <w:rPr>
          <w:rFonts w:ascii="Arial" w:cs="Arial" w:eastAsia="Arial" w:hAnsi="Arial"/>
          <w:sz w:val="18"/>
          <w:szCs w:val="18"/>
          <w:u w:val="single" w:color="auto"/>
          <w:color w:val="auto"/>
        </w:rPr>
        <w:t>Grandfathered Contribution Amounts</w:t>
      </w:r>
      <w:r>
        <w:rPr>
          <w:rFonts w:ascii="Arial" w:cs="Arial" w:eastAsia="Arial" w:hAnsi="Arial"/>
          <w:sz w:val="18"/>
          <w:szCs w:val="18"/>
          <w:color w:val="auto"/>
        </w:rPr>
        <w:t>. Notwithstanding any election made pursuant to Paragraph 4 for Grandfathered Contribution Amounts, each Participant filed a written election with the Plan Administrator as part of his Election to have his Grandfathered Contribution Amount paid in one lump-sum as soon as practicable following a Change in Control (as defined below), but in no event later than ninety (90) days after such Change in Control.</w:t>
      </w:r>
    </w:p>
    <w:p>
      <w:pPr>
        <w:spacing w:after="0" w:line="231" w:lineRule="exact"/>
        <w:rPr>
          <w:rFonts w:ascii="Arial" w:cs="Arial" w:eastAsia="Arial" w:hAnsi="Arial"/>
          <w:sz w:val="18"/>
          <w:szCs w:val="18"/>
          <w:color w:val="auto"/>
        </w:rPr>
      </w:pPr>
    </w:p>
    <w:p>
      <w:pPr>
        <w:jc w:val="both"/>
        <w:ind w:left="1628" w:hanging="502"/>
        <w:spacing w:after="0" w:line="237" w:lineRule="auto"/>
        <w:tabs>
          <w:tab w:leader="none" w:pos="1628" w:val="left"/>
        </w:tabs>
        <w:numPr>
          <w:ilvl w:val="2"/>
          <w:numId w:val="91"/>
        </w:numPr>
        <w:rPr>
          <w:rFonts w:ascii="Arial" w:cs="Arial" w:eastAsia="Arial" w:hAnsi="Arial"/>
          <w:sz w:val="18"/>
          <w:szCs w:val="18"/>
          <w:color w:val="auto"/>
        </w:rPr>
      </w:pPr>
      <w:r>
        <w:rPr>
          <w:rFonts w:ascii="Arial" w:cs="Arial" w:eastAsia="Arial" w:hAnsi="Arial"/>
          <w:sz w:val="18"/>
          <w:szCs w:val="18"/>
          <w:u w:val="single" w:color="auto"/>
          <w:color w:val="auto"/>
        </w:rPr>
        <w:t>Form of Consideration</w:t>
      </w:r>
      <w:r>
        <w:rPr>
          <w:rFonts w:ascii="Arial" w:cs="Arial" w:eastAsia="Arial" w:hAnsi="Arial"/>
          <w:sz w:val="18"/>
          <w:szCs w:val="18"/>
          <w:color w:val="auto"/>
        </w:rPr>
        <w:t>. Any distribution of Participant Deferred Contribution Amounts pursuant to this Paragraph 10 shall be made in cash, while any distribution of Plan Employer Contribution Amounts pursuant to this Paragraph 10 shall be made in Common Stock (or the common stock of any successor corporation issued in exchange for, or with respect to, Common Stock incident to the Change in Control). Any fractional shares of Common Stock (or the common stock of any successor corporation issued in exchange for, or with respect to, Common Stock incident to the Change in Control) shall be paid in an equivalent cash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08"/>
          </w:cols>
          <w:pgMar w:left="652" w:top="1435" w:right="339" w:bottom="1440" w:gutter="0" w:footer="0" w:header="0"/>
        </w:sectPr>
      </w:pPr>
    </w:p>
    <w:bookmarkStart w:id="152" w:name="page153"/>
    <w:bookmarkEnd w:id="152"/>
    <w:p>
      <w:pPr>
        <w:jc w:val="both"/>
        <w:ind w:left="320" w:hanging="320"/>
        <w:spacing w:after="0" w:line="237" w:lineRule="auto"/>
        <w:tabs>
          <w:tab w:leader="none" w:pos="308"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Subsequent Lump-Sum Payment Election</w:t>
      </w:r>
      <w:r>
        <w:rPr>
          <w:rFonts w:ascii="Arial" w:cs="Arial" w:eastAsia="Arial" w:hAnsi="Arial"/>
          <w:sz w:val="18"/>
          <w:szCs w:val="18"/>
          <w:color w:val="auto"/>
        </w:rPr>
        <w:t>. For Grandfathered Contribution Amounts only, a Participant who did not make an election pursuant to Subparagraph 10(a)(ii) or who has revoked, pursuant to Subparagraph 10(c), an election previously made under Subparagraph 10(a)(ii) or this Subparagraph 10(b) may, before the earlier of a Change in Control or the beginning of the calendar year in which the election is to take effect, elect to have the aggregate amount credited to the Participant’s Grandfathered Account for all calendar years commencing with the first calendar year beginning after the date the election is made, paid in one lump-sum as soon as practicable following a Change in Control, but in no event later than ninety (90) days after such Change in Control.</w:t>
      </w:r>
    </w:p>
    <w:p>
      <w:pPr>
        <w:spacing w:after="0" w:line="229" w:lineRule="exact"/>
        <w:rPr>
          <w:rFonts w:ascii="Arial" w:cs="Arial" w:eastAsia="Arial" w:hAnsi="Arial"/>
          <w:sz w:val="18"/>
          <w:szCs w:val="18"/>
          <w:color w:val="auto"/>
        </w:rPr>
      </w:pPr>
    </w:p>
    <w:p>
      <w:pPr>
        <w:jc w:val="both"/>
        <w:ind w:left="320" w:hanging="320"/>
        <w:spacing w:after="0" w:line="238" w:lineRule="auto"/>
        <w:tabs>
          <w:tab w:leader="none" w:pos="311"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Revocation of Prior Change in Control Payment Elections</w:t>
      </w:r>
      <w:r>
        <w:rPr>
          <w:rFonts w:ascii="Arial" w:cs="Arial" w:eastAsia="Arial" w:hAnsi="Arial"/>
          <w:sz w:val="18"/>
          <w:szCs w:val="18"/>
          <w:color w:val="auto"/>
        </w:rPr>
        <w:t>. For Grandfathered Contribution Amounts only, a Participant may, before a Change in Control, revoke any election made pursuant to Subparagraphs 10(a)(ii) or 10(b) or file a new lump sum payment election under this Paragraph 10 with respect to amounts previously credited to the Participant’s Grandfathered Account. Any such revocation or new election shall be made at the time specified by the Plan Administrator and shall be subject to such restrictions and limitations as the Plan Administrator shall determine from time to time.</w:t>
      </w:r>
    </w:p>
    <w:p>
      <w:pPr>
        <w:spacing w:after="0" w:line="229" w:lineRule="exact"/>
        <w:rPr>
          <w:rFonts w:ascii="Arial" w:cs="Arial" w:eastAsia="Arial" w:hAnsi="Arial"/>
          <w:sz w:val="18"/>
          <w:szCs w:val="18"/>
          <w:color w:val="auto"/>
        </w:rPr>
      </w:pPr>
    </w:p>
    <w:p>
      <w:pPr>
        <w:jc w:val="both"/>
        <w:ind w:left="320" w:hanging="320"/>
        <w:spacing w:after="0"/>
        <w:tabs>
          <w:tab w:leader="none" w:pos="308"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Interest Equivalents</w:t>
      </w:r>
      <w:r>
        <w:rPr>
          <w:rFonts w:ascii="Arial" w:cs="Arial" w:eastAsia="Arial" w:hAnsi="Arial"/>
          <w:sz w:val="18"/>
          <w:szCs w:val="18"/>
          <w:color w:val="auto"/>
        </w:rPr>
        <w:t>. Notwithstanding anything to the contrary in the Plan, after a Change in Control, the Plan may not provide, or be amended to provide, interest accruals with respect to Participant Deferred Contributions at rates lower than the rates in effect under Paragraph 6 immediately before the Change in Control.</w:t>
      </w:r>
    </w:p>
    <w:p>
      <w:pPr>
        <w:spacing w:after="0" w:line="229" w:lineRule="exact"/>
        <w:rPr>
          <w:rFonts w:ascii="Arial" w:cs="Arial" w:eastAsia="Arial" w:hAnsi="Arial"/>
          <w:sz w:val="18"/>
          <w:szCs w:val="18"/>
          <w:color w:val="auto"/>
        </w:rPr>
      </w:pPr>
    </w:p>
    <w:p>
      <w:pPr>
        <w:jc w:val="both"/>
        <w:ind w:left="320" w:hanging="320"/>
        <w:spacing w:after="0" w:line="235" w:lineRule="auto"/>
        <w:tabs>
          <w:tab w:leader="none" w:pos="308"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Definition of Change in Control</w:t>
      </w:r>
      <w:r>
        <w:rPr>
          <w:rFonts w:ascii="Arial" w:cs="Arial" w:eastAsia="Arial" w:hAnsi="Arial"/>
          <w:sz w:val="18"/>
          <w:szCs w:val="18"/>
          <w:color w:val="auto"/>
        </w:rPr>
        <w:t>. For Plan Years beginning after April 1, 2018 and for purposes of the Plan, “Change in Control” means (a) any one person, or more than one person acting as a group (as defined under U.S. Department of Treasury Regulation (“Treasury Regulation”) § 1.409A-3(i)(5)(v)(B)) acquires ownership of stock of the Corporation that, together with stock held by such person or group, constitutes more than 50 percent of the total fair market value or total voting power of the stock of the Corporation; or (b) any one person, or more than one person acting as a group (as defined under Treasury Regulation § 1.409A-3(i)(5)(v)(B)) acquires (or has acquired during the 12-month period ending on the date of the most recent acquisition by such person or persons) ownership of stock of the Corporation possessing 30 percent or more of the total voting power of the stock of the Corporation; or (c) a majority of members of the Board of Directors of the Corporation (the “</w:t>
      </w:r>
      <w:r>
        <w:rPr>
          <w:rFonts w:ascii="Arial" w:cs="Arial" w:eastAsia="Arial" w:hAnsi="Arial"/>
          <w:sz w:val="18"/>
          <w:szCs w:val="18"/>
          <w:u w:val="single" w:color="auto"/>
          <w:color w:val="auto"/>
        </w:rPr>
        <w:t>Board</w:t>
      </w:r>
      <w:r>
        <w:rPr>
          <w:rFonts w:ascii="Arial" w:cs="Arial" w:eastAsia="Arial" w:hAnsi="Arial"/>
          <w:sz w:val="18"/>
          <w:szCs w:val="18"/>
          <w:color w:val="auto"/>
        </w:rPr>
        <w:t>”) is replaced during any 12-month period by directors whose appointment or election is not endorsed by a majority of the members of the Board before the date of the appointment or election; or (d) any one person, or more than one person acting as a group (as defined in Treasury Regulation § 1.409A-3(i)(5)(v)(B)) acquires (or has acquired during the 12-month period ending on the date of the most recent acquisition by such person or persons) assets from the Corporation and its subsidiaries on a consolidated basis that have a total gross fair market value equal to or more than 40 percent of the total gross fair market value of all of the assets of the Corporation and its subsidiaries on a consolidated basis immediately before such acquisition or acquisitions. For purposes of clause (d), “gross fair market value” means the value of the assets of the Corporation and its subsidiaries on a consolidated basis, or the value of the assets being disposed of, determined without regard to any liabilities associated with such assets. The foregoing clauses (a) through (d) shall be interpreted in a manner that is consistent with the Treasury Regulations promulgated pursuant to Section 409A of the Code so that all, and only, such transactions or events that could qualify as a “change in control event” within the meaning of Treasury Regulation § 1.409A-3(i)(5)(i) shall be deemed to be a Change in Control for purposes of this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260"/>
          </w:cols>
          <w:pgMar w:left="1300" w:top="1435" w:right="339" w:bottom="1440" w:gutter="0" w:footer="0" w:header="0"/>
        </w:sectPr>
      </w:pPr>
    </w:p>
    <w:bookmarkStart w:id="153" w:name="page154"/>
    <w:bookmarkEnd w:id="153"/>
    <w:p>
      <w:pPr>
        <w:ind w:left="308" w:hanging="308"/>
        <w:spacing w:after="0"/>
        <w:tabs>
          <w:tab w:leader="none" w:pos="308"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Administration</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jc w:val="both"/>
        <w:ind w:left="968" w:hanging="320"/>
        <w:spacing w:after="0" w:line="236" w:lineRule="auto"/>
        <w:tabs>
          <w:tab w:leader="none" w:pos="956" w:val="left"/>
        </w:tabs>
        <w:numPr>
          <w:ilvl w:val="1"/>
          <w:numId w:val="93"/>
        </w:numPr>
        <w:rPr>
          <w:rFonts w:ascii="Arial" w:cs="Arial" w:eastAsia="Arial" w:hAnsi="Arial"/>
          <w:sz w:val="18"/>
          <w:szCs w:val="18"/>
          <w:color w:val="auto"/>
        </w:rPr>
      </w:pPr>
      <w:r>
        <w:rPr>
          <w:rFonts w:ascii="Arial" w:cs="Arial" w:eastAsia="Arial" w:hAnsi="Arial"/>
          <w:sz w:val="18"/>
          <w:szCs w:val="18"/>
          <w:u w:val="single" w:color="auto"/>
          <w:color w:val="auto"/>
        </w:rPr>
        <w:t>Plan Administrator</w:t>
      </w:r>
      <w:r>
        <w:rPr>
          <w:rFonts w:ascii="Arial" w:cs="Arial" w:eastAsia="Arial" w:hAnsi="Arial"/>
          <w:sz w:val="18"/>
          <w:szCs w:val="18"/>
          <w:color w:val="auto"/>
        </w:rPr>
        <w:t>. The Plan Administrator and “named fiduciary” for purposes of the Employee Retirement Income Security Act of 1974, as amended (“</w:t>
      </w:r>
      <w:r>
        <w:rPr>
          <w:rFonts w:ascii="Arial" w:cs="Arial" w:eastAsia="Arial" w:hAnsi="Arial"/>
          <w:sz w:val="18"/>
          <w:szCs w:val="18"/>
          <w:u w:val="single" w:color="auto"/>
          <w:color w:val="auto"/>
        </w:rPr>
        <w:t>ERISA</w:t>
      </w:r>
      <w:r>
        <w:rPr>
          <w:rFonts w:ascii="Arial" w:cs="Arial" w:eastAsia="Arial" w:hAnsi="Arial"/>
          <w:sz w:val="18"/>
          <w:szCs w:val="18"/>
          <w:color w:val="auto"/>
        </w:rPr>
        <w:t>”) shall be the Vice President - HR, Compensation &amp; Benefits of the Corporation (or the person acting in such capacity in the event such position is abolished, restructured or renamed). The Plan Administrator shall have the authority to appoint one (1) or more other named fiduciaries of the Plan and to designate persons, other than named fiduciaries, to carry out fiduciary responsibilities under the Plan, pursuant to Section 405(c)(1)(B) of ERISA. Any person acting on behalf of the Plan Administrator shall serve without additional compensation. The Plan Administrator shall keep or cause to be kept such records and shall prepare or cause to be prepared such returns or reports as may be required by law or necessary for the proper administration of the Plan.</w:t>
      </w:r>
    </w:p>
    <w:p>
      <w:pPr>
        <w:spacing w:after="0" w:line="234" w:lineRule="exact"/>
        <w:rPr>
          <w:rFonts w:ascii="Arial" w:cs="Arial" w:eastAsia="Arial" w:hAnsi="Arial"/>
          <w:sz w:val="18"/>
          <w:szCs w:val="18"/>
          <w:color w:val="auto"/>
        </w:rPr>
      </w:pPr>
    </w:p>
    <w:p>
      <w:pPr>
        <w:jc w:val="both"/>
        <w:ind w:left="968" w:hanging="320"/>
        <w:spacing w:after="0" w:line="236" w:lineRule="auto"/>
        <w:tabs>
          <w:tab w:leader="none" w:pos="956" w:val="left"/>
        </w:tabs>
        <w:numPr>
          <w:ilvl w:val="1"/>
          <w:numId w:val="93"/>
        </w:numPr>
        <w:rPr>
          <w:rFonts w:ascii="Arial" w:cs="Arial" w:eastAsia="Arial" w:hAnsi="Arial"/>
          <w:sz w:val="18"/>
          <w:szCs w:val="18"/>
          <w:color w:val="auto"/>
        </w:rPr>
      </w:pPr>
      <w:r>
        <w:rPr>
          <w:rFonts w:ascii="Arial" w:cs="Arial" w:eastAsia="Arial" w:hAnsi="Arial"/>
          <w:sz w:val="18"/>
          <w:szCs w:val="18"/>
          <w:u w:val="single" w:color="auto"/>
          <w:color w:val="auto"/>
        </w:rPr>
        <w:t>Powers and Duties of Plan Administrator</w:t>
      </w:r>
      <w:r>
        <w:rPr>
          <w:rFonts w:ascii="Arial" w:cs="Arial" w:eastAsia="Arial" w:hAnsi="Arial"/>
          <w:sz w:val="18"/>
          <w:szCs w:val="18"/>
          <w:color w:val="auto"/>
        </w:rPr>
        <w:t>. The Plan Administrator shall have the full discretionary power and authority to construe and interpret the Plan (including, without limitation, supplying omissions from, correcting deficiencies in, or resolving inconsistencies or ambiguities in, the language of the Plan); to determine all questions of fact arising under the Plan, including questions as to eligibility for and the amount of benefits; to establish such rules and regulations (consistent with the terms of the Plan) as it deems necessary or appropriate for administration of the Plan; to delegate responsibilities to others to assist it in administering the Plan; to retain attorneys, consultants, accountants or other persons (who may be employees of the Corporation and its affiliates) to render advice and assistance as it shall determine to be necessary to effect the proper discharge of any duty for which it is responsible; and to perform all other acts it believes reasonable and proper in connection with the administration of the Plan. The Plan Administrator shall be entitled to rely on the records of the Corporation and its subsidiaries in determining any Participant’s entitlement to and the amount of benefits payable under the Plan. Any determination of the Plan Administrator, including interpretations of the Plan and determinations of questions of fact, shall be final and binding on all parties.</w:t>
      </w:r>
    </w:p>
    <w:p>
      <w:pPr>
        <w:spacing w:after="0" w:line="230" w:lineRule="exact"/>
        <w:rPr>
          <w:rFonts w:ascii="Arial" w:cs="Arial" w:eastAsia="Arial" w:hAnsi="Arial"/>
          <w:sz w:val="18"/>
          <w:szCs w:val="18"/>
          <w:color w:val="auto"/>
        </w:rPr>
      </w:pPr>
    </w:p>
    <w:p>
      <w:pPr>
        <w:jc w:val="both"/>
        <w:ind w:left="968" w:hanging="320"/>
        <w:spacing w:after="0"/>
        <w:tabs>
          <w:tab w:leader="none" w:pos="959" w:val="left"/>
        </w:tabs>
        <w:numPr>
          <w:ilvl w:val="1"/>
          <w:numId w:val="93"/>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To the extent permitted by law, the Corporation shall indemnify the Plan Administrator from all claims for liability, loss, or damage (including payment of expenses in connection with defense against such claims) arising from any act or failure to act in connection with the Plan.</w:t>
      </w:r>
    </w:p>
    <w:p>
      <w:pPr>
        <w:spacing w:after="0" w:line="229" w:lineRule="exact"/>
        <w:rPr>
          <w:rFonts w:ascii="Arial" w:cs="Arial" w:eastAsia="Arial" w:hAnsi="Arial"/>
          <w:sz w:val="18"/>
          <w:szCs w:val="18"/>
          <w:color w:val="auto"/>
        </w:rPr>
      </w:pPr>
    </w:p>
    <w:p>
      <w:pPr>
        <w:ind w:left="308" w:hanging="308"/>
        <w:spacing w:after="0"/>
        <w:tabs>
          <w:tab w:leader="none" w:pos="308"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Claims Procedures and Appeals</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jc w:val="both"/>
        <w:ind w:left="968" w:hanging="320"/>
        <w:spacing w:after="0"/>
        <w:tabs>
          <w:tab w:leader="none" w:pos="956" w:val="left"/>
        </w:tabs>
        <w:numPr>
          <w:ilvl w:val="1"/>
          <w:numId w:val="93"/>
        </w:numPr>
        <w:rPr>
          <w:rFonts w:ascii="Arial" w:cs="Arial" w:eastAsia="Arial" w:hAnsi="Arial"/>
          <w:sz w:val="18"/>
          <w:szCs w:val="18"/>
          <w:color w:val="auto"/>
        </w:rPr>
      </w:pPr>
      <w:r>
        <w:rPr>
          <w:rFonts w:ascii="Arial" w:cs="Arial" w:eastAsia="Arial" w:hAnsi="Arial"/>
          <w:sz w:val="18"/>
          <w:szCs w:val="18"/>
          <w:color w:val="auto"/>
        </w:rPr>
        <w:t>A written request for a Plan benefit is a claim and the person making such claim is a claimant. Any claim must be made in writing and shall be deemed to be filed by a claimant when a written request is made by the claimant or the claimant’s authorized representative which is reasonably calculated to bring the claim to the attention of the Plan Administrator.</w:t>
      </w:r>
    </w:p>
    <w:p>
      <w:pPr>
        <w:spacing w:after="0" w:line="229" w:lineRule="exact"/>
        <w:rPr>
          <w:rFonts w:ascii="Arial" w:cs="Arial" w:eastAsia="Arial" w:hAnsi="Arial"/>
          <w:sz w:val="18"/>
          <w:szCs w:val="18"/>
          <w:color w:val="auto"/>
        </w:rPr>
      </w:pPr>
    </w:p>
    <w:p>
      <w:pPr>
        <w:jc w:val="both"/>
        <w:ind w:left="968" w:hanging="320"/>
        <w:spacing w:after="0" w:line="238" w:lineRule="auto"/>
        <w:tabs>
          <w:tab w:leader="none" w:pos="956" w:val="left"/>
        </w:tabs>
        <w:numPr>
          <w:ilvl w:val="1"/>
          <w:numId w:val="93"/>
        </w:numPr>
        <w:rPr>
          <w:rFonts w:ascii="Arial" w:cs="Arial" w:eastAsia="Arial" w:hAnsi="Arial"/>
          <w:sz w:val="18"/>
          <w:szCs w:val="18"/>
          <w:color w:val="auto"/>
        </w:rPr>
      </w:pPr>
      <w:r>
        <w:rPr>
          <w:rFonts w:ascii="Arial" w:cs="Arial" w:eastAsia="Arial" w:hAnsi="Arial"/>
          <w:sz w:val="18"/>
          <w:szCs w:val="18"/>
          <w:color w:val="auto"/>
        </w:rPr>
        <w:t>The Plan Administrator shall provide notice in writing to any claimant when a claim for benefits under the Plan has been denied in whole or in part. Such notice shall be provided within ninety (90) days of the receipt by the Plan Administrator of the claimant’s claim or, if special circumstances require, and the claimant is so notified in writing, within one hundred eight (180) days of the receipt by the Plan Administrator of the claimant’s claim. The notice shall be written in a manner calculated to be understood by the claimant and shall:</w:t>
      </w:r>
    </w:p>
    <w:p>
      <w:pPr>
        <w:spacing w:after="0" w:line="229" w:lineRule="exact"/>
        <w:rPr>
          <w:sz w:val="20"/>
          <w:szCs w:val="20"/>
          <w:color w:val="auto"/>
        </w:rPr>
      </w:pPr>
    </w:p>
    <w:p>
      <w:pPr>
        <w:ind w:left="1628" w:hanging="422"/>
        <w:spacing w:after="0"/>
        <w:tabs>
          <w:tab w:leader="none" w:pos="1628" w:val="left"/>
        </w:tabs>
        <w:numPr>
          <w:ilvl w:val="0"/>
          <w:numId w:val="94"/>
        </w:numPr>
        <w:rPr>
          <w:rFonts w:ascii="Arial" w:cs="Arial" w:eastAsia="Arial" w:hAnsi="Arial"/>
          <w:sz w:val="18"/>
          <w:szCs w:val="18"/>
          <w:color w:val="auto"/>
        </w:rPr>
      </w:pPr>
      <w:r>
        <w:rPr>
          <w:rFonts w:ascii="Arial" w:cs="Arial" w:eastAsia="Arial" w:hAnsi="Arial"/>
          <w:sz w:val="18"/>
          <w:szCs w:val="18"/>
          <w:color w:val="auto"/>
        </w:rPr>
        <w:t>set forth the specific reasons for the denial of benefits;</w:t>
      </w:r>
    </w:p>
    <w:p>
      <w:pPr>
        <w:spacing w:after="0" w:line="238" w:lineRule="exact"/>
        <w:rPr>
          <w:rFonts w:ascii="Arial" w:cs="Arial" w:eastAsia="Arial" w:hAnsi="Arial"/>
          <w:sz w:val="18"/>
          <w:szCs w:val="18"/>
          <w:color w:val="auto"/>
        </w:rPr>
      </w:pPr>
    </w:p>
    <w:p>
      <w:pPr>
        <w:ind w:left="1628" w:hanging="462"/>
        <w:spacing w:after="0"/>
        <w:tabs>
          <w:tab w:leader="none" w:pos="1628" w:val="left"/>
        </w:tabs>
        <w:numPr>
          <w:ilvl w:val="0"/>
          <w:numId w:val="94"/>
        </w:numPr>
        <w:rPr>
          <w:rFonts w:ascii="Arial" w:cs="Arial" w:eastAsia="Arial" w:hAnsi="Arial"/>
          <w:sz w:val="18"/>
          <w:szCs w:val="18"/>
          <w:color w:val="auto"/>
        </w:rPr>
      </w:pPr>
      <w:r>
        <w:rPr>
          <w:rFonts w:ascii="Arial" w:cs="Arial" w:eastAsia="Arial" w:hAnsi="Arial"/>
          <w:sz w:val="18"/>
          <w:szCs w:val="18"/>
          <w:color w:val="auto"/>
        </w:rPr>
        <w:t>contain specific references to Plan provisions relative to the denial;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08"/>
          </w:cols>
          <w:pgMar w:left="652" w:top="1435" w:right="339" w:bottom="1440" w:gutter="0" w:footer="0" w:header="0"/>
        </w:sectPr>
      </w:pPr>
    </w:p>
    <w:bookmarkStart w:id="154" w:name="page155"/>
    <w:bookmarkEnd w:id="154"/>
    <w:p>
      <w:pPr>
        <w:spacing w:after="0" w:line="238" w:lineRule="exact"/>
        <w:rPr>
          <w:sz w:val="20"/>
          <w:szCs w:val="20"/>
          <w:color w:val="auto"/>
        </w:rPr>
      </w:pPr>
    </w:p>
    <w:p>
      <w:pPr>
        <w:ind w:left="980" w:hanging="502"/>
        <w:spacing w:after="0" w:line="246" w:lineRule="auto"/>
        <w:tabs>
          <w:tab w:leader="none" w:pos="980" w:val="left"/>
        </w:tabs>
        <w:numPr>
          <w:ilvl w:val="3"/>
          <w:numId w:val="95"/>
        </w:numPr>
        <w:rPr>
          <w:rFonts w:ascii="Arial" w:cs="Arial" w:eastAsia="Arial" w:hAnsi="Arial"/>
          <w:sz w:val="18"/>
          <w:szCs w:val="18"/>
          <w:color w:val="auto"/>
        </w:rPr>
      </w:pPr>
      <w:r>
        <w:rPr>
          <w:rFonts w:ascii="Arial" w:cs="Arial" w:eastAsia="Arial" w:hAnsi="Arial"/>
          <w:sz w:val="18"/>
          <w:szCs w:val="18"/>
          <w:color w:val="auto"/>
        </w:rPr>
        <w:t>describe any material and information, if any, necessary for the claim for benefits to be allowed, that had been requested, but not received by the Plan Administrator;</w:t>
      </w:r>
    </w:p>
    <w:p>
      <w:pPr>
        <w:spacing w:after="0" w:line="223" w:lineRule="exact"/>
        <w:rPr>
          <w:rFonts w:ascii="Arial" w:cs="Arial" w:eastAsia="Arial" w:hAnsi="Arial"/>
          <w:sz w:val="18"/>
          <w:szCs w:val="18"/>
          <w:color w:val="auto"/>
        </w:rPr>
      </w:pPr>
    </w:p>
    <w:p>
      <w:pPr>
        <w:jc w:val="both"/>
        <w:ind w:left="980" w:hanging="512"/>
        <w:spacing w:after="0"/>
        <w:tabs>
          <w:tab w:leader="none" w:pos="967" w:val="left"/>
        </w:tabs>
        <w:numPr>
          <w:ilvl w:val="1"/>
          <w:numId w:val="96"/>
        </w:numPr>
        <w:rPr>
          <w:rFonts w:ascii="Arial" w:cs="Arial" w:eastAsia="Arial" w:hAnsi="Arial"/>
          <w:sz w:val="18"/>
          <w:szCs w:val="18"/>
          <w:color w:val="auto"/>
        </w:rPr>
      </w:pPr>
      <w:r>
        <w:rPr>
          <w:rFonts w:ascii="Arial" w:cs="Arial" w:eastAsia="Arial" w:hAnsi="Arial"/>
          <w:sz w:val="18"/>
          <w:szCs w:val="18"/>
          <w:color w:val="auto"/>
        </w:rPr>
        <w:t>advise the claimant that any appeal of the Plan Administrator’s adverse determination must be made in writing to the Plan Administrator within sixty (60) days after receipt of the initial denial notification, and must set forth the facts upon which the appeal is based; and</w:t>
      </w:r>
    </w:p>
    <w:p>
      <w:pPr>
        <w:spacing w:after="0" w:line="229" w:lineRule="exact"/>
        <w:rPr>
          <w:rFonts w:ascii="Arial" w:cs="Arial" w:eastAsia="Arial" w:hAnsi="Arial"/>
          <w:sz w:val="18"/>
          <w:szCs w:val="18"/>
          <w:color w:val="auto"/>
        </w:rPr>
      </w:pPr>
    </w:p>
    <w:p>
      <w:pPr>
        <w:ind w:left="980" w:right="20" w:hanging="472"/>
        <w:spacing w:after="0" w:line="246" w:lineRule="auto"/>
        <w:tabs>
          <w:tab w:leader="none" w:pos="967" w:val="left"/>
        </w:tabs>
        <w:numPr>
          <w:ilvl w:val="1"/>
          <w:numId w:val="96"/>
        </w:numPr>
        <w:rPr>
          <w:rFonts w:ascii="Arial" w:cs="Arial" w:eastAsia="Arial" w:hAnsi="Arial"/>
          <w:sz w:val="18"/>
          <w:szCs w:val="18"/>
          <w:color w:val="auto"/>
        </w:rPr>
      </w:pPr>
      <w:r>
        <w:rPr>
          <w:rFonts w:ascii="Arial" w:cs="Arial" w:eastAsia="Arial" w:hAnsi="Arial"/>
          <w:sz w:val="18"/>
          <w:szCs w:val="18"/>
          <w:color w:val="auto"/>
        </w:rPr>
        <w:t>advise the claimant of his right to bring a civil action under Section 502(a) of ERISA, following an adverse benefit determination on review.</w:t>
      </w:r>
    </w:p>
    <w:p>
      <w:pPr>
        <w:spacing w:after="0" w:line="219" w:lineRule="exact"/>
        <w:rPr>
          <w:rFonts w:ascii="Arial" w:cs="Arial" w:eastAsia="Arial" w:hAnsi="Arial"/>
          <w:sz w:val="18"/>
          <w:szCs w:val="18"/>
          <w:color w:val="auto"/>
        </w:rPr>
      </w:pPr>
    </w:p>
    <w:p>
      <w:pPr>
        <w:ind w:left="320" w:hanging="320"/>
        <w:spacing w:after="0"/>
        <w:tabs>
          <w:tab w:leader="none" w:pos="3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When a claimant receives notice of denial of a claim or does not receive notification of acceptance or denial within ninety</w:t>
      </w:r>
    </w:p>
    <w:p>
      <w:pPr>
        <w:ind w:left="700" w:hanging="376"/>
        <w:spacing w:after="0"/>
        <w:tabs>
          <w:tab w:leader="none" w:pos="700" w:val="left"/>
        </w:tabs>
        <w:numPr>
          <w:ilvl w:val="2"/>
          <w:numId w:val="97"/>
        </w:numPr>
        <w:rPr>
          <w:rFonts w:ascii="Arial" w:cs="Arial" w:eastAsia="Arial" w:hAnsi="Arial"/>
          <w:sz w:val="18"/>
          <w:szCs w:val="18"/>
          <w:color w:val="auto"/>
        </w:rPr>
      </w:pPr>
      <w:r>
        <w:rPr>
          <w:rFonts w:ascii="Arial" w:cs="Arial" w:eastAsia="Arial" w:hAnsi="Arial"/>
          <w:sz w:val="18"/>
          <w:szCs w:val="18"/>
          <w:color w:val="auto"/>
        </w:rPr>
        <w:t>days after submitting a claim, the claimant, either in person or by duly authorized representative, may:</w:t>
      </w:r>
    </w:p>
    <w:p>
      <w:pPr>
        <w:spacing w:after="0" w:line="238" w:lineRule="exact"/>
        <w:rPr>
          <w:rFonts w:ascii="Arial" w:cs="Arial" w:eastAsia="Arial" w:hAnsi="Arial"/>
          <w:sz w:val="18"/>
          <w:szCs w:val="18"/>
          <w:color w:val="auto"/>
        </w:rPr>
      </w:pPr>
    </w:p>
    <w:p>
      <w:pPr>
        <w:ind w:left="980" w:hanging="422"/>
        <w:spacing w:after="0"/>
        <w:tabs>
          <w:tab w:leader="none" w:pos="980" w:val="left"/>
        </w:tabs>
        <w:numPr>
          <w:ilvl w:val="3"/>
          <w:numId w:val="97"/>
        </w:numPr>
        <w:rPr>
          <w:rFonts w:ascii="Arial" w:cs="Arial" w:eastAsia="Arial" w:hAnsi="Arial"/>
          <w:sz w:val="18"/>
          <w:szCs w:val="18"/>
          <w:color w:val="auto"/>
        </w:rPr>
      </w:pPr>
      <w:r>
        <w:rPr>
          <w:rFonts w:ascii="Arial" w:cs="Arial" w:eastAsia="Arial" w:hAnsi="Arial"/>
          <w:sz w:val="18"/>
          <w:szCs w:val="18"/>
          <w:color w:val="auto"/>
        </w:rPr>
        <w:t>request, in writing, a review of the claim by the Plan Administrator;</w:t>
      </w:r>
    </w:p>
    <w:p>
      <w:pPr>
        <w:spacing w:after="0" w:line="238" w:lineRule="exact"/>
        <w:rPr>
          <w:rFonts w:ascii="Arial" w:cs="Arial" w:eastAsia="Arial" w:hAnsi="Arial"/>
          <w:sz w:val="18"/>
          <w:szCs w:val="18"/>
          <w:color w:val="auto"/>
        </w:rPr>
      </w:pPr>
    </w:p>
    <w:p>
      <w:pPr>
        <w:ind w:left="980" w:hanging="462"/>
        <w:spacing w:after="0"/>
        <w:tabs>
          <w:tab w:leader="none" w:pos="980" w:val="left"/>
        </w:tabs>
        <w:numPr>
          <w:ilvl w:val="3"/>
          <w:numId w:val="97"/>
        </w:numPr>
        <w:rPr>
          <w:rFonts w:ascii="Arial" w:cs="Arial" w:eastAsia="Arial" w:hAnsi="Arial"/>
          <w:sz w:val="18"/>
          <w:szCs w:val="18"/>
          <w:color w:val="auto"/>
        </w:rPr>
      </w:pPr>
      <w:r>
        <w:rPr>
          <w:rFonts w:ascii="Arial" w:cs="Arial" w:eastAsia="Arial" w:hAnsi="Arial"/>
          <w:sz w:val="18"/>
          <w:szCs w:val="18"/>
          <w:color w:val="auto"/>
        </w:rPr>
        <w:t>review pertinent documents relating to the denial;</w:t>
      </w:r>
    </w:p>
    <w:p>
      <w:pPr>
        <w:spacing w:after="0" w:line="238" w:lineRule="exact"/>
        <w:rPr>
          <w:rFonts w:ascii="Arial" w:cs="Arial" w:eastAsia="Arial" w:hAnsi="Arial"/>
          <w:sz w:val="18"/>
          <w:szCs w:val="18"/>
          <w:color w:val="auto"/>
        </w:rPr>
      </w:pPr>
    </w:p>
    <w:p>
      <w:pPr>
        <w:ind w:left="980" w:hanging="502"/>
        <w:spacing w:after="0"/>
        <w:tabs>
          <w:tab w:leader="none" w:pos="980" w:val="left"/>
        </w:tabs>
        <w:numPr>
          <w:ilvl w:val="3"/>
          <w:numId w:val="97"/>
        </w:numPr>
        <w:rPr>
          <w:rFonts w:ascii="Arial" w:cs="Arial" w:eastAsia="Arial" w:hAnsi="Arial"/>
          <w:sz w:val="18"/>
          <w:szCs w:val="18"/>
          <w:color w:val="auto"/>
        </w:rPr>
      </w:pPr>
      <w:r>
        <w:rPr>
          <w:rFonts w:ascii="Arial" w:cs="Arial" w:eastAsia="Arial" w:hAnsi="Arial"/>
          <w:sz w:val="18"/>
          <w:szCs w:val="18"/>
          <w:color w:val="auto"/>
        </w:rPr>
        <w:t>submit issues and comments in writing; and</w:t>
      </w:r>
    </w:p>
    <w:p>
      <w:pPr>
        <w:spacing w:after="0" w:line="238" w:lineRule="exact"/>
        <w:rPr>
          <w:rFonts w:ascii="Arial" w:cs="Arial" w:eastAsia="Arial" w:hAnsi="Arial"/>
          <w:sz w:val="18"/>
          <w:szCs w:val="18"/>
          <w:color w:val="auto"/>
        </w:rPr>
      </w:pPr>
    </w:p>
    <w:p>
      <w:pPr>
        <w:ind w:left="980" w:hanging="512"/>
        <w:spacing w:after="0" w:line="246" w:lineRule="auto"/>
        <w:tabs>
          <w:tab w:leader="none" w:pos="967" w:val="left"/>
        </w:tabs>
        <w:numPr>
          <w:ilvl w:val="1"/>
          <w:numId w:val="97"/>
        </w:numPr>
        <w:rPr>
          <w:rFonts w:ascii="Arial" w:cs="Arial" w:eastAsia="Arial" w:hAnsi="Arial"/>
          <w:sz w:val="18"/>
          <w:szCs w:val="18"/>
          <w:color w:val="auto"/>
        </w:rPr>
      </w:pPr>
      <w:r>
        <w:rPr>
          <w:rFonts w:ascii="Arial" w:cs="Arial" w:eastAsia="Arial" w:hAnsi="Arial"/>
          <w:sz w:val="18"/>
          <w:szCs w:val="18"/>
          <w:color w:val="auto"/>
        </w:rPr>
        <w:t>request, in writing, a hearing with the Plan Administrator; provided that the claimant takes appropriate action within sixty (60) days after receiving notice of denial.</w:t>
      </w:r>
    </w:p>
    <w:p>
      <w:pPr>
        <w:spacing w:after="0" w:line="223" w:lineRule="exact"/>
        <w:rPr>
          <w:rFonts w:ascii="Arial" w:cs="Arial" w:eastAsia="Arial" w:hAnsi="Arial"/>
          <w:sz w:val="18"/>
          <w:szCs w:val="18"/>
          <w:color w:val="auto"/>
        </w:rPr>
      </w:pPr>
    </w:p>
    <w:p>
      <w:pPr>
        <w:jc w:val="both"/>
        <w:ind w:left="320" w:hanging="320"/>
        <w:spacing w:after="0"/>
        <w:tabs>
          <w:tab w:leader="none" w:pos="308"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Plan Administrator shall make its decision with respect to a claim review promptly, but not later than sixty (60) days after receipt of the request. Such sixty (60) day period may be extended for another period of sixty (60) days if the Plan Administrator reviewing the claim finds that special circumstances require an extension of time for processing.</w:t>
      </w:r>
    </w:p>
    <w:p>
      <w:pPr>
        <w:spacing w:after="0" w:line="229" w:lineRule="exact"/>
        <w:rPr>
          <w:rFonts w:ascii="Arial" w:cs="Arial" w:eastAsia="Arial" w:hAnsi="Arial"/>
          <w:sz w:val="18"/>
          <w:szCs w:val="18"/>
          <w:color w:val="auto"/>
        </w:rPr>
      </w:pPr>
    </w:p>
    <w:p>
      <w:pPr>
        <w:jc w:val="both"/>
        <w:ind w:left="320" w:hanging="320"/>
        <w:spacing w:after="0" w:line="236" w:lineRule="auto"/>
        <w:tabs>
          <w:tab w:leader="none" w:pos="308"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final decision of the Plan Administrator shall be in writing, (i) give specific reason(s) for the adverse decision, (ii) make specific references to the pertinent Plan provisions on which the decision is based, (iii) include a statement that the claimant is entitled to receive, upon request and free of charge, reasonable access to, and copies of, all documents, records, and other information relevant to the claimant’s claim for benefits, and (iv) a statement describing any voluntary appeals procedures offered by the Plan and the claimant’s right to obtain information about such procedures, and a statement of the claimant’s right to bring an action under Section 502(a) of ERISA. All interpretations, determinations and decisions of the Plan Administrator in respect of any claim shall be made in its sole discretion based on the applicable Plan documents and shall be final, conclusive and binding on all parties.</w:t>
      </w:r>
    </w:p>
    <w:p>
      <w:pPr>
        <w:spacing w:after="0" w:line="234" w:lineRule="exact"/>
        <w:rPr>
          <w:rFonts w:ascii="Arial" w:cs="Arial" w:eastAsia="Arial" w:hAnsi="Arial"/>
          <w:sz w:val="18"/>
          <w:szCs w:val="18"/>
          <w:color w:val="auto"/>
        </w:rPr>
      </w:pPr>
    </w:p>
    <w:p>
      <w:pPr>
        <w:jc w:val="both"/>
        <w:ind w:left="320" w:hanging="320"/>
        <w:spacing w:after="0" w:line="238" w:lineRule="auto"/>
        <w:tabs>
          <w:tab w:leader="none" w:pos="312" w:val="left"/>
        </w:tabs>
        <w:numPr>
          <w:ilvl w:val="0"/>
          <w:numId w:val="97"/>
        </w:numPr>
        <w:rPr>
          <w:rFonts w:ascii="Arial" w:cs="Arial" w:eastAsia="Arial" w:hAnsi="Arial"/>
          <w:sz w:val="18"/>
          <w:szCs w:val="18"/>
          <w:color w:val="auto"/>
        </w:rPr>
      </w:pPr>
      <w:r>
        <w:rPr>
          <w:rFonts w:ascii="Arial" w:cs="Arial" w:eastAsia="Arial" w:hAnsi="Arial"/>
          <w:sz w:val="18"/>
          <w:szCs w:val="18"/>
          <w:color w:val="auto"/>
        </w:rPr>
        <w:t>A claimant or potential claimant must file a claim with the Plan Administrator no later than one (1) year after the claimant or potential claimant knows, or should have known, the principal facts upon which their claim is based. Any legal action in connection with the Plan must be brought in the U.S. District Court for the Western District of North Carolina within the six (6) month period beginning on the date the claimant’s claim and appeal rights are exhausted.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260"/>
          </w:cols>
          <w:pgMar w:left="1300" w:top="1440" w:right="339" w:bottom="1440" w:gutter="0" w:footer="0" w:header="0"/>
        </w:sectPr>
      </w:pPr>
    </w:p>
    <w:bookmarkStart w:id="155" w:name="page156"/>
    <w:bookmarkEnd w:id="155"/>
    <w:p>
      <w:pPr>
        <w:ind w:left="308" w:hanging="308"/>
        <w:spacing w:after="0"/>
        <w:tabs>
          <w:tab w:leader="none" w:pos="308"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jc w:val="both"/>
        <w:ind w:left="968" w:hanging="320"/>
        <w:spacing w:after="0" w:line="237" w:lineRule="auto"/>
        <w:tabs>
          <w:tab w:leader="none" w:pos="956" w:val="left"/>
        </w:tabs>
        <w:numPr>
          <w:ilvl w:val="1"/>
          <w:numId w:val="98"/>
        </w:numPr>
        <w:rPr>
          <w:rFonts w:ascii="Arial" w:cs="Arial" w:eastAsia="Arial" w:hAnsi="Arial"/>
          <w:sz w:val="18"/>
          <w:szCs w:val="18"/>
          <w:color w:val="auto"/>
        </w:rPr>
      </w:pPr>
      <w:r>
        <w:rPr>
          <w:rFonts w:ascii="Arial" w:cs="Arial" w:eastAsia="Arial" w:hAnsi="Arial"/>
          <w:sz w:val="18"/>
          <w:szCs w:val="18"/>
          <w:u w:val="single" w:color="auto"/>
          <w:color w:val="auto"/>
        </w:rPr>
        <w:t>Anti-Alienation</w:t>
      </w:r>
      <w:r>
        <w:rPr>
          <w:rFonts w:ascii="Arial" w:cs="Arial" w:eastAsia="Arial" w:hAnsi="Arial"/>
          <w:sz w:val="18"/>
          <w:szCs w:val="18"/>
          <w:color w:val="auto"/>
        </w:rPr>
        <w:t>. The right of a Participant to receive any amount credited to the Participant’s Account shall not be transferable or assignable by the Participant, except by will or by the laws of descent and distribution. To the extent that any person acquires a right to receive any amount credited to a Participant’s Account hereunder, such right shall be no greater than that of an unsecured general creditor of the Corporation. Except as expressly provided herein, any person having an interest in any amount credited to a Participant’s Account under the Plan shall not be entitled to payment until the date the amount is due and payable. No person shall be entitled to anticipate any payment by assignment, pledge or transfer in any form or manner before actual or constructive receipt thereof.</w:t>
      </w:r>
    </w:p>
    <w:p>
      <w:pPr>
        <w:spacing w:after="0" w:line="229" w:lineRule="exact"/>
        <w:rPr>
          <w:rFonts w:ascii="Arial" w:cs="Arial" w:eastAsia="Arial" w:hAnsi="Arial"/>
          <w:sz w:val="18"/>
          <w:szCs w:val="18"/>
          <w:color w:val="auto"/>
        </w:rPr>
      </w:pPr>
    </w:p>
    <w:p>
      <w:pPr>
        <w:jc w:val="both"/>
        <w:ind w:left="968" w:hanging="320"/>
        <w:spacing w:after="0" w:line="236" w:lineRule="auto"/>
        <w:tabs>
          <w:tab w:leader="none" w:pos="956" w:val="left"/>
        </w:tabs>
        <w:numPr>
          <w:ilvl w:val="1"/>
          <w:numId w:val="98"/>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 The Plan is intended to comply with the applicable requirements of Section 409A of the Code and its corresponding regulations and related guidance with respect to Non-Grandfathered Contribution Amounts credited to the Participant’s Account, and shall be administered in accordance with Section 409A of the Code with respect to such Non-Grandfathered Contribution Amounts. Notwithstanding anything in the Plan to the contrary, elections to defer Non-Grandfathered Contribution Amounts under the Plan, and distributions of Non-Grandfathered Contribution Amounts, may only be made in a manner and upon an event permitted by Section 409A of the Code. To the extent that any provision of the Plan would cause a conflict with the requirements of Section 409A of the Code, or would cause the administration of the Plan to fail to satisfy the requirements of Section 409A of the Code, such provision shall be deemed null and void to the extent permitted by applicable law. Other than a valid Election, in no event shall a Participant, directly or indirectly, designate the Plan Year of payment with respect to Non-Grandfathered Accounts. For the avoidance of doubt, deferrals under the Plan are maintained on a Plan Year basis.</w:t>
      </w:r>
    </w:p>
    <w:p>
      <w:pPr>
        <w:spacing w:after="0" w:line="231" w:lineRule="exact"/>
        <w:rPr>
          <w:rFonts w:ascii="Arial" w:cs="Arial" w:eastAsia="Arial" w:hAnsi="Arial"/>
          <w:sz w:val="18"/>
          <w:szCs w:val="18"/>
          <w:color w:val="auto"/>
        </w:rPr>
      </w:pPr>
    </w:p>
    <w:p>
      <w:pPr>
        <w:jc w:val="both"/>
        <w:ind w:left="968" w:hanging="320"/>
        <w:spacing w:after="0" w:line="237" w:lineRule="auto"/>
        <w:tabs>
          <w:tab w:leader="none" w:pos="959" w:val="left"/>
        </w:tabs>
        <w:numPr>
          <w:ilvl w:val="1"/>
          <w:numId w:val="98"/>
        </w:numPr>
        <w:rPr>
          <w:rFonts w:ascii="Arial" w:cs="Arial" w:eastAsia="Arial" w:hAnsi="Arial"/>
          <w:sz w:val="18"/>
          <w:szCs w:val="18"/>
          <w:color w:val="auto"/>
        </w:rPr>
      </w:pPr>
      <w:r>
        <w:rPr>
          <w:rFonts w:ascii="Arial" w:cs="Arial" w:eastAsia="Arial" w:hAnsi="Arial"/>
          <w:sz w:val="18"/>
          <w:szCs w:val="18"/>
          <w:u w:val="single" w:color="auto"/>
          <w:color w:val="auto"/>
        </w:rPr>
        <w:t>Unsecured General Creditor</w:t>
      </w:r>
      <w:r>
        <w:rPr>
          <w:rFonts w:ascii="Arial" w:cs="Arial" w:eastAsia="Arial" w:hAnsi="Arial"/>
          <w:sz w:val="18"/>
          <w:szCs w:val="18"/>
          <w:color w:val="auto"/>
        </w:rPr>
        <w:t>. Neither the Corporation nor any of its subsidiaries shall be required to reserve or otherwise set aside funds, Common Stock or other assets for the payment of its obligations hereunder. However, the Corporation or any subsidiary may, in its sole discretion, establish funds for payment of its obligations hereunder. Any such funds shall remain assets of the Corporation or such subsidiary, as the case may be, and subject to the claims of its general creditors. Such funds, if any, shall not be deemed to be assets of the Plan. The Plan is intended to be unfunded for tax purposes and for purposes of Title I of ERISA.</w:t>
      </w:r>
    </w:p>
    <w:p>
      <w:pPr>
        <w:spacing w:after="0" w:line="231" w:lineRule="exact"/>
        <w:rPr>
          <w:rFonts w:ascii="Arial" w:cs="Arial" w:eastAsia="Arial" w:hAnsi="Arial"/>
          <w:sz w:val="18"/>
          <w:szCs w:val="18"/>
          <w:color w:val="auto"/>
        </w:rPr>
      </w:pPr>
    </w:p>
    <w:p>
      <w:pPr>
        <w:jc w:val="both"/>
        <w:ind w:left="968" w:hanging="320"/>
        <w:spacing w:after="0" w:line="237" w:lineRule="auto"/>
        <w:tabs>
          <w:tab w:leader="none" w:pos="956" w:val="left"/>
        </w:tabs>
        <w:numPr>
          <w:ilvl w:val="1"/>
          <w:numId w:val="98"/>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The Corporation shall withhold from any distribution made from Participant Deferred Contribution Amounts the amount necessary to satisfy applicable federal, state and local tax withholding requirements. With respect to distributions of Plan Employer Contribution Amounts, the delivery of the shares of Common Stock shall be delayed until the Participant makes arrangements, pursuant to procedures to be adopted by the Plan Administrator, to satisfy the applicable federal, state and local tax withholding requirements. Each Participant, however, shall be responsible for the payment of all individual tax liabilities relating to any such benefits.</w:t>
      </w:r>
    </w:p>
    <w:p>
      <w:pPr>
        <w:spacing w:after="0" w:line="231" w:lineRule="exact"/>
        <w:rPr>
          <w:rFonts w:ascii="Arial" w:cs="Arial" w:eastAsia="Arial" w:hAnsi="Arial"/>
          <w:sz w:val="18"/>
          <w:szCs w:val="18"/>
          <w:color w:val="auto"/>
        </w:rPr>
      </w:pPr>
    </w:p>
    <w:p>
      <w:pPr>
        <w:jc w:val="both"/>
        <w:ind w:left="968" w:hanging="320"/>
        <w:spacing w:after="0" w:line="238" w:lineRule="auto"/>
        <w:tabs>
          <w:tab w:leader="none" w:pos="956" w:val="left"/>
        </w:tabs>
        <w:numPr>
          <w:ilvl w:val="1"/>
          <w:numId w:val="98"/>
        </w:numPr>
        <w:rPr>
          <w:rFonts w:ascii="Arial" w:cs="Arial" w:eastAsia="Arial" w:hAnsi="Arial"/>
          <w:sz w:val="18"/>
          <w:szCs w:val="18"/>
          <w:color w:val="auto"/>
        </w:rPr>
      </w:pPr>
      <w:r>
        <w:rPr>
          <w:rFonts w:ascii="Arial" w:cs="Arial" w:eastAsia="Arial" w:hAnsi="Arial"/>
          <w:sz w:val="18"/>
          <w:szCs w:val="18"/>
          <w:u w:val="single" w:color="auto"/>
          <w:color w:val="auto"/>
        </w:rPr>
        <w:t>Offset</w:t>
      </w:r>
      <w:r>
        <w:rPr>
          <w:rFonts w:ascii="Arial" w:cs="Arial" w:eastAsia="Arial" w:hAnsi="Arial"/>
          <w:sz w:val="18"/>
          <w:szCs w:val="18"/>
          <w:color w:val="auto"/>
        </w:rPr>
        <w:t>. To the maximum extent permitted under Section 409A of the Code and its corresponding regulations, if a Participant becomes entitled to a distribution of benefits under the Plan, and if at such time the Participant has outstanding any debt, obligation, or other liability representing an amount owing to the Corporation or any participating affiliate, then the Corporation may offset such amount owed to the Corporation or the participating affiliate against the amount of benefits otherwise distributable. Such determination shall be made by the Plan Administrator.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08"/>
          </w:cols>
          <w:pgMar w:left="652" w:top="1435" w:right="339" w:bottom="1440" w:gutter="0" w:footer="0" w:header="0"/>
        </w:sectPr>
      </w:pPr>
    </w:p>
    <w:bookmarkStart w:id="156" w:name="page157"/>
    <w:bookmarkEnd w:id="156"/>
    <w:p>
      <w:pPr>
        <w:jc w:val="both"/>
        <w:ind w:left="320" w:hanging="320"/>
        <w:spacing w:after="0" w:line="237" w:lineRule="auto"/>
        <w:tabs>
          <w:tab w:leader="none" w:pos="312"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Termination and Amendment</w:t>
      </w:r>
      <w:r>
        <w:rPr>
          <w:rFonts w:ascii="Arial" w:cs="Arial" w:eastAsia="Arial" w:hAnsi="Arial"/>
          <w:sz w:val="18"/>
          <w:szCs w:val="18"/>
          <w:color w:val="auto"/>
        </w:rPr>
        <w:t>. The Corporation may at any time amend or terminate the Plan, subject to the requirements of Section 409A of the Code with respect to the Non-Grandfathered Amounts. Notwithstanding the foregoing, and unless such amendment is required by Section 409A of the Code, the Plan may not, without the consent of an affected Participant, be amended in any manner which would adversely affect such Participant’s rights and expectations with respect to deferral amounts credited to such Participant’s Account immediately before such amendment (including, but not limited to, any amendment which would adversely affect the rights or features applicable to, or any of the components that are taken into account in determining, the deferral amounts of any Participant hereunder).</w:t>
      </w:r>
    </w:p>
    <w:p>
      <w:pPr>
        <w:spacing w:after="0" w:line="229" w:lineRule="exact"/>
        <w:rPr>
          <w:rFonts w:ascii="Arial" w:cs="Arial" w:eastAsia="Arial" w:hAnsi="Arial"/>
          <w:sz w:val="18"/>
          <w:szCs w:val="18"/>
          <w:color w:val="auto"/>
        </w:rPr>
      </w:pPr>
    </w:p>
    <w:p>
      <w:pPr>
        <w:jc w:val="both"/>
        <w:ind w:left="320" w:right="20" w:hanging="320"/>
        <w:spacing w:after="0"/>
        <w:tabs>
          <w:tab w:leader="none" w:pos="308"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Benefit Statements</w:t>
      </w:r>
      <w:r>
        <w:rPr>
          <w:rFonts w:ascii="Arial" w:cs="Arial" w:eastAsia="Arial" w:hAnsi="Arial"/>
          <w:sz w:val="18"/>
          <w:szCs w:val="18"/>
          <w:color w:val="auto"/>
        </w:rPr>
        <w:t>. Each Participant shall receive periodic statements (not less frequently than annually) regarding the Participant’s Account. Each such statement shall indicate the amount of the balances credited to the Participant’s Account as of the end of the period covered by such statement.</w:t>
      </w:r>
    </w:p>
    <w:p>
      <w:pPr>
        <w:spacing w:after="0" w:line="229" w:lineRule="exact"/>
        <w:rPr>
          <w:rFonts w:ascii="Arial" w:cs="Arial" w:eastAsia="Arial" w:hAnsi="Arial"/>
          <w:sz w:val="18"/>
          <w:szCs w:val="18"/>
          <w:color w:val="auto"/>
        </w:rPr>
      </w:pPr>
    </w:p>
    <w:p>
      <w:pPr>
        <w:jc w:val="both"/>
        <w:ind w:left="320" w:hanging="320"/>
        <w:spacing w:after="0" w:line="238" w:lineRule="auto"/>
        <w:tabs>
          <w:tab w:leader="none" w:pos="308"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Legal Interpretation</w:t>
      </w:r>
      <w:r>
        <w:rPr>
          <w:rFonts w:ascii="Arial" w:cs="Arial" w:eastAsia="Arial" w:hAnsi="Arial"/>
          <w:sz w:val="18"/>
          <w:szCs w:val="18"/>
          <w:color w:val="auto"/>
        </w:rPr>
        <w:t>. This Plan and its provisions shall be construed in accordance with the laws of North Carolina to the extent such North Carolina law is not inconsistent with the provisions of ERISA. The text of this Plan shall, to the extent permitted by law, govern the determination of the rights and obligations created or referred to herein. Headings to the Sections, Paragraphs and Subparagraphs are for reference purposes only and do not limit or extend the meaning of any of the Plan’s provisions.</w:t>
      </w:r>
    </w:p>
    <w:p>
      <w:pPr>
        <w:spacing w:after="0" w:line="229" w:lineRule="exact"/>
        <w:rPr>
          <w:rFonts w:ascii="Arial" w:cs="Arial" w:eastAsia="Arial" w:hAnsi="Arial"/>
          <w:sz w:val="18"/>
          <w:szCs w:val="18"/>
          <w:color w:val="auto"/>
        </w:rPr>
      </w:pPr>
    </w:p>
    <w:p>
      <w:pPr>
        <w:jc w:val="both"/>
        <w:ind w:left="320" w:hanging="320"/>
        <w:spacing w:after="0"/>
        <w:tabs>
          <w:tab w:leader="none" w:pos="315"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Gender; Number</w:t>
      </w:r>
      <w:r>
        <w:rPr>
          <w:rFonts w:ascii="Arial" w:cs="Arial" w:eastAsia="Arial" w:hAnsi="Arial"/>
          <w:sz w:val="18"/>
          <w:szCs w:val="18"/>
          <w:color w:val="auto"/>
        </w:rPr>
        <w:t>. All pronouns and any variations thereof shall be deemed to refer to the masculine, feminine, or neuter, as the identity of the person or persons may require. As the context may require, the singular may read as the plural and the plural as the singular.</w:t>
      </w:r>
    </w:p>
    <w:p>
      <w:pPr>
        <w:spacing w:after="0" w:line="229" w:lineRule="exact"/>
        <w:rPr>
          <w:rFonts w:ascii="Arial" w:cs="Arial" w:eastAsia="Arial" w:hAnsi="Arial"/>
          <w:sz w:val="18"/>
          <w:szCs w:val="18"/>
          <w:color w:val="auto"/>
        </w:rPr>
      </w:pPr>
    </w:p>
    <w:p>
      <w:pPr>
        <w:jc w:val="both"/>
        <w:ind w:left="320" w:hanging="320"/>
        <w:spacing w:after="0" w:line="238" w:lineRule="auto"/>
        <w:tabs>
          <w:tab w:leader="none" w:pos="315"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Employment</w:t>
      </w:r>
      <w:r>
        <w:rPr>
          <w:rFonts w:ascii="Arial" w:cs="Arial" w:eastAsia="Arial" w:hAnsi="Arial"/>
          <w:sz w:val="18"/>
          <w:szCs w:val="18"/>
          <w:color w:val="auto"/>
        </w:rPr>
        <w:t>. The adoption and maintenance of this Plan shall not be deemed to constitute a contract between the Corporation or its subsidiaries and any employee or to be a consideration for or condition of employment of any person. No provision of the Plan shall be deemed to give any employee the right to continue in the employ of the Corporation or its subsidiaries or to interfere with the right of the Corporation or its subsidiaries to discharge any employee at any time without regard to the effect which such discharge might have upon the employee's participation in the Plan or benefits under it.</w:t>
      </w:r>
    </w:p>
    <w:p>
      <w:pPr>
        <w:spacing w:after="0" w:line="229" w:lineRule="exact"/>
        <w:rPr>
          <w:rFonts w:ascii="Arial" w:cs="Arial" w:eastAsia="Arial" w:hAnsi="Arial"/>
          <w:sz w:val="18"/>
          <w:szCs w:val="18"/>
          <w:color w:val="auto"/>
        </w:rPr>
      </w:pPr>
    </w:p>
    <w:p>
      <w:pPr>
        <w:ind w:left="320" w:right="20" w:hanging="320"/>
        <w:spacing w:after="0" w:line="246" w:lineRule="auto"/>
        <w:tabs>
          <w:tab w:leader="none" w:pos="311"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Fiduciary Capacities</w:t>
      </w:r>
      <w:r>
        <w:rPr>
          <w:rFonts w:ascii="Arial" w:cs="Arial" w:eastAsia="Arial" w:hAnsi="Arial"/>
          <w:sz w:val="18"/>
          <w:szCs w:val="18"/>
          <w:color w:val="auto"/>
        </w:rPr>
        <w:t>. Any person or group of persons may serve in more than one fiduciary capacity with respect to the Plan. For purposes of this Subparagraph 13(k), the term “fiduciary” shall have the same meaning as in ERISA.</w:t>
      </w:r>
    </w:p>
    <w:p>
      <w:pPr>
        <w:spacing w:after="0" w:line="223" w:lineRule="exact"/>
        <w:rPr>
          <w:rFonts w:ascii="Arial" w:cs="Arial" w:eastAsia="Arial" w:hAnsi="Arial"/>
          <w:sz w:val="18"/>
          <w:szCs w:val="18"/>
          <w:color w:val="auto"/>
        </w:rPr>
      </w:pPr>
    </w:p>
    <w:p>
      <w:pPr>
        <w:jc w:val="both"/>
        <w:ind w:left="320" w:hanging="320"/>
        <w:spacing w:after="0" w:line="238" w:lineRule="auto"/>
        <w:tabs>
          <w:tab w:leader="none" w:pos="315"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Participants Subject to Section 16</w:t>
      </w:r>
      <w:r>
        <w:rPr>
          <w:rFonts w:ascii="Arial" w:cs="Arial" w:eastAsia="Arial" w:hAnsi="Arial"/>
          <w:sz w:val="18"/>
          <w:szCs w:val="18"/>
          <w:color w:val="auto"/>
        </w:rPr>
        <w:t>. Notwithstanding anything herein to the contrary, if any request and subject to Section 409A of the Code, election or other action under the Plan affecting a Participant subject to Section 16 of the Securities Exchange Act of 1934 should require the approval of the Committee to exempt such request, election or other action from potential liability under Section 16, then the approval of the Committee shall be obtained in lieu of the approval of the Plan Administrator.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260"/>
          </w:cols>
          <w:pgMar w:left="1300" w:top="1435" w:right="339" w:bottom="1440" w:gutter="0" w:footer="0" w:header="0"/>
        </w:sectPr>
      </w:pPr>
    </w:p>
    <w:bookmarkStart w:id="157" w:name="page158"/>
    <w:bookmarkEnd w:id="157"/>
    <w:p>
      <w:pPr>
        <w:jc w:val="center"/>
        <w:ind w:right="-3"/>
        <w:spacing w:after="0"/>
        <w:rPr>
          <w:sz w:val="20"/>
          <w:szCs w:val="20"/>
          <w:color w:val="auto"/>
        </w:rPr>
      </w:pPr>
      <w:r>
        <w:rPr>
          <w:rFonts w:ascii="Arial" w:cs="Arial" w:eastAsia="Arial" w:hAnsi="Arial"/>
          <w:sz w:val="18"/>
          <w:szCs w:val="18"/>
          <w:b w:val="1"/>
          <w:bCs w:val="1"/>
          <w:u w:val="single" w:color="auto"/>
          <w:color w:val="auto"/>
        </w:rPr>
        <w:t>Exhibit A</w:t>
      </w:r>
    </w:p>
    <w:p>
      <w:pPr>
        <w:spacing w:after="0" w:line="13"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Provisions Relating to the Bacou-Dalloz USA, Inc.</w:t>
      </w:r>
    </w:p>
    <w:p>
      <w:pPr>
        <w:jc w:val="center"/>
        <w:ind w:right="-3"/>
        <w:spacing w:after="0"/>
        <w:rPr>
          <w:sz w:val="20"/>
          <w:szCs w:val="20"/>
          <w:color w:val="auto"/>
        </w:rPr>
      </w:pPr>
      <w:r>
        <w:rPr>
          <w:rFonts w:ascii="Arial" w:cs="Arial" w:eastAsia="Arial" w:hAnsi="Arial"/>
          <w:sz w:val="18"/>
          <w:szCs w:val="18"/>
          <w:b w:val="1"/>
          <w:bCs w:val="1"/>
          <w:color w:val="auto"/>
        </w:rPr>
        <w:t>Executive Deferred Compensation Plan</w:t>
      </w:r>
    </w:p>
    <w:p>
      <w:pPr>
        <w:spacing w:after="0" w:line="217" w:lineRule="exact"/>
        <w:rPr>
          <w:sz w:val="20"/>
          <w:szCs w:val="20"/>
          <w:color w:val="auto"/>
        </w:rPr>
      </w:pPr>
    </w:p>
    <w:p>
      <w:pPr>
        <w:jc w:val="both"/>
        <w:ind w:left="644" w:hanging="647"/>
        <w:spacing w:after="0" w:line="247" w:lineRule="auto"/>
        <w:tabs>
          <w:tab w:leader="none" w:pos="624" w:val="left"/>
        </w:tabs>
        <w:rPr>
          <w:sz w:val="20"/>
          <w:szCs w:val="20"/>
          <w:color w:val="auto"/>
        </w:rPr>
      </w:pPr>
      <w:r>
        <w:rPr>
          <w:rFonts w:ascii="Arial" w:cs="Arial" w:eastAsia="Arial" w:hAnsi="Arial"/>
          <w:sz w:val="18"/>
          <w:szCs w:val="18"/>
          <w:b w:val="1"/>
          <w:bCs w:val="1"/>
          <w:color w:val="auto"/>
        </w:rPr>
        <w:t>A-1.</w:t>
        <w:tab/>
        <w:t>History</w:t>
      </w:r>
      <w:r>
        <w:rPr>
          <w:rFonts w:ascii="Arial" w:cs="Arial" w:eastAsia="Arial" w:hAnsi="Arial"/>
          <w:sz w:val="18"/>
          <w:szCs w:val="18"/>
          <w:color w:val="auto"/>
        </w:rPr>
        <w:t>. The liabilities of the Bacou-Dalloz USA, Inc. Executive Deferred Compensation Plan (the “Sperian Plan”) were</w:t>
      </w:r>
      <w:r>
        <w:rPr>
          <w:rFonts w:ascii="Arial" w:cs="Arial" w:eastAsia="Arial" w:hAnsi="Arial"/>
          <w:sz w:val="18"/>
          <w:szCs w:val="18"/>
          <w:b w:val="1"/>
          <w:bCs w:val="1"/>
          <w:color w:val="auto"/>
        </w:rPr>
        <w:t xml:space="preserve"> </w:t>
      </w:r>
      <w:r>
        <w:rPr>
          <w:rFonts w:ascii="Arial" w:cs="Arial" w:eastAsia="Arial" w:hAnsi="Arial"/>
          <w:sz w:val="18"/>
          <w:szCs w:val="18"/>
          <w:color w:val="auto"/>
        </w:rPr>
        <w:t>merged with and into the Honeywell Excess Benefit Plan and Honeywell Supplemental Savings Plan effective January 1, 2021. A current or former employee with an undistributed account balance in the Sperian Plan is referred to herein as a “Sperian Plan Participant”.</w:t>
      </w:r>
    </w:p>
    <w:p>
      <w:pPr>
        <w:spacing w:after="0" w:line="201" w:lineRule="exact"/>
        <w:rPr>
          <w:sz w:val="20"/>
          <w:szCs w:val="20"/>
          <w:color w:val="auto"/>
        </w:rPr>
      </w:pPr>
    </w:p>
    <w:p>
      <w:pPr>
        <w:jc w:val="both"/>
        <w:ind w:left="544" w:hanging="647"/>
        <w:spacing w:after="0" w:line="271" w:lineRule="auto"/>
        <w:tabs>
          <w:tab w:leader="none" w:pos="524" w:val="left"/>
        </w:tabs>
        <w:rPr>
          <w:sz w:val="20"/>
          <w:szCs w:val="20"/>
          <w:color w:val="auto"/>
        </w:rPr>
      </w:pPr>
      <w:r>
        <w:rPr>
          <w:rFonts w:ascii="Arial" w:cs="Arial" w:eastAsia="Arial" w:hAnsi="Arial"/>
          <w:sz w:val="18"/>
          <w:szCs w:val="18"/>
          <w:b w:val="1"/>
          <w:bCs w:val="1"/>
          <w:color w:val="auto"/>
        </w:rPr>
        <w:t>A-2.</w:t>
        <w:tab/>
        <w:t xml:space="preserve">Participation and Contributions. </w:t>
      </w:r>
      <w:r>
        <w:rPr>
          <w:rFonts w:ascii="Arial" w:cs="Arial" w:eastAsia="Arial" w:hAnsi="Arial"/>
          <w:sz w:val="18"/>
          <w:szCs w:val="18"/>
          <w:color w:val="auto"/>
        </w:rPr>
        <w:t>No new participants are permitted to be admitted to the Sperian Plan. No new contributions</w:t>
      </w:r>
      <w:r>
        <w:rPr>
          <w:rFonts w:ascii="Arial" w:cs="Arial" w:eastAsia="Arial" w:hAnsi="Arial"/>
          <w:sz w:val="18"/>
          <w:szCs w:val="18"/>
          <w:b w:val="1"/>
          <w:bCs w:val="1"/>
          <w:color w:val="auto"/>
        </w:rPr>
        <w:t xml:space="preserve"> </w:t>
      </w:r>
      <w:r>
        <w:rPr>
          <w:rFonts w:ascii="Arial" w:cs="Arial" w:eastAsia="Arial" w:hAnsi="Arial"/>
          <w:sz w:val="18"/>
          <w:szCs w:val="18"/>
          <w:color w:val="auto"/>
        </w:rPr>
        <w:t>are permitted to be made to the Sperian Plan.</w:t>
      </w:r>
    </w:p>
    <w:p>
      <w:pPr>
        <w:spacing w:after="0" w:line="181" w:lineRule="exact"/>
        <w:rPr>
          <w:sz w:val="20"/>
          <w:szCs w:val="20"/>
          <w:color w:val="auto"/>
        </w:rPr>
      </w:pPr>
    </w:p>
    <w:p>
      <w:pPr>
        <w:jc w:val="both"/>
        <w:ind w:left="644" w:hanging="647"/>
        <w:spacing w:after="0" w:line="247" w:lineRule="auto"/>
        <w:tabs>
          <w:tab w:leader="none" w:pos="624" w:val="left"/>
        </w:tabs>
        <w:rPr>
          <w:sz w:val="20"/>
          <w:szCs w:val="20"/>
          <w:color w:val="auto"/>
        </w:rPr>
      </w:pPr>
      <w:r>
        <w:rPr>
          <w:rFonts w:ascii="Arial" w:cs="Arial" w:eastAsia="Arial" w:hAnsi="Arial"/>
          <w:sz w:val="18"/>
          <w:szCs w:val="18"/>
          <w:b w:val="1"/>
          <w:bCs w:val="1"/>
          <w:color w:val="auto"/>
        </w:rPr>
        <w:t>A-3.</w:t>
        <w:tab/>
        <w:t xml:space="preserve">Participant Accounts. </w:t>
      </w:r>
      <w:r>
        <w:rPr>
          <w:rFonts w:ascii="Arial" w:cs="Arial" w:eastAsia="Arial" w:hAnsi="Arial"/>
          <w:sz w:val="18"/>
          <w:szCs w:val="18"/>
          <w:color w:val="auto"/>
        </w:rPr>
        <w:t>The Corporation shall establish and maintain on its books and records an account with several</w:t>
      </w:r>
      <w:r>
        <w:rPr>
          <w:rFonts w:ascii="Arial" w:cs="Arial" w:eastAsia="Arial" w:hAnsi="Arial"/>
          <w:sz w:val="18"/>
          <w:szCs w:val="18"/>
          <w:b w:val="1"/>
          <w:bCs w:val="1"/>
          <w:color w:val="auto"/>
        </w:rPr>
        <w:t xml:space="preserve"> </w:t>
      </w:r>
      <w:r>
        <w:rPr>
          <w:rFonts w:ascii="Arial" w:cs="Arial" w:eastAsia="Arial" w:hAnsi="Arial"/>
          <w:sz w:val="18"/>
          <w:szCs w:val="18"/>
          <w:color w:val="auto"/>
        </w:rPr>
        <w:t>subaccounts in the name of the Sperian Plan Participant to record, as applicable: Base Salary Deferral Credits, Discretionary Company Matching Credits, Long-term Incentive Award Credits, credits or debits for earnings or losses, and payments of benefits to the Participant or the Participant’s beneficiary pursuant to this Exhibit A.</w:t>
      </w:r>
    </w:p>
    <w:p>
      <w:pPr>
        <w:spacing w:after="0" w:line="201" w:lineRule="exact"/>
        <w:rPr>
          <w:sz w:val="20"/>
          <w:szCs w:val="20"/>
          <w:color w:val="auto"/>
        </w:rPr>
      </w:pPr>
    </w:p>
    <w:p>
      <w:pPr>
        <w:jc w:val="both"/>
        <w:ind w:left="644" w:hanging="647"/>
        <w:spacing w:after="0" w:line="271" w:lineRule="auto"/>
        <w:tabs>
          <w:tab w:leader="none" w:pos="624" w:val="left"/>
        </w:tabs>
        <w:rPr>
          <w:sz w:val="20"/>
          <w:szCs w:val="20"/>
          <w:color w:val="auto"/>
        </w:rPr>
      </w:pPr>
      <w:r>
        <w:rPr>
          <w:rFonts w:ascii="Arial" w:cs="Arial" w:eastAsia="Arial" w:hAnsi="Arial"/>
          <w:sz w:val="18"/>
          <w:szCs w:val="18"/>
          <w:b w:val="1"/>
          <w:bCs w:val="1"/>
          <w:color w:val="auto"/>
        </w:rPr>
        <w:t>A-4.</w:t>
        <w:tab/>
        <w:t xml:space="preserve">Vesting of Accounts. </w:t>
      </w:r>
      <w:r>
        <w:rPr>
          <w:rFonts w:ascii="Arial" w:cs="Arial" w:eastAsia="Arial" w:hAnsi="Arial"/>
          <w:sz w:val="18"/>
          <w:szCs w:val="18"/>
          <w:color w:val="auto"/>
        </w:rPr>
        <w:t>From and after January 1, 2021, a Sperian Plan Participant shall be fully vested in the amounts</w:t>
      </w:r>
      <w:r>
        <w:rPr>
          <w:rFonts w:ascii="Arial" w:cs="Arial" w:eastAsia="Arial" w:hAnsi="Arial"/>
          <w:sz w:val="18"/>
          <w:szCs w:val="18"/>
          <w:b w:val="1"/>
          <w:bCs w:val="1"/>
          <w:color w:val="auto"/>
        </w:rPr>
        <w:t xml:space="preserve"> </w:t>
      </w:r>
      <w:r>
        <w:rPr>
          <w:rFonts w:ascii="Arial" w:cs="Arial" w:eastAsia="Arial" w:hAnsi="Arial"/>
          <w:sz w:val="18"/>
          <w:szCs w:val="18"/>
          <w:color w:val="auto"/>
        </w:rPr>
        <w:t>credited to his or her Sperian Plan account at all times.</w:t>
      </w:r>
    </w:p>
    <w:p>
      <w:pPr>
        <w:spacing w:after="0" w:line="181" w:lineRule="exact"/>
        <w:rPr>
          <w:sz w:val="20"/>
          <w:szCs w:val="20"/>
          <w:color w:val="auto"/>
        </w:rPr>
      </w:pPr>
    </w:p>
    <w:p>
      <w:pPr>
        <w:jc w:val="both"/>
        <w:ind w:left="604" w:hanging="647"/>
        <w:spacing w:after="0" w:line="244" w:lineRule="auto"/>
        <w:tabs>
          <w:tab w:leader="none" w:pos="584" w:val="left"/>
        </w:tabs>
        <w:rPr>
          <w:sz w:val="20"/>
          <w:szCs w:val="20"/>
          <w:color w:val="auto"/>
        </w:rPr>
      </w:pPr>
      <w:r>
        <w:rPr>
          <w:rFonts w:ascii="Arial" w:cs="Arial" w:eastAsia="Arial" w:hAnsi="Arial"/>
          <w:sz w:val="18"/>
          <w:szCs w:val="18"/>
          <w:b w:val="1"/>
          <w:bCs w:val="1"/>
          <w:color w:val="auto"/>
        </w:rPr>
        <w:t>A-5.</w:t>
        <w:tab/>
        <w:t xml:space="preserve">Distribution of Accounts. </w:t>
      </w:r>
      <w:r>
        <w:rPr>
          <w:rFonts w:ascii="Arial" w:cs="Arial" w:eastAsia="Arial" w:hAnsi="Arial"/>
          <w:sz w:val="18"/>
          <w:szCs w:val="18"/>
          <w:color w:val="auto"/>
        </w:rPr>
        <w:t>A Sperian Plan Participant shall receive his or her Sperian Plan account at the time and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form of distribution previously elected by such Participant at the time of each deferral. If a Sperian Plan Participant failed to provide a benefit distribution date as part of his or her deferral election, distribution shall be made as soon as administratively feasible following the date of separation from service with the Corporation. If a Sperian Plan Participant failed to provide a form of payment as part of his or her deferral election, distribution shall be made in a single lump sum payment.</w:t>
      </w:r>
    </w:p>
    <w:p>
      <w:pPr>
        <w:spacing w:after="0" w:line="203" w:lineRule="exact"/>
        <w:rPr>
          <w:sz w:val="20"/>
          <w:szCs w:val="20"/>
          <w:color w:val="auto"/>
        </w:rPr>
      </w:pPr>
    </w:p>
    <w:p>
      <w:pPr>
        <w:jc w:val="both"/>
        <w:ind w:left="644" w:hanging="647"/>
        <w:spacing w:after="0" w:line="247" w:lineRule="auto"/>
        <w:tabs>
          <w:tab w:leader="none" w:pos="624" w:val="left"/>
        </w:tabs>
        <w:rPr>
          <w:sz w:val="20"/>
          <w:szCs w:val="20"/>
          <w:color w:val="auto"/>
        </w:rPr>
      </w:pPr>
      <w:r>
        <w:rPr>
          <w:rFonts w:ascii="Arial" w:cs="Arial" w:eastAsia="Arial" w:hAnsi="Arial"/>
          <w:sz w:val="18"/>
          <w:szCs w:val="18"/>
          <w:b w:val="1"/>
          <w:bCs w:val="1"/>
          <w:color w:val="auto"/>
        </w:rPr>
        <w:t>A-6.</w:t>
        <w:tab/>
        <w:t xml:space="preserve">Payment for Unforeseen Emergency. </w:t>
      </w:r>
      <w:r>
        <w:rPr>
          <w:rFonts w:ascii="Arial" w:cs="Arial" w:eastAsia="Arial" w:hAnsi="Arial"/>
          <w:sz w:val="18"/>
          <w:szCs w:val="18"/>
          <w:color w:val="auto"/>
        </w:rPr>
        <w:t>A Sperian Plan Participant who incurs severe financial hardship as defined in</w:t>
      </w:r>
      <w:r>
        <w:rPr>
          <w:rFonts w:ascii="Arial" w:cs="Arial" w:eastAsia="Arial" w:hAnsi="Arial"/>
          <w:sz w:val="18"/>
          <w:szCs w:val="18"/>
          <w:b w:val="1"/>
          <w:bCs w:val="1"/>
          <w:color w:val="auto"/>
        </w:rPr>
        <w:t xml:space="preserve"> </w:t>
      </w:r>
      <w:r>
        <w:rPr>
          <w:rFonts w:ascii="Arial" w:cs="Arial" w:eastAsia="Arial" w:hAnsi="Arial"/>
          <w:sz w:val="18"/>
          <w:szCs w:val="18"/>
          <w:color w:val="auto"/>
        </w:rPr>
        <w:t>subsection (a) and does not have other available resources as described in subsection (b), may apply to the Plan Administrator for an immediate distribution from his or her Sperian Plan account in an amount necessary to satisfy such financial hardship and the tax liability attributable to such distribution.</w:t>
      </w:r>
    </w:p>
    <w:p>
      <w:pPr>
        <w:spacing w:after="0" w:line="223" w:lineRule="exact"/>
        <w:rPr>
          <w:sz w:val="20"/>
          <w:szCs w:val="20"/>
          <w:color w:val="auto"/>
        </w:rPr>
      </w:pPr>
    </w:p>
    <w:p>
      <w:pPr>
        <w:ind w:left="644" w:hanging="644"/>
        <w:spacing w:after="0" w:line="238" w:lineRule="auto"/>
        <w:tabs>
          <w:tab w:leader="none" w:pos="40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 Sperian Plan Participant incurs a severe financial hardship as a result of the following: (1) a sudden and unexpected illness or accident involving the Participant or his or her spouse or any dependent (as determined pursuant to Section 152(a) of the Code), (2) a casualty loss involving the Participant’s property, or (3) other similar extraordinary and unforeseeable event beyond the Participant’s control.</w:t>
      </w:r>
    </w:p>
    <w:p>
      <w:pPr>
        <w:spacing w:after="0" w:line="231" w:lineRule="exact"/>
        <w:rPr>
          <w:rFonts w:ascii="Arial" w:cs="Arial" w:eastAsia="Arial" w:hAnsi="Arial"/>
          <w:sz w:val="18"/>
          <w:szCs w:val="18"/>
          <w:color w:val="auto"/>
        </w:rPr>
      </w:pPr>
    </w:p>
    <w:p>
      <w:pPr>
        <w:ind w:left="644" w:hanging="644"/>
        <w:spacing w:after="0"/>
        <w:tabs>
          <w:tab w:leader="none" w:pos="439"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Such Participant does not have any other resources available, whether through reimbursement or compensation (by insurance or otherwise), liquidation of existing assets (to the extent such liquidation would not itself result in financial hardship), or cessation of deferral elections, to satisfy such financial emergency.</w:t>
      </w:r>
    </w:p>
    <w:p>
      <w:pPr>
        <w:spacing w:after="0" w:line="229" w:lineRule="exact"/>
        <w:rPr>
          <w:rFonts w:ascii="Arial" w:cs="Arial" w:eastAsia="Arial" w:hAnsi="Arial"/>
          <w:sz w:val="18"/>
          <w:szCs w:val="18"/>
          <w:color w:val="auto"/>
        </w:rPr>
      </w:pPr>
    </w:p>
    <w:p>
      <w:pPr>
        <w:ind w:left="644" w:hanging="644"/>
        <w:spacing w:after="0"/>
        <w:tabs>
          <w:tab w:leader="none" w:pos="447"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determination of whether a Sperian Plan Participant has incurred a severe financial hardship entitling the Participant to a payment under this section shall be made by the Plan Administrator on a uniform and non-discriminatory basis and shall be based on appropriate documentation or other evidence required by the Plan Administrator.</w:t>
      </w:r>
    </w:p>
    <w:p>
      <w:pPr>
        <w:spacing w:after="0" w:line="229" w:lineRule="exact"/>
        <w:rPr>
          <w:rFonts w:ascii="Arial" w:cs="Arial" w:eastAsia="Arial" w:hAnsi="Arial"/>
          <w:sz w:val="18"/>
          <w:szCs w:val="18"/>
          <w:color w:val="auto"/>
        </w:rPr>
      </w:pPr>
    </w:p>
    <w:p>
      <w:pPr>
        <w:ind w:left="644" w:hanging="644"/>
        <w:spacing w:after="0" w:line="246" w:lineRule="auto"/>
        <w:tabs>
          <w:tab w:leader="none" w:pos="451"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 the event of the occurrence of an “Unforeseen Emergency,” any deferral elections on behalf of the Sperian Plan Participant for the remainder of the Plan Year may be suspended, pending determination of the Plan Administrator.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864"/>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584"/>
          </w:cols>
          <w:pgMar w:left="976" w:top="1413" w:right="339" w:bottom="1440" w:gutter="0" w:footer="0" w:header="0"/>
        </w:sectPr>
      </w:pPr>
    </w:p>
    <w:bookmarkStart w:id="158" w:name="page159"/>
    <w:bookmarkEnd w:id="158"/>
    <w:p>
      <w:pPr>
        <w:spacing w:after="0" w:line="238" w:lineRule="exact"/>
        <w:rPr>
          <w:sz w:val="20"/>
          <w:szCs w:val="20"/>
          <w:color w:val="auto"/>
        </w:rPr>
      </w:pPr>
    </w:p>
    <w:p>
      <w:pPr>
        <w:ind w:left="424" w:hanging="424"/>
        <w:spacing w:after="0"/>
        <w:tabs>
          <w:tab w:leader="none" w:pos="424"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This Section A-6 shall be subject to the requirements of Code Section 409A to the extent applicable.</w:t>
      </w:r>
    </w:p>
    <w:p>
      <w:pPr>
        <w:spacing w:after="0" w:line="217"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A-7.</w:t>
      </w:r>
      <w:r>
        <w:rPr>
          <w:sz w:val="20"/>
          <w:szCs w:val="20"/>
          <w:color w:val="auto"/>
        </w:rPr>
        <w:tab/>
      </w:r>
      <w:r>
        <w:rPr>
          <w:rFonts w:ascii="Arial" w:cs="Arial" w:eastAsia="Arial" w:hAnsi="Arial"/>
          <w:sz w:val="17"/>
          <w:szCs w:val="17"/>
          <w:b w:val="1"/>
          <w:bCs w:val="1"/>
          <w:color w:val="auto"/>
        </w:rPr>
        <w:t>Payment of Death Benefits.</w:t>
      </w:r>
    </w:p>
    <w:p>
      <w:pPr>
        <w:spacing w:after="0" w:line="261" w:lineRule="exact"/>
        <w:rPr>
          <w:sz w:val="20"/>
          <w:szCs w:val="20"/>
          <w:color w:val="auto"/>
        </w:rPr>
      </w:pPr>
    </w:p>
    <w:p>
      <w:pPr>
        <w:ind w:left="644" w:hanging="644"/>
        <w:spacing w:after="0" w:line="238" w:lineRule="auto"/>
        <w:tabs>
          <w:tab w:leader="none" w:pos="483"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Each Sperian Plan Participant shall designate a beneficiary on the proper beneficiary designation form as prescribed by the Plan Administrator to receive his or her Sperian Plan accounts under this Exhibit A in the event of death. If a Participant dies with a balance credited to his or her Sperian Plan accounts under this Exhibit A, such balance shall be paid to the applicable beneficiary or beneficiaries in a single lump sum.</w:t>
      </w:r>
    </w:p>
    <w:p>
      <w:pPr>
        <w:spacing w:after="0" w:line="231" w:lineRule="exact"/>
        <w:rPr>
          <w:rFonts w:ascii="Arial" w:cs="Arial" w:eastAsia="Arial" w:hAnsi="Arial"/>
          <w:sz w:val="18"/>
          <w:szCs w:val="18"/>
          <w:color w:val="auto"/>
        </w:rPr>
      </w:pPr>
    </w:p>
    <w:p>
      <w:pPr>
        <w:ind w:left="644" w:hanging="644"/>
        <w:spacing w:after="0" w:line="246" w:lineRule="auto"/>
        <w:tabs>
          <w:tab w:leader="none" w:pos="431"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Any distribution pursuant to this Section A-7 will occur following the date of death and receipt by the Corporation of acceptable proof of the Sperian Plan Participant’s death and approval by the Plan Administrator.</w:t>
      </w:r>
    </w:p>
    <w:p>
      <w:pPr>
        <w:spacing w:after="0" w:line="223" w:lineRule="exact"/>
        <w:rPr>
          <w:rFonts w:ascii="Arial" w:cs="Arial" w:eastAsia="Arial" w:hAnsi="Arial"/>
          <w:sz w:val="18"/>
          <w:szCs w:val="18"/>
          <w:color w:val="auto"/>
        </w:rPr>
      </w:pPr>
    </w:p>
    <w:p>
      <w:pPr>
        <w:ind w:left="644" w:hanging="644"/>
        <w:spacing w:after="0" w:line="238" w:lineRule="auto"/>
        <w:tabs>
          <w:tab w:leader="none" w:pos="434" w:val="left"/>
        </w:tabs>
        <w:numPr>
          <w:ilvl w:val="0"/>
          <w:numId w:val="102"/>
        </w:numPr>
        <w:rPr>
          <w:rFonts w:ascii="Arial" w:cs="Arial" w:eastAsia="Arial" w:hAnsi="Arial"/>
          <w:sz w:val="18"/>
          <w:szCs w:val="18"/>
          <w:color w:val="auto"/>
        </w:rPr>
      </w:pPr>
      <w:r>
        <w:rPr>
          <w:rFonts w:ascii="Arial" w:cs="Arial" w:eastAsia="Arial" w:hAnsi="Arial"/>
          <w:sz w:val="18"/>
          <w:szCs w:val="18"/>
          <w:color w:val="auto"/>
        </w:rPr>
        <w:t>Notwithstanding the above, if no beneficiary designation is on file with the Corporation at the time of death of the Sperian Plan Participant or such designation is not effective for any reason, then the designated beneficiary to receive such benefits shall be as follows: (1) the Sperian Plan Participant’s surviving spouse; or (2) if there is no surviving spouse, then the Sperian Plan Participant’s estate.</w:t>
      </w:r>
    </w:p>
    <w:p>
      <w:pPr>
        <w:spacing w:after="0" w:line="231" w:lineRule="exact"/>
        <w:rPr>
          <w:rFonts w:ascii="Arial" w:cs="Arial" w:eastAsia="Arial" w:hAnsi="Arial"/>
          <w:sz w:val="18"/>
          <w:szCs w:val="18"/>
          <w:color w:val="auto"/>
        </w:rPr>
      </w:pPr>
    </w:p>
    <w:p>
      <w:pPr>
        <w:ind w:left="644" w:hanging="644"/>
        <w:spacing w:after="0"/>
        <w:tabs>
          <w:tab w:leader="none" w:pos="449"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All decisions made by the Plan Administrator in good faith and based upon affidavit or other evidence satisfactory to the Plan Administrator regarding questions of fact in the determination of the identity of such beneficiary(ies) shall be conclusive and binding upon all parties, and payment made in accordance therewith shall satisfy all liability thereunder.</w:t>
      </w:r>
    </w:p>
    <w:p>
      <w:pPr>
        <w:spacing w:after="0" w:line="208" w:lineRule="exact"/>
        <w:rPr>
          <w:sz w:val="20"/>
          <w:szCs w:val="20"/>
          <w:color w:val="auto"/>
        </w:rPr>
      </w:pPr>
    </w:p>
    <w:p>
      <w:pPr>
        <w:jc w:val="both"/>
        <w:ind w:left="624" w:hanging="647"/>
        <w:spacing w:after="0" w:line="244" w:lineRule="auto"/>
        <w:tabs>
          <w:tab w:leader="none" w:pos="604" w:val="left"/>
        </w:tabs>
        <w:rPr>
          <w:sz w:val="20"/>
          <w:szCs w:val="20"/>
          <w:color w:val="auto"/>
        </w:rPr>
      </w:pPr>
      <w:r>
        <w:rPr>
          <w:rFonts w:ascii="Arial" w:cs="Arial" w:eastAsia="Arial" w:hAnsi="Arial"/>
          <w:sz w:val="18"/>
          <w:szCs w:val="18"/>
          <w:b w:val="1"/>
          <w:bCs w:val="1"/>
          <w:color w:val="auto"/>
        </w:rPr>
        <w:t>A-8.</w:t>
        <w:tab/>
        <w:t xml:space="preserve">Repayment of Indebtedness. </w:t>
      </w:r>
      <w:r>
        <w:rPr>
          <w:rFonts w:ascii="Arial" w:cs="Arial" w:eastAsia="Arial" w:hAnsi="Arial"/>
          <w:sz w:val="18"/>
          <w:szCs w:val="18"/>
          <w:color w:val="auto"/>
        </w:rPr>
        <w:t>Notwithstanding Section 13(a) of the Plan, if a Sperian Plan Participant is indebted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at any time when payments are to be made by the Corporation to the Participant under the provisions of this Exhibit A, the Corporation shall have the right to reduce the amount of payment to be made to the Participant (or the Participant’s beneficiary) to the extent of such indebtedness. Any election by the Corporation not to reduce such payment shall not constitute a waiver of its claim for such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864"/>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584"/>
          </w:cols>
          <w:pgMar w:left="976" w:top="1440" w:right="339" w:bottom="1440" w:gutter="0" w:footer="0" w:header="0"/>
        </w:sectPr>
      </w:pPr>
    </w:p>
    <w:bookmarkStart w:id="159" w:name="page160"/>
    <w:bookmarkEnd w:id="159"/>
    <w:p>
      <w:pPr>
        <w:jc w:val="right"/>
        <w:spacing w:after="0"/>
        <w:rPr>
          <w:sz w:val="20"/>
          <w:szCs w:val="20"/>
          <w:color w:val="auto"/>
        </w:rPr>
      </w:pPr>
      <w:r>
        <w:rPr>
          <w:rFonts w:ascii="Arial" w:cs="Arial" w:eastAsia="Arial" w:hAnsi="Arial"/>
          <w:sz w:val="18"/>
          <w:szCs w:val="18"/>
          <w:b w:val="1"/>
          <w:bCs w:val="1"/>
          <w:color w:val="auto"/>
        </w:rPr>
        <w:t>EXHIBIT 10.7</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HONEYWELL DEFERRED INCENTIVE COMPENSATION PLAN</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effective January 1, 2021)</w:t>
      </w:r>
    </w:p>
    <w:p>
      <w:pPr>
        <w:spacing w:after="0" w:line="239" w:lineRule="exact"/>
        <w:rPr>
          <w:sz w:val="20"/>
          <w:szCs w:val="20"/>
          <w:color w:val="auto"/>
        </w:rPr>
      </w:pPr>
    </w:p>
    <w:p>
      <w:pPr>
        <w:jc w:val="both"/>
        <w:ind w:left="660" w:hanging="652"/>
        <w:spacing w:after="0" w:line="237" w:lineRule="auto"/>
        <w:tabs>
          <w:tab w:leader="none" w:pos="648"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History</w:t>
      </w:r>
      <w:r>
        <w:rPr>
          <w:rFonts w:ascii="Arial" w:cs="Arial" w:eastAsia="Arial" w:hAnsi="Arial"/>
          <w:sz w:val="18"/>
          <w:szCs w:val="18"/>
          <w:color w:val="auto"/>
        </w:rPr>
        <w:t>. Honeywell International Inc. (the “</w:t>
      </w:r>
      <w:r>
        <w:rPr>
          <w:rFonts w:ascii="Arial" w:cs="Arial" w:eastAsia="Arial" w:hAnsi="Arial"/>
          <w:sz w:val="18"/>
          <w:szCs w:val="18"/>
          <w:u w:val="single" w:color="auto"/>
          <w:color w:val="auto"/>
        </w:rPr>
        <w:t>Corporation</w:t>
      </w:r>
      <w:r>
        <w:rPr>
          <w:rFonts w:ascii="Arial" w:cs="Arial" w:eastAsia="Arial" w:hAnsi="Arial"/>
          <w:sz w:val="18"/>
          <w:szCs w:val="18"/>
          <w:color w:val="auto"/>
        </w:rPr>
        <w:t>”) previously established this supplemental non-qualified Honeywell Deferred Incentive Compensation Plan (formerly the Salary and Incentive Award Deferral Plan for Selected Employees of Honeywell International Inc. and its Affiliates) (the “</w:t>
      </w:r>
      <w:r>
        <w:rPr>
          <w:rFonts w:ascii="Arial" w:cs="Arial" w:eastAsia="Arial" w:hAnsi="Arial"/>
          <w:sz w:val="18"/>
          <w:szCs w:val="18"/>
          <w:u w:val="single" w:color="auto"/>
          <w:color w:val="auto"/>
        </w:rPr>
        <w:t>Plan</w:t>
      </w:r>
      <w:r>
        <w:rPr>
          <w:rFonts w:ascii="Arial" w:cs="Arial" w:eastAsia="Arial" w:hAnsi="Arial"/>
          <w:sz w:val="18"/>
          <w:szCs w:val="18"/>
          <w:color w:val="auto"/>
        </w:rPr>
        <w:t>”) and has amended the Plan several times since its initial effective date, including an amendment and restatement effective January 1, 2009 to comply with the requirements of Section 409A of the Internal Revenue Code of 1986, as amended (the “</w:t>
      </w:r>
      <w:r>
        <w:rPr>
          <w:rFonts w:ascii="Arial" w:cs="Arial" w:eastAsia="Arial" w:hAnsi="Arial"/>
          <w:sz w:val="18"/>
          <w:szCs w:val="18"/>
          <w:u w:val="single" w:color="auto"/>
          <w:color w:val="auto"/>
        </w:rPr>
        <w:t>Code</w:t>
      </w:r>
      <w:r>
        <w:rPr>
          <w:rFonts w:ascii="Arial" w:cs="Arial" w:eastAsia="Arial" w:hAnsi="Arial"/>
          <w:sz w:val="18"/>
          <w:szCs w:val="18"/>
          <w:color w:val="auto"/>
        </w:rPr>
        <w:t>”) and corresponding rules and regulations under Section 409A of the Code. The Plan was amended and restated, effective as of April 1, 2018, to implement changes required or desired to reflect a change in the Plan record keeper. The Plan was last amended and restated, effective as of January 1, 2020.</w:t>
      </w:r>
    </w:p>
    <w:p>
      <w:pPr>
        <w:spacing w:after="0" w:line="229" w:lineRule="exact"/>
        <w:rPr>
          <w:rFonts w:ascii="Arial" w:cs="Arial" w:eastAsia="Arial" w:hAnsi="Arial"/>
          <w:sz w:val="18"/>
          <w:szCs w:val="18"/>
          <w:color w:val="auto"/>
        </w:rPr>
      </w:pPr>
    </w:p>
    <w:p>
      <w:pPr>
        <w:jc w:val="both"/>
        <w:ind w:left="660"/>
        <w:spacing w:after="0" w:line="238" w:lineRule="auto"/>
        <w:rPr>
          <w:rFonts w:ascii="Arial" w:cs="Arial" w:eastAsia="Arial" w:hAnsi="Arial"/>
          <w:sz w:val="18"/>
          <w:szCs w:val="18"/>
          <w:color w:val="auto"/>
        </w:rPr>
      </w:pPr>
      <w:r>
        <w:rPr>
          <w:rFonts w:ascii="Arial" w:cs="Arial" w:eastAsia="Arial" w:hAnsi="Arial"/>
          <w:sz w:val="18"/>
          <w:szCs w:val="18"/>
          <w:color w:val="auto"/>
        </w:rPr>
        <w:t>This Plan document covers any Participant (as defined below) who was entitled to receive a benefit from the Plan as of December 31, 2020, but who did not receive full payment of such benefit under the Plan as of such date, as well as any individual who becomes a Participant in the Plan on or after January 1, 2021. Plan benefit payments commencing before January 1, 2021 are governed by the terms of the Plan as they existed prior to this amendment and restatement and are either grandfathered from the requirements of Section 409A of the Code or payable pursuant to a fixed schedule as required by, and in compliance with, Section 409A of the Code.</w:t>
      </w:r>
    </w:p>
    <w:p>
      <w:pPr>
        <w:spacing w:after="0" w:line="229" w:lineRule="exact"/>
        <w:rPr>
          <w:rFonts w:ascii="Arial" w:cs="Arial" w:eastAsia="Arial" w:hAnsi="Arial"/>
          <w:sz w:val="18"/>
          <w:szCs w:val="18"/>
          <w:color w:val="auto"/>
        </w:rPr>
      </w:pPr>
    </w:p>
    <w:p>
      <w:pPr>
        <w:jc w:val="both"/>
        <w:ind w:left="660" w:hanging="652"/>
        <w:spacing w:after="0" w:line="236" w:lineRule="auto"/>
        <w:tabs>
          <w:tab w:leader="none" w:pos="648"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 Any employee of the Corporation and its participating affiliates who is designated by the Corporation as an Executive level employee during the designated election period (the “</w:t>
      </w:r>
      <w:r>
        <w:rPr>
          <w:rFonts w:ascii="Arial" w:cs="Arial" w:eastAsia="Arial" w:hAnsi="Arial"/>
          <w:sz w:val="18"/>
          <w:szCs w:val="18"/>
          <w:u w:val="single" w:color="auto"/>
          <w:color w:val="auto"/>
        </w:rPr>
        <w:t>Open Enrollment Period</w:t>
      </w:r>
      <w:r>
        <w:rPr>
          <w:rFonts w:ascii="Arial" w:cs="Arial" w:eastAsia="Arial" w:hAnsi="Arial"/>
          <w:sz w:val="18"/>
          <w:szCs w:val="18"/>
          <w:color w:val="auto"/>
        </w:rPr>
        <w:t>”) for the applicable Plan Year (as defined below) shall be eligible (an “</w:t>
      </w:r>
      <w:r>
        <w:rPr>
          <w:rFonts w:ascii="Arial" w:cs="Arial" w:eastAsia="Arial" w:hAnsi="Arial"/>
          <w:sz w:val="18"/>
          <w:szCs w:val="18"/>
          <w:u w:val="single" w:color="auto"/>
          <w:color w:val="auto"/>
        </w:rPr>
        <w:t>Eligible Employee</w:t>
      </w:r>
      <w:r>
        <w:rPr>
          <w:rFonts w:ascii="Arial" w:cs="Arial" w:eastAsia="Arial" w:hAnsi="Arial"/>
          <w:sz w:val="18"/>
          <w:szCs w:val="18"/>
          <w:color w:val="auto"/>
        </w:rPr>
        <w:t>”) to participate in the Plan and, subject to Paragraph 3(b), elect deferrals of compensation (as described in Paragraph 4 below) for such Plan Year effective as of the January 1 of the Plan Year that follows the Open Enrollment Period. The Plan Administrator (or its designee) shall designate the period prior to the applicable Plan Year that shall constitute the Open Enrollment Period, in its sole discretion; provided, however, in no event shall such Open Enrollment Period end later than the December 31 that precedes the Plan Year for which the election to participate in the Plan applies. For purposes of this Plan, the “</w:t>
      </w:r>
      <w:r>
        <w:rPr>
          <w:rFonts w:ascii="Arial" w:cs="Arial" w:eastAsia="Arial" w:hAnsi="Arial"/>
          <w:sz w:val="18"/>
          <w:szCs w:val="18"/>
          <w:u w:val="single" w:color="auto"/>
          <w:color w:val="auto"/>
        </w:rPr>
        <w:t>Plan Year</w:t>
      </w:r>
      <w:r>
        <w:rPr>
          <w:rFonts w:ascii="Arial" w:cs="Arial" w:eastAsia="Arial" w:hAnsi="Arial"/>
          <w:sz w:val="18"/>
          <w:szCs w:val="18"/>
          <w:color w:val="auto"/>
        </w:rPr>
        <w:t>” shall mean the calendar year.</w:t>
      </w:r>
    </w:p>
    <w:p>
      <w:pPr>
        <w:spacing w:after="0" w:line="234" w:lineRule="exact"/>
        <w:rPr>
          <w:rFonts w:ascii="Arial" w:cs="Arial" w:eastAsia="Arial" w:hAnsi="Arial"/>
          <w:sz w:val="18"/>
          <w:szCs w:val="18"/>
          <w:color w:val="auto"/>
        </w:rPr>
      </w:pPr>
    </w:p>
    <w:p>
      <w:pPr>
        <w:ind w:left="640" w:hanging="632"/>
        <w:spacing w:after="0"/>
        <w:tabs>
          <w:tab w:leader="none" w:pos="64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Participation</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1300" w:hanging="644"/>
        <w:spacing w:after="0" w:line="236" w:lineRule="auto"/>
        <w:tabs>
          <w:tab w:leader="none" w:pos="1234" w:val="left"/>
        </w:tabs>
        <w:numPr>
          <w:ilvl w:val="1"/>
          <w:numId w:val="103"/>
        </w:numPr>
        <w:rPr>
          <w:rFonts w:ascii="Arial" w:cs="Arial" w:eastAsia="Arial" w:hAnsi="Arial"/>
          <w:sz w:val="18"/>
          <w:szCs w:val="18"/>
          <w:color w:val="auto"/>
        </w:rPr>
      </w:pPr>
      <w:r>
        <w:rPr>
          <w:rFonts w:ascii="Arial" w:cs="Arial" w:eastAsia="Arial" w:hAnsi="Arial"/>
          <w:sz w:val="18"/>
          <w:szCs w:val="18"/>
          <w:color w:val="auto"/>
        </w:rPr>
        <w:t>Subject to Paragraph 3(b), each Eligible Employee who wishes to participate in the Plan for a particular Plan Year (a “</w:t>
      </w:r>
      <w:r>
        <w:rPr>
          <w:rFonts w:ascii="Arial" w:cs="Arial" w:eastAsia="Arial" w:hAnsi="Arial"/>
          <w:sz w:val="18"/>
          <w:szCs w:val="18"/>
          <w:u w:val="single" w:color="auto"/>
          <w:color w:val="auto"/>
        </w:rPr>
        <w:t>Participant</w:t>
      </w:r>
      <w:r>
        <w:rPr>
          <w:rFonts w:ascii="Arial" w:cs="Arial" w:eastAsia="Arial" w:hAnsi="Arial"/>
          <w:sz w:val="18"/>
          <w:szCs w:val="18"/>
          <w:color w:val="auto"/>
        </w:rPr>
        <w:t>”) must file a deferral election (the “</w:t>
      </w:r>
      <w:r>
        <w:rPr>
          <w:rFonts w:ascii="Arial" w:cs="Arial" w:eastAsia="Arial" w:hAnsi="Arial"/>
          <w:sz w:val="18"/>
          <w:szCs w:val="18"/>
          <w:u w:val="single" w:color="auto"/>
          <w:color w:val="auto"/>
        </w:rPr>
        <w:t>Election</w:t>
      </w:r>
      <w:r>
        <w:rPr>
          <w:rFonts w:ascii="Arial" w:cs="Arial" w:eastAsia="Arial" w:hAnsi="Arial"/>
          <w:sz w:val="18"/>
          <w:szCs w:val="18"/>
          <w:color w:val="auto"/>
        </w:rPr>
        <w:t>”) with the Plan Administrator during the Open Enrollment Period in the form and manner determined by the Plan Administrator, which election shall designate the portion of the compensation elements (as described in Paragraph 4 below) to be deferred for such Plan Year and the form in which such deferral amounts, and interest thereon, shall be distributed (as described in Paragraph 8 below). The compensation elements deferred for a particular Plan Year shall be credited to an unfunded deferred compensation account maintained for the Participant under the Plan (the “</w:t>
      </w:r>
      <w:r>
        <w:rPr>
          <w:rFonts w:ascii="Arial" w:cs="Arial" w:eastAsia="Arial" w:hAnsi="Arial"/>
          <w:sz w:val="18"/>
          <w:szCs w:val="18"/>
          <w:u w:val="single" w:color="auto"/>
          <w:color w:val="auto"/>
        </w:rPr>
        <w:t>Participant Account</w:t>
      </w:r>
      <w:r>
        <w:rPr>
          <w:rFonts w:ascii="Arial" w:cs="Arial" w:eastAsia="Arial" w:hAnsi="Arial"/>
          <w:sz w:val="18"/>
          <w:szCs w:val="18"/>
          <w:color w:val="auto"/>
        </w:rPr>
        <w:t>” or “</w:t>
      </w:r>
      <w:r>
        <w:rPr>
          <w:rFonts w:ascii="Arial" w:cs="Arial" w:eastAsia="Arial" w:hAnsi="Arial"/>
          <w:sz w:val="18"/>
          <w:szCs w:val="18"/>
          <w:u w:val="single" w:color="auto"/>
          <w:color w:val="auto"/>
        </w:rPr>
        <w:t>Account</w:t>
      </w:r>
      <w:r>
        <w:rPr>
          <w:rFonts w:ascii="Arial" w:cs="Arial" w:eastAsia="Arial" w:hAnsi="Arial"/>
          <w:sz w:val="18"/>
          <w:szCs w:val="18"/>
          <w:color w:val="auto"/>
        </w:rPr>
        <w:t>”). Except as otherwise may be permitted by Section 409A of the Code and the Plan Administrator, a Participant may not modify his or her deferral election for a Plan Year at any time during the Plan Year.</w:t>
      </w:r>
    </w:p>
    <w:p>
      <w:pPr>
        <w:spacing w:after="0" w:line="233" w:lineRule="exact"/>
        <w:rPr>
          <w:rFonts w:ascii="Arial" w:cs="Arial" w:eastAsia="Arial" w:hAnsi="Arial"/>
          <w:sz w:val="18"/>
          <w:szCs w:val="18"/>
          <w:color w:val="auto"/>
        </w:rPr>
      </w:pPr>
    </w:p>
    <w:p>
      <w:pPr>
        <w:ind w:left="1300" w:hanging="644"/>
        <w:spacing w:after="0" w:line="238" w:lineRule="auto"/>
        <w:tabs>
          <w:tab w:leader="none" w:pos="1072" w:val="left"/>
        </w:tabs>
        <w:numPr>
          <w:ilvl w:val="1"/>
          <w:numId w:val="103"/>
        </w:numPr>
        <w:rPr>
          <w:rFonts w:ascii="Arial" w:cs="Arial" w:eastAsia="Arial" w:hAnsi="Arial"/>
          <w:sz w:val="18"/>
          <w:szCs w:val="18"/>
          <w:color w:val="auto"/>
        </w:rPr>
      </w:pPr>
      <w:r>
        <w:rPr>
          <w:rFonts w:ascii="Arial" w:cs="Arial" w:eastAsia="Arial" w:hAnsi="Arial"/>
          <w:sz w:val="18"/>
          <w:szCs w:val="18"/>
          <w:u w:val="single" w:color="auto"/>
          <w:color w:val="auto"/>
        </w:rPr>
        <w:t>Continuing Elections from Prior Plan Year</w:t>
      </w:r>
      <w:r>
        <w:rPr>
          <w:rFonts w:ascii="Arial" w:cs="Arial" w:eastAsia="Arial" w:hAnsi="Arial"/>
          <w:sz w:val="18"/>
          <w:szCs w:val="18"/>
          <w:color w:val="auto"/>
        </w:rPr>
        <w:t>. Notwithstanding any contrary provisions of Paragraph 3(a) or the Plan, effective with the Plan Year beginning January 1, 2021, if an Eligible Employee participated in the Plan during the prior Plan Year, their contribution, distribution and Change in Control elections from the prior Plan Year (whether made through an affirmative Election during the prior Plan Year’s Open Enrollment Period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13" w:right="339" w:bottom="1440" w:gutter="0" w:footer="0" w:header="0"/>
        </w:sectPr>
      </w:pPr>
    </w:p>
    <w:bookmarkStart w:id="160" w:name="page161"/>
    <w:bookmarkEnd w:id="160"/>
    <w:p>
      <w:pPr>
        <w:jc w:val="both"/>
        <w:ind w:left="1300"/>
        <w:spacing w:after="0"/>
        <w:rPr>
          <w:sz w:val="20"/>
          <w:szCs w:val="20"/>
          <w:color w:val="auto"/>
        </w:rPr>
      </w:pPr>
      <w:r>
        <w:rPr>
          <w:rFonts w:ascii="Arial" w:cs="Arial" w:eastAsia="Arial" w:hAnsi="Arial"/>
          <w:sz w:val="18"/>
          <w:szCs w:val="18"/>
          <w:color w:val="auto"/>
        </w:rPr>
        <w:t>through the application of this Paragraph 3(b) for the prior Plan Year) shall continue to apply for the Plan Year, unless such Participant files an Election with the Plan Administrator during the applicable Open Enrollment Period for the Plan Year to change their elections or decline enrollment for the Plan Year.</w:t>
      </w:r>
    </w:p>
    <w:p>
      <w:pPr>
        <w:spacing w:after="0" w:line="230" w:lineRule="exact"/>
        <w:rPr>
          <w:sz w:val="20"/>
          <w:szCs w:val="20"/>
          <w:color w:val="auto"/>
        </w:rPr>
      </w:pPr>
    </w:p>
    <w:p>
      <w:pPr>
        <w:jc w:val="both"/>
        <w:ind w:left="1300"/>
        <w:spacing w:after="0"/>
        <w:rPr>
          <w:sz w:val="20"/>
          <w:szCs w:val="20"/>
          <w:color w:val="auto"/>
        </w:rPr>
      </w:pPr>
      <w:r>
        <w:rPr>
          <w:rFonts w:ascii="Arial" w:cs="Arial" w:eastAsia="Arial" w:hAnsi="Arial"/>
          <w:sz w:val="18"/>
          <w:szCs w:val="18"/>
          <w:color w:val="auto"/>
        </w:rPr>
        <w:t>For the avoidance of doubt, all other Eligible Employees (</w:t>
      </w:r>
      <w:r>
        <w:rPr>
          <w:rFonts w:ascii="Arial" w:cs="Arial" w:eastAsia="Arial" w:hAnsi="Arial"/>
          <w:sz w:val="18"/>
          <w:szCs w:val="18"/>
          <w:u w:val="single" w:color="auto"/>
          <w:color w:val="auto"/>
        </w:rPr>
        <w:t>e.g.</w:t>
      </w:r>
      <w:r>
        <w:rPr>
          <w:rFonts w:ascii="Arial" w:cs="Arial" w:eastAsia="Arial" w:hAnsi="Arial"/>
          <w:sz w:val="18"/>
          <w:szCs w:val="18"/>
          <w:color w:val="auto"/>
        </w:rPr>
        <w:t>, Eligible Employees who did not participate in the Plan for the prior Plan Year or new Eligible Employees) must file an Election with the Plan Administrator during the applicable Open Enrollment Period to participate in the Plan for the Plan Year.</w:t>
      </w:r>
    </w:p>
    <w:p>
      <w:pPr>
        <w:spacing w:after="0" w:line="230" w:lineRule="exact"/>
        <w:rPr>
          <w:sz w:val="20"/>
          <w:szCs w:val="20"/>
          <w:color w:val="auto"/>
        </w:rPr>
      </w:pPr>
    </w:p>
    <w:p>
      <w:pPr>
        <w:ind w:left="640" w:hanging="632"/>
        <w:spacing w:after="0"/>
        <w:tabs>
          <w:tab w:leader="none" w:pos="640"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Contributions to Participant Accounts</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jc w:val="both"/>
        <w:ind w:left="1300" w:hanging="320"/>
        <w:spacing w:after="0" w:line="237" w:lineRule="auto"/>
        <w:tabs>
          <w:tab w:leader="none" w:pos="1288" w:val="left"/>
        </w:tabs>
        <w:numPr>
          <w:ilvl w:val="1"/>
          <w:numId w:val="104"/>
        </w:numPr>
        <w:rPr>
          <w:rFonts w:ascii="Arial" w:cs="Arial" w:eastAsia="Arial" w:hAnsi="Arial"/>
          <w:sz w:val="18"/>
          <w:szCs w:val="18"/>
          <w:color w:val="auto"/>
        </w:rPr>
      </w:pPr>
      <w:r>
        <w:rPr>
          <w:rFonts w:ascii="Arial" w:cs="Arial" w:eastAsia="Arial" w:hAnsi="Arial"/>
          <w:sz w:val="18"/>
          <w:szCs w:val="18"/>
          <w:u w:val="single" w:color="auto"/>
          <w:color w:val="auto"/>
        </w:rPr>
        <w:t>Incentive Awards</w:t>
      </w:r>
      <w:r>
        <w:rPr>
          <w:rFonts w:ascii="Arial" w:cs="Arial" w:eastAsia="Arial" w:hAnsi="Arial"/>
          <w:sz w:val="18"/>
          <w:szCs w:val="18"/>
          <w:color w:val="auto"/>
        </w:rPr>
        <w:t>. During the Open Enrollment Period and subject to Paragraph 3(b), an Eligible Employee may elect on his Election to defer up to 100% of the cash bonus payable (with such deferral in a whole percentage and 10% increment) to such Eligible Employee under the Honeywell International Inc. Incentive Compensation Plan for Executive Employees (or any successor plan), the Honeywell Capital Management LLC Incentive Compensation Plan (or any successor plan), or any other similar annual incentive compensation plan covering Executive level employees that is designated by the Corporation as eligible for deferrals under this Plan (each an “</w:t>
      </w:r>
      <w:r>
        <w:rPr>
          <w:rFonts w:ascii="Arial" w:cs="Arial" w:eastAsia="Arial" w:hAnsi="Arial"/>
          <w:sz w:val="18"/>
          <w:szCs w:val="18"/>
          <w:u w:val="single" w:color="auto"/>
          <w:color w:val="auto"/>
        </w:rPr>
        <w:t>Incentive Award”</w:t>
      </w:r>
      <w:r>
        <w:rPr>
          <w:rFonts w:ascii="Arial" w:cs="Arial" w:eastAsia="Arial" w:hAnsi="Arial"/>
          <w:sz w:val="18"/>
          <w:szCs w:val="18"/>
          <w:color w:val="auto"/>
        </w:rPr>
        <w:t>), for the performance period under the applicable incentive plan that begins in the Plan Year that commences after the Open Enrollment Period.</w:t>
      </w:r>
    </w:p>
    <w:p>
      <w:pPr>
        <w:spacing w:after="0" w:line="229" w:lineRule="exact"/>
        <w:rPr>
          <w:rFonts w:ascii="Arial" w:cs="Arial" w:eastAsia="Arial" w:hAnsi="Arial"/>
          <w:sz w:val="18"/>
          <w:szCs w:val="18"/>
          <w:color w:val="auto"/>
        </w:rPr>
      </w:pPr>
    </w:p>
    <w:p>
      <w:pPr>
        <w:jc w:val="both"/>
        <w:ind w:left="1300" w:hanging="320"/>
        <w:spacing w:after="0" w:line="236" w:lineRule="auto"/>
        <w:tabs>
          <w:tab w:leader="none" w:pos="1288" w:val="left"/>
        </w:tabs>
        <w:numPr>
          <w:ilvl w:val="1"/>
          <w:numId w:val="104"/>
        </w:numPr>
        <w:rPr>
          <w:rFonts w:ascii="Arial" w:cs="Arial" w:eastAsia="Arial" w:hAnsi="Arial"/>
          <w:sz w:val="18"/>
          <w:szCs w:val="18"/>
          <w:color w:val="auto"/>
        </w:rPr>
      </w:pPr>
      <w:r>
        <w:rPr>
          <w:rFonts w:ascii="Arial" w:cs="Arial" w:eastAsia="Arial" w:hAnsi="Arial"/>
          <w:sz w:val="18"/>
          <w:szCs w:val="18"/>
          <w:u w:val="single" w:color="auto"/>
          <w:color w:val="auto"/>
        </w:rPr>
        <w:t>Base Annual Salary</w:t>
      </w:r>
      <w:r>
        <w:rPr>
          <w:rFonts w:ascii="Arial" w:cs="Arial" w:eastAsia="Arial" w:hAnsi="Arial"/>
          <w:sz w:val="18"/>
          <w:szCs w:val="18"/>
          <w:color w:val="auto"/>
        </w:rPr>
        <w:t>. For Plan Years beginning before January 1, 2006, an Eligible Employee who was employed in Career Band 6 and above (or an Eligible Employee who occupied a position equivalent thereto) was permitted prior to the beginning of the applicable Plan Year (and with respect to a newly Eligible Employee, within 30 days after first becoming so eligible) to elect to defer an aggregate amount of base annual salary otherwise payable in such Plan Year (or with respect to a newly Eligible Employee, in the remainder of the Plan Year), exclusive of any bonus or any other compensation or allowance paid or payable by the Corporation or its affiliates (the “</w:t>
      </w:r>
      <w:r>
        <w:rPr>
          <w:rFonts w:ascii="Arial" w:cs="Arial" w:eastAsia="Arial" w:hAnsi="Arial"/>
          <w:sz w:val="18"/>
          <w:szCs w:val="18"/>
          <w:u w:val="single" w:color="auto"/>
          <w:color w:val="auto"/>
        </w:rPr>
        <w:t>Base Annual Salary</w:t>
      </w:r>
      <w:r>
        <w:rPr>
          <w:rFonts w:ascii="Arial" w:cs="Arial" w:eastAsia="Arial" w:hAnsi="Arial"/>
          <w:sz w:val="18"/>
          <w:szCs w:val="18"/>
          <w:color w:val="auto"/>
        </w:rPr>
        <w:t>”). The amount deferred under this Paragraph 4(b) was not permitted to be greater than 50% of the Eligible Employee’s Base Annual Salary for any pay period. Effective July 29, 2005, no new deferral elections were permitted under this Paragraph 4(b) for the remainder of the Plan Year beginning January 1, 2005. For Plan Years beginning on and after January 1, 2006, no Eligible Employee may elect to defer any portion of his Base Annual Salary under the Plan.</w:t>
      </w:r>
    </w:p>
    <w:p>
      <w:pPr>
        <w:spacing w:after="0" w:line="232" w:lineRule="exact"/>
        <w:rPr>
          <w:rFonts w:ascii="Arial" w:cs="Arial" w:eastAsia="Arial" w:hAnsi="Arial"/>
          <w:sz w:val="18"/>
          <w:szCs w:val="18"/>
          <w:color w:val="auto"/>
        </w:rPr>
      </w:pPr>
    </w:p>
    <w:p>
      <w:pPr>
        <w:jc w:val="both"/>
        <w:ind w:left="1300" w:hanging="320"/>
        <w:spacing w:after="0" w:line="238" w:lineRule="auto"/>
        <w:tabs>
          <w:tab w:leader="none" w:pos="1291" w:val="left"/>
        </w:tabs>
        <w:numPr>
          <w:ilvl w:val="1"/>
          <w:numId w:val="104"/>
        </w:numPr>
        <w:rPr>
          <w:rFonts w:ascii="Arial" w:cs="Arial" w:eastAsia="Arial" w:hAnsi="Arial"/>
          <w:sz w:val="18"/>
          <w:szCs w:val="18"/>
          <w:color w:val="auto"/>
        </w:rPr>
      </w:pPr>
      <w:r>
        <w:rPr>
          <w:rFonts w:ascii="Arial" w:cs="Arial" w:eastAsia="Arial" w:hAnsi="Arial"/>
          <w:sz w:val="18"/>
          <w:szCs w:val="18"/>
          <w:u w:val="single" w:color="auto"/>
          <w:color w:val="auto"/>
        </w:rPr>
        <w:t>Deferral Amounts</w:t>
      </w:r>
      <w:r>
        <w:rPr>
          <w:rFonts w:ascii="Arial" w:cs="Arial" w:eastAsia="Arial" w:hAnsi="Arial"/>
          <w:sz w:val="18"/>
          <w:szCs w:val="18"/>
          <w:color w:val="auto"/>
        </w:rPr>
        <w:t>. All amounts determined under this Paragraph 4 which are the subject of an Election or the terms of Paragraph 3(b) (the “</w:t>
      </w:r>
      <w:r>
        <w:rPr>
          <w:rFonts w:ascii="Arial" w:cs="Arial" w:eastAsia="Arial" w:hAnsi="Arial"/>
          <w:sz w:val="18"/>
          <w:szCs w:val="18"/>
          <w:u w:val="single" w:color="auto"/>
          <w:color w:val="auto"/>
        </w:rPr>
        <w:t>Deferral Amounts</w:t>
      </w:r>
      <w:r>
        <w:rPr>
          <w:rFonts w:ascii="Arial" w:cs="Arial" w:eastAsia="Arial" w:hAnsi="Arial"/>
          <w:sz w:val="18"/>
          <w:szCs w:val="18"/>
          <w:color w:val="auto"/>
        </w:rPr>
        <w:t>”) shall, in accordance with the relevant Participant direction, be credited to the relevant Participant Account maintained under the Plan on the same day the Base Annual Salary or Incentive Award would otherwise have been payable.</w:t>
      </w:r>
    </w:p>
    <w:p>
      <w:pPr>
        <w:spacing w:after="0" w:line="231" w:lineRule="exact"/>
        <w:rPr>
          <w:rFonts w:ascii="Arial" w:cs="Arial" w:eastAsia="Arial" w:hAnsi="Arial"/>
          <w:sz w:val="18"/>
          <w:szCs w:val="18"/>
          <w:color w:val="auto"/>
        </w:rPr>
      </w:pPr>
    </w:p>
    <w:p>
      <w:pPr>
        <w:jc w:val="both"/>
        <w:ind w:left="1300" w:hanging="320"/>
        <w:spacing w:after="0" w:line="234" w:lineRule="auto"/>
        <w:tabs>
          <w:tab w:leader="none" w:pos="1288"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 Participant’s Account shall consist of two sub-accounts, as applicable: (1) a sub-account which consists of (A) Base Annual Salary earned and vested as of December 31, 2001 and any earnings thereon, and (B) Incentive Awards earned as of December 31, 2001 and vested as of December 31, 2004 and any earnings thereon (with the total amounts described in</w:t>
      </w:r>
    </w:p>
    <w:p>
      <w:pPr>
        <w:spacing w:after="0" w:line="2" w:lineRule="exact"/>
        <w:rPr>
          <w:rFonts w:ascii="Arial" w:cs="Arial" w:eastAsia="Arial" w:hAnsi="Arial"/>
          <w:sz w:val="18"/>
          <w:szCs w:val="18"/>
          <w:color w:val="auto"/>
        </w:rPr>
      </w:pPr>
    </w:p>
    <w:p>
      <w:pPr>
        <w:jc w:val="both"/>
        <w:ind w:left="1300" w:firstLine="4"/>
        <w:spacing w:after="0" w:line="234" w:lineRule="auto"/>
        <w:tabs>
          <w:tab w:leader="none" w:pos="1607" w:val="left"/>
        </w:tabs>
        <w:numPr>
          <w:ilvl w:val="2"/>
          <w:numId w:val="104"/>
        </w:numPr>
        <w:rPr>
          <w:rFonts w:ascii="Arial" w:cs="Arial" w:eastAsia="Arial" w:hAnsi="Arial"/>
          <w:sz w:val="18"/>
          <w:szCs w:val="18"/>
          <w:color w:val="auto"/>
        </w:rPr>
      </w:pPr>
      <w:r>
        <w:rPr>
          <w:rFonts w:ascii="Arial" w:cs="Arial" w:eastAsia="Arial" w:hAnsi="Arial"/>
          <w:sz w:val="18"/>
          <w:szCs w:val="18"/>
          <w:color w:val="auto"/>
        </w:rPr>
        <w:t>and (B) referred to as the “</w:t>
      </w:r>
      <w:r>
        <w:rPr>
          <w:rFonts w:ascii="Arial" w:cs="Arial" w:eastAsia="Arial" w:hAnsi="Arial"/>
          <w:sz w:val="18"/>
          <w:szCs w:val="18"/>
          <w:u w:val="single" w:color="auto"/>
          <w:color w:val="auto"/>
        </w:rPr>
        <w:t>Grandfathered Account</w:t>
      </w:r>
      <w:r>
        <w:rPr>
          <w:rFonts w:ascii="Arial" w:cs="Arial" w:eastAsia="Arial" w:hAnsi="Arial"/>
          <w:sz w:val="18"/>
          <w:szCs w:val="18"/>
          <w:color w:val="auto"/>
        </w:rPr>
        <w:t>”), and (2) a sub-account which consists of (X) Base Annual Salary earned and vested on or after January 1, 2002 and any earnings thereon, and (Y) Incentive Awards earned on or after January 1, 2002 and vested on or after January 1, 2005 and any earnings thereon (with the amounts described in (X) and</w:t>
      </w:r>
    </w:p>
    <w:p>
      <w:pPr>
        <w:spacing w:after="0" w:line="2" w:lineRule="exact"/>
        <w:rPr>
          <w:rFonts w:ascii="Arial" w:cs="Arial" w:eastAsia="Arial" w:hAnsi="Arial"/>
          <w:sz w:val="18"/>
          <w:szCs w:val="18"/>
          <w:color w:val="auto"/>
        </w:rPr>
      </w:pPr>
    </w:p>
    <w:p>
      <w:pPr>
        <w:ind w:left="1300" w:firstLine="4"/>
        <w:spacing w:after="0" w:line="246" w:lineRule="auto"/>
        <w:tabs>
          <w:tab w:leader="none" w:pos="1603" w:val="left"/>
        </w:tabs>
        <w:numPr>
          <w:ilvl w:val="2"/>
          <w:numId w:val="105"/>
        </w:numPr>
        <w:rPr>
          <w:rFonts w:ascii="Arial" w:cs="Arial" w:eastAsia="Arial" w:hAnsi="Arial"/>
          <w:sz w:val="18"/>
          <w:szCs w:val="18"/>
          <w:color w:val="auto"/>
        </w:rPr>
      </w:pPr>
      <w:r>
        <w:rPr>
          <w:rFonts w:ascii="Arial" w:cs="Arial" w:eastAsia="Arial" w:hAnsi="Arial"/>
          <w:sz w:val="18"/>
          <w:szCs w:val="18"/>
          <w:color w:val="auto"/>
        </w:rPr>
        <w:t>referred to as the “</w:t>
      </w:r>
      <w:r>
        <w:rPr>
          <w:rFonts w:ascii="Arial" w:cs="Arial" w:eastAsia="Arial" w:hAnsi="Arial"/>
          <w:sz w:val="18"/>
          <w:szCs w:val="18"/>
          <w:u w:val="single" w:color="auto"/>
          <w:color w:val="auto"/>
        </w:rPr>
        <w:t>Non-Grandfathered Account</w:t>
      </w:r>
      <w:r>
        <w:rPr>
          <w:rFonts w:ascii="Arial" w:cs="Arial" w:eastAsia="Arial" w:hAnsi="Arial"/>
          <w:sz w:val="18"/>
          <w:szCs w:val="18"/>
          <w:color w:val="auto"/>
        </w:rPr>
        <w:t>”). Base Annual Salary, Incentive Awards and any earnings thereon that were earned in the Plan Years beginning January 1, 2002, January 1, 2003 and January 1, 2004 and that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35" w:right="339" w:bottom="1440" w:gutter="0" w:footer="0" w:header="0"/>
        </w:sectPr>
      </w:pPr>
    </w:p>
    <w:bookmarkStart w:id="161" w:name="page162"/>
    <w:bookmarkEnd w:id="161"/>
    <w:p>
      <w:pPr>
        <w:ind w:left="968"/>
        <w:spacing w:after="0"/>
        <w:rPr>
          <w:sz w:val="20"/>
          <w:szCs w:val="20"/>
          <w:color w:val="auto"/>
        </w:rPr>
      </w:pPr>
      <w:r>
        <w:rPr>
          <w:rFonts w:ascii="Arial" w:cs="Arial" w:eastAsia="Arial" w:hAnsi="Arial"/>
          <w:sz w:val="18"/>
          <w:szCs w:val="18"/>
          <w:color w:val="auto"/>
        </w:rPr>
        <w:t>credited to a Participant’s Non-Grandfathered Account will be referred to herein as “</w:t>
      </w:r>
      <w:r>
        <w:rPr>
          <w:rFonts w:ascii="Arial" w:cs="Arial" w:eastAsia="Arial" w:hAnsi="Arial"/>
          <w:sz w:val="18"/>
          <w:szCs w:val="18"/>
          <w:u w:val="single" w:color="auto"/>
          <w:color w:val="auto"/>
        </w:rPr>
        <w:t>2002-2004 Deferrals</w:t>
      </w:r>
      <w:r>
        <w:rPr>
          <w:rFonts w:ascii="Arial" w:cs="Arial" w:eastAsia="Arial" w:hAnsi="Arial"/>
          <w:sz w:val="18"/>
          <w:szCs w:val="18"/>
          <w:color w:val="auto"/>
        </w:rPr>
        <w:t>”.</w:t>
      </w:r>
    </w:p>
    <w:p>
      <w:pPr>
        <w:spacing w:after="0" w:line="239" w:lineRule="exact"/>
        <w:rPr>
          <w:sz w:val="20"/>
          <w:szCs w:val="20"/>
          <w:color w:val="auto"/>
        </w:rPr>
      </w:pPr>
    </w:p>
    <w:p>
      <w:pPr>
        <w:jc w:val="both"/>
        <w:ind w:left="968"/>
        <w:spacing w:after="0"/>
        <w:rPr>
          <w:sz w:val="20"/>
          <w:szCs w:val="20"/>
          <w:color w:val="auto"/>
        </w:rPr>
      </w:pPr>
      <w:r>
        <w:rPr>
          <w:rFonts w:ascii="Arial" w:cs="Arial" w:eastAsia="Arial" w:hAnsi="Arial"/>
          <w:sz w:val="18"/>
          <w:szCs w:val="18"/>
          <w:color w:val="auto"/>
        </w:rPr>
        <w:t>For the avoidance of doubt, the Grandfathered Account consists of deferrals and earnings attributable to Plan Years (also referred to as class years) beginning on or before January 1, 2001 and the Non-Grandfathered Account consists of deferrals and earnings attributable to Plan Years beginning on or after January 1, 2002.</w:t>
      </w:r>
    </w:p>
    <w:p>
      <w:pPr>
        <w:spacing w:after="0" w:line="230" w:lineRule="exact"/>
        <w:rPr>
          <w:sz w:val="20"/>
          <w:szCs w:val="20"/>
          <w:color w:val="auto"/>
        </w:rPr>
      </w:pPr>
    </w:p>
    <w:p>
      <w:pPr>
        <w:ind w:left="308" w:hanging="308"/>
        <w:spacing w:after="0"/>
        <w:tabs>
          <w:tab w:leader="none" w:pos="308"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Deferral Requirements</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968" w:hanging="324"/>
        <w:spacing w:after="0" w:line="236" w:lineRule="auto"/>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Plan Years Beginning On or After January 1, 2006</w:t>
      </w:r>
      <w:r>
        <w:rPr>
          <w:rFonts w:ascii="Arial" w:cs="Arial" w:eastAsia="Arial" w:hAnsi="Arial"/>
          <w:sz w:val="18"/>
          <w:szCs w:val="18"/>
          <w:color w:val="auto"/>
        </w:rPr>
        <w:t>. A Participant’s Deferral Amounts under the Plan for Plan Years beginning on or after January 1, 2006 will be paid in one lump-sum payment to such Participant in the January of the Plan Year that follows the Plan Year in which the Participant has a Separation from Service (as defined in Section 409A(a)(2)(A)(i) of the Code and its corresponding regulations) with the Corporation and its affiliates, unless, subject to Paragraph 3(b), the Participant elects as part of his Election during the Open Enrollment Period that the Deferral Amounts for the Plan Year will instead be paid in substantially equal annual installments over five, ten, or 15 years (or, for Plan Years beginning between January 1, 2006 and January 1, 2019, inclusive, not to exceed ten years) if he has a Separation from Service with the Corporation and its affiliates on or after he attains age 55 and has completed ten Years of Service (as defined below), in which case the first installment shall commence in the January of the Plan Year that follows the Plan Year in which the Participant has a Separation from Service and each remaining installment will be paid to the Participant in each succeeding January.</w:t>
      </w:r>
    </w:p>
    <w:p>
      <w:pPr>
        <w:spacing w:after="0" w:line="232" w:lineRule="exact"/>
        <w:rPr>
          <w:sz w:val="20"/>
          <w:szCs w:val="20"/>
          <w:color w:val="auto"/>
        </w:rPr>
      </w:pPr>
    </w:p>
    <w:p>
      <w:pPr>
        <w:jc w:val="both"/>
        <w:ind w:left="968" w:firstLine="648"/>
        <w:spacing w:after="0" w:line="236" w:lineRule="auto"/>
        <w:rPr>
          <w:sz w:val="20"/>
          <w:szCs w:val="20"/>
          <w:color w:val="auto"/>
        </w:rPr>
      </w:pPr>
      <w:r>
        <w:rPr>
          <w:rFonts w:ascii="Arial" w:cs="Arial" w:eastAsia="Arial" w:hAnsi="Arial"/>
          <w:sz w:val="18"/>
          <w:szCs w:val="18"/>
          <w:color w:val="auto"/>
        </w:rPr>
        <w:t>Notwithstanding the foregoing, if at the time of the Participant’s Separation from Service, the Participant is a Specified Employee (as defined below) the payments provided in the preceding paragraph shall be paid (or commence in the case of installments) in (i) the January of the Plan Year that follows the Plan Year in which the Participant’s Separation from Service with the Corporation and its affiliates occurs, if the Participant’s Separation from Service with the Corporation and its affiliates occurs prior to July 1 of such Plan Year, or (ii) the July of the Plan Year that follows the Plan Year in which the Participant’s Separation from Service with the Corporation and its affiliates occurs, if the Participant’s Separation from Service with the Corporation and its affiliates occurs after June 30 of such Plan Year. If the Participant is scheduled to receive his distribution in the form of installment payments, after the first payment is made pursuant to the immediately preceding sentence, each subsequent installment will be paid to the Participant in the January of each Plan Year that follows until all installments are paid to the Participant.</w:t>
      </w:r>
    </w:p>
    <w:p>
      <w:pPr>
        <w:spacing w:after="0" w:line="233" w:lineRule="exact"/>
        <w:rPr>
          <w:sz w:val="20"/>
          <w:szCs w:val="20"/>
          <w:color w:val="auto"/>
        </w:rPr>
      </w:pPr>
    </w:p>
    <w:p>
      <w:pPr>
        <w:jc w:val="both"/>
        <w:ind w:left="968" w:firstLine="648"/>
        <w:spacing w:after="0" w:line="238" w:lineRule="auto"/>
        <w:rPr>
          <w:sz w:val="20"/>
          <w:szCs w:val="20"/>
          <w:color w:val="auto"/>
        </w:rPr>
      </w:pPr>
      <w:r>
        <w:rPr>
          <w:rFonts w:ascii="Arial" w:cs="Arial" w:eastAsia="Arial" w:hAnsi="Arial"/>
          <w:sz w:val="18"/>
          <w:szCs w:val="18"/>
          <w:color w:val="auto"/>
        </w:rPr>
        <w:t>Notwithstanding the foregoing, if the Participant dies after the Separation from Service but before the end of the Plan Year in which the Separation from Service occurs, or if a Specified Employee dies before the payment date described in the preceding paragraph, the Participant’s beneficiary will receive the payment or payments in a lump sum within 60 days of the date of the Participant’s death.</w:t>
      </w:r>
    </w:p>
    <w:p>
      <w:pPr>
        <w:spacing w:after="0" w:line="232" w:lineRule="exact"/>
        <w:rPr>
          <w:sz w:val="20"/>
          <w:szCs w:val="20"/>
          <w:color w:val="auto"/>
        </w:rPr>
      </w:pPr>
    </w:p>
    <w:p>
      <w:pPr>
        <w:jc w:val="both"/>
        <w:ind w:left="968" w:firstLine="648"/>
        <w:spacing w:after="0" w:line="237" w:lineRule="auto"/>
        <w:rPr>
          <w:sz w:val="20"/>
          <w:szCs w:val="20"/>
          <w:color w:val="auto"/>
        </w:rPr>
      </w:pPr>
      <w:r>
        <w:rPr>
          <w:rFonts w:ascii="Arial" w:cs="Arial" w:eastAsia="Arial" w:hAnsi="Arial"/>
          <w:sz w:val="18"/>
          <w:szCs w:val="18"/>
          <w:color w:val="auto"/>
        </w:rPr>
        <w:t>For purposes of this Plan, the term (i) “</w:t>
      </w:r>
      <w:r>
        <w:rPr>
          <w:rFonts w:ascii="Arial" w:cs="Arial" w:eastAsia="Arial" w:hAnsi="Arial"/>
          <w:sz w:val="18"/>
          <w:szCs w:val="18"/>
          <w:u w:val="single" w:color="auto"/>
          <w:color w:val="auto"/>
        </w:rPr>
        <w:t>Years of Service</w:t>
      </w:r>
      <w:r>
        <w:rPr>
          <w:rFonts w:ascii="Arial" w:cs="Arial" w:eastAsia="Arial" w:hAnsi="Arial"/>
          <w:sz w:val="18"/>
          <w:szCs w:val="18"/>
          <w:color w:val="auto"/>
        </w:rPr>
        <w:t>” shall be determined using the Participant’s most-recent adjusted service date, as reflected at the Participant’s Separation from Service in the Corporation’s records, and (ii) “</w:t>
      </w:r>
      <w:r>
        <w:rPr>
          <w:rFonts w:ascii="Arial" w:cs="Arial" w:eastAsia="Arial" w:hAnsi="Arial"/>
          <w:sz w:val="18"/>
          <w:szCs w:val="18"/>
          <w:u w:val="single" w:color="auto"/>
          <w:color w:val="auto"/>
        </w:rPr>
        <w:t>Specified Employee</w:t>
      </w:r>
      <w:r>
        <w:rPr>
          <w:rFonts w:ascii="Arial" w:cs="Arial" w:eastAsia="Arial" w:hAnsi="Arial"/>
          <w:sz w:val="18"/>
          <w:szCs w:val="18"/>
          <w:color w:val="auto"/>
        </w:rPr>
        <w:t>” shall mean any Participant who, at any time during the twelve (12) month period ending on the identification date, is a specified employee under Section 409A of the Code, which determination of “specified employees,” including the number and identity of persons considered “specified employees” and the identification date, shall be made by the Vice President – HR, Compensation &amp; Benefits (or his delegate) in accordance with the provisions of Sections 416(i) and 409A of the Code and the regulations issued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08"/>
          </w:cols>
          <w:pgMar w:left="652" w:top="1435" w:right="339" w:bottom="1440" w:gutter="0" w:footer="0" w:header="0"/>
        </w:sectPr>
      </w:pPr>
    </w:p>
    <w:bookmarkStart w:id="162" w:name="page163"/>
    <w:bookmarkEnd w:id="162"/>
    <w:p>
      <w:pPr>
        <w:spacing w:after="0" w:line="238" w:lineRule="exact"/>
        <w:rPr>
          <w:sz w:val="20"/>
          <w:szCs w:val="20"/>
          <w:color w:val="auto"/>
        </w:rPr>
      </w:pPr>
    </w:p>
    <w:p>
      <w:pPr>
        <w:jc w:val="both"/>
        <w:ind w:left="320" w:hanging="320"/>
        <w:spacing w:after="0" w:line="236" w:lineRule="auto"/>
        <w:tabs>
          <w:tab w:leader="none" w:pos="308"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2005 Plan Year</w:t>
      </w:r>
      <w:r>
        <w:rPr>
          <w:rFonts w:ascii="Arial" w:cs="Arial" w:eastAsia="Arial" w:hAnsi="Arial"/>
          <w:sz w:val="18"/>
          <w:szCs w:val="18"/>
          <w:color w:val="auto"/>
        </w:rPr>
        <w:t>. For the 2005 Plan Year, a Participant’s Deferral Amounts under the Plan for such Plan Year will be paid in one lump-sum payment to such Participant in the January of the Plan Year that follows the Plan Year in which the Participant has a Separation from Service with the Corporation and its affiliates, unless the Participant elected on his Election during the Open Enrollment Period that the Deferral Amounts for such Plan Year will instead be paid to such Participant at a Specified Time (as such term is defined in Section 409A(a)(2)(A)(iv) of the Code and its corresponding regulations), provided that the Specified Time is no sooner than January of the 2009 Plan Year (unless the Management and Development Committee of the Corporation’s Board of Directors (the “</w:t>
      </w:r>
      <w:r>
        <w:rPr>
          <w:rFonts w:ascii="Arial" w:cs="Arial" w:eastAsia="Arial" w:hAnsi="Arial"/>
          <w:sz w:val="18"/>
          <w:szCs w:val="18"/>
          <w:u w:val="single" w:color="auto"/>
          <w:color w:val="auto"/>
        </w:rPr>
        <w:t>Committee</w:t>
      </w:r>
      <w:r>
        <w:rPr>
          <w:rFonts w:ascii="Arial" w:cs="Arial" w:eastAsia="Arial" w:hAnsi="Arial"/>
          <w:sz w:val="18"/>
          <w:szCs w:val="18"/>
          <w:color w:val="auto"/>
        </w:rPr>
        <w:t>”) approved at the time of such election a shorter period of deferral) and in up to 15 annual installments.</w:t>
      </w:r>
    </w:p>
    <w:p>
      <w:pPr>
        <w:spacing w:after="0" w:line="235" w:lineRule="exact"/>
        <w:rPr>
          <w:sz w:val="20"/>
          <w:szCs w:val="20"/>
          <w:color w:val="auto"/>
        </w:rPr>
      </w:pPr>
    </w:p>
    <w:p>
      <w:pPr>
        <w:jc w:val="both"/>
        <w:ind w:left="320" w:firstLine="648"/>
        <w:spacing w:after="0" w:line="236" w:lineRule="auto"/>
        <w:rPr>
          <w:sz w:val="20"/>
          <w:szCs w:val="20"/>
          <w:color w:val="auto"/>
        </w:rPr>
      </w:pPr>
      <w:r>
        <w:rPr>
          <w:rFonts w:ascii="Arial" w:cs="Arial" w:eastAsia="Arial" w:hAnsi="Arial"/>
          <w:sz w:val="18"/>
          <w:szCs w:val="18"/>
          <w:color w:val="auto"/>
        </w:rPr>
        <w:t>Notwithstanding the foregoing, if at the time of the Participant’s Separation from Service the Participant is entitled to payment of the amounts deferred for the 2005 Plan Year because of his Separation from Service (and not because of the Specified Time designated, if any) and the Participant is a Specified Employee, the payments provided in the immediately preceding sentence on account of Separation from Service shall be paid (or commence payment in the case of installments) in (i) the January of the Plan Year that follows the Plan Year in which the Participant’s Separation from Service with the Corporation and its affiliates occurs, if the Participant’s Separation from Service with the Corporation and its affiliates occurs prior to July 1 of such Plan Year, or (ii) the July of the Plan Year that follows the Plan Year in which the Participant’s Separation from Service with the Corporation and its affiliates occurs, if the Participant’s Separation from Service with the Corporation and its affiliates occurs after June 30 of such Plan Year. Payment on account of a Specified Time shall be paid (or commence payment in the case of installments) to the Participant in January of the Plan Year elected by the Participant.</w:t>
      </w:r>
    </w:p>
    <w:p>
      <w:pPr>
        <w:spacing w:after="0" w:line="233" w:lineRule="exact"/>
        <w:rPr>
          <w:sz w:val="20"/>
          <w:szCs w:val="20"/>
          <w:color w:val="auto"/>
        </w:rPr>
      </w:pPr>
    </w:p>
    <w:p>
      <w:pPr>
        <w:jc w:val="both"/>
        <w:ind w:left="320" w:firstLine="648"/>
        <w:spacing w:after="0" w:line="237" w:lineRule="auto"/>
        <w:rPr>
          <w:sz w:val="20"/>
          <w:szCs w:val="20"/>
          <w:color w:val="auto"/>
        </w:rPr>
      </w:pPr>
      <w:r>
        <w:rPr>
          <w:rFonts w:ascii="Arial" w:cs="Arial" w:eastAsia="Arial" w:hAnsi="Arial"/>
          <w:sz w:val="18"/>
          <w:szCs w:val="18"/>
          <w:color w:val="auto"/>
        </w:rPr>
        <w:t>If the Participant elected to receive his distribution in the form of installment payments, after the first payment is made pursuant to the immediately preceding paragraph, each subsequent installment will be paid to the Participant in the January of each Plan Year that follows until all installments are paid to the Participant. Notwithstanding anything to the contrary in this Paragraph 5(b), if the Participant dies after the Separation from Service, but before the end of the Plan Year in which the Separation from Service occurs or if a Specified Employee dies before the payment date described in the preceding paragraph, the Participant’s beneficiary will receive the payment or payments in a lump sum within 60 days of the date of the Participant’s death.</w:t>
      </w:r>
    </w:p>
    <w:p>
      <w:pPr>
        <w:spacing w:after="0" w:line="230" w:lineRule="exact"/>
        <w:rPr>
          <w:sz w:val="20"/>
          <w:szCs w:val="20"/>
          <w:color w:val="auto"/>
        </w:rPr>
      </w:pPr>
    </w:p>
    <w:p>
      <w:pPr>
        <w:ind w:left="320" w:hanging="320"/>
        <w:spacing w:after="0"/>
        <w:tabs>
          <w:tab w:leader="none" w:pos="320"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Plan Years Beginning Before January 1, 2005</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jc w:val="both"/>
        <w:ind w:left="980" w:hanging="422"/>
        <w:spacing w:after="0" w:line="236" w:lineRule="auto"/>
        <w:tabs>
          <w:tab w:leader="none" w:pos="980" w:val="left"/>
        </w:tabs>
        <w:numPr>
          <w:ilvl w:val="1"/>
          <w:numId w:val="108"/>
        </w:numPr>
        <w:rPr>
          <w:rFonts w:ascii="Arial" w:cs="Arial" w:eastAsia="Arial" w:hAnsi="Arial"/>
          <w:sz w:val="18"/>
          <w:szCs w:val="18"/>
          <w:color w:val="auto"/>
        </w:rPr>
      </w:pPr>
      <w:r>
        <w:rPr>
          <w:rFonts w:ascii="Arial" w:cs="Arial" w:eastAsia="Arial" w:hAnsi="Arial"/>
          <w:sz w:val="18"/>
          <w:szCs w:val="18"/>
          <w:u w:val="single" w:color="auto"/>
          <w:color w:val="auto"/>
        </w:rPr>
        <w:t>Grandfathered Accounts</w:t>
      </w:r>
      <w:r>
        <w:rPr>
          <w:rFonts w:ascii="Arial" w:cs="Arial" w:eastAsia="Arial" w:hAnsi="Arial"/>
          <w:sz w:val="18"/>
          <w:szCs w:val="18"/>
          <w:color w:val="auto"/>
        </w:rPr>
        <w:t>. A Participant’s Deferral Amounts credited to a Participant’s Grandfathered Account under the Plan for Plan Years beginning before January 1, 2005 shall be paid as soon as practicable during the month of January following the calendar year in which the Participant terminates employment; provided, however, amounts deferred under the Plan may be paid at such other date permitted to be designated by the Participant that provides for a minimum period of deferral of at least three years or such shorter period as may be approved by the Committee, which election was made at the time the Participant made the deferral election for such Plan Years. The Participant also elected at such time to receive such distribution in one lump-sum payment or in a number of substantially equal annual installments (provided the payment period may not include more than 30 such installments).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60"/>
          </w:cols>
          <w:pgMar w:left="1300" w:top="1440" w:right="339" w:bottom="1440" w:gutter="0" w:footer="0" w:header="0"/>
        </w:sectPr>
      </w:pPr>
    </w:p>
    <w:bookmarkStart w:id="163" w:name="page164"/>
    <w:bookmarkEnd w:id="163"/>
    <w:p>
      <w:pPr>
        <w:jc w:val="both"/>
        <w:ind w:left="840"/>
        <w:spacing w:after="0" w:line="238" w:lineRule="auto"/>
        <w:rPr>
          <w:sz w:val="20"/>
          <w:szCs w:val="20"/>
          <w:color w:val="auto"/>
        </w:rPr>
      </w:pPr>
      <w:r>
        <w:rPr>
          <w:rFonts w:ascii="Arial" w:cs="Arial" w:eastAsia="Arial" w:hAnsi="Arial"/>
          <w:sz w:val="18"/>
          <w:szCs w:val="18"/>
          <w:color w:val="auto"/>
        </w:rPr>
        <w:t>The lump-sum or the first installment shall be paid as soon as practicable during the month of January of the calendar year following termination of employment or such other calendar year validly designated by the Participant. Except as otherwise provided in Paragraphs 9, 10, and 11, all installment payments following the initial installment payment shall be paid in cash as soon as practicable during the month of January of each succeeding calendar year until the entire amount in the Account shall have been paid.</w:t>
      </w:r>
    </w:p>
    <w:p>
      <w:pPr>
        <w:spacing w:after="0" w:line="229" w:lineRule="exact"/>
        <w:rPr>
          <w:sz w:val="20"/>
          <w:szCs w:val="20"/>
          <w:color w:val="auto"/>
        </w:rPr>
      </w:pPr>
    </w:p>
    <w:p>
      <w:pPr>
        <w:jc w:val="both"/>
        <w:ind w:left="840"/>
        <w:spacing w:after="0" w:line="236" w:lineRule="auto"/>
        <w:rPr>
          <w:sz w:val="20"/>
          <w:szCs w:val="20"/>
          <w:color w:val="auto"/>
        </w:rPr>
      </w:pPr>
      <w:r>
        <w:rPr>
          <w:rFonts w:ascii="Arial" w:cs="Arial" w:eastAsia="Arial" w:hAnsi="Arial"/>
          <w:sz w:val="18"/>
          <w:szCs w:val="18"/>
          <w:color w:val="auto"/>
        </w:rPr>
        <w:t>Notwithstanding the foregoing, in the event a Participant’s employment with the Corporation is terminated either voluntarily (other than on account of retirement as defined in the qualified pension plan in which the Participant participates or for “good reason” under any applicable severance plan of the Corporation) or for “gross cause” (as defined in the AlliedSignal Inc. Severance Plan for Senior Executives), the Participant’s Deferral Amounts for performance years beginning after 1997 for amounts deferred under Paragraph 4(a) hereof or after 1998 for amounts deferred under Paragraph 4(b) hereof (including any notional interest credited thereto) shall be distributed in a lump sum as soon as practicable in January of the calendar year following such termination of employment. Except as otherwise provided in Paragraph 5(d) or Paragraphs 9 or 10 or as approved by the Committee, no amount shall be withdrawn from a Participant’s Account prior to the last day of the calendar year in which the Deferral Amounts were earned; the date the Participant reaches normal retirement age and is eligible to receive a benefit under a pension plan of the Corporation or one of its affiliates; the date of the Participant’s death; or the date the Participant ceases to be employed by the Corporation or any of its affiliates.</w:t>
      </w:r>
    </w:p>
    <w:p>
      <w:pPr>
        <w:spacing w:after="0" w:line="231" w:lineRule="exact"/>
        <w:rPr>
          <w:sz w:val="20"/>
          <w:szCs w:val="20"/>
          <w:color w:val="auto"/>
        </w:rPr>
      </w:pPr>
    </w:p>
    <w:p>
      <w:pPr>
        <w:jc w:val="both"/>
        <w:ind w:left="840" w:hanging="462"/>
        <w:spacing w:after="0" w:line="237" w:lineRule="auto"/>
        <w:tabs>
          <w:tab w:leader="none" w:pos="840"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Non-Grandfathered Accounts</w:t>
      </w:r>
      <w:r>
        <w:rPr>
          <w:rFonts w:ascii="Arial" w:cs="Arial" w:eastAsia="Arial" w:hAnsi="Arial"/>
          <w:sz w:val="18"/>
          <w:szCs w:val="18"/>
          <w:color w:val="auto"/>
        </w:rPr>
        <w:t>. A Participant’s 2002-2004 Deferrals shall be paid during the month of January following the calendar year in which the Participant has a Separation from Service; provided, however, a Participant’s 2002-2004 Deferrals may be paid at a Specified Time designated by the Participant that provides for a minimum period of deferral of at least three years or such shorter period as may have been approved by the Committee, which election was made prior to January 1 for the applicable Plan Year. The Participant also elected at such time to receive such distribution in one lump-sum payment or in a number of substantially equal annual installments (not exceeding 15).</w:t>
      </w:r>
    </w:p>
    <w:p>
      <w:pPr>
        <w:spacing w:after="0" w:line="229" w:lineRule="exact"/>
        <w:rPr>
          <w:rFonts w:ascii="Arial" w:cs="Arial" w:eastAsia="Arial" w:hAnsi="Arial"/>
          <w:sz w:val="18"/>
          <w:szCs w:val="18"/>
          <w:color w:val="auto"/>
        </w:rPr>
      </w:pPr>
    </w:p>
    <w:p>
      <w:pPr>
        <w:jc w:val="both"/>
        <w:ind w:left="840"/>
        <w:spacing w:after="0" w:line="234" w:lineRule="auto"/>
        <w:rPr>
          <w:rFonts w:ascii="Arial" w:cs="Arial" w:eastAsia="Arial" w:hAnsi="Arial"/>
          <w:sz w:val="18"/>
          <w:szCs w:val="18"/>
          <w:color w:val="auto"/>
        </w:rPr>
      </w:pPr>
      <w:r>
        <w:rPr>
          <w:rFonts w:ascii="Arial" w:cs="Arial" w:eastAsia="Arial" w:hAnsi="Arial"/>
          <w:sz w:val="18"/>
          <w:szCs w:val="18"/>
          <w:color w:val="auto"/>
        </w:rPr>
        <w:t>Notwithstanding the foregoing, if at the time of the Participant’s Separation from Service the Participant is entitled to payment of the 2002-2004 Deferrals because of his Separation from Service (and not because of the Specified Time designated, if any) and the Participant is a Specified Employee, the payments provided in the immediately preceding sentence on account of Separation from Service shall be paid (or commence payment in the case of installments) in</w:t>
      </w:r>
    </w:p>
    <w:p>
      <w:pPr>
        <w:spacing w:after="0" w:line="2" w:lineRule="exact"/>
        <w:rPr>
          <w:rFonts w:ascii="Arial" w:cs="Arial" w:eastAsia="Arial" w:hAnsi="Arial"/>
          <w:sz w:val="18"/>
          <w:szCs w:val="18"/>
          <w:color w:val="auto"/>
        </w:rPr>
      </w:pPr>
    </w:p>
    <w:p>
      <w:pPr>
        <w:jc w:val="both"/>
        <w:ind w:left="840"/>
        <w:spacing w:after="0" w:line="237" w:lineRule="auto"/>
        <w:rPr>
          <w:rFonts w:ascii="Arial" w:cs="Arial" w:eastAsia="Arial" w:hAnsi="Arial"/>
          <w:sz w:val="18"/>
          <w:szCs w:val="18"/>
          <w:color w:val="auto"/>
        </w:rPr>
      </w:pPr>
      <w:r>
        <w:rPr>
          <w:rFonts w:ascii="Arial" w:cs="Arial" w:eastAsia="Arial" w:hAnsi="Arial"/>
          <w:sz w:val="18"/>
          <w:szCs w:val="18"/>
          <w:color w:val="auto"/>
        </w:rPr>
        <w:t>(i) the January of the Plan Year that follows the Plan Year in which the Participant’s Separation from Service with the Corporation and its affiliates occurs, if the Participant’s Separation from Service with the Corporation and its affiliates occurs prior to July 1 of such Plan Year, or (ii) the July of the Plan Year that follows the Plan Year in which the Participant’s Separation from Service with the Corporation and its affiliates occurs, if the Participant’s Separation from Service with the Corporation and its affiliates occurs after June 30 of such Plan Year. Payment on account of a Specified Time shall be paid (or commence payment in the case of installments) to the Participant in January of the Plan Year elected by the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120"/>
          </w:cols>
          <w:pgMar w:left="1440" w:top="1435" w:right="339" w:bottom="1440" w:gutter="0" w:footer="0" w:header="0"/>
        </w:sectPr>
      </w:pPr>
    </w:p>
    <w:bookmarkStart w:id="164" w:name="page165"/>
    <w:bookmarkEnd w:id="164"/>
    <w:p>
      <w:pPr>
        <w:jc w:val="both"/>
        <w:ind w:left="1628"/>
        <w:spacing w:after="0" w:line="237" w:lineRule="auto"/>
        <w:rPr>
          <w:sz w:val="20"/>
          <w:szCs w:val="20"/>
          <w:color w:val="auto"/>
        </w:rPr>
      </w:pPr>
      <w:r>
        <w:rPr>
          <w:rFonts w:ascii="Arial" w:cs="Arial" w:eastAsia="Arial" w:hAnsi="Arial"/>
          <w:sz w:val="18"/>
          <w:szCs w:val="18"/>
          <w:color w:val="auto"/>
        </w:rPr>
        <w:t>If the Participant elected to receive his distribution in the form of installment payments, after the first payment is made pursuant to the immediately preceding paragraph, each subsequent installment will be paid to the Participant in the January of each Plan Year that follows until all installments are paid to the Participant. Notwithstanding anything to the contrary in this subparagraph 5(c)(ii), if the Participant dies after the Separation from Service, but before the end of the Plan Year in which the Separation from Service occurs or if a Specified Employee dies before the payment date described in the preceding paragraph, the Participant’s beneficiary will receive the payment or payments in a lump sum within 60 days of the date of the Participant’s death.</w:t>
      </w:r>
    </w:p>
    <w:p>
      <w:pPr>
        <w:spacing w:after="0" w:line="230" w:lineRule="exact"/>
        <w:rPr>
          <w:sz w:val="20"/>
          <w:szCs w:val="20"/>
          <w:color w:val="auto"/>
        </w:rPr>
      </w:pPr>
    </w:p>
    <w:p>
      <w:pPr>
        <w:jc w:val="both"/>
        <w:ind w:left="968" w:hanging="320"/>
        <w:spacing w:after="0" w:line="237" w:lineRule="auto"/>
        <w:tabs>
          <w:tab w:leader="none" w:pos="956" w:val="left"/>
        </w:tabs>
        <w:numPr>
          <w:ilvl w:val="1"/>
          <w:numId w:val="110"/>
        </w:numPr>
        <w:rPr>
          <w:rFonts w:ascii="Arial" w:cs="Arial" w:eastAsia="Arial" w:hAnsi="Arial"/>
          <w:sz w:val="18"/>
          <w:szCs w:val="18"/>
          <w:color w:val="auto"/>
        </w:rPr>
      </w:pPr>
      <w:r>
        <w:rPr>
          <w:rFonts w:ascii="Arial" w:cs="Arial" w:eastAsia="Arial" w:hAnsi="Arial"/>
          <w:sz w:val="18"/>
          <w:szCs w:val="18"/>
          <w:u w:val="single" w:color="auto"/>
          <w:color w:val="auto"/>
        </w:rPr>
        <w:t>In-Service Withdrawal</w:t>
      </w:r>
      <w:r>
        <w:rPr>
          <w:rFonts w:ascii="Arial" w:cs="Arial" w:eastAsia="Arial" w:hAnsi="Arial"/>
          <w:sz w:val="18"/>
          <w:szCs w:val="18"/>
          <w:color w:val="auto"/>
        </w:rPr>
        <w:t>. A Participant may request an immediate withdrawal of all or a portion of the Deferral Amounts credited to a Participant’s Grandfathered Account prior to the date described in subparagraph 5(c)(i) or prior to the date such portion of the Grandfathered Account has been completely withdrawn, provided that such a request and withdrawal shall be subject to the approval of the Corporation and such penalties, restrictions or conditions as may be established by the Corporation from time to time. The penalty shall be a percentage of the amount requested to be withdrawn, calculated as the difference between (a) 6%, and (b) 50% of the amount, if any, by which 10% exceeds the interest rate on 10-year U.S. Treasury Bonds on the first business day of the calendar quarter during which the withdrawal request is made.</w:t>
      </w:r>
    </w:p>
    <w:p>
      <w:pPr>
        <w:spacing w:after="0" w:line="229" w:lineRule="exact"/>
        <w:rPr>
          <w:rFonts w:ascii="Arial" w:cs="Arial" w:eastAsia="Arial" w:hAnsi="Arial"/>
          <w:sz w:val="18"/>
          <w:szCs w:val="18"/>
          <w:color w:val="auto"/>
        </w:rPr>
      </w:pPr>
    </w:p>
    <w:p>
      <w:pPr>
        <w:ind w:left="328" w:hanging="328"/>
        <w:spacing w:after="0" w:line="246" w:lineRule="auto"/>
        <w:tabs>
          <w:tab w:leader="none" w:pos="316"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Interest Equivalents</w:t>
      </w:r>
      <w:r>
        <w:rPr>
          <w:rFonts w:ascii="Arial" w:cs="Arial" w:eastAsia="Arial" w:hAnsi="Arial"/>
          <w:sz w:val="18"/>
          <w:szCs w:val="18"/>
          <w:color w:val="auto"/>
        </w:rPr>
        <w:t>. Deferral Amounts shall accrue additional amounts equivalent to interest (“</w:t>
      </w:r>
      <w:r>
        <w:rPr>
          <w:rFonts w:ascii="Arial" w:cs="Arial" w:eastAsia="Arial" w:hAnsi="Arial"/>
          <w:sz w:val="18"/>
          <w:szCs w:val="18"/>
          <w:u w:val="single" w:color="auto"/>
          <w:color w:val="auto"/>
        </w:rPr>
        <w:t>Interest Equivalents</w:t>
      </w:r>
      <w:r>
        <w:rPr>
          <w:rFonts w:ascii="Arial" w:cs="Arial" w:eastAsia="Arial" w:hAnsi="Arial"/>
          <w:sz w:val="18"/>
          <w:szCs w:val="18"/>
          <w:color w:val="auto"/>
        </w:rPr>
        <w:t>”), compounded daily, from the date the Deferral Amount is credited to the Account to the date of distribution as set forth in this Paragraph 6.</w:t>
      </w:r>
    </w:p>
    <w:p>
      <w:pPr>
        <w:spacing w:after="0" w:line="223" w:lineRule="exact"/>
        <w:rPr>
          <w:rFonts w:ascii="Arial" w:cs="Arial" w:eastAsia="Arial" w:hAnsi="Arial"/>
          <w:sz w:val="18"/>
          <w:szCs w:val="18"/>
          <w:color w:val="auto"/>
        </w:rPr>
      </w:pPr>
    </w:p>
    <w:p>
      <w:pPr>
        <w:ind w:left="968" w:hanging="320"/>
        <w:spacing w:after="0"/>
        <w:tabs>
          <w:tab w:leader="none" w:pos="968" w:val="left"/>
        </w:tabs>
        <w:numPr>
          <w:ilvl w:val="1"/>
          <w:numId w:val="111"/>
        </w:numPr>
        <w:rPr>
          <w:rFonts w:ascii="Arial" w:cs="Arial" w:eastAsia="Arial" w:hAnsi="Arial"/>
          <w:sz w:val="18"/>
          <w:szCs w:val="18"/>
          <w:color w:val="auto"/>
        </w:rPr>
      </w:pPr>
      <w:r>
        <w:rPr>
          <w:rFonts w:ascii="Arial" w:cs="Arial" w:eastAsia="Arial" w:hAnsi="Arial"/>
          <w:sz w:val="18"/>
          <w:szCs w:val="18"/>
          <w:u w:val="single" w:color="auto"/>
          <w:color w:val="auto"/>
        </w:rPr>
        <w:t>Non-Grandfathered Deferral Amounts</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jc w:val="both"/>
        <w:ind w:left="1628" w:hanging="422"/>
        <w:spacing w:after="0" w:line="236" w:lineRule="auto"/>
        <w:tabs>
          <w:tab w:leader="none" w:pos="1628" w:val="left"/>
        </w:tabs>
        <w:numPr>
          <w:ilvl w:val="2"/>
          <w:numId w:val="111"/>
        </w:numPr>
        <w:rPr>
          <w:rFonts w:ascii="Arial" w:cs="Arial" w:eastAsia="Arial" w:hAnsi="Arial"/>
          <w:sz w:val="18"/>
          <w:szCs w:val="18"/>
          <w:color w:val="auto"/>
        </w:rPr>
      </w:pPr>
      <w:r>
        <w:rPr>
          <w:rFonts w:ascii="Arial" w:cs="Arial" w:eastAsia="Arial" w:hAnsi="Arial"/>
          <w:sz w:val="18"/>
          <w:szCs w:val="18"/>
          <w:u w:val="single" w:color="auto"/>
          <w:color w:val="auto"/>
        </w:rPr>
        <w:t>Deferral Amounts Credited for Plan Years On and After January 1, 2006</w:t>
      </w:r>
      <w:r>
        <w:rPr>
          <w:rFonts w:ascii="Arial" w:cs="Arial" w:eastAsia="Arial" w:hAnsi="Arial"/>
          <w:sz w:val="18"/>
          <w:szCs w:val="18"/>
          <w:color w:val="auto"/>
        </w:rPr>
        <w:t>. Deferral Amounts credited to a Participant’s Non-Grandfathered Account for Plan Years beginning on or after January 1, 2006, and Deferral Amounts under Paragraph 4(a) credited to a Participant’s Non-Grandfathered Account in 2006 for the Election filed by the Participant for the 2005 Plan Year, shall accrue Interest Equivalents at an annual rate based upon the cost to the Corporation of borrowing at a fixed rate for a 15-year term. Such rate is subject to change from Plan Year to Plan Year with respect to amounts credited to a Participant’s Non-Grandfathered Account for a particular Plan Year and shall be determined annually by the Chief Financial Officer of the Corporation in consultation with the Treasurer of the Corporation prior to January 1 of each Plan Year. Interest Equivalents described in this clause (i) shall be vested at the time such amounts are credited to the Participant’s Non-Grandfathered Account. All Interest Equivalents credited to the Participant’s Non-Grandfathered Account pursuant to this clause (i) shall be paid at the same time and in the same form as the corresponding Deferral Amounts for which the Interest Equivalents relate. The rate of notional interest established hereunder is set forth on Schedule A attached hereto and made a part hereof.</w:t>
      </w:r>
    </w:p>
    <w:p>
      <w:pPr>
        <w:spacing w:after="0" w:line="230" w:lineRule="exact"/>
        <w:rPr>
          <w:rFonts w:ascii="Arial" w:cs="Arial" w:eastAsia="Arial" w:hAnsi="Arial"/>
          <w:sz w:val="18"/>
          <w:szCs w:val="18"/>
          <w:color w:val="auto"/>
        </w:rPr>
      </w:pPr>
    </w:p>
    <w:p>
      <w:pPr>
        <w:jc w:val="both"/>
        <w:ind w:left="1628" w:hanging="462"/>
        <w:spacing w:after="0" w:line="237" w:lineRule="auto"/>
        <w:tabs>
          <w:tab w:leader="none" w:pos="1628" w:val="left"/>
        </w:tabs>
        <w:numPr>
          <w:ilvl w:val="2"/>
          <w:numId w:val="111"/>
        </w:numPr>
        <w:rPr>
          <w:rFonts w:ascii="Arial" w:cs="Arial" w:eastAsia="Arial" w:hAnsi="Arial"/>
          <w:sz w:val="18"/>
          <w:szCs w:val="18"/>
          <w:color w:val="auto"/>
        </w:rPr>
      </w:pPr>
      <w:r>
        <w:rPr>
          <w:rFonts w:ascii="Arial" w:cs="Arial" w:eastAsia="Arial" w:hAnsi="Arial"/>
          <w:sz w:val="18"/>
          <w:szCs w:val="18"/>
          <w:u w:val="single" w:color="auto"/>
          <w:color w:val="auto"/>
        </w:rPr>
        <w:t>Deferral Amounts Credited for the 2005 Plan Year</w:t>
      </w:r>
      <w:r>
        <w:rPr>
          <w:rFonts w:ascii="Arial" w:cs="Arial" w:eastAsia="Arial" w:hAnsi="Arial"/>
          <w:sz w:val="18"/>
          <w:szCs w:val="18"/>
          <w:color w:val="auto"/>
        </w:rPr>
        <w:t>. Deferral Amounts under Paragraph 4(b) credited to a Participant’s Non-Grandfathered Account in the 2005 Plan Year for the Election filed by the Participant for the 2005 Plan Year shall accrue Interest Equivalents at a single rate established by the Committee, in its sole discretion. Such rate is subject to change from Plan Year to Plan Year with respect to amounts credited to a Participant’s Non-Grandfathered Account for the 2005 Plan Year and shall be determined annually by the Chief Financial Officer of the Corporation in consultation with the Treasurer of the Corporation prior to January 1 of each Plan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08"/>
          </w:cols>
          <w:pgMar w:left="652" w:top="1435" w:right="339" w:bottom="1440" w:gutter="0" w:footer="0" w:header="0"/>
        </w:sectPr>
      </w:pPr>
    </w:p>
    <w:bookmarkStart w:id="165" w:name="page166"/>
    <w:bookmarkEnd w:id="165"/>
    <w:p>
      <w:pPr>
        <w:spacing w:after="0" w:line="238" w:lineRule="exact"/>
        <w:rPr>
          <w:sz w:val="20"/>
          <w:szCs w:val="20"/>
          <w:color w:val="auto"/>
        </w:rPr>
      </w:pPr>
    </w:p>
    <w:p>
      <w:pPr>
        <w:jc w:val="both"/>
        <w:ind w:left="980"/>
        <w:spacing w:after="0" w:line="236" w:lineRule="auto"/>
        <w:rPr>
          <w:sz w:val="20"/>
          <w:szCs w:val="20"/>
          <w:color w:val="auto"/>
        </w:rPr>
      </w:pPr>
      <w:r>
        <w:rPr>
          <w:rFonts w:ascii="Arial" w:cs="Arial" w:eastAsia="Arial" w:hAnsi="Arial"/>
          <w:sz w:val="18"/>
          <w:szCs w:val="18"/>
          <w:color w:val="auto"/>
        </w:rPr>
        <w:t>The rate of notional interest established hereunder is set forth on Schedule A attached hereto and made a part hereof. Any portion of such rate designated as the “Contingent Rate” became nonforfeitable only if the Participant was still employed by the Corporation or any affiliate at the end of the third full calendar year in which the Deferral Amount related; provided, however, if a Participant terminated employment with the Corporation or an affiliate prior to such date for reasons other than gross cause, the Committee treated such portion as nonforfeitable if the Participant’s employment with the Corporation or an affiliate was involuntarily terminated (including a termination for “good reason” under any applicable severance plan of the Corporation or an affiliate) or terminated for such reasons as the Committee determined from time to time in its sole discretion. All Interest Equivalents credited to the Participant’s Non-Grandfathered Account pursuant to this clause (ii) shall be paid at the same time and in the same form as the corresponding Deferral Amounts for which the Interest Equivalents relate.</w:t>
      </w:r>
    </w:p>
    <w:p>
      <w:pPr>
        <w:spacing w:after="0" w:line="233" w:lineRule="exact"/>
        <w:rPr>
          <w:sz w:val="20"/>
          <w:szCs w:val="20"/>
          <w:color w:val="auto"/>
        </w:rPr>
      </w:pPr>
    </w:p>
    <w:p>
      <w:pPr>
        <w:jc w:val="both"/>
        <w:ind w:left="980" w:hanging="502"/>
        <w:spacing w:after="0" w:line="238" w:lineRule="auto"/>
        <w:tabs>
          <w:tab w:leader="none" w:pos="980" w:val="left"/>
        </w:tabs>
        <w:numPr>
          <w:ilvl w:val="1"/>
          <w:numId w:val="112"/>
        </w:numPr>
        <w:rPr>
          <w:rFonts w:ascii="Arial" w:cs="Arial" w:eastAsia="Arial" w:hAnsi="Arial"/>
          <w:sz w:val="18"/>
          <w:szCs w:val="18"/>
          <w:color w:val="auto"/>
        </w:rPr>
      </w:pPr>
      <w:r>
        <w:rPr>
          <w:rFonts w:ascii="Arial" w:cs="Arial" w:eastAsia="Arial" w:hAnsi="Arial"/>
          <w:sz w:val="18"/>
          <w:szCs w:val="18"/>
          <w:u w:val="single" w:color="auto"/>
          <w:color w:val="auto"/>
        </w:rPr>
        <w:t>2002-2004 Deferrals</w:t>
      </w:r>
      <w:r>
        <w:rPr>
          <w:rFonts w:ascii="Arial" w:cs="Arial" w:eastAsia="Arial" w:hAnsi="Arial"/>
          <w:sz w:val="18"/>
          <w:szCs w:val="18"/>
          <w:color w:val="auto"/>
        </w:rPr>
        <w:t>. 2002-2004 Deferrals shall accrue Interest Equivalents at a single rate established by the Committee, in its sole discretion. The rate established by the Committee did not exceed the greater of (i) 10% or (ii) 200% of the 10-year U.S. Treasury Bond rate at the time of determination. Such Interest Equivalents, once established for a Plan Year, shall remain in effect with respect to Deferral Amounts credited to the Participant’s Non-Grandfathered Account for each such Plan Year until the Deferral Amounts are distributed.</w:t>
      </w:r>
    </w:p>
    <w:p>
      <w:pPr>
        <w:spacing w:after="0" w:line="229" w:lineRule="exact"/>
        <w:rPr>
          <w:rFonts w:ascii="Arial" w:cs="Arial" w:eastAsia="Arial" w:hAnsi="Arial"/>
          <w:sz w:val="18"/>
          <w:szCs w:val="18"/>
          <w:color w:val="auto"/>
        </w:rPr>
      </w:pPr>
    </w:p>
    <w:p>
      <w:pPr>
        <w:jc w:val="both"/>
        <w:ind w:left="980"/>
        <w:spacing w:after="0" w:line="236" w:lineRule="auto"/>
        <w:rPr>
          <w:rFonts w:ascii="Arial" w:cs="Arial" w:eastAsia="Arial" w:hAnsi="Arial"/>
          <w:sz w:val="18"/>
          <w:szCs w:val="18"/>
          <w:color w:val="auto"/>
        </w:rPr>
      </w:pPr>
      <w:r>
        <w:rPr>
          <w:rFonts w:ascii="Arial" w:cs="Arial" w:eastAsia="Arial" w:hAnsi="Arial"/>
          <w:sz w:val="18"/>
          <w:szCs w:val="18"/>
          <w:color w:val="auto"/>
        </w:rPr>
        <w:t>The rate of notional interest established hereunder is set forth on Schedule A attached hereto and made a part hereof. Any portion of such rate designated as the “Contingent Rate” became nonforfeitable only if the Participant was still employed by the Corporation or any affiliate at the end of the third full calendar year in which the Deferral Amount related, provided, however, if a Participant had a Separation from Service with the Corporation or an affiliate before such date for reasons other than gross cause, the Committee treated such portion as nonforfeitable if the Participant’s employment with the Corporation or an affiliate was involuntarily terminated (including a termination for “good reason” under any applicable severance plan of the Corporation or an affiliate) or was terminated for such reasons as the Committee determined from time to time in its sole discretion.</w:t>
      </w:r>
    </w:p>
    <w:p>
      <w:pPr>
        <w:spacing w:after="0" w:line="234" w:lineRule="exact"/>
        <w:rPr>
          <w:rFonts w:ascii="Arial" w:cs="Arial" w:eastAsia="Arial" w:hAnsi="Arial"/>
          <w:sz w:val="18"/>
          <w:szCs w:val="18"/>
          <w:color w:val="auto"/>
        </w:rPr>
      </w:pPr>
    </w:p>
    <w:p>
      <w:pPr>
        <w:jc w:val="both"/>
        <w:ind w:left="980"/>
        <w:spacing w:after="0" w:line="237" w:lineRule="auto"/>
        <w:rPr>
          <w:rFonts w:ascii="Arial" w:cs="Arial" w:eastAsia="Arial" w:hAnsi="Arial"/>
          <w:sz w:val="18"/>
          <w:szCs w:val="18"/>
          <w:color w:val="auto"/>
        </w:rPr>
      </w:pPr>
      <w:r>
        <w:rPr>
          <w:rFonts w:ascii="Arial" w:cs="Arial" w:eastAsia="Arial" w:hAnsi="Arial"/>
          <w:sz w:val="18"/>
          <w:szCs w:val="18"/>
          <w:color w:val="auto"/>
        </w:rPr>
        <w:t>Notwithstanding the preceding sentence, if a Participant withdrew any portion of the Deferral Amount before the end of the third full calendar year following the calendar year to which the Deferral Amount relates, the amount of Contingent Rate interest credited with respect to such Deferral Amount at the time of withdrawal remains credited to such Account subject to the provisions of the preceding sentence but shall not be credited with any Interest Equivalents after such date (“Frozen Contingent Interest”). Notwithstanding anything in the Plan to the contrary, from and after the occurrence of a Change in Control (as defined below), the rate at which Deferral Amounts accrue Interest Equivalents may not be decreased.</w:t>
      </w:r>
    </w:p>
    <w:p>
      <w:pPr>
        <w:spacing w:after="0" w:line="229" w:lineRule="exact"/>
        <w:rPr>
          <w:rFonts w:ascii="Arial" w:cs="Arial" w:eastAsia="Arial" w:hAnsi="Arial"/>
          <w:sz w:val="18"/>
          <w:szCs w:val="18"/>
          <w:color w:val="auto"/>
        </w:rPr>
      </w:pPr>
    </w:p>
    <w:p>
      <w:pPr>
        <w:jc w:val="both"/>
        <w:ind w:left="320" w:hanging="320"/>
        <w:spacing w:after="0" w:line="238" w:lineRule="auto"/>
        <w:tabs>
          <w:tab w:leader="none" w:pos="308"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Grandfathered Deferral Amounts</w:t>
      </w:r>
      <w:r>
        <w:rPr>
          <w:rFonts w:ascii="Arial" w:cs="Arial" w:eastAsia="Arial" w:hAnsi="Arial"/>
          <w:sz w:val="18"/>
          <w:szCs w:val="18"/>
          <w:color w:val="auto"/>
        </w:rPr>
        <w:t>. Deferral Amounts credited to a Participant’s Grandfathered Account shall accrue Interest Equivalents at a single rate established by the Committee, in its sole discretion, for all Deferral Amounts credited to such Grandfathered Account in each calendar year. The rate established by the Committee did not exceed the greater of (i) 10% or (ii) 200% of the 10-year U.S. Treasury Bond rate at the time of determination. Such Interest Equivalents, once established for a Plan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260"/>
          </w:cols>
          <w:pgMar w:left="1300" w:top="1440" w:right="339" w:bottom="1440" w:gutter="0" w:footer="0" w:header="0"/>
        </w:sectPr>
      </w:pPr>
    </w:p>
    <w:bookmarkStart w:id="166" w:name="page167"/>
    <w:bookmarkEnd w:id="166"/>
    <w:p>
      <w:pPr>
        <w:jc w:val="both"/>
        <w:ind w:left="968"/>
        <w:spacing w:after="0" w:line="246" w:lineRule="auto"/>
        <w:rPr>
          <w:sz w:val="20"/>
          <w:szCs w:val="20"/>
          <w:color w:val="auto"/>
        </w:rPr>
      </w:pPr>
      <w:r>
        <w:rPr>
          <w:rFonts w:ascii="Arial" w:cs="Arial" w:eastAsia="Arial" w:hAnsi="Arial"/>
          <w:sz w:val="18"/>
          <w:szCs w:val="18"/>
          <w:color w:val="auto"/>
        </w:rPr>
        <w:t>shall remain in effect with respect to Deferral Amounts credited to the Participant’s Grandfathered Account during such Plan Year until the Deferral Amounts are distributed.</w:t>
      </w:r>
    </w:p>
    <w:p>
      <w:pPr>
        <w:spacing w:after="0" w:line="224" w:lineRule="exact"/>
        <w:rPr>
          <w:sz w:val="20"/>
          <w:szCs w:val="20"/>
          <w:color w:val="auto"/>
        </w:rPr>
      </w:pPr>
    </w:p>
    <w:p>
      <w:pPr>
        <w:jc w:val="both"/>
        <w:ind w:left="968"/>
        <w:spacing w:after="0" w:line="236" w:lineRule="auto"/>
        <w:rPr>
          <w:sz w:val="20"/>
          <w:szCs w:val="20"/>
          <w:color w:val="auto"/>
        </w:rPr>
      </w:pPr>
      <w:r>
        <w:rPr>
          <w:rFonts w:ascii="Arial" w:cs="Arial" w:eastAsia="Arial" w:hAnsi="Arial"/>
          <w:sz w:val="18"/>
          <w:szCs w:val="18"/>
          <w:color w:val="auto"/>
        </w:rPr>
        <w:t>The rate of notional interest established hereunder is set forth on Schedule A attached hereto and made a part hereof. Any portion of such rate designated as the “Contingent Rate” became nonforfeitable only if the Participant was still employed by the Corporation or any affiliate at the end of the third full calendar year in which the Deferral Amount relates, provided, however, if a Participant terminated employment with the Corporation or an affiliate before such date for reasons other than gross cause, the Committee treated such portion as nonforfeitable if the Participant’s employment with the Corporation or an affiliate was involuntarily terminated (including a termination for “good reason” under any applicable severance plan of the Corporation or an affiliate) or was terminated for such reasons as the Committee determined from time to time in its sole discretion.</w:t>
      </w:r>
    </w:p>
    <w:p>
      <w:pPr>
        <w:spacing w:after="0" w:line="235" w:lineRule="exact"/>
        <w:rPr>
          <w:sz w:val="20"/>
          <w:szCs w:val="20"/>
          <w:color w:val="auto"/>
        </w:rPr>
      </w:pPr>
    </w:p>
    <w:p>
      <w:pPr>
        <w:jc w:val="both"/>
        <w:ind w:left="968"/>
        <w:spacing w:after="0" w:line="238" w:lineRule="auto"/>
        <w:rPr>
          <w:sz w:val="20"/>
          <w:szCs w:val="20"/>
          <w:color w:val="auto"/>
        </w:rPr>
      </w:pPr>
      <w:r>
        <w:rPr>
          <w:rFonts w:ascii="Arial" w:cs="Arial" w:eastAsia="Arial" w:hAnsi="Arial"/>
          <w:sz w:val="18"/>
          <w:szCs w:val="18"/>
          <w:color w:val="auto"/>
        </w:rPr>
        <w:t>Notwithstanding the preceding paragraph, if a Participant withdrew any portion of the Deferral Amount before the end of the third full calendar year following the calendar year to which the Deferral Amount relates, the amount of Contingent Rate interest credited with respect to such Deferral Amount at the time of withdrawal became Frozen Contingent Interest. Notwithstanding anything in the Plan to the contrary, from and after the occurrence of a Change in Control, the rate at which Deferral Amounts accrue Interest Equivalents may not be decreased.</w:t>
      </w:r>
    </w:p>
    <w:p>
      <w:pPr>
        <w:spacing w:after="0" w:line="229" w:lineRule="exact"/>
        <w:rPr>
          <w:sz w:val="20"/>
          <w:szCs w:val="20"/>
          <w:color w:val="auto"/>
        </w:rPr>
      </w:pPr>
    </w:p>
    <w:p>
      <w:pPr>
        <w:jc w:val="both"/>
        <w:ind w:left="328" w:hanging="328"/>
        <w:spacing w:after="0"/>
        <w:tabs>
          <w:tab w:leader="none" w:pos="316"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Participant Accounts</w:t>
      </w:r>
      <w:r>
        <w:rPr>
          <w:rFonts w:ascii="Arial" w:cs="Arial" w:eastAsia="Arial" w:hAnsi="Arial"/>
          <w:sz w:val="18"/>
          <w:szCs w:val="18"/>
          <w:color w:val="auto"/>
        </w:rPr>
        <w:t>. All amounts credited to a Participant’s Account pursuant to Paragraphs 4 and 6 shall be unfunded general obligations of the Corporation, and no Participant shall have any claim to or security interest in any asset of the Corporation on account thereof.</w:t>
      </w:r>
    </w:p>
    <w:p>
      <w:pPr>
        <w:spacing w:after="0" w:line="229" w:lineRule="exact"/>
        <w:rPr>
          <w:rFonts w:ascii="Arial" w:cs="Arial" w:eastAsia="Arial" w:hAnsi="Arial"/>
          <w:sz w:val="18"/>
          <w:szCs w:val="18"/>
          <w:color w:val="auto"/>
        </w:rPr>
      </w:pPr>
    </w:p>
    <w:p>
      <w:pPr>
        <w:ind w:left="308" w:hanging="308"/>
        <w:spacing w:after="0"/>
        <w:tabs>
          <w:tab w:leader="none" w:pos="308"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Distribution from Accounts</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jc w:val="both"/>
        <w:ind w:left="968" w:hanging="320"/>
        <w:spacing w:after="0" w:line="238" w:lineRule="auto"/>
        <w:tabs>
          <w:tab w:leader="none" w:pos="956" w:val="left"/>
        </w:tabs>
        <w:numPr>
          <w:ilvl w:val="1"/>
          <w:numId w:val="114"/>
        </w:numPr>
        <w:rPr>
          <w:rFonts w:ascii="Arial" w:cs="Arial" w:eastAsia="Arial" w:hAnsi="Arial"/>
          <w:sz w:val="18"/>
          <w:szCs w:val="18"/>
          <w:color w:val="auto"/>
        </w:rPr>
      </w:pPr>
      <w:r>
        <w:rPr>
          <w:rFonts w:ascii="Arial" w:cs="Arial" w:eastAsia="Arial" w:hAnsi="Arial"/>
          <w:sz w:val="18"/>
          <w:szCs w:val="18"/>
          <w:u w:val="single" w:color="auto"/>
          <w:color w:val="auto"/>
        </w:rPr>
        <w:t>Plan Years Beginning On and After January 1, 2006</w:t>
      </w:r>
      <w:r>
        <w:rPr>
          <w:rFonts w:ascii="Arial" w:cs="Arial" w:eastAsia="Arial" w:hAnsi="Arial"/>
          <w:sz w:val="18"/>
          <w:szCs w:val="18"/>
          <w:color w:val="auto"/>
        </w:rPr>
        <w:t>. Deferral Amounts and corresponding Interest Equivalents for Plan Years beginning on and after January 1, 2006 shall be paid to the Participant at the time and in the form as elected by the Participant on his Election or pursuant to Paragraph 3(b), as applicable, for such Plan Year in accordance with the requirements of Paragraph 5(a).</w:t>
      </w:r>
    </w:p>
    <w:p>
      <w:pPr>
        <w:spacing w:after="0" w:line="231" w:lineRule="exact"/>
        <w:rPr>
          <w:rFonts w:ascii="Arial" w:cs="Arial" w:eastAsia="Arial" w:hAnsi="Arial"/>
          <w:sz w:val="18"/>
          <w:szCs w:val="18"/>
          <w:color w:val="auto"/>
        </w:rPr>
      </w:pPr>
    </w:p>
    <w:p>
      <w:pPr>
        <w:jc w:val="both"/>
        <w:ind w:left="968" w:hanging="320"/>
        <w:spacing w:after="0"/>
        <w:tabs>
          <w:tab w:leader="none" w:pos="956" w:val="left"/>
        </w:tabs>
        <w:numPr>
          <w:ilvl w:val="1"/>
          <w:numId w:val="114"/>
        </w:numPr>
        <w:rPr>
          <w:rFonts w:ascii="Arial" w:cs="Arial" w:eastAsia="Arial" w:hAnsi="Arial"/>
          <w:sz w:val="18"/>
          <w:szCs w:val="18"/>
          <w:color w:val="auto"/>
        </w:rPr>
      </w:pPr>
      <w:r>
        <w:rPr>
          <w:rFonts w:ascii="Arial" w:cs="Arial" w:eastAsia="Arial" w:hAnsi="Arial"/>
          <w:sz w:val="18"/>
          <w:szCs w:val="18"/>
          <w:u w:val="single" w:color="auto"/>
          <w:color w:val="auto"/>
        </w:rPr>
        <w:t>2005 Plan Year</w:t>
      </w:r>
      <w:r>
        <w:rPr>
          <w:rFonts w:ascii="Arial" w:cs="Arial" w:eastAsia="Arial" w:hAnsi="Arial"/>
          <w:sz w:val="18"/>
          <w:szCs w:val="18"/>
          <w:color w:val="auto"/>
        </w:rPr>
        <w:t>. Deferral Amounts and corresponding Interest Equivalents for the Plan Year beginning on January 1, 2005 shall be paid to the Participant at the time and in the form as elected by the Participant on his Election for such Plan Year in accordance with the requirements of Paragraph 5(b).</w:t>
      </w:r>
    </w:p>
    <w:p>
      <w:pPr>
        <w:spacing w:after="0" w:line="229" w:lineRule="exact"/>
        <w:rPr>
          <w:rFonts w:ascii="Arial" w:cs="Arial" w:eastAsia="Arial" w:hAnsi="Arial"/>
          <w:sz w:val="18"/>
          <w:szCs w:val="18"/>
          <w:color w:val="auto"/>
        </w:rPr>
      </w:pPr>
    </w:p>
    <w:p>
      <w:pPr>
        <w:ind w:left="968" w:hanging="320"/>
        <w:spacing w:after="0"/>
        <w:tabs>
          <w:tab w:leader="none" w:pos="968" w:val="left"/>
        </w:tabs>
        <w:numPr>
          <w:ilvl w:val="1"/>
          <w:numId w:val="114"/>
        </w:numPr>
        <w:rPr>
          <w:rFonts w:ascii="Arial" w:cs="Arial" w:eastAsia="Arial" w:hAnsi="Arial"/>
          <w:sz w:val="18"/>
          <w:szCs w:val="18"/>
          <w:color w:val="auto"/>
        </w:rPr>
      </w:pPr>
      <w:r>
        <w:rPr>
          <w:rFonts w:ascii="Arial" w:cs="Arial" w:eastAsia="Arial" w:hAnsi="Arial"/>
          <w:sz w:val="18"/>
          <w:szCs w:val="18"/>
          <w:u w:val="single" w:color="auto"/>
          <w:color w:val="auto"/>
        </w:rPr>
        <w:t>Plan Years Beginning Prior to January 1, 2005</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jc w:val="both"/>
        <w:ind w:left="1628" w:hanging="422"/>
        <w:spacing w:after="0"/>
        <w:tabs>
          <w:tab w:leader="none" w:pos="1628" w:val="left"/>
        </w:tabs>
        <w:numPr>
          <w:ilvl w:val="2"/>
          <w:numId w:val="114"/>
        </w:numPr>
        <w:rPr>
          <w:rFonts w:ascii="Arial" w:cs="Arial" w:eastAsia="Arial" w:hAnsi="Arial"/>
          <w:sz w:val="18"/>
          <w:szCs w:val="18"/>
          <w:color w:val="auto"/>
        </w:rPr>
      </w:pPr>
      <w:r>
        <w:rPr>
          <w:rFonts w:ascii="Arial" w:cs="Arial" w:eastAsia="Arial" w:hAnsi="Arial"/>
          <w:sz w:val="18"/>
          <w:szCs w:val="18"/>
          <w:u w:val="single" w:color="auto"/>
          <w:color w:val="auto"/>
        </w:rPr>
        <w:t>Grandfathered Accounts</w:t>
      </w:r>
      <w:r>
        <w:rPr>
          <w:rFonts w:ascii="Arial" w:cs="Arial" w:eastAsia="Arial" w:hAnsi="Arial"/>
          <w:sz w:val="18"/>
          <w:szCs w:val="18"/>
          <w:color w:val="auto"/>
        </w:rPr>
        <w:t>. Deferral Amounts and corresponding Interest Equivalents credited to a Participant’s Grandfathered Account shall be paid to a Participant at the time and in the form as elected by the Participant on his Election for such Plan Years in accordance with the requirements of subparagraph 5(c)(i).</w:t>
      </w:r>
    </w:p>
    <w:p>
      <w:pPr>
        <w:spacing w:after="0" w:line="229" w:lineRule="exact"/>
        <w:rPr>
          <w:rFonts w:ascii="Arial" w:cs="Arial" w:eastAsia="Arial" w:hAnsi="Arial"/>
          <w:sz w:val="18"/>
          <w:szCs w:val="18"/>
          <w:color w:val="auto"/>
        </w:rPr>
      </w:pPr>
    </w:p>
    <w:p>
      <w:pPr>
        <w:jc w:val="both"/>
        <w:ind w:left="1628" w:hanging="462"/>
        <w:spacing w:after="0"/>
        <w:tabs>
          <w:tab w:leader="none" w:pos="1628" w:val="left"/>
        </w:tabs>
        <w:numPr>
          <w:ilvl w:val="2"/>
          <w:numId w:val="114"/>
        </w:numPr>
        <w:rPr>
          <w:rFonts w:ascii="Arial" w:cs="Arial" w:eastAsia="Arial" w:hAnsi="Arial"/>
          <w:sz w:val="18"/>
          <w:szCs w:val="18"/>
          <w:color w:val="auto"/>
        </w:rPr>
      </w:pPr>
      <w:r>
        <w:rPr>
          <w:rFonts w:ascii="Arial" w:cs="Arial" w:eastAsia="Arial" w:hAnsi="Arial"/>
          <w:sz w:val="18"/>
          <w:szCs w:val="18"/>
          <w:u w:val="single" w:color="auto"/>
          <w:color w:val="auto"/>
        </w:rPr>
        <w:t>Non-Grandfathered Accounts</w:t>
      </w:r>
      <w:r>
        <w:rPr>
          <w:rFonts w:ascii="Arial" w:cs="Arial" w:eastAsia="Arial" w:hAnsi="Arial"/>
          <w:sz w:val="18"/>
          <w:szCs w:val="18"/>
          <w:color w:val="auto"/>
        </w:rPr>
        <w:t>. 2002-2004 Deferrals shall be paid to a Participant at the time and in the form as elected by the Participant on his Election for such Plan Years in accordance with the requirements of subparagraph 5(c)(ii).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08"/>
          </w:cols>
          <w:pgMar w:left="652" w:top="1435" w:right="339" w:bottom="1440" w:gutter="0" w:footer="0" w:header="0"/>
        </w:sectPr>
      </w:pPr>
    </w:p>
    <w:bookmarkStart w:id="167" w:name="page168"/>
    <w:bookmarkEnd w:id="167"/>
    <w:p>
      <w:pPr>
        <w:jc w:val="both"/>
        <w:ind w:left="1628" w:hanging="502"/>
        <w:spacing w:after="0" w:line="237" w:lineRule="auto"/>
        <w:tabs>
          <w:tab w:leader="none" w:pos="1628" w:val="left"/>
        </w:tabs>
        <w:numPr>
          <w:ilvl w:val="2"/>
          <w:numId w:val="115"/>
        </w:numPr>
        <w:rPr>
          <w:rFonts w:ascii="Arial" w:cs="Arial" w:eastAsia="Arial" w:hAnsi="Arial"/>
          <w:sz w:val="18"/>
          <w:szCs w:val="18"/>
          <w:color w:val="auto"/>
        </w:rPr>
      </w:pPr>
      <w:r>
        <w:rPr>
          <w:rFonts w:ascii="Arial" w:cs="Arial" w:eastAsia="Arial" w:hAnsi="Arial"/>
          <w:sz w:val="18"/>
          <w:szCs w:val="18"/>
          <w:u w:val="single" w:color="auto"/>
          <w:color w:val="auto"/>
        </w:rPr>
        <w:t>Special Election Change Applicable to Grandfathered Accounts</w:t>
      </w:r>
      <w:r>
        <w:rPr>
          <w:rFonts w:ascii="Arial" w:cs="Arial" w:eastAsia="Arial" w:hAnsi="Arial"/>
          <w:sz w:val="18"/>
          <w:szCs w:val="18"/>
          <w:color w:val="auto"/>
        </w:rPr>
        <w:t>. The Corporation may from time to time allow Participants to request new elections with respect to the distribution of Deferral Amounts and Interest Equivalents credited to their Grandfathered Accounts (other than any such amounts currently payable to a Participant). The Corporation shall reserve the right to accept or reject any such request at any time and such election shall be subject to such restrictions and limitations as the Corporation shall determine in its sole discretion, provided that any new election shall generally be required to be made at least 12 months prior to any scheduled payment date.</w:t>
      </w:r>
    </w:p>
    <w:p>
      <w:pPr>
        <w:spacing w:after="0" w:line="231" w:lineRule="exact"/>
        <w:rPr>
          <w:rFonts w:ascii="Arial" w:cs="Arial" w:eastAsia="Arial" w:hAnsi="Arial"/>
          <w:sz w:val="18"/>
          <w:szCs w:val="18"/>
          <w:color w:val="auto"/>
        </w:rPr>
      </w:pPr>
    </w:p>
    <w:p>
      <w:pPr>
        <w:ind w:left="968" w:hanging="320"/>
        <w:spacing w:after="0"/>
        <w:tabs>
          <w:tab w:leader="none" w:pos="968" w:val="left"/>
        </w:tabs>
        <w:numPr>
          <w:ilvl w:val="1"/>
          <w:numId w:val="116"/>
        </w:numPr>
        <w:rPr>
          <w:rFonts w:ascii="Arial" w:cs="Arial" w:eastAsia="Arial" w:hAnsi="Arial"/>
          <w:sz w:val="18"/>
          <w:szCs w:val="18"/>
          <w:color w:val="auto"/>
        </w:rPr>
      </w:pPr>
      <w:r>
        <w:rPr>
          <w:rFonts w:ascii="Arial" w:cs="Arial" w:eastAsia="Arial" w:hAnsi="Arial"/>
          <w:sz w:val="18"/>
          <w:szCs w:val="18"/>
          <w:u w:val="single" w:color="auto"/>
          <w:color w:val="auto"/>
        </w:rPr>
        <w:t>Type of Distribution</w:t>
      </w:r>
      <w:r>
        <w:rPr>
          <w:rFonts w:ascii="Arial" w:cs="Arial" w:eastAsia="Arial" w:hAnsi="Arial"/>
          <w:sz w:val="18"/>
          <w:szCs w:val="18"/>
          <w:color w:val="auto"/>
        </w:rPr>
        <w:t>. All distributions from this Plan shall be paid in cash.</w:t>
      </w:r>
    </w:p>
    <w:p>
      <w:pPr>
        <w:spacing w:after="0" w:line="238" w:lineRule="exact"/>
        <w:rPr>
          <w:rFonts w:ascii="Arial" w:cs="Arial" w:eastAsia="Arial" w:hAnsi="Arial"/>
          <w:sz w:val="18"/>
          <w:szCs w:val="18"/>
          <w:color w:val="auto"/>
        </w:rPr>
      </w:pPr>
    </w:p>
    <w:p>
      <w:pPr>
        <w:jc w:val="both"/>
        <w:ind w:left="328" w:hanging="328"/>
        <w:spacing w:after="0" w:line="237" w:lineRule="auto"/>
        <w:tabs>
          <w:tab w:leader="none" w:pos="316"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Distribution on Death</w:t>
      </w:r>
      <w:r>
        <w:rPr>
          <w:rFonts w:ascii="Arial" w:cs="Arial" w:eastAsia="Arial" w:hAnsi="Arial"/>
          <w:sz w:val="18"/>
          <w:szCs w:val="18"/>
          <w:color w:val="auto"/>
        </w:rPr>
        <w:t>. If a Participant dies after payments under this Plan have commenced but before all amounts credited to the Participant’s Account have been distributed, the balance in the Account shall be paid as soon as practicable thereafter to the beneficiary designated in writing by the Participant, but not later than 60 days after the date of the Participant’s death. Payment to a beneficiary pursuant to a designation by a Participant shall be made in one lump sum cash payment. Such beneficiary designations shall be effective when received by the Corporation and shall remain in effect until rescinded or modified by the Participant by an appropriate written direction.</w:t>
      </w:r>
    </w:p>
    <w:p>
      <w:pPr>
        <w:spacing w:after="0" w:line="231" w:lineRule="exact"/>
        <w:rPr>
          <w:rFonts w:ascii="Arial" w:cs="Arial" w:eastAsia="Arial" w:hAnsi="Arial"/>
          <w:sz w:val="18"/>
          <w:szCs w:val="18"/>
          <w:color w:val="auto"/>
        </w:rPr>
      </w:pPr>
    </w:p>
    <w:p>
      <w:pPr>
        <w:jc w:val="both"/>
        <w:ind w:left="328"/>
        <w:spacing w:after="0" w:line="238" w:lineRule="auto"/>
        <w:rPr>
          <w:rFonts w:ascii="Arial" w:cs="Arial" w:eastAsia="Arial" w:hAnsi="Arial"/>
          <w:sz w:val="18"/>
          <w:szCs w:val="18"/>
          <w:color w:val="auto"/>
        </w:rPr>
      </w:pPr>
      <w:r>
        <w:rPr>
          <w:rFonts w:ascii="Arial" w:cs="Arial" w:eastAsia="Arial" w:hAnsi="Arial"/>
          <w:sz w:val="18"/>
          <w:szCs w:val="18"/>
          <w:color w:val="auto"/>
        </w:rPr>
        <w:t>Separate beneficiary designations shall be made for Incentive Awards deferred under Paragraph 4(a) and Interest Equivalents credited on such amounts and for Base Annual Salary deferred under Paragraph 4(b) and Interest Equivalents credited on such amounts. If no beneficiary is properly designated by the Participant for one or both portions of the Account, or if the designated beneficiary has predeceased the Participant, such balance in the applicable portion of the Account shall be paid to the estate of the Participant.</w:t>
      </w:r>
    </w:p>
    <w:p>
      <w:pPr>
        <w:spacing w:after="0" w:line="229" w:lineRule="exact"/>
        <w:rPr>
          <w:rFonts w:ascii="Arial" w:cs="Arial" w:eastAsia="Arial" w:hAnsi="Arial"/>
          <w:sz w:val="18"/>
          <w:szCs w:val="18"/>
          <w:color w:val="auto"/>
        </w:rPr>
      </w:pPr>
    </w:p>
    <w:p>
      <w:pPr>
        <w:jc w:val="both"/>
        <w:ind w:left="328" w:hanging="328"/>
        <w:spacing w:after="0" w:line="235" w:lineRule="auto"/>
        <w:tabs>
          <w:tab w:leader="none" w:pos="321"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Payment in the Event of Hardship</w:t>
      </w:r>
      <w:r>
        <w:rPr>
          <w:rFonts w:ascii="Arial" w:cs="Arial" w:eastAsia="Arial" w:hAnsi="Arial"/>
          <w:sz w:val="18"/>
          <w:szCs w:val="18"/>
          <w:color w:val="auto"/>
        </w:rPr>
        <w:t>. For Deferral Amounts and Interest Equivalents credited to a Participant’s Grandfathered Account, upon receipt of a request from a Participant, delivered in writing to the Corporation along with a hardship distribution form and supporting documentation of the hardship, the Senior Vice President – Human Resources and Communications (or his designee), may cause the Corporation to accelerate (or require the subsidiary of the Corporation which employs or employed the Participant to accelerate) payment of all or any part of the Deferral Amount and Interest Equivalents credited to the Participant’s Account, if it finds in its sole discretion that payment of such amounts in accordance with the Participant’s prior election under Paragraph 4 hereof would result in severe financial hardship to the Participant and such hardship is the result of an unforeseeable emergency caused by circumstances beyond the control of the Participant. An “unforeseeable emergency” means a severe financial hardship to the Participant resulting from (1) an illness or accident that occurs to the Participant, the Participant’s spouse or the Participant’s dependent (as defined in section 152(a) of the Code, (2) loss of the Participant’s property due to casualty, or (3) other similar extraordinary and unforeseeable circumstances arising as a result of events beyond the Participant’s control. The amount withdrawn cannot exceed the amount necessary to satisfy the emergency and estimated taxes the Participant will incur as a result of such distribution. Acceleration of payment may not be made under this Paragraph 10 to the extent that such hardship is or may be relieved (i) through reimbursement or compensation by insurance or otherwise, or (ii) by liquidation of the Participant’s assets, to the extent the liquidation of assets would not itself cause severe financial hardship.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08"/>
          </w:cols>
          <w:pgMar w:left="652" w:top="1435" w:right="339" w:bottom="1440" w:gutter="0" w:footer="0" w:header="0"/>
        </w:sectPr>
      </w:pPr>
    </w:p>
    <w:bookmarkStart w:id="168" w:name="page169"/>
    <w:bookmarkEnd w:id="168"/>
    <w:p>
      <w:pPr>
        <w:ind w:left="308" w:hanging="308"/>
        <w:spacing w:after="0"/>
        <w:tabs>
          <w:tab w:leader="none" w:pos="308"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jc w:val="both"/>
        <w:ind w:left="968" w:hanging="320"/>
        <w:spacing w:after="0" w:line="236" w:lineRule="auto"/>
        <w:tabs>
          <w:tab w:leader="none" w:pos="956" w:val="left"/>
        </w:tabs>
        <w:numPr>
          <w:ilvl w:val="1"/>
          <w:numId w:val="118"/>
        </w:numPr>
        <w:rPr>
          <w:rFonts w:ascii="Arial" w:cs="Arial" w:eastAsia="Arial" w:hAnsi="Arial"/>
          <w:sz w:val="18"/>
          <w:szCs w:val="18"/>
          <w:color w:val="auto"/>
        </w:rPr>
      </w:pPr>
      <w:r>
        <w:rPr>
          <w:rFonts w:ascii="Arial" w:cs="Arial" w:eastAsia="Arial" w:hAnsi="Arial"/>
          <w:sz w:val="18"/>
          <w:szCs w:val="18"/>
          <w:u w:val="single" w:color="auto"/>
          <w:color w:val="auto"/>
        </w:rPr>
        <w:t>Initial Lump Sum Election</w:t>
      </w:r>
      <w:r>
        <w:rPr>
          <w:rFonts w:ascii="Arial" w:cs="Arial" w:eastAsia="Arial" w:hAnsi="Arial"/>
          <w:sz w:val="18"/>
          <w:szCs w:val="18"/>
          <w:color w:val="auto"/>
        </w:rPr>
        <w:t>. Notwithstanding any election made pursuant to Paragraphs 4 and 5 hereof, a Participant (i) may file a written election with the Corporation to have the Deferral Amounts and Interest Equivalents credited to the Participant’s Grandfathered Account paid in one lump-sum payment as soon as practicable following a Change in Control (as defined below), but in no event later than 90 days after such Change in Control, and (ii) subject to Paragraph 3(b), may designate in his Election during the Open Enrollment Period for a particular Plan Year that Deferral Amounts and Interest Equivalents credited to the Participant’s Non-Grandfathered Account for such Plan Year be paid in one lump-sum payment within 90 days after such Change in Control. The Interest Equivalents on any Deferral Amount payable pursuant to this Paragraph 11(a) shall include the “Contingent Rate” credited to such Deferral Amount without regard to whether such amount has become nonforfeitable as provided in Paragraph 6 at the time the applicable Change in Control occurs.</w:t>
      </w:r>
    </w:p>
    <w:p>
      <w:pPr>
        <w:spacing w:after="0" w:line="233" w:lineRule="exact"/>
        <w:rPr>
          <w:rFonts w:ascii="Arial" w:cs="Arial" w:eastAsia="Arial" w:hAnsi="Arial"/>
          <w:sz w:val="18"/>
          <w:szCs w:val="18"/>
          <w:color w:val="auto"/>
        </w:rPr>
      </w:pPr>
    </w:p>
    <w:p>
      <w:pPr>
        <w:jc w:val="both"/>
        <w:ind w:left="968" w:hanging="320"/>
        <w:spacing w:after="0" w:line="237" w:lineRule="auto"/>
        <w:tabs>
          <w:tab w:leader="none" w:pos="956" w:val="left"/>
        </w:tabs>
        <w:numPr>
          <w:ilvl w:val="1"/>
          <w:numId w:val="118"/>
        </w:numPr>
        <w:rPr>
          <w:rFonts w:ascii="Arial" w:cs="Arial" w:eastAsia="Arial" w:hAnsi="Arial"/>
          <w:sz w:val="18"/>
          <w:szCs w:val="18"/>
          <w:color w:val="auto"/>
        </w:rPr>
      </w:pPr>
      <w:r>
        <w:rPr>
          <w:rFonts w:ascii="Arial" w:cs="Arial" w:eastAsia="Arial" w:hAnsi="Arial"/>
          <w:sz w:val="18"/>
          <w:szCs w:val="18"/>
          <w:u w:val="single" w:color="auto"/>
          <w:color w:val="auto"/>
        </w:rPr>
        <w:t>Revocation of Lump-Sum Election</w:t>
      </w:r>
      <w:r>
        <w:rPr>
          <w:rFonts w:ascii="Arial" w:cs="Arial" w:eastAsia="Arial" w:hAnsi="Arial"/>
          <w:sz w:val="18"/>
          <w:szCs w:val="18"/>
          <w:color w:val="auto"/>
        </w:rPr>
        <w:t>. A Participant may revoke an election made pursuant to clause (i) of Paragraph 11(a) (including an election not to be paid in one lump sum upon a Change in Control), but only for amounts credited to a Participant’s Grandfathered Account, by filing an appropriate written notice with the Corporation. A revocation notice filed pursuant to this Paragraph 11(b) shall be subject to such terms and conditions as the Corporation shall establish and shall be effective with respect to all of the Deferral Amounts and Interest Equivalents credited to a Participant’s Grandfathered Account. Any such election shall be subject to such restrictions and limitations as the Corporation shall determine in its sole discretion.</w:t>
      </w:r>
    </w:p>
    <w:p>
      <w:pPr>
        <w:spacing w:after="0" w:line="229" w:lineRule="exact"/>
        <w:rPr>
          <w:rFonts w:ascii="Arial" w:cs="Arial" w:eastAsia="Arial" w:hAnsi="Arial"/>
          <w:sz w:val="18"/>
          <w:szCs w:val="18"/>
          <w:color w:val="auto"/>
        </w:rPr>
      </w:pPr>
    </w:p>
    <w:p>
      <w:pPr>
        <w:jc w:val="both"/>
        <w:ind w:left="968" w:hanging="320"/>
        <w:spacing w:after="0"/>
        <w:tabs>
          <w:tab w:leader="none" w:pos="959" w:val="left"/>
        </w:tabs>
        <w:numPr>
          <w:ilvl w:val="1"/>
          <w:numId w:val="118"/>
        </w:numPr>
        <w:rPr>
          <w:rFonts w:ascii="Arial" w:cs="Arial" w:eastAsia="Arial" w:hAnsi="Arial"/>
          <w:sz w:val="18"/>
          <w:szCs w:val="18"/>
          <w:color w:val="auto"/>
        </w:rPr>
      </w:pPr>
      <w:r>
        <w:rPr>
          <w:rFonts w:ascii="Arial" w:cs="Arial" w:eastAsia="Arial" w:hAnsi="Arial"/>
          <w:sz w:val="18"/>
          <w:szCs w:val="18"/>
          <w:u w:val="single" w:color="auto"/>
          <w:color w:val="auto"/>
        </w:rPr>
        <w:t>Limitations on Elections</w:t>
      </w:r>
      <w:r>
        <w:rPr>
          <w:rFonts w:ascii="Arial" w:cs="Arial" w:eastAsia="Arial" w:hAnsi="Arial"/>
          <w:sz w:val="18"/>
          <w:szCs w:val="18"/>
          <w:color w:val="auto"/>
        </w:rPr>
        <w:t>. For purposes of a Participant’s election with respect to amounts covered by clause (i) of Paragraph 11(a) or a revocation of such election pursuant to Paragraph 11(b), such election shall not be effective unless filed with the Corporation at least 90 days prior to a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08"/>
          </w:cols>
          <w:pgMar w:left="652" w:top="1435" w:right="339" w:bottom="1440" w:gutter="0" w:footer="0" w:header="0"/>
        </w:sectPr>
      </w:pPr>
    </w:p>
    <w:bookmarkStart w:id="169" w:name="page170"/>
    <w:bookmarkEnd w:id="169"/>
    <w:p>
      <w:pPr>
        <w:jc w:val="both"/>
        <w:ind w:left="968" w:hanging="320"/>
        <w:spacing w:after="0" w:line="235" w:lineRule="auto"/>
        <w:tabs>
          <w:tab w:leader="none" w:pos="956" w:val="left"/>
        </w:tabs>
        <w:numPr>
          <w:ilvl w:val="1"/>
          <w:numId w:val="119"/>
        </w:numPr>
        <w:rPr>
          <w:rFonts w:ascii="Arial" w:cs="Arial" w:eastAsia="Arial" w:hAnsi="Arial"/>
          <w:sz w:val="18"/>
          <w:szCs w:val="18"/>
          <w:color w:val="auto"/>
        </w:rPr>
      </w:pPr>
      <w:r>
        <w:rPr>
          <w:rFonts w:ascii="Arial" w:cs="Arial" w:eastAsia="Arial" w:hAnsi="Arial"/>
          <w:sz w:val="18"/>
          <w:szCs w:val="18"/>
          <w:u w:val="single" w:color="auto"/>
          <w:color w:val="auto"/>
        </w:rPr>
        <w:t>Definition of Change in Control</w:t>
      </w:r>
      <w:r>
        <w:rPr>
          <w:rFonts w:ascii="Arial" w:cs="Arial" w:eastAsia="Arial" w:hAnsi="Arial"/>
          <w:sz w:val="18"/>
          <w:szCs w:val="18"/>
          <w:color w:val="auto"/>
        </w:rPr>
        <w:t>. For Plan Years beginning after April 1, 2018 and for purposes of the Plan, “Change in Control” means (a) any one person, or more than one person acting as a group (as defined under U.S. Department of Treasury Regulation (“Treasury Regulation”) § 1.409A-3(i)(5)(v)(B)) acquires ownership of stock of the Corporation that, together with stock held by such person or group, constitutes more than 50 percent of the total fair market value or total voting power of the stock of the Corporation; or (b) any one person, or more than one person acting as a group (as defined under Treasury Regulation § 1.409A-3(i)(5)(v)(B)) acquires (or has acquired during the 12-month period ending on the date of the most recent acquisition by such person or persons) ownership of stock of the Corporation possessing 30 percent or more of the total voting power of the stock of the Corporation; or (c) a majority of members of the Board of Directors of the Corporation (the “</w:t>
      </w:r>
      <w:r>
        <w:rPr>
          <w:rFonts w:ascii="Arial" w:cs="Arial" w:eastAsia="Arial" w:hAnsi="Arial"/>
          <w:sz w:val="18"/>
          <w:szCs w:val="18"/>
          <w:u w:val="single" w:color="auto"/>
          <w:color w:val="auto"/>
        </w:rPr>
        <w:t>Board</w:t>
      </w:r>
      <w:r>
        <w:rPr>
          <w:rFonts w:ascii="Arial" w:cs="Arial" w:eastAsia="Arial" w:hAnsi="Arial"/>
          <w:sz w:val="18"/>
          <w:szCs w:val="18"/>
          <w:color w:val="auto"/>
        </w:rPr>
        <w:t>”) is replaced during any 12-month period by directors whose appointment or election is not endorsed by a majority of the members of the Board before the date of the appointment or election; or (d) any one person, or more than one person acting as a group (as defined in Treasury Regulation § 1.409A-3(i)(5)(v)(B)) acquires (or has acquired during the 12-month period ending on the date of the most recent acquisition by such person or persons) assets from the Corporation and its subsidiaries on a consolidated basis that have a total gross fair market value equal to or more than 40 percent of the total gross fair market value of all of the assets of the Corporation and its subsidiaries on a consolidated basis immediately before such acquisition or acquisitions. For purposes of clause (d), “gross fair market value” means the value of the assets of the Corporation and its subsidiaries on a consolidated basis, or the value of the assets being disposed of, determined without regard to any liabilities associated with such assets. The foregoing clauses (a) through (d) shall be interpreted in a manner that is consistent with the Treasury Regulations promulgated pursuant to Section 409A of the Code so that all, and only, such transactions or events that could qualify as a “change in control event” within the meaning of Treasury Regulation § 1.409A-3(i)(5)(i) shall be deemed to be a Change in Control for purposes of this Plan.</w:t>
      </w:r>
    </w:p>
    <w:p>
      <w:pPr>
        <w:spacing w:after="0" w:line="239" w:lineRule="exact"/>
        <w:rPr>
          <w:rFonts w:ascii="Arial" w:cs="Arial" w:eastAsia="Arial" w:hAnsi="Arial"/>
          <w:sz w:val="18"/>
          <w:szCs w:val="18"/>
          <w:color w:val="auto"/>
        </w:rPr>
      </w:pPr>
    </w:p>
    <w:p>
      <w:pPr>
        <w:ind w:left="308" w:hanging="308"/>
        <w:spacing w:after="0"/>
        <w:tabs>
          <w:tab w:leader="none" w:pos="308"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Administration</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jc w:val="both"/>
        <w:ind w:left="968" w:hanging="320"/>
        <w:spacing w:after="0" w:line="236" w:lineRule="auto"/>
        <w:tabs>
          <w:tab w:leader="none" w:pos="956" w:val="left"/>
        </w:tabs>
        <w:numPr>
          <w:ilvl w:val="1"/>
          <w:numId w:val="120"/>
        </w:numPr>
        <w:rPr>
          <w:rFonts w:ascii="Arial" w:cs="Arial" w:eastAsia="Arial" w:hAnsi="Arial"/>
          <w:sz w:val="18"/>
          <w:szCs w:val="18"/>
          <w:color w:val="auto"/>
        </w:rPr>
      </w:pPr>
      <w:r>
        <w:rPr>
          <w:rFonts w:ascii="Arial" w:cs="Arial" w:eastAsia="Arial" w:hAnsi="Arial"/>
          <w:sz w:val="18"/>
          <w:szCs w:val="18"/>
          <w:u w:val="single" w:color="auto"/>
          <w:color w:val="auto"/>
        </w:rPr>
        <w:t>Plan Administrator</w:t>
      </w:r>
      <w:r>
        <w:rPr>
          <w:rFonts w:ascii="Arial" w:cs="Arial" w:eastAsia="Arial" w:hAnsi="Arial"/>
          <w:sz w:val="18"/>
          <w:szCs w:val="18"/>
          <w:color w:val="auto"/>
        </w:rPr>
        <w:t>. The Plan Administrator and “named fiduciary” for purposes of the Employee Income Retirement Security Act of 1974, as amended (“</w:t>
      </w:r>
      <w:r>
        <w:rPr>
          <w:rFonts w:ascii="Arial" w:cs="Arial" w:eastAsia="Arial" w:hAnsi="Arial"/>
          <w:sz w:val="18"/>
          <w:szCs w:val="18"/>
          <w:u w:val="single" w:color="auto"/>
          <w:color w:val="auto"/>
        </w:rPr>
        <w:t>ERISA</w:t>
      </w:r>
      <w:r>
        <w:rPr>
          <w:rFonts w:ascii="Arial" w:cs="Arial" w:eastAsia="Arial" w:hAnsi="Arial"/>
          <w:sz w:val="18"/>
          <w:szCs w:val="18"/>
          <w:color w:val="auto"/>
        </w:rPr>
        <w:t>”) shall be the Vice President - HR, Compensation &amp; Benefits of the Corporation (or the person acting in such capacity in the event such position is abolished, restructured or renamed). The Plan Administrator shall have the authority to appoint one or more other named fiduciaries of the Plan and to designate persons, other than named fiduciaries, to carry out fiduciary responsibilities under the Plan, pursuant to Section 405(c)(1)(B) of ERISA. Any person acting on behalf of the Plan Administrator shall serve without additional compensation. The Plan Administrator shall keep or cause to be kept such records and shall prepare or cause to be prepared such returns or reports as may be required by law or necessary for the proper administration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08"/>
          </w:cols>
          <w:pgMar w:left="652" w:top="1435" w:right="339" w:bottom="1440" w:gutter="0" w:footer="0" w:header="0"/>
        </w:sectPr>
      </w:pPr>
    </w:p>
    <w:bookmarkStart w:id="170" w:name="page171"/>
    <w:bookmarkEnd w:id="170"/>
    <w:p>
      <w:pPr>
        <w:jc w:val="both"/>
        <w:ind w:left="968" w:hanging="320"/>
        <w:spacing w:after="0" w:line="236" w:lineRule="auto"/>
        <w:tabs>
          <w:tab w:leader="none" w:pos="956" w:val="left"/>
        </w:tabs>
        <w:numPr>
          <w:ilvl w:val="1"/>
          <w:numId w:val="121"/>
        </w:numPr>
        <w:rPr>
          <w:rFonts w:ascii="Arial" w:cs="Arial" w:eastAsia="Arial" w:hAnsi="Arial"/>
          <w:sz w:val="18"/>
          <w:szCs w:val="18"/>
          <w:color w:val="auto"/>
        </w:rPr>
      </w:pPr>
      <w:r>
        <w:rPr>
          <w:rFonts w:ascii="Arial" w:cs="Arial" w:eastAsia="Arial" w:hAnsi="Arial"/>
          <w:sz w:val="18"/>
          <w:szCs w:val="18"/>
          <w:u w:val="single" w:color="auto"/>
          <w:color w:val="auto"/>
        </w:rPr>
        <w:t>Powers and Duties of Plan Administrator</w:t>
      </w:r>
      <w:r>
        <w:rPr>
          <w:rFonts w:ascii="Arial" w:cs="Arial" w:eastAsia="Arial" w:hAnsi="Arial"/>
          <w:sz w:val="18"/>
          <w:szCs w:val="18"/>
          <w:color w:val="auto"/>
        </w:rPr>
        <w:t>. The Plan Administrator shall have the full discretionary power and authority to construe and interpret the Plan (including, without limitation, supplying omissions from, correcting deficiencies in, or resolving inconsistencies or ambiguities in, the language of the Plan); to determine all questions of fact arising under the Plan, including questions as to eligibility for and the amount of benefits; to establish such rules and regulations (consistent with the terms of the Plan) as it deems necessary or appropriate for administration of the Plan; to delegate responsibilities to others to assist it in administering the Plan; to retain attorneys, consultants, accountants or other persons (who may be employees of the Corporation or its subsidiaries) to render advice and assistance as it shall determine to be necessary to effect the proper discharge of any duty for which it is responsible; and to perform all other acts it believes reasonable and proper in connection with the administration of the Plan. The Plan Administrator shall be entitled to rely on the records of the Corporation and its subsidiaries in determining any Participant’s entitlement to and the amount of benefits payable under the Plan. Any determination of the Plan Administrator, including interpretations of the Plan and determinations of questions of fact, shall be final and binding on all parties.</w:t>
      </w:r>
    </w:p>
    <w:p>
      <w:pPr>
        <w:spacing w:after="0" w:line="230" w:lineRule="exact"/>
        <w:rPr>
          <w:rFonts w:ascii="Arial" w:cs="Arial" w:eastAsia="Arial" w:hAnsi="Arial"/>
          <w:sz w:val="18"/>
          <w:szCs w:val="18"/>
          <w:color w:val="auto"/>
        </w:rPr>
      </w:pPr>
    </w:p>
    <w:p>
      <w:pPr>
        <w:jc w:val="both"/>
        <w:ind w:left="968" w:hanging="320"/>
        <w:spacing w:after="0"/>
        <w:tabs>
          <w:tab w:leader="none" w:pos="959" w:val="left"/>
        </w:tabs>
        <w:numPr>
          <w:ilvl w:val="1"/>
          <w:numId w:val="121"/>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To the extent permitted by law, the Corporation shall indemnify the Plan Administrator from all claims for liability, loss, or damage (including payment of expenses in connection with defense against such claims) arising from any act or failure to act in connection with the Plan.</w:t>
      </w:r>
    </w:p>
    <w:p>
      <w:pPr>
        <w:spacing w:after="0" w:line="229" w:lineRule="exact"/>
        <w:rPr>
          <w:rFonts w:ascii="Arial" w:cs="Arial" w:eastAsia="Arial" w:hAnsi="Arial"/>
          <w:sz w:val="18"/>
          <w:szCs w:val="18"/>
          <w:color w:val="auto"/>
        </w:rPr>
      </w:pPr>
    </w:p>
    <w:p>
      <w:pPr>
        <w:ind w:left="308" w:hanging="308"/>
        <w:spacing w:after="0"/>
        <w:tabs>
          <w:tab w:leader="none" w:pos="308"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Claims Procedures and Appeals</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jc w:val="both"/>
        <w:ind w:left="968" w:hanging="320"/>
        <w:spacing w:after="0"/>
        <w:tabs>
          <w:tab w:leader="none" w:pos="956" w:val="left"/>
        </w:tabs>
        <w:numPr>
          <w:ilvl w:val="1"/>
          <w:numId w:val="122"/>
        </w:numPr>
        <w:rPr>
          <w:rFonts w:ascii="Arial" w:cs="Arial" w:eastAsia="Arial" w:hAnsi="Arial"/>
          <w:sz w:val="18"/>
          <w:szCs w:val="18"/>
          <w:color w:val="auto"/>
        </w:rPr>
      </w:pPr>
      <w:r>
        <w:rPr>
          <w:rFonts w:ascii="Arial" w:cs="Arial" w:eastAsia="Arial" w:hAnsi="Arial"/>
          <w:sz w:val="18"/>
          <w:szCs w:val="18"/>
          <w:color w:val="auto"/>
        </w:rPr>
        <w:t>A written request for a Plan benefit is a claim and the person making such claim is a claimant. Any claim must be made in writing and shall be deemed to be filed by a claimant when a written request is made by the claimant or the claimant’s authorized representative which is reasonably calculated to bring the claim to the attention of the Plan Administrator.</w:t>
      </w:r>
    </w:p>
    <w:p>
      <w:pPr>
        <w:spacing w:after="0" w:line="229" w:lineRule="exact"/>
        <w:rPr>
          <w:rFonts w:ascii="Arial" w:cs="Arial" w:eastAsia="Arial" w:hAnsi="Arial"/>
          <w:sz w:val="18"/>
          <w:szCs w:val="18"/>
          <w:color w:val="auto"/>
        </w:rPr>
      </w:pPr>
    </w:p>
    <w:p>
      <w:pPr>
        <w:jc w:val="both"/>
        <w:ind w:left="968" w:hanging="320"/>
        <w:spacing w:after="0" w:line="238" w:lineRule="auto"/>
        <w:tabs>
          <w:tab w:leader="none" w:pos="956" w:val="left"/>
        </w:tabs>
        <w:numPr>
          <w:ilvl w:val="1"/>
          <w:numId w:val="122"/>
        </w:numPr>
        <w:rPr>
          <w:rFonts w:ascii="Arial" w:cs="Arial" w:eastAsia="Arial" w:hAnsi="Arial"/>
          <w:sz w:val="18"/>
          <w:szCs w:val="18"/>
          <w:color w:val="auto"/>
        </w:rPr>
      </w:pPr>
      <w:r>
        <w:rPr>
          <w:rFonts w:ascii="Arial" w:cs="Arial" w:eastAsia="Arial" w:hAnsi="Arial"/>
          <w:sz w:val="18"/>
          <w:szCs w:val="18"/>
          <w:color w:val="auto"/>
        </w:rPr>
        <w:t>The Plan Administrator shall provide notice in writing to any claimant when a claim for benefits under the Plan has been denied in whole or in part. Such notice shall be provided within 90 days of the receipt by the Plan Administrator of the claimant’s claim or, if special circumstances require, and the claimant is so notified in writing, within 180 days of the receipt by the Plan Administrator of the claimant’s claim. The notice shall be written in a manner calculated to be understood by the claimant and shall:</w:t>
      </w:r>
    </w:p>
    <w:p>
      <w:pPr>
        <w:spacing w:after="0" w:line="229" w:lineRule="exact"/>
        <w:rPr>
          <w:rFonts w:ascii="Arial" w:cs="Arial" w:eastAsia="Arial" w:hAnsi="Arial"/>
          <w:sz w:val="18"/>
          <w:szCs w:val="18"/>
          <w:color w:val="auto"/>
        </w:rPr>
      </w:pPr>
    </w:p>
    <w:p>
      <w:pPr>
        <w:ind w:left="1628" w:hanging="422"/>
        <w:spacing w:after="0"/>
        <w:tabs>
          <w:tab w:leader="none" w:pos="1628" w:val="left"/>
        </w:tabs>
        <w:numPr>
          <w:ilvl w:val="3"/>
          <w:numId w:val="122"/>
        </w:numPr>
        <w:rPr>
          <w:rFonts w:ascii="Arial" w:cs="Arial" w:eastAsia="Arial" w:hAnsi="Arial"/>
          <w:sz w:val="18"/>
          <w:szCs w:val="18"/>
          <w:color w:val="auto"/>
        </w:rPr>
      </w:pPr>
      <w:r>
        <w:rPr>
          <w:rFonts w:ascii="Arial" w:cs="Arial" w:eastAsia="Arial" w:hAnsi="Arial"/>
          <w:sz w:val="18"/>
          <w:szCs w:val="18"/>
          <w:color w:val="auto"/>
        </w:rPr>
        <w:t>set forth the specific reasons for the denial of benefits;</w:t>
      </w:r>
    </w:p>
    <w:p>
      <w:pPr>
        <w:spacing w:after="0" w:line="238" w:lineRule="exact"/>
        <w:rPr>
          <w:rFonts w:ascii="Arial" w:cs="Arial" w:eastAsia="Arial" w:hAnsi="Arial"/>
          <w:sz w:val="18"/>
          <w:szCs w:val="18"/>
          <w:color w:val="auto"/>
        </w:rPr>
      </w:pPr>
    </w:p>
    <w:p>
      <w:pPr>
        <w:ind w:left="1628" w:hanging="462"/>
        <w:spacing w:after="0"/>
        <w:tabs>
          <w:tab w:leader="none" w:pos="1628" w:val="left"/>
        </w:tabs>
        <w:numPr>
          <w:ilvl w:val="3"/>
          <w:numId w:val="122"/>
        </w:numPr>
        <w:rPr>
          <w:rFonts w:ascii="Arial" w:cs="Arial" w:eastAsia="Arial" w:hAnsi="Arial"/>
          <w:sz w:val="18"/>
          <w:szCs w:val="18"/>
          <w:color w:val="auto"/>
        </w:rPr>
      </w:pPr>
      <w:r>
        <w:rPr>
          <w:rFonts w:ascii="Arial" w:cs="Arial" w:eastAsia="Arial" w:hAnsi="Arial"/>
          <w:sz w:val="18"/>
          <w:szCs w:val="18"/>
          <w:color w:val="auto"/>
        </w:rPr>
        <w:t>contain specific references to Plan provisions relative to the denial;</w:t>
      </w:r>
    </w:p>
    <w:p>
      <w:pPr>
        <w:spacing w:after="0" w:line="238" w:lineRule="exact"/>
        <w:rPr>
          <w:rFonts w:ascii="Arial" w:cs="Arial" w:eastAsia="Arial" w:hAnsi="Arial"/>
          <w:sz w:val="18"/>
          <w:szCs w:val="18"/>
          <w:color w:val="auto"/>
        </w:rPr>
      </w:pPr>
    </w:p>
    <w:p>
      <w:pPr>
        <w:ind w:left="1628" w:hanging="502"/>
        <w:spacing w:after="0" w:line="246" w:lineRule="auto"/>
        <w:tabs>
          <w:tab w:leader="none" w:pos="1628" w:val="left"/>
        </w:tabs>
        <w:numPr>
          <w:ilvl w:val="3"/>
          <w:numId w:val="122"/>
        </w:numPr>
        <w:rPr>
          <w:rFonts w:ascii="Arial" w:cs="Arial" w:eastAsia="Arial" w:hAnsi="Arial"/>
          <w:sz w:val="18"/>
          <w:szCs w:val="18"/>
          <w:color w:val="auto"/>
        </w:rPr>
      </w:pPr>
      <w:r>
        <w:rPr>
          <w:rFonts w:ascii="Arial" w:cs="Arial" w:eastAsia="Arial" w:hAnsi="Arial"/>
          <w:sz w:val="18"/>
          <w:szCs w:val="18"/>
          <w:color w:val="auto"/>
        </w:rPr>
        <w:t>describe any material and information, if any, necessary for the claim for benefits to be allowed, that had been requested, but not received by the Plan Administrator;</w:t>
      </w:r>
    </w:p>
    <w:p>
      <w:pPr>
        <w:spacing w:after="0" w:line="223" w:lineRule="exact"/>
        <w:rPr>
          <w:rFonts w:ascii="Arial" w:cs="Arial" w:eastAsia="Arial" w:hAnsi="Arial"/>
          <w:sz w:val="18"/>
          <w:szCs w:val="18"/>
          <w:color w:val="auto"/>
        </w:rPr>
      </w:pPr>
    </w:p>
    <w:p>
      <w:pPr>
        <w:jc w:val="both"/>
        <w:ind w:left="1628" w:hanging="512"/>
        <w:spacing w:after="0"/>
        <w:tabs>
          <w:tab w:leader="none" w:pos="1615" w:val="left"/>
        </w:tabs>
        <w:numPr>
          <w:ilvl w:val="2"/>
          <w:numId w:val="122"/>
        </w:numPr>
        <w:rPr>
          <w:rFonts w:ascii="Arial" w:cs="Arial" w:eastAsia="Arial" w:hAnsi="Arial"/>
          <w:sz w:val="18"/>
          <w:szCs w:val="18"/>
          <w:color w:val="auto"/>
        </w:rPr>
      </w:pPr>
      <w:r>
        <w:rPr>
          <w:rFonts w:ascii="Arial" w:cs="Arial" w:eastAsia="Arial" w:hAnsi="Arial"/>
          <w:sz w:val="18"/>
          <w:szCs w:val="18"/>
          <w:color w:val="auto"/>
        </w:rPr>
        <w:t>advise the claimant that any appeal of the Plan Administrator’s adverse determination must be made in writing to the Plan Administrator within 60 days after receipt of the initial denial notification, and must set forth the facts upon which the appeal is based; and</w:t>
      </w:r>
    </w:p>
    <w:p>
      <w:pPr>
        <w:spacing w:after="0" w:line="229" w:lineRule="exact"/>
        <w:rPr>
          <w:rFonts w:ascii="Arial" w:cs="Arial" w:eastAsia="Arial" w:hAnsi="Arial"/>
          <w:sz w:val="18"/>
          <w:szCs w:val="18"/>
          <w:color w:val="auto"/>
        </w:rPr>
      </w:pPr>
    </w:p>
    <w:p>
      <w:pPr>
        <w:ind w:left="1628" w:right="20" w:hanging="472"/>
        <w:spacing w:after="0" w:line="246" w:lineRule="auto"/>
        <w:tabs>
          <w:tab w:leader="none" w:pos="1615" w:val="left"/>
        </w:tabs>
        <w:numPr>
          <w:ilvl w:val="2"/>
          <w:numId w:val="122"/>
        </w:numPr>
        <w:rPr>
          <w:rFonts w:ascii="Arial" w:cs="Arial" w:eastAsia="Arial" w:hAnsi="Arial"/>
          <w:sz w:val="18"/>
          <w:szCs w:val="18"/>
          <w:color w:val="auto"/>
        </w:rPr>
      </w:pPr>
      <w:r>
        <w:rPr>
          <w:rFonts w:ascii="Arial" w:cs="Arial" w:eastAsia="Arial" w:hAnsi="Arial"/>
          <w:sz w:val="18"/>
          <w:szCs w:val="18"/>
          <w:color w:val="auto"/>
        </w:rPr>
        <w:t>advise the claimant of his right to bring a civil action under Section 502(a) of ERISA, following an adverse benefit determination on review.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08"/>
          </w:cols>
          <w:pgMar w:left="652" w:top="1435" w:right="339" w:bottom="1440" w:gutter="0" w:footer="0" w:header="0"/>
        </w:sectPr>
      </w:pPr>
    </w:p>
    <w:bookmarkStart w:id="171" w:name="page172"/>
    <w:bookmarkEnd w:id="171"/>
    <w:p>
      <w:pPr>
        <w:ind w:left="968" w:right="20" w:hanging="320"/>
        <w:spacing w:after="0" w:line="246" w:lineRule="auto"/>
        <w:tabs>
          <w:tab w:leader="none" w:pos="959" w:val="left"/>
        </w:tabs>
        <w:numPr>
          <w:ilvl w:val="1"/>
          <w:numId w:val="123"/>
        </w:numPr>
        <w:rPr>
          <w:rFonts w:ascii="Arial" w:cs="Arial" w:eastAsia="Arial" w:hAnsi="Arial"/>
          <w:sz w:val="18"/>
          <w:szCs w:val="18"/>
          <w:color w:val="auto"/>
        </w:rPr>
      </w:pPr>
      <w:r>
        <w:rPr>
          <w:rFonts w:ascii="Arial" w:cs="Arial" w:eastAsia="Arial" w:hAnsi="Arial"/>
          <w:sz w:val="18"/>
          <w:szCs w:val="18"/>
          <w:color w:val="auto"/>
        </w:rPr>
        <w:t>When a claimant receives notice of denial of a claim or does not receive notification of acceptance or denial within 90 days after submitting a claim, the claimant, either in person or by duly authorized representative, may:</w:t>
      </w:r>
    </w:p>
    <w:p>
      <w:pPr>
        <w:spacing w:after="0" w:line="223" w:lineRule="exact"/>
        <w:rPr>
          <w:rFonts w:ascii="Arial" w:cs="Arial" w:eastAsia="Arial" w:hAnsi="Arial"/>
          <w:sz w:val="18"/>
          <w:szCs w:val="18"/>
          <w:color w:val="auto"/>
        </w:rPr>
      </w:pPr>
    </w:p>
    <w:p>
      <w:pPr>
        <w:ind w:left="1628" w:hanging="422"/>
        <w:spacing w:after="0"/>
        <w:tabs>
          <w:tab w:leader="none" w:pos="1628" w:val="left"/>
        </w:tabs>
        <w:numPr>
          <w:ilvl w:val="3"/>
          <w:numId w:val="123"/>
        </w:numPr>
        <w:rPr>
          <w:rFonts w:ascii="Arial" w:cs="Arial" w:eastAsia="Arial" w:hAnsi="Arial"/>
          <w:sz w:val="18"/>
          <w:szCs w:val="18"/>
          <w:color w:val="auto"/>
        </w:rPr>
      </w:pPr>
      <w:r>
        <w:rPr>
          <w:rFonts w:ascii="Arial" w:cs="Arial" w:eastAsia="Arial" w:hAnsi="Arial"/>
          <w:sz w:val="18"/>
          <w:szCs w:val="18"/>
          <w:color w:val="auto"/>
        </w:rPr>
        <w:t>request, in writing, a review of the claim by the Plan Administrator;</w:t>
      </w:r>
    </w:p>
    <w:p>
      <w:pPr>
        <w:spacing w:after="0" w:line="238" w:lineRule="exact"/>
        <w:rPr>
          <w:rFonts w:ascii="Arial" w:cs="Arial" w:eastAsia="Arial" w:hAnsi="Arial"/>
          <w:sz w:val="18"/>
          <w:szCs w:val="18"/>
          <w:color w:val="auto"/>
        </w:rPr>
      </w:pPr>
    </w:p>
    <w:p>
      <w:pPr>
        <w:ind w:left="1628" w:hanging="462"/>
        <w:spacing w:after="0"/>
        <w:tabs>
          <w:tab w:leader="none" w:pos="1628" w:val="left"/>
        </w:tabs>
        <w:numPr>
          <w:ilvl w:val="3"/>
          <w:numId w:val="123"/>
        </w:numPr>
        <w:rPr>
          <w:rFonts w:ascii="Arial" w:cs="Arial" w:eastAsia="Arial" w:hAnsi="Arial"/>
          <w:sz w:val="18"/>
          <w:szCs w:val="18"/>
          <w:color w:val="auto"/>
        </w:rPr>
      </w:pPr>
      <w:r>
        <w:rPr>
          <w:rFonts w:ascii="Arial" w:cs="Arial" w:eastAsia="Arial" w:hAnsi="Arial"/>
          <w:sz w:val="18"/>
          <w:szCs w:val="18"/>
          <w:color w:val="auto"/>
        </w:rPr>
        <w:t>review pertinent documents relating to the denial;</w:t>
      </w:r>
    </w:p>
    <w:p>
      <w:pPr>
        <w:spacing w:after="0" w:line="238" w:lineRule="exact"/>
        <w:rPr>
          <w:rFonts w:ascii="Arial" w:cs="Arial" w:eastAsia="Arial" w:hAnsi="Arial"/>
          <w:sz w:val="18"/>
          <w:szCs w:val="18"/>
          <w:color w:val="auto"/>
        </w:rPr>
      </w:pPr>
    </w:p>
    <w:p>
      <w:pPr>
        <w:ind w:left="1628" w:hanging="502"/>
        <w:spacing w:after="0"/>
        <w:tabs>
          <w:tab w:leader="none" w:pos="1628" w:val="left"/>
        </w:tabs>
        <w:numPr>
          <w:ilvl w:val="3"/>
          <w:numId w:val="123"/>
        </w:numPr>
        <w:rPr>
          <w:rFonts w:ascii="Arial" w:cs="Arial" w:eastAsia="Arial" w:hAnsi="Arial"/>
          <w:sz w:val="18"/>
          <w:szCs w:val="18"/>
          <w:color w:val="auto"/>
        </w:rPr>
      </w:pPr>
      <w:r>
        <w:rPr>
          <w:rFonts w:ascii="Arial" w:cs="Arial" w:eastAsia="Arial" w:hAnsi="Arial"/>
          <w:sz w:val="18"/>
          <w:szCs w:val="18"/>
          <w:color w:val="auto"/>
        </w:rPr>
        <w:t>submit issues and comments in writing; and</w:t>
      </w:r>
    </w:p>
    <w:p>
      <w:pPr>
        <w:spacing w:after="0" w:line="238" w:lineRule="exact"/>
        <w:rPr>
          <w:rFonts w:ascii="Arial" w:cs="Arial" w:eastAsia="Arial" w:hAnsi="Arial"/>
          <w:sz w:val="18"/>
          <w:szCs w:val="18"/>
          <w:color w:val="auto"/>
        </w:rPr>
      </w:pPr>
    </w:p>
    <w:p>
      <w:pPr>
        <w:ind w:left="1628" w:hanging="512"/>
        <w:spacing w:after="0" w:line="246" w:lineRule="auto"/>
        <w:tabs>
          <w:tab w:leader="none" w:pos="1615" w:val="left"/>
        </w:tabs>
        <w:numPr>
          <w:ilvl w:val="2"/>
          <w:numId w:val="123"/>
        </w:numPr>
        <w:rPr>
          <w:rFonts w:ascii="Arial" w:cs="Arial" w:eastAsia="Arial" w:hAnsi="Arial"/>
          <w:sz w:val="18"/>
          <w:szCs w:val="18"/>
          <w:color w:val="auto"/>
        </w:rPr>
      </w:pPr>
      <w:r>
        <w:rPr>
          <w:rFonts w:ascii="Arial" w:cs="Arial" w:eastAsia="Arial" w:hAnsi="Arial"/>
          <w:sz w:val="18"/>
          <w:szCs w:val="18"/>
          <w:color w:val="auto"/>
        </w:rPr>
        <w:t>request, in writing, a hearing with the Plan Administrator; provided that the claimant takes appropriate action within 60 days after receiving notice of denial.</w:t>
      </w:r>
    </w:p>
    <w:p>
      <w:pPr>
        <w:spacing w:after="0" w:line="223" w:lineRule="exact"/>
        <w:rPr>
          <w:rFonts w:ascii="Arial" w:cs="Arial" w:eastAsia="Arial" w:hAnsi="Arial"/>
          <w:sz w:val="18"/>
          <w:szCs w:val="18"/>
          <w:color w:val="auto"/>
        </w:rPr>
      </w:pPr>
    </w:p>
    <w:p>
      <w:pPr>
        <w:jc w:val="both"/>
        <w:ind w:left="968" w:hanging="320"/>
        <w:spacing w:after="0"/>
        <w:tabs>
          <w:tab w:leader="none" w:pos="956" w:val="left"/>
        </w:tabs>
        <w:numPr>
          <w:ilvl w:val="1"/>
          <w:numId w:val="123"/>
        </w:numPr>
        <w:rPr>
          <w:rFonts w:ascii="Arial" w:cs="Arial" w:eastAsia="Arial" w:hAnsi="Arial"/>
          <w:sz w:val="18"/>
          <w:szCs w:val="18"/>
          <w:color w:val="auto"/>
        </w:rPr>
      </w:pPr>
      <w:r>
        <w:rPr>
          <w:rFonts w:ascii="Arial" w:cs="Arial" w:eastAsia="Arial" w:hAnsi="Arial"/>
          <w:sz w:val="18"/>
          <w:szCs w:val="18"/>
          <w:color w:val="auto"/>
        </w:rPr>
        <w:t>The Plan Administrator shall make its decision with respect to a claim review promptly, but not later than 60 days after receipt of the request. Such 60-day period may be extended for another period of 60 days if the Plan Administrator reviewing the claim finds that special circumstances require an extension of time for processing.</w:t>
      </w:r>
    </w:p>
    <w:p>
      <w:pPr>
        <w:spacing w:after="0" w:line="229" w:lineRule="exact"/>
        <w:rPr>
          <w:rFonts w:ascii="Arial" w:cs="Arial" w:eastAsia="Arial" w:hAnsi="Arial"/>
          <w:sz w:val="18"/>
          <w:szCs w:val="18"/>
          <w:color w:val="auto"/>
        </w:rPr>
      </w:pPr>
    </w:p>
    <w:p>
      <w:pPr>
        <w:jc w:val="both"/>
        <w:ind w:left="968" w:hanging="320"/>
        <w:spacing w:after="0" w:line="236" w:lineRule="auto"/>
        <w:tabs>
          <w:tab w:leader="none" w:pos="956" w:val="left"/>
        </w:tabs>
        <w:numPr>
          <w:ilvl w:val="1"/>
          <w:numId w:val="123"/>
        </w:numPr>
        <w:rPr>
          <w:rFonts w:ascii="Arial" w:cs="Arial" w:eastAsia="Arial" w:hAnsi="Arial"/>
          <w:sz w:val="18"/>
          <w:szCs w:val="18"/>
          <w:color w:val="auto"/>
        </w:rPr>
      </w:pPr>
      <w:r>
        <w:rPr>
          <w:rFonts w:ascii="Arial" w:cs="Arial" w:eastAsia="Arial" w:hAnsi="Arial"/>
          <w:sz w:val="18"/>
          <w:szCs w:val="18"/>
          <w:color w:val="auto"/>
        </w:rPr>
        <w:t>The final decision of the Plan Administrator shall be in writing, (i) give specific reason(s) for the adverse decision, (ii) make specific references to the pertinent Plan provisions on which the decision is based, (iii) include a statement that the claimant is entitled to receive, upon request and free of charge, reasonable access to, and copies of, all documents, records, and other information relevant to the claimant’s claim for benefits, and (iv) a statement describing any voluntary appeals procedures offered by the Plan and the claimant’s right to obtain information about such procedures, and a statement of the claimant’s right to bring an action under Section 502(a) of ERISA. All interpretations, determinations and decisions of the Plan Administrator in respect of any claim shall be made in its sole discretion based on the applicable Plan documents and shall be final, conclusive and binding on all parties.</w:t>
      </w:r>
    </w:p>
    <w:p>
      <w:pPr>
        <w:spacing w:after="0" w:line="234" w:lineRule="exact"/>
        <w:rPr>
          <w:rFonts w:ascii="Arial" w:cs="Arial" w:eastAsia="Arial" w:hAnsi="Arial"/>
          <w:sz w:val="18"/>
          <w:szCs w:val="18"/>
          <w:color w:val="auto"/>
        </w:rPr>
      </w:pPr>
    </w:p>
    <w:p>
      <w:pPr>
        <w:jc w:val="both"/>
        <w:ind w:left="968" w:hanging="320"/>
        <w:spacing w:after="0" w:line="238" w:lineRule="auto"/>
        <w:tabs>
          <w:tab w:leader="none" w:pos="96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A claimant or potential claimant must file a claim with the Plan Administrator no later than one (1) year after the claimant or potential claimant knows, or should have known, the principal facts upon which their claim is based. Any legal action in connection with the Plan must be brought in the U.S. District Court for the Western District of North Carolina within the six (6) month period beginning on the date the claimant’s claim and appeal rights are exhausted.</w:t>
      </w:r>
    </w:p>
    <w:p>
      <w:pPr>
        <w:spacing w:after="0" w:line="231" w:lineRule="exact"/>
        <w:rPr>
          <w:rFonts w:ascii="Arial" w:cs="Arial" w:eastAsia="Arial" w:hAnsi="Arial"/>
          <w:sz w:val="18"/>
          <w:szCs w:val="18"/>
          <w:color w:val="auto"/>
        </w:rPr>
      </w:pPr>
    </w:p>
    <w:p>
      <w:pPr>
        <w:ind w:left="308" w:hanging="308"/>
        <w:spacing w:after="0"/>
        <w:tabs>
          <w:tab w:leader="none" w:pos="308"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jc w:val="both"/>
        <w:ind w:left="968" w:hanging="320"/>
        <w:spacing w:after="0" w:line="236" w:lineRule="auto"/>
        <w:tabs>
          <w:tab w:leader="none" w:pos="956" w:val="left"/>
        </w:tabs>
        <w:numPr>
          <w:ilvl w:val="1"/>
          <w:numId w:val="124"/>
        </w:numPr>
        <w:rPr>
          <w:rFonts w:ascii="Arial" w:cs="Arial" w:eastAsia="Arial" w:hAnsi="Arial"/>
          <w:sz w:val="18"/>
          <w:szCs w:val="18"/>
          <w:color w:val="auto"/>
        </w:rPr>
      </w:pPr>
      <w:r>
        <w:rPr>
          <w:rFonts w:ascii="Arial" w:cs="Arial" w:eastAsia="Arial" w:hAnsi="Arial"/>
          <w:sz w:val="18"/>
          <w:szCs w:val="18"/>
          <w:u w:val="single" w:color="auto"/>
          <w:color w:val="auto"/>
        </w:rPr>
        <w:t>No Alienation of Benefits</w:t>
      </w:r>
      <w:r>
        <w:rPr>
          <w:rFonts w:ascii="Arial" w:cs="Arial" w:eastAsia="Arial" w:hAnsi="Arial"/>
          <w:sz w:val="18"/>
          <w:szCs w:val="18"/>
          <w:color w:val="auto"/>
        </w:rPr>
        <w:t>. Except insofar as may otherwise be required by law, no amount payable at any time under the Plan shall be subject in any manner to alienation by anticipation, sale, transfer, assignment, bankruptcy, pledge, attachment, charge, or encumbrance of any kind nor in any manner be subject to the debts or liabilities of any person and any attempt to so alienate or subject any such amount, whether presently or thereafter payable, shall be void. If any person shall attempt to, or shall alienate, sell, transfer, assign, pledge, attach, charge, or otherwise encumber any amount payable under the Plan, or any part thereof, or if by reason of such person’s bankruptcy or other event happening at any such time such amount would be made subject to the person’s debts or liabilities or would otherwise not be enjoyed by that person, then the Corporation, to the extent permitted under Section 409A of the Code, if it so elects, may direct that such amount be withheld and that same or any part thereof be paid or applied to or for the benefit of such person, the person’s spouse, children or other dependents, or any of them, in such manner and proportion as the Corporation may deem proper.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08"/>
          </w:cols>
          <w:pgMar w:left="652" w:top="1435" w:right="339" w:bottom="1440" w:gutter="0" w:footer="0" w:header="0"/>
        </w:sectPr>
      </w:pPr>
    </w:p>
    <w:bookmarkStart w:id="172" w:name="page173"/>
    <w:bookmarkEnd w:id="172"/>
    <w:p>
      <w:pPr>
        <w:jc w:val="both"/>
        <w:ind w:left="320" w:hanging="320"/>
        <w:spacing w:after="0" w:line="236" w:lineRule="auto"/>
        <w:tabs>
          <w:tab w:leader="none" w:pos="308"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No Right or Interest in Corporation’s Assets</w:t>
      </w:r>
      <w:r>
        <w:rPr>
          <w:rFonts w:ascii="Arial" w:cs="Arial" w:eastAsia="Arial" w:hAnsi="Arial"/>
          <w:sz w:val="18"/>
          <w:szCs w:val="18"/>
          <w:color w:val="auto"/>
        </w:rPr>
        <w:t>. Neither the Corporation nor any of its affiliates shall be required to reserve or otherwise set aside funds for the payment of obligations arising under this Plan. The Corporation may, in its sole discretion, establish funds, segregate assets or take such other action as it shall determine necessary or appropriate to secure the payment of its obligations arising under this Plan. This Plan is intended to be unfunded for tax purposes and for purposes of Title I of the ERISA. Nothing contained herein, and no action taken pursuant to the provisions of this Plan shall create or be construed to create a trust of any kind, or a fiduciary relationship between the Corporation and any Participant or any other person. To the extent that any person acquires a right to receive payments under this Plan, such right shall be no greater than the right of an unsecured creditor of the Corporation.</w:t>
      </w:r>
    </w:p>
    <w:p>
      <w:pPr>
        <w:spacing w:after="0" w:line="234" w:lineRule="exact"/>
        <w:rPr>
          <w:rFonts w:ascii="Arial" w:cs="Arial" w:eastAsia="Arial" w:hAnsi="Arial"/>
          <w:sz w:val="18"/>
          <w:szCs w:val="18"/>
          <w:color w:val="auto"/>
        </w:rPr>
      </w:pPr>
    </w:p>
    <w:p>
      <w:pPr>
        <w:jc w:val="both"/>
        <w:ind w:left="320" w:hanging="320"/>
        <w:spacing w:after="0" w:line="237" w:lineRule="auto"/>
        <w:tabs>
          <w:tab w:leader="none" w:pos="311"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The Corporation may amend, modify or terminate the Plan at any time, or from time to time; provided, however, that no change to the Plan shall impair the right of any Participant with respect to amounts then credited to an Account; and further provided that during a Potential Change in Control Period (as defined in Paragraph 14(i) hereof) and from and after the occurrence of a Change in Control, the Plan may not, without the consent of the Participant, be amended in any manner which would adversely affect such Participant’s rights and expectations with respect to Deferral Amounts credited to such Participant’s Account immediately prior to such amendment, unless an amendment is required to comply with the requirements of Section 409A of the Code.</w:t>
      </w:r>
    </w:p>
    <w:p>
      <w:pPr>
        <w:spacing w:after="0" w:line="229" w:lineRule="exact"/>
        <w:rPr>
          <w:rFonts w:ascii="Arial" w:cs="Arial" w:eastAsia="Arial" w:hAnsi="Arial"/>
          <w:sz w:val="18"/>
          <w:szCs w:val="18"/>
          <w:color w:val="auto"/>
        </w:rPr>
      </w:pPr>
    </w:p>
    <w:p>
      <w:pPr>
        <w:ind w:left="320" w:hanging="320"/>
        <w:spacing w:after="0" w:line="246" w:lineRule="auto"/>
        <w:tabs>
          <w:tab w:leader="none" w:pos="308"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Accounting</w:t>
      </w:r>
      <w:r>
        <w:rPr>
          <w:rFonts w:ascii="Arial" w:cs="Arial" w:eastAsia="Arial" w:hAnsi="Arial"/>
          <w:sz w:val="18"/>
          <w:szCs w:val="18"/>
          <w:color w:val="auto"/>
        </w:rPr>
        <w:t>. Each Participant shall receive periodic statements (not less frequently than annually) setting forth the cumulative Deferral Amounts and Interest Equivalents credited to, and any distributions from, the Participant’s Account.</w:t>
      </w:r>
    </w:p>
    <w:p>
      <w:pPr>
        <w:spacing w:after="0" w:line="223" w:lineRule="exact"/>
        <w:rPr>
          <w:rFonts w:ascii="Arial" w:cs="Arial" w:eastAsia="Arial" w:hAnsi="Arial"/>
          <w:sz w:val="18"/>
          <w:szCs w:val="18"/>
          <w:color w:val="auto"/>
        </w:rPr>
      </w:pPr>
    </w:p>
    <w:p>
      <w:pPr>
        <w:jc w:val="both"/>
        <w:ind w:left="320" w:hanging="320"/>
        <w:spacing w:after="0" w:line="253" w:lineRule="auto"/>
        <w:tabs>
          <w:tab w:leader="none" w:pos="308" w:val="left"/>
        </w:tabs>
        <w:numPr>
          <w:ilvl w:val="0"/>
          <w:numId w:val="125"/>
        </w:numPr>
        <w:rPr>
          <w:rFonts w:ascii="Arial" w:cs="Arial" w:eastAsia="Arial" w:hAnsi="Arial"/>
          <w:sz w:val="17"/>
          <w:szCs w:val="17"/>
          <w:color w:val="auto"/>
        </w:rPr>
      </w:pPr>
      <w:r>
        <w:rPr>
          <w:rFonts w:ascii="Arial" w:cs="Arial" w:eastAsia="Arial" w:hAnsi="Arial"/>
          <w:sz w:val="17"/>
          <w:szCs w:val="17"/>
          <w:u w:val="single" w:color="auto"/>
          <w:color w:val="auto"/>
        </w:rPr>
        <w:t>Facility of Payments</w:t>
      </w:r>
      <w:r>
        <w:rPr>
          <w:rFonts w:ascii="Arial" w:cs="Arial" w:eastAsia="Arial" w:hAnsi="Arial"/>
          <w:sz w:val="17"/>
          <w:szCs w:val="17"/>
          <w:color w:val="auto"/>
        </w:rPr>
        <w:t>. If the Corporation shall find that any person to whom any amount is payable under the Plan is unable to care for his affairs because of illness or accident, or is a minor, or has died, then any payment due the person or the person’s estate (unless a prior claim therefore has been made by a duly appointed legal representative), may, if the Corporation so elects in its sole discretion, be paid to the person’s spouse, a child, a relative, an institution having custody of such person, or any other person deemed by the Corporation to be a proper recipient on behalf of such person otherwise entitled to payment. Any such payment shall be a complete discharge of the liability of the Corporation and the Plan therefore.</w:t>
      </w:r>
    </w:p>
    <w:p>
      <w:pPr>
        <w:spacing w:after="0" w:line="221" w:lineRule="exact"/>
        <w:rPr>
          <w:rFonts w:ascii="Arial" w:cs="Arial" w:eastAsia="Arial" w:hAnsi="Arial"/>
          <w:sz w:val="17"/>
          <w:szCs w:val="17"/>
          <w:color w:val="auto"/>
        </w:rPr>
      </w:pPr>
    </w:p>
    <w:p>
      <w:pPr>
        <w:jc w:val="both"/>
        <w:ind w:left="320" w:hanging="320"/>
        <w:spacing w:after="0" w:line="238" w:lineRule="auto"/>
        <w:tabs>
          <w:tab w:leader="none" w:pos="312"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Offset</w:t>
      </w:r>
      <w:r>
        <w:rPr>
          <w:rFonts w:ascii="Arial" w:cs="Arial" w:eastAsia="Arial" w:hAnsi="Arial"/>
          <w:sz w:val="18"/>
          <w:szCs w:val="18"/>
          <w:color w:val="auto"/>
        </w:rPr>
        <w:t>. To the maximum extent permitted under Section 409A of the Code and its corresponding regulations, if a Participant becomes entitled to a distribution of benefits under the Plan, and if at such time the Participant has outstanding any debt, obligation, or other liability representing an amount owing to the Corporation or any participating affiliate, then the Corporation may offset such amount owed to the Corporation or the participating affiliate against the amount of benefits otherwise distributable. Such determination shall be made by the Plan Administrator.</w:t>
      </w:r>
    </w:p>
    <w:p>
      <w:pPr>
        <w:spacing w:after="0" w:line="229" w:lineRule="exact"/>
        <w:rPr>
          <w:rFonts w:ascii="Arial" w:cs="Arial" w:eastAsia="Arial" w:hAnsi="Arial"/>
          <w:sz w:val="18"/>
          <w:szCs w:val="18"/>
          <w:color w:val="auto"/>
        </w:rPr>
      </w:pPr>
    </w:p>
    <w:p>
      <w:pPr>
        <w:jc w:val="both"/>
        <w:ind w:left="320" w:hanging="320"/>
        <w:spacing w:after="0"/>
        <w:tabs>
          <w:tab w:leader="none" w:pos="308"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Plan is intended to constitute an unfunded deferred compensation arrangement for a select group of management or highly compensated personnel and all rights thereunder shall be governed by and construed in accordance with the laws of North Carolina.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260"/>
          </w:cols>
          <w:pgMar w:left="1300" w:top="1435" w:right="339" w:bottom="1440" w:gutter="0" w:footer="0" w:header="0"/>
        </w:sectPr>
      </w:pPr>
    </w:p>
    <w:bookmarkStart w:id="173" w:name="page174"/>
    <w:bookmarkEnd w:id="173"/>
    <w:p>
      <w:pPr>
        <w:jc w:val="both"/>
        <w:ind w:left="320" w:hanging="320"/>
        <w:spacing w:after="0" w:line="237" w:lineRule="auto"/>
        <w:tabs>
          <w:tab w:leader="none" w:pos="308"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Withholding Taxes</w:t>
      </w:r>
      <w:r>
        <w:rPr>
          <w:rFonts w:ascii="Arial" w:cs="Arial" w:eastAsia="Arial" w:hAnsi="Arial"/>
          <w:sz w:val="18"/>
          <w:szCs w:val="18"/>
          <w:color w:val="auto"/>
        </w:rPr>
        <w:t>. The Corporation may make such provisions and take such action as it may deem necessary or appropriate for the withholding of any taxes which the Corporation or one if its affiliates is required by any law or regulation of any governmental authority, whether Federal, state, local or foreign, to withhold in connection with any benefits under the Plan, including, but not limited to, the withholding of appropriate sums from any amount otherwise payable to the Participant (or his beneficiary). Each Participant, however, shall be responsible for the payment of all individual tax liabilities relating to any such benefits.</w:t>
      </w:r>
    </w:p>
    <w:p>
      <w:pPr>
        <w:spacing w:after="0" w:line="231" w:lineRule="exact"/>
        <w:rPr>
          <w:rFonts w:ascii="Arial" w:cs="Arial" w:eastAsia="Arial" w:hAnsi="Arial"/>
          <w:sz w:val="18"/>
          <w:szCs w:val="18"/>
          <w:color w:val="auto"/>
        </w:rPr>
      </w:pPr>
    </w:p>
    <w:p>
      <w:pPr>
        <w:jc w:val="both"/>
        <w:ind w:left="320" w:hanging="320"/>
        <w:spacing w:after="0" w:line="236" w:lineRule="auto"/>
        <w:tabs>
          <w:tab w:leader="none" w:pos="315"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Potential Change in Control Period</w:t>
      </w:r>
      <w:r>
        <w:rPr>
          <w:rFonts w:ascii="Arial" w:cs="Arial" w:eastAsia="Arial" w:hAnsi="Arial"/>
          <w:sz w:val="18"/>
          <w:szCs w:val="18"/>
          <w:color w:val="auto"/>
        </w:rPr>
        <w:t>. A “</w:t>
      </w:r>
      <w:r>
        <w:rPr>
          <w:rFonts w:ascii="Arial" w:cs="Arial" w:eastAsia="Arial" w:hAnsi="Arial"/>
          <w:sz w:val="18"/>
          <w:szCs w:val="18"/>
          <w:u w:val="single" w:color="auto"/>
          <w:color w:val="auto"/>
        </w:rPr>
        <w:t>Potential Change in Control Period</w:t>
      </w:r>
      <w:r>
        <w:rPr>
          <w:rFonts w:ascii="Arial" w:cs="Arial" w:eastAsia="Arial" w:hAnsi="Arial"/>
          <w:sz w:val="18"/>
          <w:szCs w:val="18"/>
          <w:color w:val="auto"/>
        </w:rPr>
        <w:t>” shall commence when: (i) the Corporation enters into an agreement, the consummation of which would result in the occurrence of a Change in Control; (ii) the Corporation or any person or group publicly announces an intention to take or to consider taking actions which, if consummated, would result in a Change in Control; (iii) any person or group (other than the Corporation, any subsidiary or any savings, pension or other benefit plan for the benefit of employees of the Corporation or its subsidiaries) becomes the beneficial owner, directly or indirectly, of securities of the Corporation representing 15% or more of either the then outstanding shares of common stock of the Corporation or the combined voting power of the Corporation’s then outstanding securities (not including in the securities beneficially owned by such person or group any securities acquired directly from the Corporation or its affiliates); or (iv) the Board adopts a resolution to the effect that, for purposes of the Plan, a Potential Change in Control Period has commenced. The Potential Change in Control Period shall continue until the earlier of (A) a Change in Control, or (B) the adoption by the Board of a resolution stating that, for purposes of the Plan, the Potential Change in Control Period has expired.</w:t>
      </w:r>
    </w:p>
    <w:p>
      <w:pPr>
        <w:spacing w:after="0" w:line="230" w:lineRule="exact"/>
        <w:rPr>
          <w:rFonts w:ascii="Arial" w:cs="Arial" w:eastAsia="Arial" w:hAnsi="Arial"/>
          <w:sz w:val="18"/>
          <w:szCs w:val="18"/>
          <w:color w:val="auto"/>
        </w:rPr>
      </w:pPr>
    </w:p>
    <w:p>
      <w:pPr>
        <w:jc w:val="both"/>
        <w:ind w:left="320" w:hanging="320"/>
        <w:spacing w:after="0" w:line="236" w:lineRule="auto"/>
        <w:tabs>
          <w:tab w:leader="none" w:pos="315"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 The Plan is intended to comply with the applicable requirements of Section 409A of the Code and its corresponding regulations and related guidance with respect to amounts credited to the Non-Grandfathered Accounts of Participants and shall be administered in accordance with Section 409A of the Code with respect to such Accounts. Notwithstanding anything in the Plan to the contrary, elections to defer compensation into Non-Grandfathered Accounts under the Plan, and distributions of Non-Grandfathered Accounts, may only be made in a manner and upon an event permitted by Section 409A of the Code. To the extent that any provision of the Plan would cause a conflict with the requirements of Section 409A of the Code, or would cause the administration of the Plan to fail to satisfy the requirements of Section 409A of the Code, such provision shall be deemed null and void to the extent permitted by applicable law. Other than a valid Election or pursuant to Paragraph 3(b), in no event shall a Participant, directly or indirectly, designate the calendar year of payment with respect to Non-Grandfathered Accounts. For avoidance of doubt, deferrals under the Plan are maintained on a Plan Year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260"/>
          </w:cols>
          <w:pgMar w:left="1300" w:top="1435" w:right="339" w:bottom="1440" w:gutter="0" w:footer="0" w:header="0"/>
        </w:sectPr>
      </w:pPr>
    </w:p>
    <w:bookmarkStart w:id="174" w:name="page175"/>
    <w:bookmarkEnd w:id="174"/>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A</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NOTIONAL INTEREST RATES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Deferred Incentive Awards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Except as otherwise provided below, the following chart applies to awards earned and deferred under the Plan.</w:t>
      </w:r>
    </w:p>
    <w:p>
      <w:pPr>
        <w:spacing w:after="0" w:line="10" w:lineRule="exact"/>
        <w:rPr>
          <w:sz w:val="20"/>
          <w:szCs w:val="20"/>
          <w:color w:val="auto"/>
        </w:rPr>
      </w:pPr>
    </w:p>
    <w:tbl>
      <w:tblPr>
        <w:tblLayout w:type="fixed"/>
        <w:tblInd w:w="10" w:type="dxa"/>
        <w:tblCellMar>
          <w:top w:w="0" w:type="dxa"/>
          <w:left w:w="0" w:type="dxa"/>
          <w:bottom w:w="0" w:type="dxa"/>
          <w:right w:w="0" w:type="dxa"/>
        </w:tblCellMar>
      </w:tblPr>
      <w:tr>
        <w:trPr>
          <w:trHeight w:val="209"/>
        </w:trPr>
        <w:tc>
          <w:tcPr>
            <w:tcW w:w="4840" w:type="dxa"/>
            <w:vAlign w:val="bottom"/>
            <w:tcBorders>
              <w:top w:val="single" w:sz="8" w:color="auto"/>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Year Award Earned</w:t>
            </w:r>
          </w:p>
        </w:tc>
        <w:tc>
          <w:tcPr>
            <w:tcW w:w="172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Vested Rate</w:t>
            </w:r>
          </w:p>
        </w:tc>
        <w:tc>
          <w:tcPr>
            <w:tcW w:w="1880" w:type="dxa"/>
            <w:vAlign w:val="bottom"/>
            <w:tcBorders>
              <w:top w:val="single" w:sz="8" w:color="auto"/>
              <w:right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Contingent Rate</w:t>
            </w:r>
          </w:p>
        </w:tc>
        <w:tc>
          <w:tcPr>
            <w:tcW w:w="1720" w:type="dxa"/>
            <w:vAlign w:val="bottom"/>
            <w:tcBorders>
              <w:top w:val="single" w:sz="8" w:color="auto"/>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Total Rate</w:t>
            </w:r>
          </w:p>
        </w:tc>
      </w:tr>
      <w:tr>
        <w:trPr>
          <w:trHeight w:val="34"/>
        </w:trPr>
        <w:tc>
          <w:tcPr>
            <w:tcW w:w="40" w:type="dxa"/>
            <w:vAlign w:val="bottom"/>
            <w:tcBorders>
              <w:left w:val="single" w:sz="8" w:color="auto"/>
              <w:bottom w:val="single" w:sz="8" w:color="auto"/>
            </w:tcBorders>
          </w:tcPr>
          <w:p>
            <w:pPr>
              <w:spacing w:after="0"/>
              <w:rPr>
                <w:sz w:val="2"/>
                <w:szCs w:val="2"/>
                <w:color w:val="auto"/>
              </w:rPr>
            </w:pPr>
          </w:p>
        </w:tc>
        <w:tc>
          <w:tcPr>
            <w:tcW w:w="1640" w:type="dxa"/>
            <w:vAlign w:val="bottom"/>
            <w:tcBorders>
              <w:top w:val="single" w:sz="8" w:color="auto"/>
              <w:bottom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80" w:type="dxa"/>
            <w:vAlign w:val="bottom"/>
            <w:tcBorders>
              <w:top w:val="single" w:sz="8" w:color="auto"/>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43"/>
        </w:trPr>
        <w:tc>
          <w:tcPr>
            <w:tcW w:w="484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1975 – 1992</w:t>
            </w:r>
          </w:p>
        </w:tc>
        <w:tc>
          <w:tcPr>
            <w:tcW w:w="17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Treasury bills +</w:t>
            </w:r>
          </w:p>
        </w:tc>
        <w:tc>
          <w:tcPr>
            <w:tcW w:w="188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N/A</w:t>
            </w:r>
          </w:p>
        </w:tc>
        <w:tc>
          <w:tcPr>
            <w:tcW w:w="172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Treasury bills +</w:t>
            </w:r>
          </w:p>
        </w:tc>
      </w:tr>
      <w:tr>
        <w:trPr>
          <w:trHeight w:val="250"/>
        </w:trPr>
        <w:tc>
          <w:tcPr>
            <w:tcW w:w="40" w:type="dxa"/>
            <w:vAlign w:val="bottom"/>
            <w:tcBorders>
              <w:left w:val="single" w:sz="8" w:color="auto"/>
              <w:bottom w:val="single" w:sz="8" w:color="auto"/>
            </w:tcBorders>
          </w:tcPr>
          <w:p>
            <w:pPr>
              <w:spacing w:after="0"/>
              <w:rPr>
                <w:sz w:val="21"/>
                <w:szCs w:val="21"/>
                <w:color w:val="auto"/>
              </w:rPr>
            </w:pPr>
          </w:p>
        </w:tc>
        <w:tc>
          <w:tcPr>
            <w:tcW w:w="1640" w:type="dxa"/>
            <w:vAlign w:val="bottom"/>
            <w:tcBorders>
              <w:bottom w:val="single" w:sz="8" w:color="auto"/>
            </w:tcBorders>
          </w:tcPr>
          <w:p>
            <w:pPr>
              <w:spacing w:after="0"/>
              <w:rPr>
                <w:sz w:val="21"/>
                <w:szCs w:val="21"/>
                <w:color w:val="auto"/>
              </w:rPr>
            </w:pPr>
          </w:p>
        </w:tc>
        <w:tc>
          <w:tcPr>
            <w:tcW w:w="316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w:t>
            </w:r>
          </w:p>
        </w:tc>
        <w:tc>
          <w:tcPr>
            <w:tcW w:w="700" w:type="dxa"/>
            <w:vAlign w:val="bottom"/>
            <w:tcBorders>
              <w:bottom w:val="single" w:sz="8" w:color="auto"/>
              <w:right w:val="single" w:sz="8" w:color="auto"/>
            </w:tcBorders>
          </w:tcPr>
          <w:p>
            <w:pPr>
              <w:spacing w:after="0"/>
              <w:rPr>
                <w:sz w:val="21"/>
                <w:szCs w:val="21"/>
                <w:color w:val="auto"/>
              </w:rPr>
            </w:pPr>
          </w:p>
        </w:tc>
        <w:tc>
          <w:tcPr>
            <w:tcW w:w="188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N/A</w:t>
            </w:r>
          </w:p>
        </w:tc>
        <w:tc>
          <w:tcPr>
            <w:tcW w:w="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3%*</w:t>
            </w:r>
          </w:p>
        </w:tc>
        <w:tc>
          <w:tcPr>
            <w:tcW w:w="860" w:type="dxa"/>
            <w:vAlign w:val="bottom"/>
            <w:tcBorders>
              <w:bottom w:val="single" w:sz="8" w:color="auto"/>
              <w:right w:val="single" w:sz="8" w:color="auto"/>
            </w:tcBorders>
          </w:tcPr>
          <w:p>
            <w:pPr>
              <w:spacing w:after="0"/>
              <w:rPr>
                <w:sz w:val="21"/>
                <w:szCs w:val="21"/>
                <w:color w:val="auto"/>
              </w:rPr>
            </w:pPr>
          </w:p>
        </w:tc>
      </w:tr>
      <w:tr>
        <w:trPr>
          <w:trHeight w:val="250"/>
        </w:trPr>
        <w:tc>
          <w:tcPr>
            <w:tcW w:w="484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1993 – 1997</w:t>
            </w:r>
          </w:p>
        </w:tc>
        <w:tc>
          <w:tcPr>
            <w:tcW w:w="1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10%</w:t>
            </w:r>
          </w:p>
        </w:tc>
        <w:tc>
          <w:tcPr>
            <w:tcW w:w="700" w:type="dxa"/>
            <w:vAlign w:val="bottom"/>
            <w:tcBorders>
              <w:bottom w:val="single" w:sz="8" w:color="auto"/>
              <w:right w:val="single" w:sz="8" w:color="auto"/>
            </w:tcBorders>
          </w:tcPr>
          <w:p>
            <w:pPr>
              <w:spacing w:after="0"/>
              <w:rPr>
                <w:sz w:val="21"/>
                <w:szCs w:val="21"/>
                <w:color w:val="auto"/>
              </w:rPr>
            </w:pPr>
          </w:p>
        </w:tc>
        <w:tc>
          <w:tcPr>
            <w:tcW w:w="188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N/A</w:t>
            </w:r>
          </w:p>
        </w:tc>
        <w:tc>
          <w:tcPr>
            <w:tcW w:w="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10%</w:t>
            </w:r>
          </w:p>
        </w:tc>
        <w:tc>
          <w:tcPr>
            <w:tcW w:w="860" w:type="dxa"/>
            <w:vAlign w:val="bottom"/>
            <w:tcBorders>
              <w:bottom w:val="single" w:sz="8" w:color="auto"/>
              <w:right w:val="single" w:sz="8" w:color="auto"/>
            </w:tcBorders>
          </w:tcPr>
          <w:p>
            <w:pPr>
              <w:spacing w:after="0"/>
              <w:rPr>
                <w:sz w:val="21"/>
                <w:szCs w:val="21"/>
                <w:color w:val="auto"/>
              </w:rPr>
            </w:pPr>
          </w:p>
        </w:tc>
      </w:tr>
      <w:tr>
        <w:trPr>
          <w:trHeight w:val="250"/>
        </w:trPr>
        <w:tc>
          <w:tcPr>
            <w:tcW w:w="484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1998 – 2000</w:t>
            </w:r>
          </w:p>
        </w:tc>
        <w:tc>
          <w:tcPr>
            <w:tcW w:w="1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8%</w:t>
            </w:r>
          </w:p>
        </w:tc>
        <w:tc>
          <w:tcPr>
            <w:tcW w:w="700" w:type="dxa"/>
            <w:vAlign w:val="bottom"/>
            <w:tcBorders>
              <w:bottom w:val="single" w:sz="8" w:color="auto"/>
              <w:right w:val="single" w:sz="8" w:color="auto"/>
            </w:tcBorders>
          </w:tcPr>
          <w:p>
            <w:pPr>
              <w:spacing w:after="0"/>
              <w:rPr>
                <w:sz w:val="21"/>
                <w:szCs w:val="21"/>
                <w:color w:val="auto"/>
              </w:rPr>
            </w:pPr>
          </w:p>
        </w:tc>
        <w:tc>
          <w:tcPr>
            <w:tcW w:w="14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3%</w:t>
            </w:r>
          </w:p>
        </w:tc>
        <w:tc>
          <w:tcPr>
            <w:tcW w:w="480" w:type="dxa"/>
            <w:vAlign w:val="bottom"/>
            <w:tcBorders>
              <w:bottom w:val="single" w:sz="8" w:color="auto"/>
              <w:right w:val="single" w:sz="8" w:color="auto"/>
            </w:tcBorders>
          </w:tcPr>
          <w:p>
            <w:pPr>
              <w:spacing w:after="0"/>
              <w:rPr>
                <w:sz w:val="21"/>
                <w:szCs w:val="21"/>
                <w:color w:val="auto"/>
              </w:rPr>
            </w:pPr>
          </w:p>
        </w:tc>
        <w:tc>
          <w:tcPr>
            <w:tcW w:w="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11%</w:t>
            </w:r>
          </w:p>
        </w:tc>
        <w:tc>
          <w:tcPr>
            <w:tcW w:w="860" w:type="dxa"/>
            <w:vAlign w:val="bottom"/>
            <w:tcBorders>
              <w:bottom w:val="single" w:sz="8" w:color="auto"/>
              <w:right w:val="single" w:sz="8" w:color="auto"/>
            </w:tcBorders>
          </w:tcPr>
          <w:p>
            <w:pPr>
              <w:spacing w:after="0"/>
              <w:rPr>
                <w:sz w:val="21"/>
                <w:szCs w:val="21"/>
                <w:color w:val="auto"/>
              </w:rPr>
            </w:pPr>
          </w:p>
        </w:tc>
      </w:tr>
      <w:tr>
        <w:trPr>
          <w:trHeight w:val="250"/>
        </w:trPr>
        <w:tc>
          <w:tcPr>
            <w:tcW w:w="168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18"/>
                <w:szCs w:val="18"/>
                <w:color w:val="auto"/>
              </w:rPr>
              <w:t>2001- 2002</w:t>
            </w:r>
          </w:p>
        </w:tc>
        <w:tc>
          <w:tcPr>
            <w:tcW w:w="316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7%</w:t>
            </w:r>
          </w:p>
        </w:tc>
        <w:tc>
          <w:tcPr>
            <w:tcW w:w="700" w:type="dxa"/>
            <w:vAlign w:val="bottom"/>
            <w:tcBorders>
              <w:bottom w:val="single" w:sz="8" w:color="auto"/>
              <w:right w:val="single" w:sz="8" w:color="auto"/>
            </w:tcBorders>
          </w:tcPr>
          <w:p>
            <w:pPr>
              <w:spacing w:after="0"/>
              <w:rPr>
                <w:sz w:val="21"/>
                <w:szCs w:val="21"/>
                <w:color w:val="auto"/>
              </w:rPr>
            </w:pPr>
          </w:p>
        </w:tc>
        <w:tc>
          <w:tcPr>
            <w:tcW w:w="14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3%</w:t>
            </w:r>
          </w:p>
        </w:tc>
        <w:tc>
          <w:tcPr>
            <w:tcW w:w="480" w:type="dxa"/>
            <w:vAlign w:val="bottom"/>
            <w:tcBorders>
              <w:bottom w:val="single" w:sz="8" w:color="auto"/>
              <w:right w:val="single" w:sz="8" w:color="auto"/>
            </w:tcBorders>
          </w:tcPr>
          <w:p>
            <w:pPr>
              <w:spacing w:after="0"/>
              <w:rPr>
                <w:sz w:val="21"/>
                <w:szCs w:val="21"/>
                <w:color w:val="auto"/>
              </w:rPr>
            </w:pPr>
          </w:p>
        </w:tc>
        <w:tc>
          <w:tcPr>
            <w:tcW w:w="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10%</w:t>
            </w:r>
          </w:p>
        </w:tc>
        <w:tc>
          <w:tcPr>
            <w:tcW w:w="860" w:type="dxa"/>
            <w:vAlign w:val="bottom"/>
            <w:tcBorders>
              <w:bottom w:val="single" w:sz="8" w:color="auto"/>
              <w:right w:val="single" w:sz="8" w:color="auto"/>
            </w:tcBorders>
          </w:tcPr>
          <w:p>
            <w:pPr>
              <w:spacing w:after="0"/>
              <w:rPr>
                <w:sz w:val="21"/>
                <w:szCs w:val="21"/>
                <w:color w:val="auto"/>
              </w:rPr>
            </w:pPr>
          </w:p>
        </w:tc>
      </w:tr>
      <w:tr>
        <w:trPr>
          <w:trHeight w:val="250"/>
        </w:trPr>
        <w:tc>
          <w:tcPr>
            <w:tcW w:w="168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18"/>
                <w:szCs w:val="18"/>
                <w:color w:val="auto"/>
              </w:rPr>
              <w:t>2003</w:t>
            </w:r>
          </w:p>
        </w:tc>
        <w:tc>
          <w:tcPr>
            <w:tcW w:w="316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w:t>
            </w:r>
          </w:p>
        </w:tc>
        <w:tc>
          <w:tcPr>
            <w:tcW w:w="700" w:type="dxa"/>
            <w:vAlign w:val="bottom"/>
            <w:tcBorders>
              <w:bottom w:val="single" w:sz="8" w:color="auto"/>
              <w:right w:val="single" w:sz="8" w:color="auto"/>
            </w:tcBorders>
          </w:tcPr>
          <w:p>
            <w:pPr>
              <w:spacing w:after="0"/>
              <w:rPr>
                <w:sz w:val="21"/>
                <w:szCs w:val="21"/>
                <w:color w:val="auto"/>
              </w:rPr>
            </w:pPr>
          </w:p>
        </w:tc>
        <w:tc>
          <w:tcPr>
            <w:tcW w:w="14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5%</w:t>
            </w:r>
          </w:p>
        </w:tc>
        <w:tc>
          <w:tcPr>
            <w:tcW w:w="480" w:type="dxa"/>
            <w:vAlign w:val="bottom"/>
            <w:tcBorders>
              <w:bottom w:val="single" w:sz="8" w:color="auto"/>
              <w:right w:val="single" w:sz="8" w:color="auto"/>
            </w:tcBorders>
          </w:tcPr>
          <w:p>
            <w:pPr>
              <w:spacing w:after="0"/>
              <w:rPr>
                <w:sz w:val="21"/>
                <w:szCs w:val="21"/>
                <w:color w:val="auto"/>
              </w:rPr>
            </w:pPr>
          </w:p>
        </w:tc>
        <w:tc>
          <w:tcPr>
            <w:tcW w:w="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8%</w:t>
            </w:r>
          </w:p>
        </w:tc>
        <w:tc>
          <w:tcPr>
            <w:tcW w:w="860" w:type="dxa"/>
            <w:vAlign w:val="bottom"/>
            <w:tcBorders>
              <w:bottom w:val="single" w:sz="8" w:color="auto"/>
              <w:right w:val="single" w:sz="8" w:color="auto"/>
            </w:tcBorders>
          </w:tcPr>
          <w:p>
            <w:pPr>
              <w:spacing w:after="0"/>
              <w:rPr>
                <w:sz w:val="21"/>
                <w:szCs w:val="21"/>
                <w:color w:val="auto"/>
              </w:rPr>
            </w:pPr>
          </w:p>
        </w:tc>
      </w:tr>
      <w:tr>
        <w:trPr>
          <w:trHeight w:val="250"/>
        </w:trPr>
        <w:tc>
          <w:tcPr>
            <w:tcW w:w="484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2004 initial rate</w:t>
            </w:r>
          </w:p>
        </w:tc>
        <w:tc>
          <w:tcPr>
            <w:tcW w:w="1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w:t>
            </w:r>
          </w:p>
        </w:tc>
        <w:tc>
          <w:tcPr>
            <w:tcW w:w="700" w:type="dxa"/>
            <w:vAlign w:val="bottom"/>
            <w:tcBorders>
              <w:bottom w:val="single" w:sz="8" w:color="auto"/>
              <w:right w:val="single" w:sz="8" w:color="auto"/>
            </w:tcBorders>
          </w:tcPr>
          <w:p>
            <w:pPr>
              <w:spacing w:after="0"/>
              <w:rPr>
                <w:sz w:val="21"/>
                <w:szCs w:val="21"/>
                <w:color w:val="auto"/>
              </w:rPr>
            </w:pPr>
          </w:p>
        </w:tc>
        <w:tc>
          <w:tcPr>
            <w:tcW w:w="14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5%</w:t>
            </w:r>
          </w:p>
        </w:tc>
        <w:tc>
          <w:tcPr>
            <w:tcW w:w="480" w:type="dxa"/>
            <w:vAlign w:val="bottom"/>
            <w:tcBorders>
              <w:bottom w:val="single" w:sz="8" w:color="auto"/>
              <w:right w:val="single" w:sz="8" w:color="auto"/>
            </w:tcBorders>
          </w:tcPr>
          <w:p>
            <w:pPr>
              <w:spacing w:after="0"/>
              <w:rPr>
                <w:sz w:val="21"/>
                <w:szCs w:val="21"/>
                <w:color w:val="auto"/>
              </w:rPr>
            </w:pPr>
          </w:p>
        </w:tc>
        <w:tc>
          <w:tcPr>
            <w:tcW w:w="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8%</w:t>
            </w:r>
          </w:p>
        </w:tc>
        <w:tc>
          <w:tcPr>
            <w:tcW w:w="860" w:type="dxa"/>
            <w:vAlign w:val="bottom"/>
            <w:tcBorders>
              <w:bottom w:val="single" w:sz="8" w:color="auto"/>
              <w:right w:val="single" w:sz="8" w:color="auto"/>
            </w:tcBorders>
          </w:tcPr>
          <w:p>
            <w:pPr>
              <w:spacing w:after="0"/>
              <w:rPr>
                <w:sz w:val="21"/>
                <w:szCs w:val="21"/>
                <w:color w:val="auto"/>
              </w:rPr>
            </w:pPr>
          </w:p>
        </w:tc>
      </w:tr>
      <w:tr>
        <w:trPr>
          <w:trHeight w:val="250"/>
        </w:trPr>
        <w:tc>
          <w:tcPr>
            <w:tcW w:w="484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2005 initial rate **</w:t>
            </w:r>
          </w:p>
        </w:tc>
        <w:tc>
          <w:tcPr>
            <w:tcW w:w="1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8%**</w:t>
            </w:r>
          </w:p>
        </w:tc>
        <w:tc>
          <w:tcPr>
            <w:tcW w:w="700" w:type="dxa"/>
            <w:vAlign w:val="bottom"/>
            <w:tcBorders>
              <w:bottom w:val="single" w:sz="8" w:color="auto"/>
              <w:right w:val="single" w:sz="8" w:color="auto"/>
            </w:tcBorders>
          </w:tcPr>
          <w:p>
            <w:pPr>
              <w:spacing w:after="0"/>
              <w:rPr>
                <w:sz w:val="21"/>
                <w:szCs w:val="21"/>
                <w:color w:val="auto"/>
              </w:rPr>
            </w:pPr>
          </w:p>
        </w:tc>
        <w:tc>
          <w:tcPr>
            <w:tcW w:w="188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N/A</w:t>
            </w:r>
          </w:p>
        </w:tc>
        <w:tc>
          <w:tcPr>
            <w:tcW w:w="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8%**</w:t>
            </w:r>
          </w:p>
        </w:tc>
        <w:tc>
          <w:tcPr>
            <w:tcW w:w="860" w:type="dxa"/>
            <w:vAlign w:val="bottom"/>
            <w:tcBorders>
              <w:bottom w:val="single" w:sz="8" w:color="auto"/>
              <w:right w:val="single" w:sz="8" w:color="auto"/>
            </w:tcBorders>
          </w:tcPr>
          <w:p>
            <w:pPr>
              <w:spacing w:after="0"/>
              <w:rPr>
                <w:sz w:val="21"/>
                <w:szCs w:val="21"/>
                <w:color w:val="auto"/>
              </w:rPr>
            </w:pPr>
          </w:p>
        </w:tc>
      </w:tr>
      <w:tr>
        <w:trPr>
          <w:trHeight w:val="250"/>
        </w:trPr>
        <w:tc>
          <w:tcPr>
            <w:tcW w:w="484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2006 initial rate **</w:t>
            </w:r>
          </w:p>
        </w:tc>
        <w:tc>
          <w:tcPr>
            <w:tcW w:w="1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5.8%**</w:t>
            </w:r>
          </w:p>
        </w:tc>
        <w:tc>
          <w:tcPr>
            <w:tcW w:w="700" w:type="dxa"/>
            <w:vAlign w:val="bottom"/>
            <w:tcBorders>
              <w:bottom w:val="single" w:sz="8" w:color="auto"/>
              <w:right w:val="single" w:sz="8" w:color="auto"/>
            </w:tcBorders>
          </w:tcPr>
          <w:p>
            <w:pPr>
              <w:spacing w:after="0"/>
              <w:rPr>
                <w:sz w:val="21"/>
                <w:szCs w:val="21"/>
                <w:color w:val="auto"/>
              </w:rPr>
            </w:pPr>
          </w:p>
        </w:tc>
        <w:tc>
          <w:tcPr>
            <w:tcW w:w="188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N/A</w:t>
            </w:r>
          </w:p>
        </w:tc>
        <w:tc>
          <w:tcPr>
            <w:tcW w:w="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5.8%**</w:t>
            </w:r>
          </w:p>
        </w:tc>
        <w:tc>
          <w:tcPr>
            <w:tcW w:w="860" w:type="dxa"/>
            <w:vAlign w:val="bottom"/>
            <w:tcBorders>
              <w:bottom w:val="single" w:sz="8" w:color="auto"/>
              <w:right w:val="single" w:sz="8" w:color="auto"/>
            </w:tcBorders>
          </w:tcPr>
          <w:p>
            <w:pPr>
              <w:spacing w:after="0"/>
              <w:rPr>
                <w:sz w:val="21"/>
                <w:szCs w:val="21"/>
                <w:color w:val="auto"/>
              </w:rPr>
            </w:pPr>
          </w:p>
        </w:tc>
      </w:tr>
      <w:tr>
        <w:trPr>
          <w:trHeight w:val="250"/>
        </w:trPr>
        <w:tc>
          <w:tcPr>
            <w:tcW w:w="484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2007 initial rate **</w:t>
            </w:r>
          </w:p>
        </w:tc>
        <w:tc>
          <w:tcPr>
            <w:tcW w:w="1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5.8%**</w:t>
            </w:r>
          </w:p>
        </w:tc>
        <w:tc>
          <w:tcPr>
            <w:tcW w:w="700" w:type="dxa"/>
            <w:vAlign w:val="bottom"/>
            <w:tcBorders>
              <w:bottom w:val="single" w:sz="8" w:color="auto"/>
              <w:right w:val="single" w:sz="8" w:color="auto"/>
            </w:tcBorders>
          </w:tcPr>
          <w:p>
            <w:pPr>
              <w:spacing w:after="0"/>
              <w:rPr>
                <w:sz w:val="21"/>
                <w:szCs w:val="21"/>
                <w:color w:val="auto"/>
              </w:rPr>
            </w:pPr>
          </w:p>
        </w:tc>
        <w:tc>
          <w:tcPr>
            <w:tcW w:w="188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N/A</w:t>
            </w:r>
          </w:p>
        </w:tc>
        <w:tc>
          <w:tcPr>
            <w:tcW w:w="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5.8%**</w:t>
            </w:r>
          </w:p>
        </w:tc>
        <w:tc>
          <w:tcPr>
            <w:tcW w:w="860" w:type="dxa"/>
            <w:vAlign w:val="bottom"/>
            <w:tcBorders>
              <w:bottom w:val="single" w:sz="8" w:color="auto"/>
              <w:right w:val="single" w:sz="8" w:color="auto"/>
            </w:tcBorders>
          </w:tcPr>
          <w:p>
            <w:pPr>
              <w:spacing w:after="0"/>
              <w:rPr>
                <w:sz w:val="21"/>
                <w:szCs w:val="21"/>
                <w:color w:val="auto"/>
              </w:rPr>
            </w:pPr>
          </w:p>
        </w:tc>
      </w:tr>
      <w:tr>
        <w:trPr>
          <w:trHeight w:val="250"/>
        </w:trPr>
        <w:tc>
          <w:tcPr>
            <w:tcW w:w="484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2008 initial rate **</w:t>
            </w:r>
          </w:p>
        </w:tc>
        <w:tc>
          <w:tcPr>
            <w:tcW w:w="1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6.3%**</w:t>
            </w:r>
          </w:p>
        </w:tc>
        <w:tc>
          <w:tcPr>
            <w:tcW w:w="700" w:type="dxa"/>
            <w:vAlign w:val="bottom"/>
            <w:tcBorders>
              <w:bottom w:val="single" w:sz="8" w:color="auto"/>
              <w:right w:val="single" w:sz="8" w:color="auto"/>
            </w:tcBorders>
          </w:tcPr>
          <w:p>
            <w:pPr>
              <w:spacing w:after="0"/>
              <w:rPr>
                <w:sz w:val="21"/>
                <w:szCs w:val="21"/>
                <w:color w:val="auto"/>
              </w:rPr>
            </w:pPr>
          </w:p>
        </w:tc>
        <w:tc>
          <w:tcPr>
            <w:tcW w:w="188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N/A</w:t>
            </w:r>
          </w:p>
        </w:tc>
        <w:tc>
          <w:tcPr>
            <w:tcW w:w="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6.3%**</w:t>
            </w:r>
          </w:p>
        </w:tc>
        <w:tc>
          <w:tcPr>
            <w:tcW w:w="860" w:type="dxa"/>
            <w:vAlign w:val="bottom"/>
            <w:tcBorders>
              <w:bottom w:val="single" w:sz="8" w:color="auto"/>
              <w:right w:val="single" w:sz="8" w:color="auto"/>
            </w:tcBorders>
          </w:tcPr>
          <w:p>
            <w:pPr>
              <w:spacing w:after="0"/>
              <w:rPr>
                <w:sz w:val="21"/>
                <w:szCs w:val="21"/>
                <w:color w:val="auto"/>
              </w:rPr>
            </w:pPr>
          </w:p>
        </w:tc>
      </w:tr>
      <w:tr>
        <w:trPr>
          <w:trHeight w:val="250"/>
        </w:trPr>
        <w:tc>
          <w:tcPr>
            <w:tcW w:w="484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2009 initial rate **</w:t>
            </w:r>
          </w:p>
        </w:tc>
        <w:tc>
          <w:tcPr>
            <w:tcW w:w="1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7.2%**</w:t>
            </w:r>
          </w:p>
        </w:tc>
        <w:tc>
          <w:tcPr>
            <w:tcW w:w="700" w:type="dxa"/>
            <w:vAlign w:val="bottom"/>
            <w:tcBorders>
              <w:bottom w:val="single" w:sz="8" w:color="auto"/>
              <w:right w:val="single" w:sz="8" w:color="auto"/>
            </w:tcBorders>
          </w:tcPr>
          <w:p>
            <w:pPr>
              <w:spacing w:after="0"/>
              <w:rPr>
                <w:sz w:val="21"/>
                <w:szCs w:val="21"/>
                <w:color w:val="auto"/>
              </w:rPr>
            </w:pPr>
          </w:p>
        </w:tc>
        <w:tc>
          <w:tcPr>
            <w:tcW w:w="188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N/A</w:t>
            </w:r>
          </w:p>
        </w:tc>
        <w:tc>
          <w:tcPr>
            <w:tcW w:w="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7.2%**</w:t>
            </w:r>
          </w:p>
        </w:tc>
        <w:tc>
          <w:tcPr>
            <w:tcW w:w="860" w:type="dxa"/>
            <w:vAlign w:val="bottom"/>
            <w:tcBorders>
              <w:bottom w:val="single" w:sz="8" w:color="auto"/>
              <w:right w:val="single" w:sz="8" w:color="auto"/>
            </w:tcBorders>
          </w:tcPr>
          <w:p>
            <w:pPr>
              <w:spacing w:after="0"/>
              <w:rPr>
                <w:sz w:val="21"/>
                <w:szCs w:val="21"/>
                <w:color w:val="auto"/>
              </w:rPr>
            </w:pPr>
          </w:p>
        </w:tc>
      </w:tr>
      <w:tr>
        <w:trPr>
          <w:trHeight w:val="250"/>
        </w:trPr>
        <w:tc>
          <w:tcPr>
            <w:tcW w:w="484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2010 initial rate **</w:t>
            </w:r>
          </w:p>
        </w:tc>
        <w:tc>
          <w:tcPr>
            <w:tcW w:w="1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4.8%**</w:t>
            </w:r>
          </w:p>
        </w:tc>
        <w:tc>
          <w:tcPr>
            <w:tcW w:w="700" w:type="dxa"/>
            <w:vAlign w:val="bottom"/>
            <w:tcBorders>
              <w:bottom w:val="single" w:sz="8" w:color="auto"/>
              <w:right w:val="single" w:sz="8" w:color="auto"/>
            </w:tcBorders>
          </w:tcPr>
          <w:p>
            <w:pPr>
              <w:spacing w:after="0"/>
              <w:rPr>
                <w:sz w:val="21"/>
                <w:szCs w:val="21"/>
                <w:color w:val="auto"/>
              </w:rPr>
            </w:pPr>
          </w:p>
        </w:tc>
        <w:tc>
          <w:tcPr>
            <w:tcW w:w="188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N/A</w:t>
            </w:r>
          </w:p>
        </w:tc>
        <w:tc>
          <w:tcPr>
            <w:tcW w:w="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4.8%**</w:t>
            </w:r>
          </w:p>
        </w:tc>
        <w:tc>
          <w:tcPr>
            <w:tcW w:w="860" w:type="dxa"/>
            <w:vAlign w:val="bottom"/>
            <w:tcBorders>
              <w:bottom w:val="single" w:sz="8" w:color="auto"/>
              <w:right w:val="single" w:sz="8" w:color="auto"/>
            </w:tcBorders>
          </w:tcPr>
          <w:p>
            <w:pPr>
              <w:spacing w:after="0"/>
              <w:rPr>
                <w:sz w:val="21"/>
                <w:szCs w:val="21"/>
                <w:color w:val="auto"/>
              </w:rPr>
            </w:pPr>
          </w:p>
        </w:tc>
      </w:tr>
      <w:tr>
        <w:trPr>
          <w:trHeight w:val="250"/>
        </w:trPr>
        <w:tc>
          <w:tcPr>
            <w:tcW w:w="484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2011 initial rate **</w:t>
            </w:r>
          </w:p>
        </w:tc>
        <w:tc>
          <w:tcPr>
            <w:tcW w:w="1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3.84%**</w:t>
            </w:r>
          </w:p>
        </w:tc>
        <w:tc>
          <w:tcPr>
            <w:tcW w:w="700" w:type="dxa"/>
            <w:vAlign w:val="bottom"/>
            <w:tcBorders>
              <w:bottom w:val="single" w:sz="8" w:color="auto"/>
              <w:right w:val="single" w:sz="8" w:color="auto"/>
            </w:tcBorders>
          </w:tcPr>
          <w:p>
            <w:pPr>
              <w:spacing w:after="0"/>
              <w:rPr>
                <w:sz w:val="21"/>
                <w:szCs w:val="21"/>
                <w:color w:val="auto"/>
              </w:rPr>
            </w:pPr>
          </w:p>
        </w:tc>
        <w:tc>
          <w:tcPr>
            <w:tcW w:w="188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N/A</w:t>
            </w:r>
          </w:p>
        </w:tc>
        <w:tc>
          <w:tcPr>
            <w:tcW w:w="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3.84%**</w:t>
            </w:r>
          </w:p>
        </w:tc>
        <w:tc>
          <w:tcPr>
            <w:tcW w:w="860" w:type="dxa"/>
            <w:vAlign w:val="bottom"/>
            <w:tcBorders>
              <w:bottom w:val="single" w:sz="8" w:color="auto"/>
              <w:right w:val="single" w:sz="8" w:color="auto"/>
            </w:tcBorders>
          </w:tcPr>
          <w:p>
            <w:pPr>
              <w:spacing w:after="0"/>
              <w:rPr>
                <w:sz w:val="21"/>
                <w:szCs w:val="21"/>
                <w:color w:val="auto"/>
              </w:rPr>
            </w:pPr>
          </w:p>
        </w:tc>
      </w:tr>
      <w:tr>
        <w:trPr>
          <w:trHeight w:val="250"/>
        </w:trPr>
        <w:tc>
          <w:tcPr>
            <w:tcW w:w="484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2012 initial rate **</w:t>
            </w:r>
          </w:p>
        </w:tc>
        <w:tc>
          <w:tcPr>
            <w:tcW w:w="1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3.65%**</w:t>
            </w:r>
          </w:p>
        </w:tc>
        <w:tc>
          <w:tcPr>
            <w:tcW w:w="700" w:type="dxa"/>
            <w:vAlign w:val="bottom"/>
            <w:tcBorders>
              <w:bottom w:val="single" w:sz="8" w:color="auto"/>
              <w:right w:val="single" w:sz="8" w:color="auto"/>
            </w:tcBorders>
          </w:tcPr>
          <w:p>
            <w:pPr>
              <w:spacing w:after="0"/>
              <w:rPr>
                <w:sz w:val="21"/>
                <w:szCs w:val="21"/>
                <w:color w:val="auto"/>
              </w:rPr>
            </w:pPr>
          </w:p>
        </w:tc>
        <w:tc>
          <w:tcPr>
            <w:tcW w:w="188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N/A</w:t>
            </w:r>
          </w:p>
        </w:tc>
        <w:tc>
          <w:tcPr>
            <w:tcW w:w="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3.65%**</w:t>
            </w:r>
          </w:p>
        </w:tc>
        <w:tc>
          <w:tcPr>
            <w:tcW w:w="860" w:type="dxa"/>
            <w:vAlign w:val="bottom"/>
            <w:tcBorders>
              <w:bottom w:val="single" w:sz="8" w:color="auto"/>
              <w:right w:val="single" w:sz="8" w:color="auto"/>
            </w:tcBorders>
          </w:tcPr>
          <w:p>
            <w:pPr>
              <w:spacing w:after="0"/>
              <w:rPr>
                <w:sz w:val="21"/>
                <w:szCs w:val="21"/>
                <w:color w:val="auto"/>
              </w:rPr>
            </w:pPr>
          </w:p>
        </w:tc>
      </w:tr>
      <w:tr>
        <w:trPr>
          <w:trHeight w:val="250"/>
        </w:trPr>
        <w:tc>
          <w:tcPr>
            <w:tcW w:w="484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2013 initial rate **</w:t>
            </w:r>
          </w:p>
        </w:tc>
        <w:tc>
          <w:tcPr>
            <w:tcW w:w="1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2.90%**</w:t>
            </w:r>
          </w:p>
        </w:tc>
        <w:tc>
          <w:tcPr>
            <w:tcW w:w="700" w:type="dxa"/>
            <w:vAlign w:val="bottom"/>
            <w:tcBorders>
              <w:bottom w:val="single" w:sz="8" w:color="auto"/>
              <w:right w:val="single" w:sz="8" w:color="auto"/>
            </w:tcBorders>
          </w:tcPr>
          <w:p>
            <w:pPr>
              <w:spacing w:after="0"/>
              <w:rPr>
                <w:sz w:val="21"/>
                <w:szCs w:val="21"/>
                <w:color w:val="auto"/>
              </w:rPr>
            </w:pPr>
          </w:p>
        </w:tc>
        <w:tc>
          <w:tcPr>
            <w:tcW w:w="188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N/A</w:t>
            </w:r>
          </w:p>
        </w:tc>
        <w:tc>
          <w:tcPr>
            <w:tcW w:w="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2.90%**</w:t>
            </w:r>
          </w:p>
        </w:tc>
        <w:tc>
          <w:tcPr>
            <w:tcW w:w="860" w:type="dxa"/>
            <w:vAlign w:val="bottom"/>
            <w:tcBorders>
              <w:bottom w:val="single" w:sz="8" w:color="auto"/>
              <w:right w:val="single" w:sz="8" w:color="auto"/>
            </w:tcBorders>
          </w:tcPr>
          <w:p>
            <w:pPr>
              <w:spacing w:after="0"/>
              <w:rPr>
                <w:sz w:val="21"/>
                <w:szCs w:val="21"/>
                <w:color w:val="auto"/>
              </w:rPr>
            </w:pPr>
          </w:p>
        </w:tc>
      </w:tr>
      <w:tr>
        <w:trPr>
          <w:trHeight w:val="250"/>
        </w:trPr>
        <w:tc>
          <w:tcPr>
            <w:tcW w:w="484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2014 initial rate **</w:t>
            </w:r>
          </w:p>
        </w:tc>
        <w:tc>
          <w:tcPr>
            <w:tcW w:w="1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4.09%**</w:t>
            </w:r>
          </w:p>
        </w:tc>
        <w:tc>
          <w:tcPr>
            <w:tcW w:w="700" w:type="dxa"/>
            <w:vAlign w:val="bottom"/>
            <w:tcBorders>
              <w:bottom w:val="single" w:sz="8" w:color="auto"/>
              <w:right w:val="single" w:sz="8" w:color="auto"/>
            </w:tcBorders>
          </w:tcPr>
          <w:p>
            <w:pPr>
              <w:spacing w:after="0"/>
              <w:rPr>
                <w:sz w:val="21"/>
                <w:szCs w:val="21"/>
                <w:color w:val="auto"/>
              </w:rPr>
            </w:pPr>
          </w:p>
        </w:tc>
        <w:tc>
          <w:tcPr>
            <w:tcW w:w="188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N/A</w:t>
            </w:r>
          </w:p>
        </w:tc>
        <w:tc>
          <w:tcPr>
            <w:tcW w:w="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4.09%**</w:t>
            </w:r>
          </w:p>
        </w:tc>
        <w:tc>
          <w:tcPr>
            <w:tcW w:w="860" w:type="dxa"/>
            <w:vAlign w:val="bottom"/>
            <w:tcBorders>
              <w:bottom w:val="single" w:sz="8" w:color="auto"/>
              <w:right w:val="single" w:sz="8" w:color="auto"/>
            </w:tcBorders>
          </w:tcPr>
          <w:p>
            <w:pPr>
              <w:spacing w:after="0"/>
              <w:rPr>
                <w:sz w:val="21"/>
                <w:szCs w:val="21"/>
                <w:color w:val="auto"/>
              </w:rPr>
            </w:pPr>
          </w:p>
        </w:tc>
      </w:tr>
      <w:tr>
        <w:trPr>
          <w:trHeight w:val="250"/>
        </w:trPr>
        <w:tc>
          <w:tcPr>
            <w:tcW w:w="484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2015 initial rate **</w:t>
            </w:r>
          </w:p>
        </w:tc>
        <w:tc>
          <w:tcPr>
            <w:tcW w:w="1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3.66%**</w:t>
            </w:r>
          </w:p>
        </w:tc>
        <w:tc>
          <w:tcPr>
            <w:tcW w:w="700" w:type="dxa"/>
            <w:vAlign w:val="bottom"/>
            <w:tcBorders>
              <w:bottom w:val="single" w:sz="8" w:color="auto"/>
              <w:right w:val="single" w:sz="8" w:color="auto"/>
            </w:tcBorders>
          </w:tcPr>
          <w:p>
            <w:pPr>
              <w:spacing w:after="0"/>
              <w:rPr>
                <w:sz w:val="21"/>
                <w:szCs w:val="21"/>
                <w:color w:val="auto"/>
              </w:rPr>
            </w:pPr>
          </w:p>
        </w:tc>
        <w:tc>
          <w:tcPr>
            <w:tcW w:w="188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N/A</w:t>
            </w:r>
          </w:p>
        </w:tc>
        <w:tc>
          <w:tcPr>
            <w:tcW w:w="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3.66%**</w:t>
            </w:r>
          </w:p>
        </w:tc>
        <w:tc>
          <w:tcPr>
            <w:tcW w:w="860" w:type="dxa"/>
            <w:vAlign w:val="bottom"/>
            <w:tcBorders>
              <w:bottom w:val="single" w:sz="8" w:color="auto"/>
              <w:right w:val="single" w:sz="8" w:color="auto"/>
            </w:tcBorders>
          </w:tcPr>
          <w:p>
            <w:pPr>
              <w:spacing w:after="0"/>
              <w:rPr>
                <w:sz w:val="21"/>
                <w:szCs w:val="21"/>
                <w:color w:val="auto"/>
              </w:rPr>
            </w:pPr>
          </w:p>
        </w:tc>
      </w:tr>
      <w:tr>
        <w:trPr>
          <w:trHeight w:val="250"/>
        </w:trPr>
        <w:tc>
          <w:tcPr>
            <w:tcW w:w="484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2016 initial rate **</w:t>
            </w:r>
          </w:p>
        </w:tc>
        <w:tc>
          <w:tcPr>
            <w:tcW w:w="1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3.64%**</w:t>
            </w:r>
          </w:p>
        </w:tc>
        <w:tc>
          <w:tcPr>
            <w:tcW w:w="700" w:type="dxa"/>
            <w:vAlign w:val="bottom"/>
            <w:tcBorders>
              <w:bottom w:val="single" w:sz="8" w:color="auto"/>
              <w:right w:val="single" w:sz="8" w:color="auto"/>
            </w:tcBorders>
          </w:tcPr>
          <w:p>
            <w:pPr>
              <w:spacing w:after="0"/>
              <w:rPr>
                <w:sz w:val="21"/>
                <w:szCs w:val="21"/>
                <w:color w:val="auto"/>
              </w:rPr>
            </w:pPr>
          </w:p>
        </w:tc>
        <w:tc>
          <w:tcPr>
            <w:tcW w:w="188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N/A</w:t>
            </w:r>
          </w:p>
        </w:tc>
        <w:tc>
          <w:tcPr>
            <w:tcW w:w="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3.64%**</w:t>
            </w:r>
          </w:p>
        </w:tc>
        <w:tc>
          <w:tcPr>
            <w:tcW w:w="860" w:type="dxa"/>
            <w:vAlign w:val="bottom"/>
            <w:tcBorders>
              <w:bottom w:val="single" w:sz="8" w:color="auto"/>
              <w:right w:val="single" w:sz="8" w:color="auto"/>
            </w:tcBorders>
          </w:tcPr>
          <w:p>
            <w:pPr>
              <w:spacing w:after="0"/>
              <w:rPr>
                <w:sz w:val="21"/>
                <w:szCs w:val="21"/>
                <w:color w:val="auto"/>
              </w:rPr>
            </w:pPr>
          </w:p>
        </w:tc>
      </w:tr>
      <w:tr>
        <w:trPr>
          <w:trHeight w:val="250"/>
        </w:trPr>
        <w:tc>
          <w:tcPr>
            <w:tcW w:w="484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2017 initial rate **</w:t>
            </w:r>
          </w:p>
        </w:tc>
        <w:tc>
          <w:tcPr>
            <w:tcW w:w="1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2.69%**</w:t>
            </w:r>
          </w:p>
        </w:tc>
        <w:tc>
          <w:tcPr>
            <w:tcW w:w="700" w:type="dxa"/>
            <w:vAlign w:val="bottom"/>
            <w:tcBorders>
              <w:bottom w:val="single" w:sz="8" w:color="auto"/>
              <w:right w:val="single" w:sz="8" w:color="auto"/>
            </w:tcBorders>
          </w:tcPr>
          <w:p>
            <w:pPr>
              <w:spacing w:after="0"/>
              <w:rPr>
                <w:sz w:val="21"/>
                <w:szCs w:val="21"/>
                <w:color w:val="auto"/>
              </w:rPr>
            </w:pPr>
          </w:p>
        </w:tc>
        <w:tc>
          <w:tcPr>
            <w:tcW w:w="188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N/A</w:t>
            </w:r>
          </w:p>
        </w:tc>
        <w:tc>
          <w:tcPr>
            <w:tcW w:w="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2.69%**</w:t>
            </w:r>
          </w:p>
        </w:tc>
        <w:tc>
          <w:tcPr>
            <w:tcW w:w="860" w:type="dxa"/>
            <w:vAlign w:val="bottom"/>
            <w:tcBorders>
              <w:bottom w:val="single" w:sz="8" w:color="auto"/>
              <w:right w:val="single" w:sz="8" w:color="auto"/>
            </w:tcBorders>
          </w:tcPr>
          <w:p>
            <w:pPr>
              <w:spacing w:after="0"/>
              <w:rPr>
                <w:sz w:val="21"/>
                <w:szCs w:val="21"/>
                <w:color w:val="auto"/>
              </w:rPr>
            </w:pPr>
          </w:p>
        </w:tc>
      </w:tr>
      <w:tr>
        <w:trPr>
          <w:trHeight w:val="250"/>
        </w:trPr>
        <w:tc>
          <w:tcPr>
            <w:tcW w:w="484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2018 initial rate **</w:t>
            </w:r>
          </w:p>
        </w:tc>
        <w:tc>
          <w:tcPr>
            <w:tcW w:w="1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3.38%**</w:t>
            </w:r>
          </w:p>
        </w:tc>
        <w:tc>
          <w:tcPr>
            <w:tcW w:w="700" w:type="dxa"/>
            <w:vAlign w:val="bottom"/>
            <w:tcBorders>
              <w:bottom w:val="single" w:sz="8" w:color="auto"/>
              <w:right w:val="single" w:sz="8" w:color="auto"/>
            </w:tcBorders>
          </w:tcPr>
          <w:p>
            <w:pPr>
              <w:spacing w:after="0"/>
              <w:rPr>
                <w:sz w:val="21"/>
                <w:szCs w:val="21"/>
                <w:color w:val="auto"/>
              </w:rPr>
            </w:pPr>
          </w:p>
        </w:tc>
        <w:tc>
          <w:tcPr>
            <w:tcW w:w="188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N/A</w:t>
            </w:r>
          </w:p>
        </w:tc>
        <w:tc>
          <w:tcPr>
            <w:tcW w:w="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3.38%**</w:t>
            </w:r>
          </w:p>
        </w:tc>
        <w:tc>
          <w:tcPr>
            <w:tcW w:w="860" w:type="dxa"/>
            <w:vAlign w:val="bottom"/>
            <w:tcBorders>
              <w:bottom w:val="single" w:sz="8" w:color="auto"/>
              <w:right w:val="single" w:sz="8" w:color="auto"/>
            </w:tcBorders>
          </w:tcPr>
          <w:p>
            <w:pPr>
              <w:spacing w:after="0"/>
              <w:rPr>
                <w:sz w:val="21"/>
                <w:szCs w:val="21"/>
                <w:color w:val="auto"/>
              </w:rPr>
            </w:pPr>
          </w:p>
        </w:tc>
      </w:tr>
      <w:tr>
        <w:trPr>
          <w:trHeight w:val="250"/>
        </w:trPr>
        <w:tc>
          <w:tcPr>
            <w:tcW w:w="484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2019 initial rate **</w:t>
            </w:r>
          </w:p>
        </w:tc>
        <w:tc>
          <w:tcPr>
            <w:tcW w:w="1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4.06%</w:t>
            </w:r>
          </w:p>
        </w:tc>
        <w:tc>
          <w:tcPr>
            <w:tcW w:w="700" w:type="dxa"/>
            <w:vAlign w:val="bottom"/>
            <w:tcBorders>
              <w:bottom w:val="single" w:sz="8" w:color="auto"/>
              <w:right w:val="single" w:sz="8" w:color="auto"/>
            </w:tcBorders>
          </w:tcPr>
          <w:p>
            <w:pPr>
              <w:spacing w:after="0"/>
              <w:rPr>
                <w:sz w:val="21"/>
                <w:szCs w:val="21"/>
                <w:color w:val="auto"/>
              </w:rPr>
            </w:pPr>
          </w:p>
        </w:tc>
        <w:tc>
          <w:tcPr>
            <w:tcW w:w="188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N/A</w:t>
            </w:r>
          </w:p>
        </w:tc>
        <w:tc>
          <w:tcPr>
            <w:tcW w:w="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4.06%</w:t>
            </w:r>
          </w:p>
        </w:tc>
        <w:tc>
          <w:tcPr>
            <w:tcW w:w="860" w:type="dxa"/>
            <w:vAlign w:val="bottom"/>
            <w:tcBorders>
              <w:bottom w:val="single" w:sz="8" w:color="auto"/>
              <w:right w:val="single" w:sz="8" w:color="auto"/>
            </w:tcBorders>
          </w:tcPr>
          <w:p>
            <w:pPr>
              <w:spacing w:after="0"/>
              <w:rPr>
                <w:sz w:val="21"/>
                <w:szCs w:val="21"/>
                <w:color w:val="auto"/>
              </w:rPr>
            </w:pPr>
          </w:p>
        </w:tc>
      </w:tr>
      <w:tr>
        <w:trPr>
          <w:trHeight w:val="250"/>
        </w:trPr>
        <w:tc>
          <w:tcPr>
            <w:tcW w:w="484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2020 initial rate **</w:t>
            </w:r>
          </w:p>
        </w:tc>
        <w:tc>
          <w:tcPr>
            <w:tcW w:w="1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2.76%</w:t>
            </w:r>
          </w:p>
        </w:tc>
        <w:tc>
          <w:tcPr>
            <w:tcW w:w="700" w:type="dxa"/>
            <w:vAlign w:val="bottom"/>
            <w:tcBorders>
              <w:bottom w:val="single" w:sz="8" w:color="auto"/>
              <w:right w:val="single" w:sz="8" w:color="auto"/>
            </w:tcBorders>
          </w:tcPr>
          <w:p>
            <w:pPr>
              <w:spacing w:after="0"/>
              <w:rPr>
                <w:sz w:val="21"/>
                <w:szCs w:val="21"/>
                <w:color w:val="auto"/>
              </w:rPr>
            </w:pPr>
          </w:p>
        </w:tc>
        <w:tc>
          <w:tcPr>
            <w:tcW w:w="188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N/A</w:t>
            </w:r>
          </w:p>
        </w:tc>
        <w:tc>
          <w:tcPr>
            <w:tcW w:w="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2.76%</w:t>
            </w:r>
          </w:p>
        </w:tc>
        <w:tc>
          <w:tcPr>
            <w:tcW w:w="860" w:type="dxa"/>
            <w:vAlign w:val="bottom"/>
            <w:tcBorders>
              <w:bottom w:val="single" w:sz="8" w:color="auto"/>
              <w:right w:val="single" w:sz="8" w:color="auto"/>
            </w:tcBorders>
          </w:tcPr>
          <w:p>
            <w:pPr>
              <w:spacing w:after="0"/>
              <w:rPr>
                <w:sz w:val="21"/>
                <w:szCs w:val="21"/>
                <w:color w:val="auto"/>
              </w:rPr>
            </w:pPr>
          </w:p>
        </w:tc>
      </w:tr>
      <w:tr>
        <w:trPr>
          <w:trHeight w:val="250"/>
        </w:trPr>
        <w:tc>
          <w:tcPr>
            <w:tcW w:w="484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2021 initial rate **</w:t>
            </w:r>
          </w:p>
        </w:tc>
        <w:tc>
          <w:tcPr>
            <w:tcW w:w="1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1.74%</w:t>
            </w:r>
          </w:p>
        </w:tc>
        <w:tc>
          <w:tcPr>
            <w:tcW w:w="700" w:type="dxa"/>
            <w:vAlign w:val="bottom"/>
            <w:tcBorders>
              <w:bottom w:val="single" w:sz="8" w:color="auto"/>
              <w:right w:val="single" w:sz="8" w:color="auto"/>
            </w:tcBorders>
          </w:tcPr>
          <w:p>
            <w:pPr>
              <w:spacing w:after="0"/>
              <w:rPr>
                <w:sz w:val="21"/>
                <w:szCs w:val="21"/>
                <w:color w:val="auto"/>
              </w:rPr>
            </w:pPr>
          </w:p>
        </w:tc>
        <w:tc>
          <w:tcPr>
            <w:tcW w:w="188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N/A</w:t>
            </w:r>
          </w:p>
        </w:tc>
        <w:tc>
          <w:tcPr>
            <w:tcW w:w="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1.74%</w:t>
            </w:r>
          </w:p>
        </w:tc>
        <w:tc>
          <w:tcPr>
            <w:tcW w:w="860" w:type="dxa"/>
            <w:vAlign w:val="bottom"/>
            <w:tcBorders>
              <w:bottom w:val="single" w:sz="8" w:color="auto"/>
              <w:right w:val="single" w:sz="8" w:color="auto"/>
            </w:tcBorders>
          </w:tcPr>
          <w:p>
            <w:pPr>
              <w:spacing w:after="0"/>
              <w:rPr>
                <w:sz w:val="21"/>
                <w:szCs w:val="21"/>
                <w:color w:val="auto"/>
              </w:rPr>
            </w:pPr>
          </w:p>
        </w:tc>
      </w:tr>
    </w:tbl>
    <w:p>
      <w:pPr>
        <w:spacing w:after="0" w:line="107"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*/Three-month Treasury bill average rate for the immediately preceding calendar quarter as reported by the Federal Reserve Bank; rate changes each calendar quarter.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**/For periods on and after January 1, 2006, rate is based on the Corporation’s 15-year borrowing rate and is subject to change annually.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Deferred Incentive Awards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chart applies to all employees other than Band 6 and above for awards earned and deferred before 2003.</w:t>
      </w:r>
    </w:p>
    <w:p>
      <w:pPr>
        <w:spacing w:after="0" w:line="10" w:lineRule="exact"/>
        <w:rPr>
          <w:sz w:val="20"/>
          <w:szCs w:val="20"/>
          <w:color w:val="auto"/>
        </w:rPr>
      </w:pPr>
    </w:p>
    <w:tbl>
      <w:tblPr>
        <w:tblLayout w:type="fixed"/>
        <w:tblInd w:w="10" w:type="dxa"/>
        <w:tblCellMar>
          <w:top w:w="0" w:type="dxa"/>
          <w:left w:w="0" w:type="dxa"/>
          <w:bottom w:w="0" w:type="dxa"/>
          <w:right w:w="0" w:type="dxa"/>
        </w:tblCellMar>
      </w:tblPr>
      <w:tr>
        <w:trPr>
          <w:trHeight w:val="209"/>
        </w:trPr>
        <w:tc>
          <w:tcPr>
            <w:tcW w:w="4840" w:type="dxa"/>
            <w:vAlign w:val="bottom"/>
            <w:tcBorders>
              <w:top w:val="single" w:sz="8" w:color="auto"/>
              <w:left w:val="single" w:sz="8" w:color="auto"/>
              <w:right w:val="single" w:sz="8" w:color="auto"/>
            </w:tcBorders>
            <w:gridSpan w:val="4"/>
          </w:tcPr>
          <w:p>
            <w:pPr>
              <w:ind w:left="40"/>
              <w:spacing w:after="0"/>
              <w:rPr>
                <w:sz w:val="20"/>
                <w:szCs w:val="20"/>
                <w:color w:val="auto"/>
              </w:rPr>
            </w:pPr>
            <w:r>
              <w:rPr>
                <w:rFonts w:ascii="Arial" w:cs="Arial" w:eastAsia="Arial" w:hAnsi="Arial"/>
                <w:sz w:val="18"/>
                <w:szCs w:val="18"/>
                <w:b w:val="1"/>
                <w:bCs w:val="1"/>
                <w:color w:val="auto"/>
              </w:rPr>
              <w:t>Year Award Earned</w:t>
            </w:r>
          </w:p>
        </w:tc>
        <w:tc>
          <w:tcPr>
            <w:tcW w:w="172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Vested Rate</w:t>
            </w:r>
          </w:p>
        </w:tc>
        <w:tc>
          <w:tcPr>
            <w:tcW w:w="1880" w:type="dxa"/>
            <w:vAlign w:val="bottom"/>
            <w:tcBorders>
              <w:top w:val="single" w:sz="8" w:color="auto"/>
              <w:right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Contingent Rate</w:t>
            </w:r>
          </w:p>
        </w:tc>
        <w:tc>
          <w:tcPr>
            <w:tcW w:w="1720" w:type="dxa"/>
            <w:vAlign w:val="bottom"/>
            <w:tcBorders>
              <w:top w:val="single" w:sz="8" w:color="auto"/>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Total Rate</w:t>
            </w:r>
          </w:p>
        </w:tc>
      </w:tr>
      <w:tr>
        <w:trPr>
          <w:trHeight w:val="34"/>
        </w:trPr>
        <w:tc>
          <w:tcPr>
            <w:tcW w:w="40" w:type="dxa"/>
            <w:vAlign w:val="bottom"/>
            <w:tcBorders>
              <w:left w:val="single" w:sz="8" w:color="auto"/>
              <w:bottom w:val="single" w:sz="8" w:color="auto"/>
            </w:tcBorders>
          </w:tcPr>
          <w:p>
            <w:pPr>
              <w:spacing w:after="0"/>
              <w:rPr>
                <w:sz w:val="2"/>
                <w:szCs w:val="2"/>
                <w:color w:val="auto"/>
              </w:rPr>
            </w:pPr>
          </w:p>
        </w:tc>
        <w:tc>
          <w:tcPr>
            <w:tcW w:w="420" w:type="dxa"/>
            <w:vAlign w:val="bottom"/>
            <w:tcBorders>
              <w:top w:val="single" w:sz="8" w:color="auto"/>
              <w:bottom w:val="single" w:sz="8" w:color="auto"/>
            </w:tcBorders>
          </w:tcPr>
          <w:p>
            <w:pPr>
              <w:spacing w:after="0"/>
              <w:rPr>
                <w:sz w:val="2"/>
                <w:szCs w:val="2"/>
                <w:color w:val="auto"/>
              </w:rPr>
            </w:pPr>
          </w:p>
        </w:tc>
        <w:tc>
          <w:tcPr>
            <w:tcW w:w="1220" w:type="dxa"/>
            <w:vAlign w:val="bottom"/>
            <w:tcBorders>
              <w:top w:val="single" w:sz="8" w:color="auto"/>
              <w:bottom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80" w:type="dxa"/>
            <w:vAlign w:val="bottom"/>
            <w:tcBorders>
              <w:top w:val="single" w:sz="8" w:color="auto"/>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43"/>
        </w:trPr>
        <w:tc>
          <w:tcPr>
            <w:tcW w:w="46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18"/>
                <w:szCs w:val="18"/>
                <w:color w:val="auto"/>
                <w:w w:val="99"/>
              </w:rPr>
              <w:t>1975</w:t>
            </w:r>
          </w:p>
        </w:tc>
        <w:tc>
          <w:tcPr>
            <w:tcW w:w="438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 1997</w:t>
            </w:r>
          </w:p>
        </w:tc>
        <w:tc>
          <w:tcPr>
            <w:tcW w:w="17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Treasury bills +</w:t>
            </w:r>
          </w:p>
        </w:tc>
        <w:tc>
          <w:tcPr>
            <w:tcW w:w="188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N/A</w:t>
            </w:r>
          </w:p>
        </w:tc>
        <w:tc>
          <w:tcPr>
            <w:tcW w:w="172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Treasury bills +</w:t>
            </w:r>
          </w:p>
        </w:tc>
      </w:tr>
      <w:tr>
        <w:trPr>
          <w:trHeight w:val="250"/>
        </w:trPr>
        <w:tc>
          <w:tcPr>
            <w:tcW w:w="40" w:type="dxa"/>
            <w:vAlign w:val="bottom"/>
            <w:tcBorders>
              <w:left w:val="single" w:sz="8" w:color="auto"/>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316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w:t>
            </w:r>
          </w:p>
        </w:tc>
        <w:tc>
          <w:tcPr>
            <w:tcW w:w="700" w:type="dxa"/>
            <w:vAlign w:val="bottom"/>
            <w:tcBorders>
              <w:bottom w:val="single" w:sz="8" w:color="auto"/>
              <w:right w:val="single" w:sz="8" w:color="auto"/>
            </w:tcBorders>
          </w:tcPr>
          <w:p>
            <w:pPr>
              <w:spacing w:after="0"/>
              <w:rPr>
                <w:sz w:val="21"/>
                <w:szCs w:val="21"/>
                <w:color w:val="auto"/>
              </w:rPr>
            </w:pPr>
          </w:p>
        </w:tc>
        <w:tc>
          <w:tcPr>
            <w:tcW w:w="188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N/A</w:t>
            </w:r>
          </w:p>
        </w:tc>
        <w:tc>
          <w:tcPr>
            <w:tcW w:w="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3%*</w:t>
            </w:r>
          </w:p>
        </w:tc>
        <w:tc>
          <w:tcPr>
            <w:tcW w:w="860" w:type="dxa"/>
            <w:vAlign w:val="bottom"/>
            <w:tcBorders>
              <w:bottom w:val="single" w:sz="8" w:color="auto"/>
              <w:right w:val="single" w:sz="8" w:color="auto"/>
            </w:tcBorders>
          </w:tcPr>
          <w:p>
            <w:pPr>
              <w:spacing w:after="0"/>
              <w:rPr>
                <w:sz w:val="21"/>
                <w:szCs w:val="21"/>
                <w:color w:val="auto"/>
              </w:rPr>
            </w:pPr>
          </w:p>
        </w:tc>
      </w:tr>
      <w:tr>
        <w:trPr>
          <w:trHeight w:val="250"/>
        </w:trPr>
        <w:tc>
          <w:tcPr>
            <w:tcW w:w="46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18"/>
                <w:szCs w:val="18"/>
                <w:color w:val="auto"/>
                <w:w w:val="99"/>
              </w:rPr>
              <w:t>1998</w:t>
            </w:r>
          </w:p>
        </w:tc>
        <w:tc>
          <w:tcPr>
            <w:tcW w:w="1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- 2002</w:t>
            </w:r>
          </w:p>
        </w:tc>
        <w:tc>
          <w:tcPr>
            <w:tcW w:w="316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6%</w:t>
            </w:r>
          </w:p>
        </w:tc>
        <w:tc>
          <w:tcPr>
            <w:tcW w:w="700" w:type="dxa"/>
            <w:vAlign w:val="bottom"/>
            <w:tcBorders>
              <w:bottom w:val="single" w:sz="8" w:color="auto"/>
              <w:right w:val="single" w:sz="8" w:color="auto"/>
            </w:tcBorders>
          </w:tcPr>
          <w:p>
            <w:pPr>
              <w:spacing w:after="0"/>
              <w:rPr>
                <w:sz w:val="21"/>
                <w:szCs w:val="21"/>
                <w:color w:val="auto"/>
              </w:rPr>
            </w:pPr>
          </w:p>
        </w:tc>
        <w:tc>
          <w:tcPr>
            <w:tcW w:w="14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3%</w:t>
            </w:r>
          </w:p>
        </w:tc>
        <w:tc>
          <w:tcPr>
            <w:tcW w:w="480" w:type="dxa"/>
            <w:vAlign w:val="bottom"/>
            <w:tcBorders>
              <w:bottom w:val="single" w:sz="8" w:color="auto"/>
              <w:right w:val="single" w:sz="8" w:color="auto"/>
            </w:tcBorders>
          </w:tcPr>
          <w:p>
            <w:pPr>
              <w:spacing w:after="0"/>
              <w:rPr>
                <w:sz w:val="21"/>
                <w:szCs w:val="21"/>
                <w:color w:val="auto"/>
              </w:rPr>
            </w:pPr>
          </w:p>
        </w:tc>
        <w:tc>
          <w:tcPr>
            <w:tcW w:w="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9%</w:t>
            </w:r>
          </w:p>
        </w:tc>
        <w:tc>
          <w:tcPr>
            <w:tcW w:w="860" w:type="dxa"/>
            <w:vAlign w:val="bottom"/>
            <w:tcBorders>
              <w:bottom w:val="single" w:sz="8" w:color="auto"/>
              <w:right w:val="single" w:sz="8" w:color="auto"/>
            </w:tcBorders>
          </w:tcPr>
          <w:p>
            <w:pPr>
              <w:spacing w:after="0"/>
              <w:rPr>
                <w:sz w:val="21"/>
                <w:szCs w:val="21"/>
                <w:color w:val="auto"/>
              </w:rPr>
            </w:pPr>
          </w:p>
        </w:tc>
      </w:tr>
    </w:tbl>
    <w:p>
      <w:pPr>
        <w:spacing w:after="0" w:line="107"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*/Three-month Treasury bill average rate for the immediately preceding calendar quarter as reported by the Federal Reserve Bank; rate changes each calendar quarter.</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240"/>
          </w:cols>
          <w:pgMar w:left="320" w:top="1440" w:right="339" w:bottom="1440" w:gutter="0" w:footer="0" w:header="0"/>
          <w:type w:val="continuous"/>
        </w:sectPr>
      </w:pPr>
    </w:p>
    <w:bookmarkStart w:id="175" w:name="page176"/>
    <w:bookmarkEnd w:id="175"/>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Deferred Salary (Band 6 and Above)</w:t>
      </w:r>
    </w:p>
    <w:p>
      <w:pPr>
        <w:spacing w:after="0" w:line="32" w:lineRule="exact"/>
        <w:rPr>
          <w:sz w:val="20"/>
          <w:szCs w:val="20"/>
          <w:color w:val="auto"/>
        </w:rPr>
      </w:pPr>
    </w:p>
    <w:tbl>
      <w:tblPr>
        <w:tblLayout w:type="fixed"/>
        <w:tblInd w:w="10" w:type="dxa"/>
        <w:tblCellMar>
          <w:top w:w="0" w:type="dxa"/>
          <w:left w:w="0" w:type="dxa"/>
          <w:bottom w:w="0" w:type="dxa"/>
          <w:right w:w="0" w:type="dxa"/>
        </w:tblCellMar>
      </w:tblPr>
      <w:tr>
        <w:trPr>
          <w:trHeight w:val="209"/>
        </w:trPr>
        <w:tc>
          <w:tcPr>
            <w:tcW w:w="4180" w:type="dxa"/>
            <w:vAlign w:val="bottom"/>
            <w:tcBorders>
              <w:top w:val="single" w:sz="8" w:color="auto"/>
              <w:left w:val="single" w:sz="8" w:color="auto"/>
              <w:right w:val="single" w:sz="8" w:color="auto"/>
            </w:tcBorders>
            <w:gridSpan w:val="4"/>
          </w:tcPr>
          <w:p>
            <w:pPr>
              <w:ind w:left="40"/>
              <w:spacing w:after="0"/>
              <w:rPr>
                <w:sz w:val="20"/>
                <w:szCs w:val="20"/>
                <w:color w:val="auto"/>
              </w:rPr>
            </w:pPr>
            <w:r>
              <w:rPr>
                <w:rFonts w:ascii="Arial" w:cs="Arial" w:eastAsia="Arial" w:hAnsi="Arial"/>
                <w:sz w:val="18"/>
                <w:szCs w:val="18"/>
                <w:b w:val="1"/>
                <w:bCs w:val="1"/>
                <w:color w:val="auto"/>
              </w:rPr>
              <w:t>Year Salary Earned</w:t>
            </w:r>
          </w:p>
        </w:tc>
        <w:tc>
          <w:tcPr>
            <w:tcW w:w="236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Vested Rate</w:t>
            </w:r>
          </w:p>
        </w:tc>
        <w:tc>
          <w:tcPr>
            <w:tcW w:w="20" w:type="dxa"/>
            <w:vAlign w:val="bottom"/>
            <w:tcBorders>
              <w:top w:val="single" w:sz="8" w:color="auto"/>
            </w:tcBorders>
          </w:tcPr>
          <w:p>
            <w:pPr>
              <w:spacing w:after="0"/>
              <w:rPr>
                <w:sz w:val="18"/>
                <w:szCs w:val="18"/>
                <w:color w:val="auto"/>
              </w:rPr>
            </w:pPr>
          </w:p>
        </w:tc>
        <w:tc>
          <w:tcPr>
            <w:tcW w:w="186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Contingent Rate</w:t>
            </w:r>
          </w:p>
        </w:tc>
        <w:tc>
          <w:tcPr>
            <w:tcW w:w="1740" w:type="dxa"/>
            <w:vAlign w:val="bottom"/>
            <w:tcBorders>
              <w:top w:val="single" w:sz="8" w:color="auto"/>
              <w:right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Total Rate</w:t>
            </w:r>
          </w:p>
        </w:tc>
      </w:tr>
      <w:tr>
        <w:trPr>
          <w:trHeight w:val="34"/>
        </w:trPr>
        <w:tc>
          <w:tcPr>
            <w:tcW w:w="40" w:type="dxa"/>
            <w:vAlign w:val="bottom"/>
            <w:tcBorders>
              <w:left w:val="single" w:sz="8" w:color="auto"/>
              <w:bottom w:val="single" w:sz="8" w:color="auto"/>
            </w:tcBorders>
          </w:tcPr>
          <w:p>
            <w:pPr>
              <w:spacing w:after="0"/>
              <w:rPr>
                <w:sz w:val="2"/>
                <w:szCs w:val="2"/>
                <w:color w:val="auto"/>
              </w:rPr>
            </w:pPr>
          </w:p>
        </w:tc>
        <w:tc>
          <w:tcPr>
            <w:tcW w:w="420" w:type="dxa"/>
            <w:vAlign w:val="bottom"/>
            <w:tcBorders>
              <w:top w:val="single" w:sz="8" w:color="auto"/>
              <w:bottom w:val="single" w:sz="8" w:color="auto"/>
            </w:tcBorders>
          </w:tcPr>
          <w:p>
            <w:pPr>
              <w:spacing w:after="0"/>
              <w:rPr>
                <w:sz w:val="2"/>
                <w:szCs w:val="2"/>
                <w:color w:val="auto"/>
              </w:rPr>
            </w:pPr>
          </w:p>
        </w:tc>
        <w:tc>
          <w:tcPr>
            <w:tcW w:w="1200" w:type="dxa"/>
            <w:vAlign w:val="bottom"/>
            <w:tcBorders>
              <w:top w:val="single" w:sz="8" w:color="auto"/>
              <w:bottom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80" w:type="dxa"/>
            <w:vAlign w:val="bottom"/>
            <w:tcBorders>
              <w:top w:val="single" w:sz="8" w:color="auto"/>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43"/>
        </w:trPr>
        <w:tc>
          <w:tcPr>
            <w:tcW w:w="46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18"/>
                <w:szCs w:val="18"/>
                <w:color w:val="auto"/>
                <w:w w:val="99"/>
              </w:rPr>
              <w:t>1994</w:t>
            </w:r>
          </w:p>
        </w:tc>
        <w:tc>
          <w:tcPr>
            <w:tcW w:w="372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 1998</w:t>
            </w:r>
          </w:p>
        </w:tc>
        <w:tc>
          <w:tcPr>
            <w:tcW w:w="1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10%</w:t>
            </w:r>
          </w:p>
        </w:tc>
        <w:tc>
          <w:tcPr>
            <w:tcW w:w="1340" w:type="dxa"/>
            <w:vAlign w:val="bottom"/>
            <w:tcBorders>
              <w:bottom w:val="single" w:sz="8" w:color="auto"/>
              <w:right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N/A</w:t>
            </w:r>
          </w:p>
        </w:tc>
        <w:tc>
          <w:tcPr>
            <w:tcW w:w="8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10%</w:t>
            </w:r>
          </w:p>
        </w:tc>
        <w:tc>
          <w:tcPr>
            <w:tcW w:w="860" w:type="dxa"/>
            <w:vAlign w:val="bottom"/>
            <w:tcBorders>
              <w:bottom w:val="single" w:sz="8" w:color="auto"/>
              <w:right w:val="single" w:sz="8" w:color="auto"/>
            </w:tcBorders>
          </w:tcPr>
          <w:p>
            <w:pPr>
              <w:spacing w:after="0"/>
              <w:rPr>
                <w:sz w:val="21"/>
                <w:szCs w:val="21"/>
                <w:color w:val="auto"/>
              </w:rPr>
            </w:pPr>
          </w:p>
        </w:tc>
      </w:tr>
      <w:tr>
        <w:trPr>
          <w:trHeight w:val="250"/>
        </w:trPr>
        <w:tc>
          <w:tcPr>
            <w:tcW w:w="46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18"/>
                <w:szCs w:val="18"/>
                <w:color w:val="auto"/>
                <w:w w:val="99"/>
              </w:rPr>
              <w:t>1999</w:t>
            </w:r>
          </w:p>
        </w:tc>
        <w:tc>
          <w:tcPr>
            <w:tcW w:w="372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 2001</w:t>
            </w:r>
          </w:p>
        </w:tc>
        <w:tc>
          <w:tcPr>
            <w:tcW w:w="1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8%</w:t>
            </w:r>
          </w:p>
        </w:tc>
        <w:tc>
          <w:tcPr>
            <w:tcW w:w="1340" w:type="dxa"/>
            <w:vAlign w:val="bottom"/>
            <w:tcBorders>
              <w:bottom w:val="single" w:sz="8" w:color="auto"/>
              <w:right w:val="single" w:sz="8" w:color="auto"/>
            </w:tcBorders>
          </w:tcPr>
          <w:p>
            <w:pPr>
              <w:spacing w:after="0"/>
              <w:rPr>
                <w:sz w:val="21"/>
                <w:szCs w:val="21"/>
                <w:color w:val="auto"/>
              </w:rPr>
            </w:pPr>
          </w:p>
        </w:tc>
        <w:tc>
          <w:tcPr>
            <w:tcW w:w="14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3%</w:t>
            </w:r>
          </w:p>
        </w:tc>
        <w:tc>
          <w:tcPr>
            <w:tcW w:w="480" w:type="dxa"/>
            <w:vAlign w:val="bottom"/>
            <w:tcBorders>
              <w:bottom w:val="single" w:sz="8" w:color="auto"/>
              <w:right w:val="single" w:sz="8" w:color="auto"/>
            </w:tcBorders>
          </w:tcPr>
          <w:p>
            <w:pPr>
              <w:spacing w:after="0"/>
              <w:rPr>
                <w:sz w:val="21"/>
                <w:szCs w:val="21"/>
                <w:color w:val="auto"/>
              </w:rPr>
            </w:pPr>
          </w:p>
        </w:tc>
        <w:tc>
          <w:tcPr>
            <w:tcW w:w="8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11%</w:t>
            </w:r>
          </w:p>
        </w:tc>
        <w:tc>
          <w:tcPr>
            <w:tcW w:w="860" w:type="dxa"/>
            <w:vAlign w:val="bottom"/>
            <w:tcBorders>
              <w:bottom w:val="single" w:sz="8" w:color="auto"/>
              <w:right w:val="single" w:sz="8" w:color="auto"/>
            </w:tcBorders>
          </w:tcPr>
          <w:p>
            <w:pPr>
              <w:spacing w:after="0"/>
              <w:rPr>
                <w:sz w:val="21"/>
                <w:szCs w:val="21"/>
                <w:color w:val="auto"/>
              </w:rPr>
            </w:pPr>
          </w:p>
        </w:tc>
      </w:tr>
      <w:tr>
        <w:trPr>
          <w:trHeight w:val="250"/>
        </w:trPr>
        <w:tc>
          <w:tcPr>
            <w:tcW w:w="46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18"/>
                <w:szCs w:val="18"/>
                <w:color w:val="auto"/>
                <w:w w:val="99"/>
              </w:rPr>
              <w:t>2002</w:t>
            </w: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- 2002</w:t>
            </w:r>
          </w:p>
        </w:tc>
        <w:tc>
          <w:tcPr>
            <w:tcW w:w="25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7%</w:t>
            </w:r>
          </w:p>
        </w:tc>
        <w:tc>
          <w:tcPr>
            <w:tcW w:w="1340" w:type="dxa"/>
            <w:vAlign w:val="bottom"/>
            <w:tcBorders>
              <w:bottom w:val="single" w:sz="8" w:color="auto"/>
              <w:right w:val="single" w:sz="8" w:color="auto"/>
            </w:tcBorders>
          </w:tcPr>
          <w:p>
            <w:pPr>
              <w:spacing w:after="0"/>
              <w:rPr>
                <w:sz w:val="21"/>
                <w:szCs w:val="21"/>
                <w:color w:val="auto"/>
              </w:rPr>
            </w:pPr>
          </w:p>
        </w:tc>
        <w:tc>
          <w:tcPr>
            <w:tcW w:w="14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3%</w:t>
            </w:r>
          </w:p>
        </w:tc>
        <w:tc>
          <w:tcPr>
            <w:tcW w:w="480" w:type="dxa"/>
            <w:vAlign w:val="bottom"/>
            <w:tcBorders>
              <w:bottom w:val="single" w:sz="8" w:color="auto"/>
              <w:right w:val="single" w:sz="8" w:color="auto"/>
            </w:tcBorders>
          </w:tcPr>
          <w:p>
            <w:pPr>
              <w:spacing w:after="0"/>
              <w:rPr>
                <w:sz w:val="21"/>
                <w:szCs w:val="21"/>
                <w:color w:val="auto"/>
              </w:rPr>
            </w:pPr>
          </w:p>
        </w:tc>
        <w:tc>
          <w:tcPr>
            <w:tcW w:w="8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10%</w:t>
            </w:r>
          </w:p>
        </w:tc>
        <w:tc>
          <w:tcPr>
            <w:tcW w:w="860" w:type="dxa"/>
            <w:vAlign w:val="bottom"/>
            <w:tcBorders>
              <w:bottom w:val="single" w:sz="8" w:color="auto"/>
              <w:right w:val="single" w:sz="8" w:color="auto"/>
            </w:tcBorders>
          </w:tcPr>
          <w:p>
            <w:pPr>
              <w:spacing w:after="0"/>
              <w:rPr>
                <w:sz w:val="21"/>
                <w:szCs w:val="21"/>
                <w:color w:val="auto"/>
              </w:rPr>
            </w:pPr>
          </w:p>
        </w:tc>
      </w:tr>
      <w:tr>
        <w:trPr>
          <w:trHeight w:val="250"/>
        </w:trPr>
        <w:tc>
          <w:tcPr>
            <w:tcW w:w="46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18"/>
                <w:szCs w:val="18"/>
                <w:color w:val="auto"/>
                <w:w w:val="99"/>
              </w:rPr>
              <w:t>2003</w:t>
            </w:r>
          </w:p>
        </w:tc>
        <w:tc>
          <w:tcPr>
            <w:tcW w:w="1200" w:type="dxa"/>
            <w:vAlign w:val="bottom"/>
            <w:tcBorders>
              <w:bottom w:val="single" w:sz="8" w:color="auto"/>
            </w:tcBorders>
          </w:tcPr>
          <w:p>
            <w:pPr>
              <w:spacing w:after="0"/>
              <w:rPr>
                <w:sz w:val="21"/>
                <w:szCs w:val="21"/>
                <w:color w:val="auto"/>
              </w:rPr>
            </w:pPr>
          </w:p>
        </w:tc>
        <w:tc>
          <w:tcPr>
            <w:tcW w:w="25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w:t>
            </w:r>
          </w:p>
        </w:tc>
        <w:tc>
          <w:tcPr>
            <w:tcW w:w="1340" w:type="dxa"/>
            <w:vAlign w:val="bottom"/>
            <w:tcBorders>
              <w:bottom w:val="single" w:sz="8" w:color="auto"/>
              <w:right w:val="single" w:sz="8" w:color="auto"/>
            </w:tcBorders>
          </w:tcPr>
          <w:p>
            <w:pPr>
              <w:spacing w:after="0"/>
              <w:rPr>
                <w:sz w:val="21"/>
                <w:szCs w:val="21"/>
                <w:color w:val="auto"/>
              </w:rPr>
            </w:pPr>
          </w:p>
        </w:tc>
        <w:tc>
          <w:tcPr>
            <w:tcW w:w="14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5%</w:t>
            </w:r>
          </w:p>
        </w:tc>
        <w:tc>
          <w:tcPr>
            <w:tcW w:w="480" w:type="dxa"/>
            <w:vAlign w:val="bottom"/>
            <w:tcBorders>
              <w:bottom w:val="single" w:sz="8" w:color="auto"/>
              <w:right w:val="single" w:sz="8" w:color="auto"/>
            </w:tcBorders>
          </w:tcPr>
          <w:p>
            <w:pPr>
              <w:spacing w:after="0"/>
              <w:rPr>
                <w:sz w:val="21"/>
                <w:szCs w:val="21"/>
                <w:color w:val="auto"/>
              </w:rPr>
            </w:pPr>
          </w:p>
        </w:tc>
        <w:tc>
          <w:tcPr>
            <w:tcW w:w="8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8%</w:t>
            </w:r>
          </w:p>
        </w:tc>
        <w:tc>
          <w:tcPr>
            <w:tcW w:w="860" w:type="dxa"/>
            <w:vAlign w:val="bottom"/>
            <w:tcBorders>
              <w:bottom w:val="single" w:sz="8" w:color="auto"/>
              <w:right w:val="single" w:sz="8" w:color="auto"/>
            </w:tcBorders>
          </w:tcPr>
          <w:p>
            <w:pPr>
              <w:spacing w:after="0"/>
              <w:rPr>
                <w:sz w:val="21"/>
                <w:szCs w:val="21"/>
                <w:color w:val="auto"/>
              </w:rPr>
            </w:pPr>
          </w:p>
        </w:tc>
      </w:tr>
      <w:tr>
        <w:trPr>
          <w:trHeight w:val="250"/>
        </w:trPr>
        <w:tc>
          <w:tcPr>
            <w:tcW w:w="46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18"/>
                <w:szCs w:val="18"/>
                <w:color w:val="auto"/>
                <w:w w:val="99"/>
              </w:rPr>
              <w:t>2004</w:t>
            </w:r>
          </w:p>
        </w:tc>
        <w:tc>
          <w:tcPr>
            <w:tcW w:w="1200" w:type="dxa"/>
            <w:vAlign w:val="bottom"/>
            <w:tcBorders>
              <w:bottom w:val="single" w:sz="8" w:color="auto"/>
            </w:tcBorders>
          </w:tcPr>
          <w:p>
            <w:pPr>
              <w:spacing w:after="0"/>
              <w:rPr>
                <w:sz w:val="21"/>
                <w:szCs w:val="21"/>
                <w:color w:val="auto"/>
              </w:rPr>
            </w:pPr>
          </w:p>
        </w:tc>
        <w:tc>
          <w:tcPr>
            <w:tcW w:w="25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w:t>
            </w:r>
          </w:p>
        </w:tc>
        <w:tc>
          <w:tcPr>
            <w:tcW w:w="1340" w:type="dxa"/>
            <w:vAlign w:val="bottom"/>
            <w:tcBorders>
              <w:bottom w:val="single" w:sz="8" w:color="auto"/>
              <w:right w:val="single" w:sz="8" w:color="auto"/>
            </w:tcBorders>
          </w:tcPr>
          <w:p>
            <w:pPr>
              <w:spacing w:after="0"/>
              <w:rPr>
                <w:sz w:val="21"/>
                <w:szCs w:val="21"/>
                <w:color w:val="auto"/>
              </w:rPr>
            </w:pPr>
          </w:p>
        </w:tc>
        <w:tc>
          <w:tcPr>
            <w:tcW w:w="14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5%</w:t>
            </w:r>
          </w:p>
        </w:tc>
        <w:tc>
          <w:tcPr>
            <w:tcW w:w="480" w:type="dxa"/>
            <w:vAlign w:val="bottom"/>
            <w:tcBorders>
              <w:bottom w:val="single" w:sz="8" w:color="auto"/>
              <w:right w:val="single" w:sz="8" w:color="auto"/>
            </w:tcBorders>
          </w:tcPr>
          <w:p>
            <w:pPr>
              <w:spacing w:after="0"/>
              <w:rPr>
                <w:sz w:val="21"/>
                <w:szCs w:val="21"/>
                <w:color w:val="auto"/>
              </w:rPr>
            </w:pPr>
          </w:p>
        </w:tc>
        <w:tc>
          <w:tcPr>
            <w:tcW w:w="8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8%</w:t>
            </w:r>
          </w:p>
        </w:tc>
        <w:tc>
          <w:tcPr>
            <w:tcW w:w="860" w:type="dxa"/>
            <w:vAlign w:val="bottom"/>
            <w:tcBorders>
              <w:bottom w:val="single" w:sz="8" w:color="auto"/>
              <w:right w:val="single" w:sz="8" w:color="auto"/>
            </w:tcBorders>
          </w:tcPr>
          <w:p>
            <w:pPr>
              <w:spacing w:after="0"/>
              <w:rPr>
                <w:sz w:val="21"/>
                <w:szCs w:val="21"/>
                <w:color w:val="auto"/>
              </w:rPr>
            </w:pPr>
          </w:p>
        </w:tc>
      </w:tr>
      <w:tr>
        <w:trPr>
          <w:trHeight w:val="250"/>
        </w:trPr>
        <w:tc>
          <w:tcPr>
            <w:tcW w:w="4180" w:type="dxa"/>
            <w:vAlign w:val="bottom"/>
            <w:tcBorders>
              <w:left w:val="single" w:sz="8" w:color="auto"/>
              <w:bottom w:val="single" w:sz="8" w:color="auto"/>
              <w:right w:val="single" w:sz="8" w:color="auto"/>
            </w:tcBorders>
            <w:gridSpan w:val="4"/>
          </w:tcPr>
          <w:p>
            <w:pPr>
              <w:ind w:left="40"/>
              <w:spacing w:after="0"/>
              <w:rPr>
                <w:sz w:val="20"/>
                <w:szCs w:val="20"/>
                <w:color w:val="auto"/>
              </w:rPr>
            </w:pPr>
            <w:r>
              <w:rPr>
                <w:rFonts w:ascii="Arial" w:cs="Arial" w:eastAsia="Arial" w:hAnsi="Arial"/>
                <w:sz w:val="18"/>
                <w:szCs w:val="18"/>
                <w:color w:val="auto"/>
              </w:rPr>
              <w:t>2005 initial rate**</w:t>
            </w:r>
          </w:p>
        </w:tc>
        <w:tc>
          <w:tcPr>
            <w:tcW w:w="1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w:t>
            </w:r>
          </w:p>
        </w:tc>
        <w:tc>
          <w:tcPr>
            <w:tcW w:w="1340" w:type="dxa"/>
            <w:vAlign w:val="bottom"/>
            <w:tcBorders>
              <w:bottom w:val="single" w:sz="8" w:color="auto"/>
              <w:right w:val="single" w:sz="8" w:color="auto"/>
            </w:tcBorders>
          </w:tcPr>
          <w:p>
            <w:pPr>
              <w:spacing w:after="0"/>
              <w:rPr>
                <w:sz w:val="21"/>
                <w:szCs w:val="21"/>
                <w:color w:val="auto"/>
              </w:rPr>
            </w:pPr>
          </w:p>
        </w:tc>
        <w:tc>
          <w:tcPr>
            <w:tcW w:w="14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5%</w:t>
            </w:r>
          </w:p>
        </w:tc>
        <w:tc>
          <w:tcPr>
            <w:tcW w:w="480" w:type="dxa"/>
            <w:vAlign w:val="bottom"/>
            <w:tcBorders>
              <w:bottom w:val="single" w:sz="8" w:color="auto"/>
              <w:right w:val="single" w:sz="8" w:color="auto"/>
            </w:tcBorders>
          </w:tcPr>
          <w:p>
            <w:pPr>
              <w:spacing w:after="0"/>
              <w:rPr>
                <w:sz w:val="21"/>
                <w:szCs w:val="21"/>
                <w:color w:val="auto"/>
              </w:rPr>
            </w:pPr>
          </w:p>
        </w:tc>
        <w:tc>
          <w:tcPr>
            <w:tcW w:w="8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8%</w:t>
            </w:r>
          </w:p>
        </w:tc>
        <w:tc>
          <w:tcPr>
            <w:tcW w:w="860" w:type="dxa"/>
            <w:vAlign w:val="bottom"/>
            <w:tcBorders>
              <w:bottom w:val="single" w:sz="8" w:color="auto"/>
              <w:right w:val="single" w:sz="8" w:color="auto"/>
            </w:tcBorders>
          </w:tcPr>
          <w:p>
            <w:pPr>
              <w:spacing w:after="0"/>
              <w:rPr>
                <w:sz w:val="21"/>
                <w:szCs w:val="2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**/For periods on and after January 1, 2006, rate is subject to change.</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B</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PROVISIONS RELATING TO</w:t>
      </w:r>
    </w:p>
    <w:p>
      <w:pPr>
        <w:jc w:val="center"/>
        <w:spacing w:after="0"/>
        <w:rPr>
          <w:sz w:val="20"/>
          <w:szCs w:val="20"/>
          <w:color w:val="auto"/>
        </w:rPr>
      </w:pPr>
      <w:r>
        <w:rPr>
          <w:rFonts w:ascii="Arial" w:cs="Arial" w:eastAsia="Arial" w:hAnsi="Arial"/>
          <w:sz w:val="18"/>
          <w:szCs w:val="18"/>
          <w:b w:val="1"/>
          <w:bCs w:val="1"/>
          <w:color w:val="auto"/>
        </w:rPr>
        <w:t>HONEYWELL INC. EXECUTIVE DEFERED COMPENSATION PLAN</w:t>
      </w:r>
    </w:p>
    <w:p>
      <w:pPr>
        <w:spacing w:after="0" w:line="239" w:lineRule="exact"/>
        <w:rPr>
          <w:sz w:val="20"/>
          <w:szCs w:val="20"/>
          <w:color w:val="auto"/>
        </w:rPr>
      </w:pPr>
    </w:p>
    <w:p>
      <w:pPr>
        <w:jc w:val="both"/>
        <w:ind w:left="660" w:hanging="328"/>
        <w:spacing w:after="0" w:line="238" w:lineRule="auto"/>
        <w:tabs>
          <w:tab w:leader="none" w:pos="648"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History</w:t>
      </w:r>
      <w:r>
        <w:rPr>
          <w:rFonts w:ascii="Arial" w:cs="Arial" w:eastAsia="Arial" w:hAnsi="Arial"/>
          <w:sz w:val="18"/>
          <w:szCs w:val="18"/>
          <w:color w:val="auto"/>
        </w:rPr>
        <w:t>. Honeywell Inc., a predecessor of the Corporation, previously established a supplemental non-qualified plan named the Honeywell Executive Deferred Compensation Plan (the “</w:t>
      </w:r>
      <w:r>
        <w:rPr>
          <w:rFonts w:ascii="Arial" w:cs="Arial" w:eastAsia="Arial" w:hAnsi="Arial"/>
          <w:sz w:val="18"/>
          <w:szCs w:val="18"/>
          <w:u w:val="single" w:color="auto"/>
          <w:color w:val="auto"/>
        </w:rPr>
        <w:t>Honeywell Plan</w:t>
      </w:r>
      <w:r>
        <w:rPr>
          <w:rFonts w:ascii="Arial" w:cs="Arial" w:eastAsia="Arial" w:hAnsi="Arial"/>
          <w:sz w:val="18"/>
          <w:szCs w:val="18"/>
          <w:color w:val="auto"/>
        </w:rPr>
        <w:t>”). The Honeywell Plan was created to establish rules for the deferral and payment of deferred compensation earned under the Honeywell Inc. bonus plans named the “Honeywell Corporate Executive Compensation Plan,” the “Honeywell Senior Management Performance Incentive Plan,” and the “Multi-Year Incentive Program.”</w:t>
      </w:r>
    </w:p>
    <w:p>
      <w:pPr>
        <w:spacing w:after="0" w:line="229" w:lineRule="exact"/>
        <w:rPr>
          <w:sz w:val="20"/>
          <w:szCs w:val="20"/>
          <w:color w:val="auto"/>
        </w:rPr>
      </w:pPr>
    </w:p>
    <w:p>
      <w:pPr>
        <w:jc w:val="both"/>
        <w:ind w:left="660" w:firstLine="648"/>
        <w:spacing w:after="0" w:line="238" w:lineRule="auto"/>
        <w:rPr>
          <w:sz w:val="20"/>
          <w:szCs w:val="20"/>
          <w:color w:val="auto"/>
        </w:rPr>
      </w:pPr>
      <w:r>
        <w:rPr>
          <w:rFonts w:ascii="Arial" w:cs="Arial" w:eastAsia="Arial" w:hAnsi="Arial"/>
          <w:sz w:val="18"/>
          <w:szCs w:val="18"/>
          <w:color w:val="auto"/>
        </w:rPr>
        <w:t>The Honeywell Plan was last amended and restated effective June 1, 1999. This Schedule B covers any participant in the Honeywell Plan who has not received full payment of his benefit under the Honeywell Plan as of April 1, 2018. Benefit payments commencing before April 1, 2018 are governed by the terms of the Honeywell Plan as they existed prior to this amendment and restatement and are grandfathered from the requirements of Section 409A of the Code.</w:t>
      </w:r>
    </w:p>
    <w:p>
      <w:pPr>
        <w:spacing w:after="0" w:line="232" w:lineRule="exact"/>
        <w:rPr>
          <w:sz w:val="20"/>
          <w:szCs w:val="20"/>
          <w:color w:val="auto"/>
        </w:rPr>
      </w:pPr>
    </w:p>
    <w:p>
      <w:pPr>
        <w:ind w:left="640" w:hanging="308"/>
        <w:spacing w:after="0"/>
        <w:tabs>
          <w:tab w:leader="none" w:pos="640"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Schedule B, the following definitions shall apply:</w:t>
      </w:r>
    </w:p>
    <w:p>
      <w:pPr>
        <w:spacing w:after="0" w:line="238" w:lineRule="exact"/>
        <w:rPr>
          <w:rFonts w:ascii="Arial" w:cs="Arial" w:eastAsia="Arial" w:hAnsi="Arial"/>
          <w:sz w:val="18"/>
          <w:szCs w:val="18"/>
          <w:color w:val="auto"/>
        </w:rPr>
      </w:pPr>
    </w:p>
    <w:p>
      <w:pPr>
        <w:jc w:val="both"/>
        <w:ind w:left="1300" w:hanging="320"/>
        <w:spacing w:after="0"/>
        <w:tabs>
          <w:tab w:leader="none" w:pos="1288" w:val="left"/>
        </w:tabs>
        <w:numPr>
          <w:ilvl w:val="1"/>
          <w:numId w:val="128"/>
        </w:numPr>
        <w:rPr>
          <w:rFonts w:ascii="Arial" w:cs="Arial" w:eastAsia="Arial" w:hAnsi="Arial"/>
          <w:sz w:val="18"/>
          <w:szCs w:val="18"/>
          <w:color w:val="auto"/>
        </w:rPr>
      </w:pPr>
      <w:r>
        <w:rPr>
          <w:rFonts w:ascii="Arial" w:cs="Arial" w:eastAsia="Arial" w:hAnsi="Arial"/>
          <w:sz w:val="18"/>
          <w:szCs w:val="18"/>
          <w:u w:val="single" w:color="auto"/>
          <w:color w:val="auto"/>
        </w:rPr>
        <w:t>Account</w:t>
      </w:r>
      <w:r>
        <w:rPr>
          <w:rFonts w:ascii="Arial" w:cs="Arial" w:eastAsia="Arial" w:hAnsi="Arial"/>
          <w:sz w:val="18"/>
          <w:szCs w:val="18"/>
          <w:color w:val="auto"/>
        </w:rPr>
        <w:t xml:space="preserve"> shall mean an unfunded, bookkeeping account maintained for a participant including amounts originally deferred under the Honeywell Plan and interest credits made pursuant to Section 3 of this Schedule B (or comparable provisions of the Honeywell Plan).</w:t>
      </w:r>
    </w:p>
    <w:p>
      <w:pPr>
        <w:spacing w:after="0" w:line="229" w:lineRule="exact"/>
        <w:rPr>
          <w:rFonts w:ascii="Arial" w:cs="Arial" w:eastAsia="Arial" w:hAnsi="Arial"/>
          <w:sz w:val="18"/>
          <w:szCs w:val="18"/>
          <w:color w:val="auto"/>
        </w:rPr>
      </w:pPr>
    </w:p>
    <w:p>
      <w:pPr>
        <w:jc w:val="both"/>
        <w:ind w:left="660" w:hanging="328"/>
        <w:spacing w:after="0" w:line="238" w:lineRule="auto"/>
        <w:tabs>
          <w:tab w:leader="none" w:pos="648"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Interest Credits</w:t>
      </w:r>
      <w:r>
        <w:rPr>
          <w:rFonts w:ascii="Arial" w:cs="Arial" w:eastAsia="Arial" w:hAnsi="Arial"/>
          <w:sz w:val="18"/>
          <w:szCs w:val="18"/>
          <w:color w:val="auto"/>
        </w:rPr>
        <w:t>. An interest credit shall be made to the participant’s Account as of (a) each February 15, and (b) the date as of which any distribution is made from the participant’s Account, for the year or portion thereof then ended based on the average daily balance of the Account for such year or portion thereof. The rate of interest shall be 120% of the long-term Applicable Federal Rate published under section 1274(d) of the Code for the month in which the interest credit is made to the Account.</w:t>
      </w:r>
    </w:p>
    <w:p>
      <w:pPr>
        <w:spacing w:after="0" w:line="231" w:lineRule="exact"/>
        <w:rPr>
          <w:rFonts w:ascii="Arial" w:cs="Arial" w:eastAsia="Arial" w:hAnsi="Arial"/>
          <w:sz w:val="18"/>
          <w:szCs w:val="18"/>
          <w:color w:val="auto"/>
        </w:rPr>
      </w:pPr>
    </w:p>
    <w:p>
      <w:pPr>
        <w:ind w:left="640" w:hanging="308"/>
        <w:spacing w:after="0"/>
        <w:tabs>
          <w:tab w:leader="none" w:pos="640"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Distributions</w:t>
      </w:r>
      <w:r>
        <w:rPr>
          <w:rFonts w:ascii="Arial" w:cs="Arial" w:eastAsia="Arial" w:hAnsi="Arial"/>
          <w:sz w:val="18"/>
          <w:szCs w:val="18"/>
          <w:color w:val="auto"/>
        </w:rPr>
        <w:t>. The following provisions shall apply to distributions under this Schedule B.</w:t>
      </w:r>
    </w:p>
    <w:p>
      <w:pPr>
        <w:spacing w:after="0" w:line="238" w:lineRule="exact"/>
        <w:rPr>
          <w:rFonts w:ascii="Arial" w:cs="Arial" w:eastAsia="Arial" w:hAnsi="Arial"/>
          <w:sz w:val="18"/>
          <w:szCs w:val="18"/>
          <w:color w:val="auto"/>
        </w:rPr>
      </w:pPr>
    </w:p>
    <w:p>
      <w:pPr>
        <w:ind w:left="1300" w:hanging="320"/>
        <w:spacing w:after="0" w:line="246" w:lineRule="auto"/>
        <w:tabs>
          <w:tab w:leader="none" w:pos="1288" w:val="left"/>
        </w:tabs>
        <w:numPr>
          <w:ilvl w:val="1"/>
          <w:numId w:val="128"/>
        </w:numPr>
        <w:rPr>
          <w:rFonts w:ascii="Arial" w:cs="Arial" w:eastAsia="Arial" w:hAnsi="Arial"/>
          <w:sz w:val="18"/>
          <w:szCs w:val="18"/>
          <w:color w:val="auto"/>
        </w:rPr>
      </w:pPr>
      <w:r>
        <w:rPr>
          <w:rFonts w:ascii="Arial" w:cs="Arial" w:eastAsia="Arial" w:hAnsi="Arial"/>
          <w:sz w:val="18"/>
          <w:szCs w:val="18"/>
          <w:u w:val="single" w:color="auto"/>
          <w:color w:val="auto"/>
        </w:rPr>
        <w:t>Commencement</w:t>
      </w:r>
      <w:r>
        <w:rPr>
          <w:rFonts w:ascii="Arial" w:cs="Arial" w:eastAsia="Arial" w:hAnsi="Arial"/>
          <w:sz w:val="18"/>
          <w:szCs w:val="18"/>
          <w:color w:val="auto"/>
        </w:rPr>
        <w:t>. A participant’s Account shall be paid or commenced as of March 31 of the year specified by the Participant and in effect as of December 31, 2004. Actual payment shall occur as soon as administratively feasible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440" w:right="339" w:bottom="1440" w:gutter="0" w:footer="0" w:header="0"/>
        </w:sectPr>
      </w:pPr>
    </w:p>
    <w:bookmarkStart w:id="176" w:name="page177"/>
    <w:bookmarkEnd w:id="176"/>
    <w:p>
      <w:pPr>
        <w:jc w:val="both"/>
        <w:ind w:left="968" w:hanging="320"/>
        <w:spacing w:after="0" w:line="234" w:lineRule="auto"/>
        <w:tabs>
          <w:tab w:leader="none" w:pos="956" w:val="left"/>
        </w:tabs>
        <w:numPr>
          <w:ilvl w:val="1"/>
          <w:numId w:val="129"/>
        </w:numPr>
        <w:rPr>
          <w:rFonts w:ascii="Arial" w:cs="Arial" w:eastAsia="Arial" w:hAnsi="Arial"/>
          <w:sz w:val="18"/>
          <w:szCs w:val="18"/>
          <w:color w:val="auto"/>
        </w:rPr>
      </w:pPr>
      <w:r>
        <w:rPr>
          <w:rFonts w:ascii="Arial" w:cs="Arial" w:eastAsia="Arial" w:hAnsi="Arial"/>
          <w:sz w:val="18"/>
          <w:szCs w:val="18"/>
          <w:u w:val="single" w:color="auto"/>
          <w:color w:val="auto"/>
        </w:rPr>
        <w:t>Forms of Payment</w:t>
      </w:r>
      <w:r>
        <w:rPr>
          <w:rFonts w:ascii="Arial" w:cs="Arial" w:eastAsia="Arial" w:hAnsi="Arial"/>
          <w:sz w:val="18"/>
          <w:szCs w:val="18"/>
          <w:color w:val="auto"/>
        </w:rPr>
        <w:t>. Subject to the provisions herein, an Account shall be paid under this Schedule B in a series of ten (10) substantially equal annual installments. The participant may elect to receive any benefit payable under this Schedule B in an optional form of payment; provided, however, that such election will not be effective until the lapse of thirteen (13) months following the date on which the election is accepted by the Plan Administrator. The optional distribution forms under this Schedule B are a single lump sum or a series of substantially equal annual installments of any number from two (2) to nine</w:t>
      </w:r>
    </w:p>
    <w:p>
      <w:pPr>
        <w:spacing w:after="0" w:line="3" w:lineRule="exact"/>
        <w:rPr>
          <w:rFonts w:ascii="Arial" w:cs="Arial" w:eastAsia="Arial" w:hAnsi="Arial"/>
          <w:sz w:val="18"/>
          <w:szCs w:val="18"/>
          <w:color w:val="auto"/>
        </w:rPr>
      </w:pPr>
    </w:p>
    <w:p>
      <w:pPr>
        <w:jc w:val="both"/>
        <w:ind w:left="968"/>
        <w:spacing w:after="0" w:line="237" w:lineRule="auto"/>
        <w:rPr>
          <w:rFonts w:ascii="Arial" w:cs="Arial" w:eastAsia="Arial" w:hAnsi="Arial"/>
          <w:sz w:val="18"/>
          <w:szCs w:val="18"/>
          <w:color w:val="auto"/>
        </w:rPr>
      </w:pPr>
      <w:r>
        <w:rPr>
          <w:rFonts w:ascii="Arial" w:cs="Arial" w:eastAsia="Arial" w:hAnsi="Arial"/>
          <w:sz w:val="18"/>
          <w:szCs w:val="18"/>
          <w:color w:val="auto"/>
        </w:rPr>
        <w:t>(9). To be effective, the election of an optional distribution form must be made in the form and manner prescribed by the Plan Administrator and must be accepted by the Plan Administrator. Notwithstanding the foregoing, distribution shall be made in a single lump sum payment if the participant’s termination of employment occurs before the date the participant has both reached age fifty-five (55) and has accrued ten (10) years of credited service for vesting as defined in the Honeywell Retirement Benefit Plan (Supplement T) portion of the Honeywell Retirement Earnings Plan or its applicable predecessor plan.</w:t>
      </w:r>
    </w:p>
    <w:p>
      <w:pPr>
        <w:spacing w:after="0" w:line="231" w:lineRule="exact"/>
        <w:rPr>
          <w:rFonts w:ascii="Arial" w:cs="Arial" w:eastAsia="Arial" w:hAnsi="Arial"/>
          <w:sz w:val="18"/>
          <w:szCs w:val="18"/>
          <w:color w:val="auto"/>
        </w:rPr>
      </w:pPr>
    </w:p>
    <w:p>
      <w:pPr>
        <w:jc w:val="both"/>
        <w:ind w:left="968" w:hanging="320"/>
        <w:spacing w:after="0" w:line="238" w:lineRule="auto"/>
        <w:tabs>
          <w:tab w:leader="none" w:pos="959" w:val="left"/>
        </w:tabs>
        <w:numPr>
          <w:ilvl w:val="1"/>
          <w:numId w:val="129"/>
        </w:numPr>
        <w:rPr>
          <w:rFonts w:ascii="Arial" w:cs="Arial" w:eastAsia="Arial" w:hAnsi="Arial"/>
          <w:sz w:val="18"/>
          <w:szCs w:val="18"/>
          <w:color w:val="auto"/>
        </w:rPr>
      </w:pPr>
      <w:r>
        <w:rPr>
          <w:rFonts w:ascii="Arial" w:cs="Arial" w:eastAsia="Arial" w:hAnsi="Arial"/>
          <w:sz w:val="18"/>
          <w:szCs w:val="18"/>
          <w:u w:val="single" w:color="auto"/>
          <w:color w:val="auto"/>
        </w:rPr>
        <w:t>Acceleration of Distribution with Forfeiture</w:t>
      </w:r>
      <w:r>
        <w:rPr>
          <w:rFonts w:ascii="Arial" w:cs="Arial" w:eastAsia="Arial" w:hAnsi="Arial"/>
          <w:sz w:val="18"/>
          <w:szCs w:val="18"/>
          <w:color w:val="auto"/>
        </w:rPr>
        <w:t>. A participant or beneficiary who is receiving distributions under this Schedule B may at any time elect to receive the remaining Account balance in a lump sum payment less ten percent (10%) which shall be forfeited. Lump sum payments under this Section 4(c) shall be made within sixty (60) days after the election to accelerate distribution is received by the Plan Administrator.</w:t>
      </w:r>
    </w:p>
    <w:p>
      <w:pPr>
        <w:spacing w:after="0" w:line="231" w:lineRule="exact"/>
        <w:rPr>
          <w:rFonts w:ascii="Arial" w:cs="Arial" w:eastAsia="Arial" w:hAnsi="Arial"/>
          <w:sz w:val="18"/>
          <w:szCs w:val="18"/>
          <w:color w:val="auto"/>
        </w:rPr>
      </w:pPr>
    </w:p>
    <w:p>
      <w:pPr>
        <w:jc w:val="both"/>
        <w:ind w:left="968" w:hanging="320"/>
        <w:spacing w:after="0" w:line="236" w:lineRule="auto"/>
        <w:tabs>
          <w:tab w:leader="none" w:pos="956" w:val="left"/>
        </w:tabs>
        <w:numPr>
          <w:ilvl w:val="1"/>
          <w:numId w:val="129"/>
        </w:numPr>
        <w:rPr>
          <w:rFonts w:ascii="Arial" w:cs="Arial" w:eastAsia="Arial" w:hAnsi="Arial"/>
          <w:sz w:val="18"/>
          <w:szCs w:val="18"/>
          <w:color w:val="auto"/>
        </w:rPr>
      </w:pPr>
      <w:r>
        <w:rPr>
          <w:rFonts w:ascii="Arial" w:cs="Arial" w:eastAsia="Arial" w:hAnsi="Arial"/>
          <w:sz w:val="18"/>
          <w:szCs w:val="18"/>
          <w:u w:val="single" w:color="auto"/>
          <w:color w:val="auto"/>
        </w:rPr>
        <w:t>Financial Hardships</w:t>
      </w:r>
      <w:r>
        <w:rPr>
          <w:rFonts w:ascii="Arial" w:cs="Arial" w:eastAsia="Arial" w:hAnsi="Arial"/>
          <w:sz w:val="18"/>
          <w:szCs w:val="18"/>
          <w:color w:val="auto"/>
        </w:rPr>
        <w:t>. If a participant incurs an unforeseeable emergency, the participant may make a written request to the Plan Administrator for a hardship withdrawal from the participant’s Account. An unforeseeable emergency is a severe financial hardship to the participant resulting from a sudden and unexpected illness or accident of the participant or a dependent (as defined in section 152(a) of the Code) of the participant, loss of the participant’s property due to casualty, or other similar extraordinary and unforeseeable circumstances arising as a result of events beyond the control of the participant and which cannot be relieved through reimbursement or compensation by insurance or otherwise or by liquidation of the participant’s assets, to the extent that the liquidation of such assets would itself cause severe financial hardship. Withdrawals of amounts because of an unforeseeable emergency are only permitted to the extent reasonably needed to satisfy the emergency need. The existence of severe financial hardship shall be determined consistent with sections 1.457-2(h)(4) and (5) of the Treasury Regulations.</w:t>
      </w:r>
    </w:p>
    <w:p>
      <w:pPr>
        <w:spacing w:after="0" w:line="232" w:lineRule="exact"/>
        <w:rPr>
          <w:rFonts w:ascii="Arial" w:cs="Arial" w:eastAsia="Arial" w:hAnsi="Arial"/>
          <w:sz w:val="18"/>
          <w:szCs w:val="18"/>
          <w:color w:val="auto"/>
        </w:rPr>
      </w:pPr>
    </w:p>
    <w:p>
      <w:pPr>
        <w:ind w:left="308" w:hanging="308"/>
        <w:spacing w:after="0"/>
        <w:tabs>
          <w:tab w:leader="none" w:pos="308"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Survivor Benefits</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jc w:val="both"/>
        <w:ind w:left="968" w:hanging="320"/>
        <w:spacing w:after="0" w:line="237" w:lineRule="auto"/>
        <w:tabs>
          <w:tab w:leader="none" w:pos="956" w:val="left"/>
        </w:tabs>
        <w:numPr>
          <w:ilvl w:val="1"/>
          <w:numId w:val="130"/>
        </w:numPr>
        <w:rPr>
          <w:rFonts w:ascii="Arial" w:cs="Arial" w:eastAsia="Arial" w:hAnsi="Arial"/>
          <w:sz w:val="18"/>
          <w:szCs w:val="18"/>
          <w:color w:val="auto"/>
        </w:rPr>
      </w:pPr>
      <w:r>
        <w:rPr>
          <w:rFonts w:ascii="Arial" w:cs="Arial" w:eastAsia="Arial" w:hAnsi="Arial"/>
          <w:sz w:val="18"/>
          <w:szCs w:val="18"/>
          <w:u w:val="single" w:color="auto"/>
          <w:color w:val="auto"/>
        </w:rPr>
        <w:t>Survivor Benefits</w:t>
      </w:r>
      <w:r>
        <w:rPr>
          <w:rFonts w:ascii="Arial" w:cs="Arial" w:eastAsia="Arial" w:hAnsi="Arial"/>
          <w:sz w:val="18"/>
          <w:szCs w:val="18"/>
          <w:color w:val="auto"/>
        </w:rPr>
        <w:t>. If a participant dies after termination of employment but before distribution commences under this Schedule B, the Account shall be paid to the participant’s designated beneficiary or beneficiaries at the time and in the form the Account would have been payable to the participant if the participant had survived until the date distribution would have commenced. If a participant dies after distribution commences under this Schedule B (or the terms of the prior Honeywell Plan), the participant’s designated beneficiary shall be paid the unpaid installments, if any, under the form of distribution elected by the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08"/>
          </w:cols>
          <w:pgMar w:left="652" w:top="1435" w:right="339" w:bottom="1440" w:gutter="0" w:footer="0" w:header="0"/>
        </w:sectPr>
      </w:pPr>
    </w:p>
    <w:bookmarkStart w:id="177" w:name="page178"/>
    <w:bookmarkEnd w:id="177"/>
    <w:p>
      <w:pPr>
        <w:jc w:val="both"/>
        <w:ind w:left="320" w:hanging="320"/>
        <w:spacing w:after="0" w:line="236" w:lineRule="auto"/>
        <w:tabs>
          <w:tab w:leader="none" w:pos="308"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Designation of Beneficiary</w:t>
      </w:r>
      <w:r>
        <w:rPr>
          <w:rFonts w:ascii="Arial" w:cs="Arial" w:eastAsia="Arial" w:hAnsi="Arial"/>
          <w:sz w:val="18"/>
          <w:szCs w:val="18"/>
          <w:color w:val="auto"/>
        </w:rPr>
        <w:t>. A participant or surviving beneficiary may designate, in the manner required by the Plan Administrator, a beneficiary or beneficiaries to receive the Account under this Schedule B in the event of the participant’s (or surviving beneficiary’s) death. The participant (or surviving beneficiary) may change or revoke any such designation from time to time. No designation or revocation shall be effective unless executed by the participant (or surviving beneficiary) and actually received by the Plan Administrator before the participant’s (or surviving beneficiary’s) death. If the participant or surviving beneficiary dies without an effective beneficiary designation for the Account under this Schedule B, payment shall be made to the beneficiary or beneficiaries determined under the rules in the Honeywell 401(k) Plan governing failure of beneficiary designation. The Plan Administrator shall be the sole judge of the content, interpretation and validity of a purported beneficiary designation.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260"/>
          </w:cols>
          <w:pgMar w:left="1300" w:top="1435" w:right="339" w:bottom="1440" w:gutter="0" w:footer="0" w:header="0"/>
        </w:sectPr>
      </w:pPr>
    </w:p>
    <w:bookmarkStart w:id="178" w:name="page179"/>
    <w:bookmarkEnd w:id="178"/>
    <w:p>
      <w:pPr>
        <w:jc w:val="right"/>
        <w:spacing w:after="0"/>
        <w:rPr>
          <w:sz w:val="20"/>
          <w:szCs w:val="20"/>
          <w:color w:val="auto"/>
        </w:rPr>
      </w:pPr>
      <w:r>
        <w:rPr>
          <w:rFonts w:ascii="Arial" w:cs="Arial" w:eastAsia="Arial" w:hAnsi="Arial"/>
          <w:sz w:val="18"/>
          <w:szCs w:val="18"/>
          <w:b w:val="1"/>
          <w:bCs w:val="1"/>
          <w:color w:val="auto"/>
        </w:rPr>
        <w:t>EXHIBIT 10.69</w:t>
      </w:r>
    </w:p>
    <w:p>
      <w:pPr>
        <w:jc w:val="center"/>
        <w:spacing w:after="0"/>
        <w:rPr>
          <w:sz w:val="20"/>
          <w:szCs w:val="20"/>
          <w:color w:val="auto"/>
        </w:rPr>
      </w:pPr>
      <w:r>
        <w:rPr>
          <w:rFonts w:ascii="Arial" w:cs="Arial" w:eastAsia="Arial" w:hAnsi="Arial"/>
          <w:sz w:val="18"/>
          <w:szCs w:val="18"/>
          <w:b w:val="1"/>
          <w:bCs w:val="1"/>
          <w:color w:val="auto"/>
        </w:rPr>
        <w:t>AMENDMENT</w:t>
      </w:r>
    </w:p>
    <w:p>
      <w:pPr>
        <w:jc w:val="center"/>
        <w:spacing w:after="0" w:line="219" w:lineRule="auto"/>
        <w:rPr>
          <w:sz w:val="20"/>
          <w:szCs w:val="20"/>
          <w:color w:val="auto"/>
        </w:rPr>
      </w:pPr>
      <w:r>
        <w:rPr>
          <w:rFonts w:ascii="Arial" w:cs="Arial" w:eastAsia="Arial" w:hAnsi="Arial"/>
          <w:sz w:val="18"/>
          <w:szCs w:val="18"/>
          <w:b w:val="1"/>
          <w:bCs w:val="1"/>
          <w:color w:val="auto"/>
        </w:rPr>
        <w:t>TO THE</w:t>
      </w:r>
    </w:p>
    <w:p>
      <w:pPr>
        <w:jc w:val="center"/>
        <w:spacing w:after="0" w:line="219" w:lineRule="auto"/>
        <w:rPr>
          <w:sz w:val="20"/>
          <w:szCs w:val="20"/>
          <w:color w:val="auto"/>
        </w:rPr>
      </w:pPr>
      <w:r>
        <w:rPr>
          <w:rFonts w:ascii="Arial" w:cs="Arial" w:eastAsia="Arial" w:hAnsi="Arial"/>
          <w:sz w:val="18"/>
          <w:szCs w:val="18"/>
          <w:b w:val="1"/>
          <w:bCs w:val="1"/>
          <w:color w:val="auto"/>
        </w:rPr>
        <w:t>HONEYWELL INTERNATIONAL INC. INCENTIVE COMPENSATION PLAN</w:t>
      </w:r>
    </w:p>
    <w:p>
      <w:pPr>
        <w:jc w:val="center"/>
        <w:spacing w:after="0"/>
        <w:rPr>
          <w:sz w:val="20"/>
          <w:szCs w:val="20"/>
          <w:color w:val="auto"/>
        </w:rPr>
      </w:pPr>
      <w:r>
        <w:rPr>
          <w:rFonts w:ascii="Arial" w:cs="Arial" w:eastAsia="Arial" w:hAnsi="Arial"/>
          <w:sz w:val="18"/>
          <w:szCs w:val="18"/>
          <w:b w:val="1"/>
          <w:bCs w:val="1"/>
          <w:color w:val="auto"/>
        </w:rPr>
        <w:t>FOR EXECUTIVE EMPLOYEES</w:t>
      </w:r>
    </w:p>
    <w:p>
      <w:pPr>
        <w:spacing w:after="0" w:line="225"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Effective January 1, 2021, Section 13.8 of the Honeywell International Inc. Incentive Compensation Plan for Executive Employees is hereby amended by replacing the current Section 13.8 in its entirety with the following new Section 13.8:</w:t>
      </w:r>
    </w:p>
    <w:p>
      <w:pPr>
        <w:spacing w:after="0" w:line="216" w:lineRule="exact"/>
        <w:rPr>
          <w:sz w:val="20"/>
          <w:szCs w:val="20"/>
          <w:color w:val="auto"/>
        </w:rPr>
      </w:pPr>
    </w:p>
    <w:p>
      <w:pPr>
        <w:ind w:left="660" w:right="20"/>
        <w:spacing w:after="0" w:line="235" w:lineRule="auto"/>
        <w:rPr>
          <w:sz w:val="20"/>
          <w:szCs w:val="20"/>
          <w:color w:val="auto"/>
        </w:rPr>
      </w:pPr>
      <w:r>
        <w:rPr>
          <w:rFonts w:ascii="Arial" w:cs="Arial" w:eastAsia="Arial" w:hAnsi="Arial"/>
          <w:sz w:val="18"/>
          <w:szCs w:val="18"/>
          <w:color w:val="auto"/>
        </w:rPr>
        <w:t>“13.8 Governing Law. The Plan and all actions taken thereunder shall be governed by and construed in accordance with and governed by the laws of the State of North Carolina.”</w:t>
      </w:r>
    </w:p>
    <w:p>
      <w:pPr>
        <w:sectPr>
          <w:pgSz w:w="11900" w:h="16838" w:orient="portrait"/>
          <w:cols w:equalWidth="0" w:num="1">
            <w:col w:w="11240"/>
          </w:cols>
          <w:pgMar w:left="320" w:top="1413" w:right="339" w:bottom="1440" w:gutter="0" w:footer="0" w:header="0"/>
        </w:sectPr>
      </w:pPr>
    </w:p>
    <w:bookmarkStart w:id="179" w:name="page180"/>
    <w:bookmarkEnd w:id="179"/>
    <w:p>
      <w:pPr>
        <w:jc w:val="right"/>
        <w:spacing w:after="0"/>
        <w:rPr>
          <w:sz w:val="20"/>
          <w:szCs w:val="20"/>
          <w:color w:val="auto"/>
        </w:rPr>
      </w:pPr>
      <w:r>
        <w:rPr>
          <w:rFonts w:ascii="Arial" w:cs="Arial" w:eastAsia="Arial" w:hAnsi="Arial"/>
          <w:sz w:val="18"/>
          <w:szCs w:val="18"/>
          <w:b w:val="1"/>
          <w:bCs w:val="1"/>
          <w:color w:val="auto"/>
        </w:rPr>
        <w:t>EXHIBIT 10.70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October 2, 2017</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Anne Madden 115 Tabor Road</w:t>
      </w:r>
    </w:p>
    <w:p>
      <w:pPr>
        <w:spacing w:after="0"/>
        <w:rPr>
          <w:sz w:val="20"/>
          <w:szCs w:val="20"/>
          <w:color w:val="auto"/>
        </w:rPr>
      </w:pPr>
      <w:r>
        <w:rPr>
          <w:rFonts w:ascii="Arial" w:cs="Arial" w:eastAsia="Arial" w:hAnsi="Arial"/>
          <w:sz w:val="18"/>
          <w:szCs w:val="18"/>
          <w:color w:val="auto"/>
        </w:rPr>
        <w:t>Morris Plains, New Jersey 07950</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 Offer Letter</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Dear Anne:</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18"/>
          <w:szCs w:val="18"/>
          <w:color w:val="auto"/>
        </w:rPr>
        <w:t>I am pleased to confirm our offer to you to become Honeywell’s Senior Vice President &amp; General Counsel, based in Morris Plains, New Jersey, reporting to Darius Adamczyk. The effective date of your offer will be October 26, 2017 (“Effective Date”). In this position, you will become an Executive Officer of Honeywell.</w:t>
      </w:r>
    </w:p>
    <w:p>
      <w:pPr>
        <w:spacing w:after="0" w:line="23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connection with your new role, you will be entitled to the following compensation and benefits package, as approved by the Management Development and Compensation Committee (“MDCC”) of the Company’s Board of Directors at its meeting of September 28, 2017:</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COMPENSATION</w:t>
      </w:r>
    </w:p>
    <w:p>
      <w:pPr>
        <w:spacing w:after="0" w:line="239"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Base Salary: As of the Effective Date, your annual base salary will be increased to $725,000. Base salary reviews occur annually and any adjustments are generally at the end of the first quarter of the calendar year. Adjustments are based on your performance and other relevant factors.</w:t>
      </w:r>
    </w:p>
    <w:p>
      <w:pPr>
        <w:spacing w:after="0" w:line="20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Annual Incentive Compensation</w:t>
      </w:r>
      <w:r>
        <w:rPr>
          <w:rFonts w:ascii="Arial" w:cs="Arial" w:eastAsia="Arial" w:hAnsi="Arial"/>
          <w:sz w:val="18"/>
          <w:szCs w:val="18"/>
          <w:color w:val="auto"/>
        </w:rPr>
        <w:t>: As of the Effective Date, your target incentive compensation opportunity will be 100% of your annual cash</w:t>
      </w:r>
      <w:r>
        <w:rPr>
          <w:rFonts w:ascii="Arial" w:cs="Arial" w:eastAsia="Arial" w:hAnsi="Arial"/>
          <w:sz w:val="18"/>
          <w:szCs w:val="18"/>
          <w:b w:val="1"/>
          <w:bCs w:val="1"/>
          <w:color w:val="auto"/>
        </w:rPr>
        <w:t xml:space="preserve"> </w:t>
      </w:r>
      <w:r>
        <w:rPr>
          <w:rFonts w:ascii="Arial" w:cs="Arial" w:eastAsia="Arial" w:hAnsi="Arial"/>
          <w:sz w:val="18"/>
          <w:szCs w:val="18"/>
          <w:color w:val="auto"/>
        </w:rPr>
        <w:t>base salary earnings during the year. For 2017, your incentive compensation award will be prorated based on the number of days your target incentive was 50%, and the number of days your target incentive will be 100%. Incentive compensation awards are paid in the first quarter of the following year.</w:t>
      </w:r>
    </w:p>
    <w:p>
      <w:pPr>
        <w:spacing w:after="0" w:line="20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auto"/>
        </w:rPr>
        <w:t xml:space="preserve">Annual Long-Term Incentive Awards: </w:t>
      </w:r>
      <w:r>
        <w:rPr>
          <w:rFonts w:ascii="Arial" w:cs="Arial" w:eastAsia="Arial" w:hAnsi="Arial"/>
          <w:sz w:val="18"/>
          <w:szCs w:val="18"/>
          <w:color w:val="auto"/>
        </w:rPr>
        <w:t>You will be eligible for annual long-term incentive (“LTI”) awards with the size and mix determined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Management Development and Compensation Committee (“MDCC”) of the Company’s Board of Directors based on your performance and future career potential with Honeywell. The terms of all LTI awards are governed by the terms of the applicable stock plan and the relevant award agreements. Moreover, Honeywell and the MDCC reserve the right to modify the design or mix of the LTI award program in the future.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EXECUTIVE BENEFITS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You will also be entitled to the following Executive Benefits:</w:t>
      </w:r>
    </w:p>
    <w:p>
      <w:pPr>
        <w:spacing w:after="0" w:line="221" w:lineRule="exact"/>
        <w:rPr>
          <w:sz w:val="20"/>
          <w:szCs w:val="20"/>
          <w:color w:val="auto"/>
        </w:rPr>
      </w:pPr>
    </w:p>
    <w:p>
      <w:pPr>
        <w:ind w:left="660" w:hanging="328"/>
        <w:spacing w:after="0" w:line="267" w:lineRule="auto"/>
        <w:tabs>
          <w:tab w:leader="none" w:pos="648" w:val="left"/>
        </w:tabs>
        <w:numPr>
          <w:ilvl w:val="0"/>
          <w:numId w:val="132"/>
        </w:numPr>
        <w:rPr>
          <w:rFonts w:ascii="Arial" w:cs="Arial" w:eastAsia="Arial" w:hAnsi="Arial"/>
          <w:sz w:val="18"/>
          <w:szCs w:val="18"/>
          <w:color w:val="auto"/>
        </w:rPr>
      </w:pPr>
      <w:r>
        <w:rPr>
          <w:rFonts w:ascii="Arial" w:cs="Arial" w:eastAsia="Arial" w:hAnsi="Arial"/>
          <w:sz w:val="18"/>
          <w:szCs w:val="18"/>
          <w:i w:val="1"/>
          <w:iCs w:val="1"/>
          <w:color w:val="auto"/>
        </w:rPr>
        <w:t>Excess Liability Insurance</w:t>
      </w:r>
      <w:r>
        <w:rPr>
          <w:rFonts w:ascii="Arial" w:cs="Arial" w:eastAsia="Arial" w:hAnsi="Arial"/>
          <w:sz w:val="18"/>
          <w:szCs w:val="18"/>
          <w:color w:val="auto"/>
        </w:rPr>
        <w:t>: Honeywell will pay the annual premium for an Excess Liability Insurance policy that provides $10,000,000</w:t>
      </w:r>
      <w:r>
        <w:rPr>
          <w:rFonts w:ascii="Arial" w:cs="Arial" w:eastAsia="Arial" w:hAnsi="Arial"/>
          <w:sz w:val="18"/>
          <w:szCs w:val="18"/>
          <w:i w:val="1"/>
          <w:iCs w:val="1"/>
          <w:color w:val="auto"/>
        </w:rPr>
        <w:t xml:space="preserve"> </w:t>
      </w:r>
      <w:r>
        <w:rPr>
          <w:rFonts w:ascii="Arial" w:cs="Arial" w:eastAsia="Arial" w:hAnsi="Arial"/>
          <w:sz w:val="18"/>
          <w:szCs w:val="18"/>
          <w:color w:val="auto"/>
        </w:rPr>
        <w:t>of personal umbrella coverage per occurrence.</w:t>
      </w:r>
    </w:p>
    <w:p>
      <w:pPr>
        <w:spacing w:after="0" w:line="187" w:lineRule="exact"/>
        <w:rPr>
          <w:rFonts w:ascii="Arial" w:cs="Arial" w:eastAsia="Arial" w:hAnsi="Arial"/>
          <w:sz w:val="18"/>
          <w:szCs w:val="18"/>
          <w:color w:val="auto"/>
        </w:rPr>
      </w:pPr>
    </w:p>
    <w:p>
      <w:pPr>
        <w:jc w:val="both"/>
        <w:ind w:left="660" w:hanging="328"/>
        <w:spacing w:after="0" w:line="241" w:lineRule="auto"/>
        <w:tabs>
          <w:tab w:leader="none" w:pos="648" w:val="left"/>
        </w:tabs>
        <w:numPr>
          <w:ilvl w:val="0"/>
          <w:numId w:val="132"/>
        </w:numPr>
        <w:rPr>
          <w:rFonts w:ascii="Arial" w:cs="Arial" w:eastAsia="Arial" w:hAnsi="Arial"/>
          <w:sz w:val="18"/>
          <w:szCs w:val="18"/>
          <w:color w:val="auto"/>
        </w:rPr>
      </w:pPr>
      <w:r>
        <w:rPr>
          <w:rFonts w:ascii="Arial" w:cs="Arial" w:eastAsia="Arial" w:hAnsi="Arial"/>
          <w:sz w:val="18"/>
          <w:szCs w:val="18"/>
          <w:i w:val="1"/>
          <w:iCs w:val="1"/>
          <w:color w:val="auto"/>
        </w:rPr>
        <w:t>Executive Severance</w:t>
      </w:r>
      <w:r>
        <w:rPr>
          <w:rFonts w:ascii="Arial" w:cs="Arial" w:eastAsia="Arial" w:hAnsi="Arial"/>
          <w:sz w:val="18"/>
          <w:szCs w:val="18"/>
          <w:color w:val="auto"/>
        </w:rPr>
        <w:t>: The Honeywell International Inc. Severance Plan for Designated Officers currently provides for 18 months of</w:t>
      </w:r>
      <w:r>
        <w:rPr>
          <w:rFonts w:ascii="Arial" w:cs="Arial" w:eastAsia="Arial" w:hAnsi="Arial"/>
          <w:sz w:val="18"/>
          <w:szCs w:val="18"/>
          <w:i w:val="1"/>
          <w:iCs w:val="1"/>
          <w:color w:val="auto"/>
        </w:rPr>
        <w:t xml:space="preserve"> </w:t>
      </w:r>
      <w:r>
        <w:rPr>
          <w:rFonts w:ascii="Arial" w:cs="Arial" w:eastAsia="Arial" w:hAnsi="Arial"/>
          <w:sz w:val="18"/>
          <w:szCs w:val="18"/>
          <w:color w:val="auto"/>
        </w:rPr>
        <w:t>base salary continuation and target bonus if your employment is involuntary terminated for a reason other than Cause (as defined in the severance plan document in effect when you terminate employment). You will be required to execute a release of claims against Honeywell and its affiliates and related parties and you may be required to agree to certain non- solicitation, non-disclosure and non-competition covenants as a condition of receiving executive severance benefits. For additional information, please consult the actual plan document.</w:t>
      </w:r>
    </w:p>
    <w:p>
      <w:pPr>
        <w:sectPr>
          <w:pgSz w:w="11900" w:h="16838" w:orient="portrait"/>
          <w:cols w:equalWidth="0" w:num="1">
            <w:col w:w="11240"/>
          </w:cols>
          <w:pgMar w:left="320" w:top="1413" w:right="339" w:bottom="1440" w:gutter="0" w:footer="0" w:header="0"/>
        </w:sectPr>
      </w:pPr>
    </w:p>
    <w:bookmarkStart w:id="180" w:name="page181"/>
    <w:bookmarkEnd w:id="180"/>
    <w:p>
      <w:pPr>
        <w:spacing w:after="0"/>
        <w:rPr>
          <w:sz w:val="20"/>
          <w:szCs w:val="20"/>
          <w:color w:val="auto"/>
        </w:rPr>
      </w:pPr>
      <w:r>
        <w:rPr>
          <w:rFonts w:ascii="Arial" w:cs="Arial" w:eastAsia="Arial" w:hAnsi="Arial"/>
          <w:sz w:val="18"/>
          <w:szCs w:val="18"/>
          <w:u w:val="single" w:color="auto"/>
          <w:color w:val="auto"/>
        </w:rPr>
        <w:t>STOCK OWNERSHIP GUIDELINES FOR HONEYWELL OFFICERS</w:t>
      </w:r>
    </w:p>
    <w:p>
      <w:pPr>
        <w:spacing w:after="0" w:line="23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As an Executive Officer of the Corporation, you will be required to hold Honeywell shares in accordance with the Corporation’s Stock Ownership Guidelines, as amended from time to time. A copy of the Stock Ownership Guidelines will be separately provided to you.</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ACCEPTANCE OF OFFER</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Please indicate your acceptance of this offer by signing this letter in the space provided and returning it to me.</w:t>
      </w:r>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Honeywell has a long and distinguished history. But, more importantly, we are a company with a terrific future and a great place to work. Our performance culture drives growth for us and competitive advantage for our customers. We hire the best people; give them every possible opportunity to learn, grow, and develop; and reward them for their contributions. We offer career paths that span product lines, job types, businesses, and countries.</w:t>
      </w:r>
    </w:p>
    <w:p>
      <w:pPr>
        <w:spacing w:after="0" w:line="232" w:lineRule="exact"/>
        <w:rPr>
          <w:sz w:val="20"/>
          <w:szCs w:val="20"/>
          <w:color w:val="auto"/>
        </w:rPr>
      </w:pPr>
    </w:p>
    <w:p>
      <w:pPr>
        <w:ind w:right="500"/>
        <w:spacing w:after="0" w:line="246" w:lineRule="auto"/>
        <w:rPr>
          <w:sz w:val="20"/>
          <w:szCs w:val="20"/>
          <w:color w:val="auto"/>
        </w:rPr>
      </w:pPr>
      <w:r>
        <w:rPr>
          <w:rFonts w:ascii="Arial" w:cs="Arial" w:eastAsia="Arial" w:hAnsi="Arial"/>
          <w:sz w:val="18"/>
          <w:szCs w:val="18"/>
          <w:color w:val="auto"/>
        </w:rPr>
        <w:t>Anne, we are excited to be extending this offer to you and look forward to working with you in your expanded role. Your experience and background is an asset to our Company.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If you have any questions or need any further information about our offer, please contact me directly.</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Congratulations,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/s/ Mark R. James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Mark R. James</w:t>
      </w:r>
    </w:p>
    <w:p>
      <w:pPr>
        <w:spacing w:after="0" w:line="234" w:lineRule="auto"/>
        <w:rPr>
          <w:sz w:val="20"/>
          <w:szCs w:val="20"/>
          <w:color w:val="auto"/>
        </w:rPr>
      </w:pPr>
      <w:r>
        <w:rPr>
          <w:rFonts w:ascii="Arial" w:cs="Arial" w:eastAsia="Arial" w:hAnsi="Arial"/>
          <w:sz w:val="18"/>
          <w:szCs w:val="18"/>
          <w:color w:val="auto"/>
        </w:rPr>
        <w:t>Honeywell International Inc. Senior Vice President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Human Resources, Procurement and Communications</w:t>
      </w:r>
    </w:p>
    <w:p>
      <w:pPr>
        <w:sectPr>
          <w:pgSz w:w="11900" w:h="16838" w:orient="portrait"/>
          <w:cols w:equalWidth="0" w:num="1">
            <w:col w:w="11240"/>
          </w:cols>
          <w:pgMar w:left="320" w:top="1435" w:right="339" w:bottom="1440" w:gutter="0" w:footer="0" w:header="0"/>
        </w:sectPr>
      </w:pPr>
    </w:p>
    <w:bookmarkStart w:id="181" w:name="page182"/>
    <w:bookmarkEnd w:id="181"/>
    <w:tbl>
      <w:tblPr>
        <w:tblLayout w:type="fixed"/>
        <w:tblInd w:w="0" w:type="dxa"/>
        <w:tblCellMar>
          <w:top w:w="0" w:type="dxa"/>
          <w:left w:w="0" w:type="dxa"/>
          <w:bottom w:w="0" w:type="dxa"/>
          <w:right w:w="0" w:type="dxa"/>
        </w:tblCellMar>
      </w:tblPr>
      <w:tr>
        <w:trPr>
          <w:trHeight w:val="217"/>
        </w:trPr>
        <w:tc>
          <w:tcPr>
            <w:tcW w:w="1800" w:type="dxa"/>
            <w:vAlign w:val="bottom"/>
          </w:tcPr>
          <w:p>
            <w:pPr>
              <w:spacing w:after="0"/>
              <w:rPr>
                <w:sz w:val="20"/>
                <w:szCs w:val="20"/>
                <w:color w:val="auto"/>
              </w:rPr>
            </w:pPr>
            <w:r>
              <w:rPr>
                <w:rFonts w:ascii="Arial" w:cs="Arial" w:eastAsia="Arial" w:hAnsi="Arial"/>
                <w:sz w:val="18"/>
                <w:szCs w:val="18"/>
                <w:color w:val="auto"/>
              </w:rPr>
              <w:t>Read and Accepted:</w:t>
            </w:r>
          </w:p>
        </w:tc>
        <w:tc>
          <w:tcPr>
            <w:tcW w:w="8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648"/>
        </w:trPr>
        <w:tc>
          <w:tcPr>
            <w:tcW w:w="1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Anne T. Madden</w:t>
            </w:r>
          </w:p>
        </w:tc>
        <w:tc>
          <w:tcPr>
            <w:tcW w:w="800" w:type="dxa"/>
            <w:vAlign w:val="bottom"/>
          </w:tcPr>
          <w:p>
            <w:pPr>
              <w:spacing w:after="0"/>
              <w:rPr>
                <w:sz w:val="24"/>
                <w:szCs w:val="24"/>
                <w:color w:val="auto"/>
              </w:rPr>
            </w:pPr>
          </w:p>
        </w:tc>
        <w:tc>
          <w:tcPr>
            <w:tcW w:w="13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7"/>
              </w:rPr>
              <w:t>October 2, 2017</w:t>
            </w:r>
          </w:p>
        </w:tc>
      </w:tr>
      <w:tr>
        <w:trPr>
          <w:trHeight w:val="223"/>
        </w:trPr>
        <w:tc>
          <w:tcPr>
            <w:tcW w:w="1800" w:type="dxa"/>
            <w:vAlign w:val="bottom"/>
          </w:tcPr>
          <w:p>
            <w:pPr>
              <w:spacing w:after="0"/>
              <w:rPr>
                <w:sz w:val="20"/>
                <w:szCs w:val="20"/>
                <w:color w:val="auto"/>
              </w:rPr>
            </w:pPr>
            <w:r>
              <w:rPr>
                <w:rFonts w:ascii="Arial" w:cs="Arial" w:eastAsia="Arial" w:hAnsi="Arial"/>
                <w:sz w:val="18"/>
                <w:szCs w:val="18"/>
                <w:color w:val="auto"/>
              </w:rPr>
              <w:t>ANNE MADDEN</w:t>
            </w:r>
          </w:p>
        </w:tc>
        <w:tc>
          <w:tcPr>
            <w:tcW w:w="2140" w:type="dxa"/>
            <w:vAlign w:val="bottom"/>
            <w:gridSpan w:val="2"/>
          </w:tcPr>
          <w:p>
            <w:pPr>
              <w:ind w:left="40"/>
              <w:spacing w:after="0"/>
              <w:rPr>
                <w:sz w:val="20"/>
                <w:szCs w:val="20"/>
                <w:color w:val="auto"/>
              </w:rPr>
            </w:pPr>
            <w:r>
              <w:rPr>
                <w:rFonts w:ascii="Arial" w:cs="Arial" w:eastAsia="Arial" w:hAnsi="Arial"/>
                <w:sz w:val="18"/>
                <w:szCs w:val="18"/>
                <w:color w:val="auto"/>
              </w:rPr>
              <w:t>Date</w:t>
            </w:r>
          </w:p>
        </w:tc>
      </w:tr>
    </w:tbl>
    <w:p>
      <w:pPr>
        <w:spacing w:after="0" w:line="205" w:lineRule="exact"/>
        <w:rPr>
          <w:sz w:val="20"/>
          <w:szCs w:val="20"/>
          <w:color w:val="auto"/>
        </w:rPr>
      </w:pPr>
    </w:p>
    <w:p>
      <w:pPr>
        <w:jc w:val="both"/>
        <w:spacing w:after="0" w:line="227" w:lineRule="auto"/>
        <w:rPr>
          <w:sz w:val="20"/>
          <w:szCs w:val="20"/>
          <w:color w:val="auto"/>
        </w:rPr>
      </w:pPr>
      <w:r>
        <w:rPr>
          <w:rFonts w:ascii="Arial" w:cs="Arial" w:eastAsia="Arial" w:hAnsi="Arial"/>
          <w:sz w:val="14"/>
          <w:szCs w:val="14"/>
          <w:b w:val="1"/>
          <w:bCs w:val="1"/>
          <w:i w:val="1"/>
          <w:iCs w:val="1"/>
          <w:color w:val="auto"/>
        </w:rPr>
        <w:t>All businesses experience changing conditions. Accordingly, we reserve the right to change work assignments, reporting relationships and staffing levels to meet business needs, and your employment with Honeywell will be on an "at will" basis. This means that there is no guarantee of employment for any specific period, and either you or Honeywell may terminate your employment at any time.</w:t>
      </w:r>
    </w:p>
    <w:p>
      <w:pPr>
        <w:spacing w:after="0" w:line="191" w:lineRule="exact"/>
        <w:rPr>
          <w:sz w:val="20"/>
          <w:szCs w:val="20"/>
          <w:color w:val="auto"/>
        </w:rPr>
      </w:pPr>
    </w:p>
    <w:p>
      <w:pPr>
        <w:jc w:val="both"/>
        <w:spacing w:after="0" w:line="221" w:lineRule="auto"/>
        <w:rPr>
          <w:sz w:val="20"/>
          <w:szCs w:val="20"/>
          <w:color w:val="auto"/>
        </w:rPr>
      </w:pPr>
      <w:r>
        <w:rPr>
          <w:rFonts w:ascii="Arial" w:cs="Arial" w:eastAsia="Arial" w:hAnsi="Arial"/>
          <w:sz w:val="14"/>
          <w:szCs w:val="14"/>
          <w:b w:val="1"/>
          <w:bCs w:val="1"/>
          <w:i w:val="1"/>
          <w:iCs w:val="1"/>
          <w:color w:val="auto"/>
        </w:rPr>
        <w:t>The descriptions of benefits and perquisites described in this offer letter (including Addendum A) are for general information purposes only and are not intended to modify any plan document, summary plan description (“SPD”) or prospectus. For a complete description of any benefit or perquisite, you may request a copy of the applicable plan document, SPD or prospectus. The Company reserves the right to modify, amend or terminate any benefit plan or perquisite in its sole and absolute discretion.</w:t>
      </w:r>
    </w:p>
    <w:p>
      <w:pPr>
        <w:sectPr>
          <w:pgSz w:w="11900" w:h="16838" w:orient="portrait"/>
          <w:cols w:equalWidth="0" w:num="1">
            <w:col w:w="11240"/>
          </w:cols>
          <w:pgMar w:left="320" w:top="1435" w:right="339" w:bottom="1440" w:gutter="0" w:footer="0" w:header="0"/>
        </w:sectPr>
      </w:pPr>
    </w:p>
    <w:bookmarkStart w:id="182" w:name="page183"/>
    <w:bookmarkEnd w:id="182"/>
    <w:p>
      <w:pPr>
        <w:jc w:val="both"/>
        <w:spacing w:after="0" w:line="22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732917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21">
                      <a:clrChange>
                        <a:clrFrom>
                          <a:srgbClr val="FFFFFF"/>
                        </a:clrFrom>
                        <a:clrTo>
                          <a:srgbClr val="FFFFFF">
                            <a:alpha val="0"/>
                          </a:srgbClr>
                        </a:clrTo>
                      </a:clrChange>
                      <a:extLst>
                        <a:ext uri="{28A0092B-C50C-407E-A947-70E740481C1C}"/>
                      </a:extLst>
                    </a:blip>
                    <a:srcRect/>
                    <a:stretch>
                      <a:fillRect/>
                    </a:stretch>
                  </pic:blipFill>
                  <pic:spPr bwMode="auto">
                    <a:xfrm>
                      <a:off x="0" y="0"/>
                      <a:ext cx="5349240" cy="73291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3" w:name="page184"/>
    <w:bookmarkEnd w:id="183"/>
    <w:p>
      <w:pPr>
        <w:jc w:val="both"/>
        <w:spacing w:after="0" w:line="22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729488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22">
                      <a:clrChange>
                        <a:clrFrom>
                          <a:srgbClr val="FFFFFF"/>
                        </a:clrFrom>
                        <a:clrTo>
                          <a:srgbClr val="FFFFFF">
                            <a:alpha val="0"/>
                          </a:srgbClr>
                        </a:clrTo>
                      </a:clrChange>
                      <a:extLst>
                        <a:ext uri="{28A0092B-C50C-407E-A947-70E740481C1C}"/>
                      </a:extLst>
                    </a:blip>
                    <a:srcRect/>
                    <a:stretch>
                      <a:fillRect/>
                    </a:stretch>
                  </pic:blipFill>
                  <pic:spPr bwMode="auto">
                    <a:xfrm>
                      <a:off x="0" y="0"/>
                      <a:ext cx="5349240" cy="7294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4" w:name="page185"/>
    <w:bookmarkEnd w:id="184"/>
    <w:p>
      <w:pPr>
        <w:jc w:val="both"/>
        <w:spacing w:after="0" w:line="22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736346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23">
                      <a:clrChange>
                        <a:clrFrom>
                          <a:srgbClr val="FFFFFF"/>
                        </a:clrFrom>
                        <a:clrTo>
                          <a:srgbClr val="FFFFFF">
                            <a:alpha val="0"/>
                          </a:srgbClr>
                        </a:clrTo>
                      </a:clrChange>
                      <a:extLst>
                        <a:ext uri="{28A0092B-C50C-407E-A947-70E740481C1C}"/>
                      </a:extLst>
                    </a:blip>
                    <a:srcRect/>
                    <a:stretch>
                      <a:fillRect/>
                    </a:stretch>
                  </pic:blipFill>
                  <pic:spPr bwMode="auto">
                    <a:xfrm>
                      <a:off x="0" y="0"/>
                      <a:ext cx="5349240" cy="7363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5" w:name="page186"/>
    <w:bookmarkEnd w:id="185"/>
    <w:p>
      <w:pPr>
        <w:jc w:val="both"/>
        <w:spacing w:after="0" w:line="22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714057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24">
                      <a:clrChange>
                        <a:clrFrom>
                          <a:srgbClr val="FFFFFF"/>
                        </a:clrFrom>
                        <a:clrTo>
                          <a:srgbClr val="FFFFFF">
                            <a:alpha val="0"/>
                          </a:srgbClr>
                        </a:clrTo>
                      </a:clrChange>
                      <a:extLst>
                        <a:ext uri="{28A0092B-C50C-407E-A947-70E740481C1C}"/>
                      </a:extLst>
                    </a:blip>
                    <a:srcRect/>
                    <a:stretch>
                      <a:fillRect/>
                    </a:stretch>
                  </pic:blipFill>
                  <pic:spPr bwMode="auto">
                    <a:xfrm>
                      <a:off x="0" y="0"/>
                      <a:ext cx="5349240" cy="7140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6" w:name="page187"/>
    <w:bookmarkEnd w:id="186"/>
    <w:p>
      <w:pPr>
        <w:jc w:val="both"/>
        <w:spacing w:after="0" w:line="22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736346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25">
                      <a:clrChange>
                        <a:clrFrom>
                          <a:srgbClr val="FFFFFF"/>
                        </a:clrFrom>
                        <a:clrTo>
                          <a:srgbClr val="FFFFFF">
                            <a:alpha val="0"/>
                          </a:srgbClr>
                        </a:clrTo>
                      </a:clrChange>
                      <a:extLst>
                        <a:ext uri="{28A0092B-C50C-407E-A947-70E740481C1C}"/>
                      </a:extLst>
                    </a:blip>
                    <a:srcRect/>
                    <a:stretch>
                      <a:fillRect/>
                    </a:stretch>
                  </pic:blipFill>
                  <pic:spPr bwMode="auto">
                    <a:xfrm>
                      <a:off x="0" y="0"/>
                      <a:ext cx="5349240" cy="7363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7" w:name="page188"/>
    <w:bookmarkEnd w:id="187"/>
    <w:p>
      <w:pPr>
        <w:jc w:val="both"/>
        <w:spacing w:after="0" w:line="22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717486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26">
                      <a:clrChange>
                        <a:clrFrom>
                          <a:srgbClr val="FFFFFF"/>
                        </a:clrFrom>
                        <a:clrTo>
                          <a:srgbClr val="FFFFFF">
                            <a:alpha val="0"/>
                          </a:srgbClr>
                        </a:clrTo>
                      </a:clrChange>
                      <a:extLst>
                        <a:ext uri="{28A0092B-C50C-407E-A947-70E740481C1C}"/>
                      </a:extLst>
                    </a:blip>
                    <a:srcRect/>
                    <a:stretch>
                      <a:fillRect/>
                    </a:stretch>
                  </pic:blipFill>
                  <pic:spPr bwMode="auto">
                    <a:xfrm>
                      <a:off x="0" y="0"/>
                      <a:ext cx="5349240" cy="7174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8" w:name="page189"/>
    <w:bookmarkEnd w:id="188"/>
    <w:p>
      <w:pPr>
        <w:jc w:val="both"/>
        <w:spacing w:after="0" w:line="22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729488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27">
                      <a:clrChange>
                        <a:clrFrom>
                          <a:srgbClr val="FFFFFF"/>
                        </a:clrFrom>
                        <a:clrTo>
                          <a:srgbClr val="FFFFFF">
                            <a:alpha val="0"/>
                          </a:srgbClr>
                        </a:clrTo>
                      </a:clrChange>
                      <a:extLst>
                        <a:ext uri="{28A0092B-C50C-407E-A947-70E740481C1C}"/>
                      </a:extLst>
                    </a:blip>
                    <a:srcRect/>
                    <a:stretch>
                      <a:fillRect/>
                    </a:stretch>
                  </pic:blipFill>
                  <pic:spPr bwMode="auto">
                    <a:xfrm>
                      <a:off x="0" y="0"/>
                      <a:ext cx="5349240" cy="7294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9" w:name="page190"/>
    <w:bookmarkEnd w:id="189"/>
    <w:tbl>
      <w:tblPr>
        <w:tblLayout w:type="fixed"/>
        <w:tblInd w:w="0" w:type="dxa"/>
        <w:tblCellMar>
          <w:top w:w="0" w:type="dxa"/>
          <w:left w:w="0" w:type="dxa"/>
          <w:bottom w:w="0" w:type="dxa"/>
          <w:right w:w="0" w:type="dxa"/>
        </w:tblCellMar>
      </w:tblPr>
      <w:tr>
        <w:trPr>
          <w:trHeight w:val="261"/>
        </w:trPr>
        <w:tc>
          <w:tcPr>
            <w:tcW w:w="9240" w:type="dxa"/>
            <w:vAlign w:val="bottom"/>
            <w:gridSpan w:val="2"/>
            <w:vMerge w:val="restart"/>
          </w:tcPr>
          <w:p>
            <w:pPr>
              <w:ind w:left="3640"/>
              <w:spacing w:after="0"/>
              <w:rPr>
                <w:sz w:val="20"/>
                <w:szCs w:val="20"/>
                <w:color w:val="auto"/>
              </w:rPr>
            </w:pPr>
            <w:r>
              <w:rPr>
                <w:rFonts w:ascii="Arial" w:cs="Arial" w:eastAsia="Arial" w:hAnsi="Arial"/>
                <w:sz w:val="23"/>
                <w:szCs w:val="23"/>
                <w:b w:val="1"/>
                <w:bCs w:val="1"/>
                <w:color w:val="auto"/>
              </w:rPr>
              <w:t>HONEYWELL INTERNATIONAL INC.</w:t>
            </w:r>
          </w:p>
        </w:tc>
        <w:tc>
          <w:tcPr>
            <w:tcW w:w="2000" w:type="dxa"/>
            <w:vAlign w:val="bottom"/>
            <w:gridSpan w:val="2"/>
          </w:tcPr>
          <w:p>
            <w:pPr>
              <w:ind w:left="940"/>
              <w:spacing w:after="0"/>
              <w:rPr>
                <w:sz w:val="20"/>
                <w:szCs w:val="20"/>
                <w:color w:val="auto"/>
              </w:rPr>
            </w:pPr>
            <w:r>
              <w:rPr>
                <w:rFonts w:ascii="Arial" w:cs="Arial" w:eastAsia="Arial" w:hAnsi="Arial"/>
                <w:sz w:val="20"/>
                <w:szCs w:val="20"/>
                <w:b w:val="1"/>
                <w:bCs w:val="1"/>
                <w:color w:val="auto"/>
                <w:w w:val="97"/>
              </w:rPr>
              <w:t>EXHIBIT 21</w:t>
            </w:r>
          </w:p>
        </w:tc>
        <w:tc>
          <w:tcPr>
            <w:tcW w:w="0" w:type="dxa"/>
            <w:vAlign w:val="bottom"/>
          </w:tcPr>
          <w:p>
            <w:pPr>
              <w:spacing w:after="0"/>
              <w:rPr>
                <w:sz w:val="1"/>
                <w:szCs w:val="1"/>
                <w:color w:val="auto"/>
              </w:rPr>
            </w:pPr>
          </w:p>
        </w:tc>
      </w:tr>
      <w:tr>
        <w:trPr>
          <w:trHeight w:val="238"/>
        </w:trPr>
        <w:tc>
          <w:tcPr>
            <w:tcW w:w="9240" w:type="dxa"/>
            <w:vAlign w:val="bottom"/>
            <w:gridSpan w:val="2"/>
            <w:vMerge w:val="continue"/>
          </w:tcPr>
          <w:p>
            <w:pPr>
              <w:spacing w:after="0"/>
              <w:rPr>
                <w:sz w:val="20"/>
                <w:szCs w:val="20"/>
                <w:color w:val="auto"/>
              </w:rPr>
            </w:pPr>
          </w:p>
        </w:tc>
        <w:tc>
          <w:tcPr>
            <w:tcW w:w="1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7440" w:type="dxa"/>
            <w:vAlign w:val="bottom"/>
          </w:tcPr>
          <w:p>
            <w:pPr>
              <w:ind w:left="3860"/>
              <w:spacing w:after="0"/>
              <w:rPr>
                <w:sz w:val="20"/>
                <w:szCs w:val="20"/>
                <w:color w:val="auto"/>
              </w:rPr>
            </w:pPr>
            <w:r>
              <w:rPr>
                <w:rFonts w:ascii="Arial" w:cs="Arial" w:eastAsia="Arial" w:hAnsi="Arial"/>
                <w:sz w:val="20"/>
                <w:szCs w:val="20"/>
                <w:b w:val="1"/>
                <w:bCs w:val="1"/>
                <w:color w:val="auto"/>
                <w:w w:val="99"/>
              </w:rPr>
              <w:t>SUBSIDIARIES OF THE REGISTRANT</w:t>
            </w:r>
          </w:p>
        </w:tc>
        <w:tc>
          <w:tcPr>
            <w:tcW w:w="180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7440" w:type="dxa"/>
            <w:vAlign w:val="bottom"/>
            <w:vMerge w:val="restart"/>
          </w:tcPr>
          <w:p>
            <w:pPr>
              <w:ind w:left="3420"/>
              <w:spacing w:after="0"/>
              <w:rPr>
                <w:sz w:val="20"/>
                <w:szCs w:val="20"/>
                <w:color w:val="auto"/>
              </w:rPr>
            </w:pPr>
            <w:r>
              <w:rPr>
                <w:rFonts w:ascii="Arial" w:cs="Arial" w:eastAsia="Arial" w:hAnsi="Arial"/>
                <w:sz w:val="14"/>
                <w:szCs w:val="14"/>
                <w:b w:val="1"/>
                <w:bCs w:val="1"/>
                <w:color w:val="auto"/>
              </w:rPr>
              <w:t>Name</w:t>
            </w:r>
          </w:p>
        </w:tc>
        <w:tc>
          <w:tcPr>
            <w:tcW w:w="1800" w:type="dxa"/>
            <w:vAlign w:val="bottom"/>
          </w:tcPr>
          <w:p>
            <w:pPr>
              <w:jc w:val="center"/>
              <w:ind w:right="351"/>
              <w:spacing w:after="0"/>
              <w:rPr>
                <w:sz w:val="20"/>
                <w:szCs w:val="20"/>
                <w:color w:val="auto"/>
              </w:rPr>
            </w:pPr>
            <w:r>
              <w:rPr>
                <w:rFonts w:ascii="Arial" w:cs="Arial" w:eastAsia="Arial" w:hAnsi="Arial"/>
                <w:sz w:val="14"/>
                <w:szCs w:val="14"/>
                <w:b w:val="1"/>
                <w:bCs w:val="1"/>
                <w:color w:val="auto"/>
              </w:rPr>
              <w:t>Country or State</w:t>
            </w:r>
          </w:p>
        </w:tc>
        <w:tc>
          <w:tcPr>
            <w:tcW w:w="2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83"/>
        </w:trPr>
        <w:tc>
          <w:tcPr>
            <w:tcW w:w="7440" w:type="dxa"/>
            <w:vAlign w:val="bottom"/>
            <w:vMerge w:val="continue"/>
          </w:tcPr>
          <w:p>
            <w:pPr>
              <w:spacing w:after="0"/>
              <w:rPr>
                <w:sz w:val="15"/>
                <w:szCs w:val="15"/>
                <w:color w:val="auto"/>
              </w:rPr>
            </w:pPr>
          </w:p>
        </w:tc>
        <w:tc>
          <w:tcPr>
            <w:tcW w:w="1800" w:type="dxa"/>
            <w:vAlign w:val="bottom"/>
          </w:tcPr>
          <w:p>
            <w:pPr>
              <w:jc w:val="center"/>
              <w:ind w:right="331"/>
              <w:spacing w:after="0"/>
              <w:rPr>
                <w:sz w:val="20"/>
                <w:szCs w:val="20"/>
                <w:color w:val="auto"/>
              </w:rPr>
            </w:pPr>
            <w:r>
              <w:rPr>
                <w:rFonts w:ascii="Arial" w:cs="Arial" w:eastAsia="Arial" w:hAnsi="Arial"/>
                <w:sz w:val="14"/>
                <w:szCs w:val="14"/>
                <w:b w:val="1"/>
                <w:bCs w:val="1"/>
                <w:color w:val="auto"/>
              </w:rPr>
              <w:t>of Incorporation</w:t>
            </w:r>
          </w:p>
        </w:tc>
        <w:tc>
          <w:tcPr>
            <w:tcW w:w="2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Ownership</w:t>
            </w:r>
          </w:p>
        </w:tc>
        <w:tc>
          <w:tcPr>
            <w:tcW w:w="0" w:type="dxa"/>
            <w:vAlign w:val="bottom"/>
          </w:tcPr>
          <w:p>
            <w:pPr>
              <w:spacing w:after="0"/>
              <w:rPr>
                <w:sz w:val="1"/>
                <w:szCs w:val="1"/>
                <w:color w:val="auto"/>
              </w:rPr>
            </w:pPr>
          </w:p>
        </w:tc>
      </w:tr>
      <w:tr>
        <w:trPr>
          <w:trHeight w:val="229"/>
        </w:trPr>
        <w:tc>
          <w:tcPr>
            <w:tcW w:w="7440" w:type="dxa"/>
            <w:vAlign w:val="bottom"/>
            <w:tcBorders>
              <w:top w:val="single" w:sz="8" w:color="DC202E"/>
            </w:tcBorders>
            <w:shd w:val="clear" w:color="auto" w:fill="DBDBDB"/>
          </w:tcPr>
          <w:p>
            <w:pPr>
              <w:ind w:left="20"/>
              <w:spacing w:after="0"/>
              <w:rPr>
                <w:sz w:val="20"/>
                <w:szCs w:val="20"/>
                <w:color w:val="auto"/>
              </w:rPr>
            </w:pPr>
            <w:r>
              <w:rPr>
                <w:rFonts w:ascii="Arial" w:cs="Arial" w:eastAsia="Arial" w:hAnsi="Arial"/>
                <w:sz w:val="18"/>
                <w:szCs w:val="18"/>
                <w:color w:val="auto"/>
              </w:rPr>
              <w:t>AlliedSignal Aerospace Service LLC</w:t>
            </w:r>
          </w:p>
        </w:tc>
        <w:tc>
          <w:tcPr>
            <w:tcW w:w="1800" w:type="dxa"/>
            <w:vAlign w:val="bottom"/>
            <w:tcBorders>
              <w:top w:val="single" w:sz="8" w:color="DC202E"/>
            </w:tcBorders>
            <w:shd w:val="clear" w:color="auto" w:fill="DBDBDB"/>
          </w:tcPr>
          <w:p>
            <w:pPr>
              <w:jc w:val="center"/>
              <w:ind w:right="351"/>
              <w:spacing w:after="0"/>
              <w:rPr>
                <w:sz w:val="20"/>
                <w:szCs w:val="20"/>
                <w:color w:val="auto"/>
              </w:rPr>
            </w:pPr>
            <w:r>
              <w:rPr>
                <w:rFonts w:ascii="Arial" w:cs="Arial" w:eastAsia="Arial" w:hAnsi="Arial"/>
                <w:sz w:val="18"/>
                <w:szCs w:val="18"/>
                <w:color w:val="auto"/>
                <w:w w:val="99"/>
              </w:rPr>
              <w:t>Delaware</w:t>
            </w:r>
          </w:p>
        </w:tc>
        <w:tc>
          <w:tcPr>
            <w:tcW w:w="1960" w:type="dxa"/>
            <w:vAlign w:val="bottom"/>
            <w:tcBorders>
              <w:top w:val="single" w:sz="8" w:color="DC202E"/>
            </w:tcBorders>
            <w:shd w:val="clear" w:color="auto" w:fill="DBDBDB"/>
          </w:tcPr>
          <w:p>
            <w:pPr>
              <w:jc w:val="right"/>
              <w:spacing w:after="0"/>
              <w:rPr>
                <w:sz w:val="20"/>
                <w:szCs w:val="20"/>
                <w:color w:val="auto"/>
              </w:rPr>
            </w:pPr>
            <w:r>
              <w:rPr>
                <w:rFonts w:ascii="Arial" w:cs="Arial" w:eastAsia="Arial" w:hAnsi="Arial"/>
                <w:sz w:val="18"/>
                <w:szCs w:val="18"/>
                <w:color w:val="auto"/>
              </w:rPr>
              <w:t>100 %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20"/>
              <w:spacing w:after="0"/>
              <w:rPr>
                <w:sz w:val="20"/>
                <w:szCs w:val="20"/>
                <w:color w:val="auto"/>
              </w:rPr>
            </w:pPr>
            <w:r>
              <w:rPr>
                <w:rFonts w:ascii="Arial" w:cs="Arial" w:eastAsia="Arial" w:hAnsi="Arial"/>
                <w:sz w:val="18"/>
                <w:szCs w:val="18"/>
                <w:color w:val="auto"/>
              </w:rPr>
              <w:t>BW Technologies Partnership</w:t>
            </w:r>
          </w:p>
        </w:tc>
        <w:tc>
          <w:tcPr>
            <w:tcW w:w="1800" w:type="dxa"/>
            <w:vAlign w:val="bottom"/>
          </w:tcPr>
          <w:p>
            <w:pPr>
              <w:jc w:val="center"/>
              <w:ind w:right="351"/>
              <w:spacing w:after="0"/>
              <w:rPr>
                <w:sz w:val="20"/>
                <w:szCs w:val="20"/>
                <w:color w:val="auto"/>
              </w:rPr>
            </w:pPr>
            <w:r>
              <w:rPr>
                <w:rFonts w:ascii="Arial" w:cs="Arial" w:eastAsia="Arial" w:hAnsi="Arial"/>
                <w:sz w:val="18"/>
                <w:szCs w:val="18"/>
                <w:color w:val="auto"/>
              </w:rPr>
              <w:t>Canada</w:t>
            </w:r>
          </w:p>
        </w:tc>
        <w:tc>
          <w:tcPr>
            <w:tcW w:w="1960" w:type="dxa"/>
            <w:vAlign w:val="bottom"/>
          </w:tcPr>
          <w:p>
            <w:pPr>
              <w:jc w:val="right"/>
              <w:spacing w:after="0"/>
              <w:rPr>
                <w:sz w:val="20"/>
                <w:szCs w:val="20"/>
                <w:color w:val="auto"/>
              </w:rPr>
            </w:pPr>
            <w:r>
              <w:rPr>
                <w:rFonts w:ascii="Arial" w:cs="Arial" w:eastAsia="Arial" w:hAnsi="Arial"/>
                <w:sz w:val="18"/>
                <w:szCs w:val="18"/>
                <w:color w:val="auto"/>
              </w:rPr>
              <w:t>100 %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shd w:val="clear" w:color="auto" w:fill="DBDBDB"/>
          </w:tcPr>
          <w:p>
            <w:pPr>
              <w:ind w:left="20"/>
              <w:spacing w:after="0"/>
              <w:rPr>
                <w:sz w:val="20"/>
                <w:szCs w:val="20"/>
                <w:color w:val="auto"/>
              </w:rPr>
            </w:pPr>
            <w:r>
              <w:rPr>
                <w:rFonts w:ascii="Arial" w:cs="Arial" w:eastAsia="Arial" w:hAnsi="Arial"/>
                <w:sz w:val="18"/>
                <w:szCs w:val="18"/>
                <w:color w:val="auto"/>
              </w:rPr>
              <w:t>COM DEV Ltd.</w:t>
            </w:r>
          </w:p>
        </w:tc>
        <w:tc>
          <w:tcPr>
            <w:tcW w:w="1800" w:type="dxa"/>
            <w:vAlign w:val="bottom"/>
            <w:shd w:val="clear" w:color="auto" w:fill="DBDBDB"/>
          </w:tcPr>
          <w:p>
            <w:pPr>
              <w:jc w:val="center"/>
              <w:ind w:right="351"/>
              <w:spacing w:after="0"/>
              <w:rPr>
                <w:sz w:val="20"/>
                <w:szCs w:val="20"/>
                <w:color w:val="auto"/>
              </w:rPr>
            </w:pPr>
            <w:r>
              <w:rPr>
                <w:rFonts w:ascii="Arial" w:cs="Arial" w:eastAsia="Arial" w:hAnsi="Arial"/>
                <w:sz w:val="18"/>
                <w:szCs w:val="18"/>
                <w:color w:val="auto"/>
              </w:rPr>
              <w:t>Canada</w:t>
            </w:r>
          </w:p>
        </w:tc>
        <w:tc>
          <w:tcPr>
            <w:tcW w:w="1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100 %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tcPr>
          <w:p>
            <w:pPr>
              <w:ind w:left="20"/>
              <w:spacing w:after="0"/>
              <w:rPr>
                <w:sz w:val="20"/>
                <w:szCs w:val="20"/>
                <w:color w:val="auto"/>
              </w:rPr>
            </w:pPr>
            <w:r>
              <w:rPr>
                <w:rFonts w:ascii="Arial" w:cs="Arial" w:eastAsia="Arial" w:hAnsi="Arial"/>
                <w:sz w:val="18"/>
                <w:szCs w:val="18"/>
                <w:color w:val="auto"/>
              </w:rPr>
              <w:t>ConverDyn</w:t>
            </w:r>
          </w:p>
        </w:tc>
        <w:tc>
          <w:tcPr>
            <w:tcW w:w="1800" w:type="dxa"/>
            <w:vAlign w:val="bottom"/>
          </w:tcPr>
          <w:p>
            <w:pPr>
              <w:jc w:val="center"/>
              <w:ind w:right="351"/>
              <w:spacing w:after="0"/>
              <w:rPr>
                <w:sz w:val="20"/>
                <w:szCs w:val="20"/>
                <w:color w:val="auto"/>
              </w:rPr>
            </w:pPr>
            <w:r>
              <w:rPr>
                <w:rFonts w:ascii="Arial" w:cs="Arial" w:eastAsia="Arial" w:hAnsi="Arial"/>
                <w:sz w:val="18"/>
                <w:szCs w:val="18"/>
                <w:color w:val="auto"/>
                <w:w w:val="99"/>
              </w:rPr>
              <w:t>Delaware</w:t>
            </w:r>
          </w:p>
        </w:tc>
        <w:tc>
          <w:tcPr>
            <w:tcW w:w="1960" w:type="dxa"/>
            <w:vAlign w:val="bottom"/>
          </w:tcPr>
          <w:p>
            <w:pPr>
              <w:jc w:val="right"/>
              <w:spacing w:after="0"/>
              <w:rPr>
                <w:sz w:val="20"/>
                <w:szCs w:val="20"/>
                <w:color w:val="auto"/>
              </w:rPr>
            </w:pPr>
            <w:r>
              <w:rPr>
                <w:rFonts w:ascii="Arial" w:cs="Arial" w:eastAsia="Arial" w:hAnsi="Arial"/>
                <w:sz w:val="18"/>
                <w:szCs w:val="18"/>
                <w:color w:val="auto"/>
              </w:rPr>
              <w:t>50 %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DBDBDB"/>
          </w:tcPr>
          <w:p>
            <w:pPr>
              <w:ind w:left="20"/>
              <w:spacing w:after="0"/>
              <w:rPr>
                <w:sz w:val="20"/>
                <w:szCs w:val="20"/>
                <w:color w:val="auto"/>
              </w:rPr>
            </w:pPr>
            <w:r>
              <w:rPr>
                <w:rFonts w:ascii="Arial" w:cs="Arial" w:eastAsia="Arial" w:hAnsi="Arial"/>
                <w:sz w:val="18"/>
                <w:szCs w:val="18"/>
                <w:color w:val="auto"/>
              </w:rPr>
              <w:t>Elster American Meter Company, LLC</w:t>
            </w:r>
          </w:p>
        </w:tc>
        <w:tc>
          <w:tcPr>
            <w:tcW w:w="1800" w:type="dxa"/>
            <w:vAlign w:val="bottom"/>
            <w:shd w:val="clear" w:color="auto" w:fill="DBDBDB"/>
          </w:tcPr>
          <w:p>
            <w:pPr>
              <w:jc w:val="center"/>
              <w:ind w:right="351"/>
              <w:spacing w:after="0"/>
              <w:rPr>
                <w:sz w:val="20"/>
                <w:szCs w:val="20"/>
                <w:color w:val="auto"/>
              </w:rPr>
            </w:pPr>
            <w:r>
              <w:rPr>
                <w:rFonts w:ascii="Arial" w:cs="Arial" w:eastAsia="Arial" w:hAnsi="Arial"/>
                <w:sz w:val="18"/>
                <w:szCs w:val="18"/>
                <w:color w:val="auto"/>
                <w:w w:val="99"/>
              </w:rPr>
              <w:t>Delaware</w:t>
            </w:r>
          </w:p>
        </w:tc>
        <w:tc>
          <w:tcPr>
            <w:tcW w:w="1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100 %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tcPr>
          <w:p>
            <w:pPr>
              <w:ind w:left="20"/>
              <w:spacing w:after="0"/>
              <w:rPr>
                <w:sz w:val="20"/>
                <w:szCs w:val="20"/>
                <w:color w:val="auto"/>
              </w:rPr>
            </w:pPr>
            <w:r>
              <w:rPr>
                <w:rFonts w:ascii="Arial" w:cs="Arial" w:eastAsia="Arial" w:hAnsi="Arial"/>
                <w:sz w:val="18"/>
                <w:szCs w:val="18"/>
                <w:color w:val="auto"/>
              </w:rPr>
              <w:t>Elster GmbH</w:t>
            </w:r>
          </w:p>
        </w:tc>
        <w:tc>
          <w:tcPr>
            <w:tcW w:w="1800" w:type="dxa"/>
            <w:vAlign w:val="bottom"/>
          </w:tcPr>
          <w:p>
            <w:pPr>
              <w:jc w:val="center"/>
              <w:ind w:right="331"/>
              <w:spacing w:after="0"/>
              <w:rPr>
                <w:sz w:val="20"/>
                <w:szCs w:val="20"/>
                <w:color w:val="auto"/>
              </w:rPr>
            </w:pPr>
            <w:r>
              <w:rPr>
                <w:rFonts w:ascii="Arial" w:cs="Arial" w:eastAsia="Arial" w:hAnsi="Arial"/>
                <w:sz w:val="18"/>
                <w:szCs w:val="18"/>
                <w:color w:val="auto"/>
                <w:w w:val="99"/>
              </w:rPr>
              <w:t>Germany</w:t>
            </w:r>
          </w:p>
        </w:tc>
        <w:tc>
          <w:tcPr>
            <w:tcW w:w="1960" w:type="dxa"/>
            <w:vAlign w:val="bottom"/>
          </w:tcPr>
          <w:p>
            <w:pPr>
              <w:jc w:val="right"/>
              <w:spacing w:after="0"/>
              <w:rPr>
                <w:sz w:val="20"/>
                <w:szCs w:val="20"/>
                <w:color w:val="auto"/>
              </w:rPr>
            </w:pPr>
            <w:r>
              <w:rPr>
                <w:rFonts w:ascii="Arial" w:cs="Arial" w:eastAsia="Arial" w:hAnsi="Arial"/>
                <w:sz w:val="18"/>
                <w:szCs w:val="18"/>
                <w:color w:val="auto"/>
              </w:rPr>
              <w:t>100 %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shd w:val="clear" w:color="auto" w:fill="DBDBDB"/>
          </w:tcPr>
          <w:p>
            <w:pPr>
              <w:ind w:left="20"/>
              <w:spacing w:after="0"/>
              <w:rPr>
                <w:sz w:val="20"/>
                <w:szCs w:val="20"/>
                <w:color w:val="auto"/>
              </w:rPr>
            </w:pPr>
            <w:r>
              <w:rPr>
                <w:rFonts w:ascii="Arial" w:cs="Arial" w:eastAsia="Arial" w:hAnsi="Arial"/>
                <w:sz w:val="18"/>
                <w:szCs w:val="18"/>
                <w:color w:val="auto"/>
              </w:rPr>
              <w:t>Elster Group GmbH</w:t>
            </w:r>
          </w:p>
        </w:tc>
        <w:tc>
          <w:tcPr>
            <w:tcW w:w="1800" w:type="dxa"/>
            <w:vAlign w:val="bottom"/>
            <w:shd w:val="clear" w:color="auto" w:fill="DBDBDB"/>
          </w:tcPr>
          <w:p>
            <w:pPr>
              <w:jc w:val="center"/>
              <w:ind w:right="331"/>
              <w:spacing w:after="0"/>
              <w:rPr>
                <w:sz w:val="20"/>
                <w:szCs w:val="20"/>
                <w:color w:val="auto"/>
              </w:rPr>
            </w:pPr>
            <w:r>
              <w:rPr>
                <w:rFonts w:ascii="Arial" w:cs="Arial" w:eastAsia="Arial" w:hAnsi="Arial"/>
                <w:sz w:val="18"/>
                <w:szCs w:val="18"/>
                <w:color w:val="auto"/>
                <w:w w:val="99"/>
              </w:rPr>
              <w:t>Germany</w:t>
            </w:r>
          </w:p>
        </w:tc>
        <w:tc>
          <w:tcPr>
            <w:tcW w:w="1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100 %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20"/>
              <w:spacing w:after="0"/>
              <w:rPr>
                <w:sz w:val="20"/>
                <w:szCs w:val="20"/>
                <w:color w:val="auto"/>
              </w:rPr>
            </w:pPr>
            <w:r>
              <w:rPr>
                <w:rFonts w:ascii="Arial" w:cs="Arial" w:eastAsia="Arial" w:hAnsi="Arial"/>
                <w:sz w:val="18"/>
                <w:szCs w:val="18"/>
                <w:color w:val="auto"/>
              </w:rPr>
              <w:t>Elster s.r.o.</w:t>
            </w:r>
          </w:p>
        </w:tc>
        <w:tc>
          <w:tcPr>
            <w:tcW w:w="1800" w:type="dxa"/>
            <w:vAlign w:val="bottom"/>
          </w:tcPr>
          <w:p>
            <w:pPr>
              <w:jc w:val="center"/>
              <w:ind w:right="351"/>
              <w:spacing w:after="0"/>
              <w:rPr>
                <w:sz w:val="20"/>
                <w:szCs w:val="20"/>
                <w:color w:val="auto"/>
              </w:rPr>
            </w:pPr>
            <w:r>
              <w:rPr>
                <w:rFonts w:ascii="Arial" w:cs="Arial" w:eastAsia="Arial" w:hAnsi="Arial"/>
                <w:sz w:val="18"/>
                <w:szCs w:val="18"/>
                <w:color w:val="auto"/>
                <w:w w:val="99"/>
              </w:rPr>
              <w:t>Slovakia</w:t>
            </w:r>
          </w:p>
        </w:tc>
        <w:tc>
          <w:tcPr>
            <w:tcW w:w="1960" w:type="dxa"/>
            <w:vAlign w:val="bottom"/>
          </w:tcPr>
          <w:p>
            <w:pPr>
              <w:jc w:val="right"/>
              <w:spacing w:after="0"/>
              <w:rPr>
                <w:sz w:val="20"/>
                <w:szCs w:val="20"/>
                <w:color w:val="auto"/>
              </w:rPr>
            </w:pPr>
            <w:r>
              <w:rPr>
                <w:rFonts w:ascii="Arial" w:cs="Arial" w:eastAsia="Arial" w:hAnsi="Arial"/>
                <w:sz w:val="18"/>
                <w:szCs w:val="18"/>
                <w:color w:val="auto"/>
              </w:rPr>
              <w:t>100 %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shd w:val="clear" w:color="auto" w:fill="DBDBDB"/>
          </w:tcPr>
          <w:p>
            <w:pPr>
              <w:ind w:left="20"/>
              <w:spacing w:after="0"/>
              <w:rPr>
                <w:sz w:val="20"/>
                <w:szCs w:val="20"/>
                <w:color w:val="auto"/>
              </w:rPr>
            </w:pPr>
            <w:r>
              <w:rPr>
                <w:rFonts w:ascii="Arial" w:cs="Arial" w:eastAsia="Arial" w:hAnsi="Arial"/>
                <w:sz w:val="18"/>
                <w:szCs w:val="18"/>
                <w:color w:val="auto"/>
              </w:rPr>
              <w:t>Elster Solutions, LLC</w:t>
            </w:r>
          </w:p>
        </w:tc>
        <w:tc>
          <w:tcPr>
            <w:tcW w:w="1800" w:type="dxa"/>
            <w:vAlign w:val="bottom"/>
            <w:shd w:val="clear" w:color="auto" w:fill="DBDBDB"/>
          </w:tcPr>
          <w:p>
            <w:pPr>
              <w:jc w:val="center"/>
              <w:ind w:right="351"/>
              <w:spacing w:after="0"/>
              <w:rPr>
                <w:sz w:val="20"/>
                <w:szCs w:val="20"/>
                <w:color w:val="auto"/>
              </w:rPr>
            </w:pPr>
            <w:r>
              <w:rPr>
                <w:rFonts w:ascii="Arial" w:cs="Arial" w:eastAsia="Arial" w:hAnsi="Arial"/>
                <w:sz w:val="18"/>
                <w:szCs w:val="18"/>
                <w:color w:val="auto"/>
                <w:w w:val="99"/>
              </w:rPr>
              <w:t>Delaware</w:t>
            </w:r>
          </w:p>
        </w:tc>
        <w:tc>
          <w:tcPr>
            <w:tcW w:w="1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100 %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20"/>
              <w:spacing w:after="0"/>
              <w:rPr>
                <w:sz w:val="20"/>
                <w:szCs w:val="20"/>
                <w:color w:val="auto"/>
              </w:rPr>
            </w:pPr>
            <w:r>
              <w:rPr>
                <w:rFonts w:ascii="Arial" w:cs="Arial" w:eastAsia="Arial" w:hAnsi="Arial"/>
                <w:sz w:val="18"/>
                <w:szCs w:val="18"/>
                <w:color w:val="auto"/>
              </w:rPr>
              <w:t>EMS Technologies Canada, Ltd.</w:t>
            </w:r>
          </w:p>
        </w:tc>
        <w:tc>
          <w:tcPr>
            <w:tcW w:w="1800" w:type="dxa"/>
            <w:vAlign w:val="bottom"/>
          </w:tcPr>
          <w:p>
            <w:pPr>
              <w:jc w:val="center"/>
              <w:ind w:right="351"/>
              <w:spacing w:after="0"/>
              <w:rPr>
                <w:sz w:val="20"/>
                <w:szCs w:val="20"/>
                <w:color w:val="auto"/>
              </w:rPr>
            </w:pPr>
            <w:r>
              <w:rPr>
                <w:rFonts w:ascii="Arial" w:cs="Arial" w:eastAsia="Arial" w:hAnsi="Arial"/>
                <w:sz w:val="18"/>
                <w:szCs w:val="18"/>
                <w:color w:val="auto"/>
              </w:rPr>
              <w:t>Canada</w:t>
            </w:r>
          </w:p>
        </w:tc>
        <w:tc>
          <w:tcPr>
            <w:tcW w:w="1960" w:type="dxa"/>
            <w:vAlign w:val="bottom"/>
          </w:tcPr>
          <w:p>
            <w:pPr>
              <w:jc w:val="right"/>
              <w:spacing w:after="0"/>
              <w:rPr>
                <w:sz w:val="20"/>
                <w:szCs w:val="20"/>
                <w:color w:val="auto"/>
              </w:rPr>
            </w:pPr>
            <w:r>
              <w:rPr>
                <w:rFonts w:ascii="Arial" w:cs="Arial" w:eastAsia="Arial" w:hAnsi="Arial"/>
                <w:sz w:val="18"/>
                <w:szCs w:val="18"/>
                <w:color w:val="auto"/>
              </w:rPr>
              <w:t>100 %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shd w:val="clear" w:color="auto" w:fill="DBDBDB"/>
          </w:tcPr>
          <w:p>
            <w:pPr>
              <w:ind w:left="20"/>
              <w:spacing w:after="0"/>
              <w:rPr>
                <w:sz w:val="20"/>
                <w:szCs w:val="20"/>
                <w:color w:val="auto"/>
              </w:rPr>
            </w:pPr>
            <w:r>
              <w:rPr>
                <w:rFonts w:ascii="Arial" w:cs="Arial" w:eastAsia="Arial" w:hAnsi="Arial"/>
                <w:sz w:val="18"/>
                <w:szCs w:val="18"/>
                <w:color w:val="auto"/>
              </w:rPr>
              <w:t>Grimes Aerospace Company</w:t>
            </w:r>
          </w:p>
        </w:tc>
        <w:tc>
          <w:tcPr>
            <w:tcW w:w="1800" w:type="dxa"/>
            <w:vAlign w:val="bottom"/>
            <w:shd w:val="clear" w:color="auto" w:fill="DBDBDB"/>
          </w:tcPr>
          <w:p>
            <w:pPr>
              <w:jc w:val="center"/>
              <w:ind w:right="351"/>
              <w:spacing w:after="0"/>
              <w:rPr>
                <w:sz w:val="20"/>
                <w:szCs w:val="20"/>
                <w:color w:val="auto"/>
              </w:rPr>
            </w:pPr>
            <w:r>
              <w:rPr>
                <w:rFonts w:ascii="Arial" w:cs="Arial" w:eastAsia="Arial" w:hAnsi="Arial"/>
                <w:sz w:val="18"/>
                <w:szCs w:val="18"/>
                <w:color w:val="auto"/>
                <w:w w:val="99"/>
              </w:rPr>
              <w:t>Delaware</w:t>
            </w:r>
          </w:p>
        </w:tc>
        <w:tc>
          <w:tcPr>
            <w:tcW w:w="1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100 %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tcPr>
          <w:p>
            <w:pPr>
              <w:ind w:left="20"/>
              <w:spacing w:after="0"/>
              <w:rPr>
                <w:sz w:val="20"/>
                <w:szCs w:val="20"/>
                <w:color w:val="auto"/>
              </w:rPr>
            </w:pPr>
            <w:r>
              <w:rPr>
                <w:rFonts w:ascii="Arial" w:cs="Arial" w:eastAsia="Arial" w:hAnsi="Arial"/>
                <w:sz w:val="18"/>
                <w:szCs w:val="18"/>
                <w:color w:val="auto"/>
              </w:rPr>
              <w:t>Hand Held Products, Inc.</w:t>
            </w:r>
          </w:p>
        </w:tc>
        <w:tc>
          <w:tcPr>
            <w:tcW w:w="1800" w:type="dxa"/>
            <w:vAlign w:val="bottom"/>
          </w:tcPr>
          <w:p>
            <w:pPr>
              <w:jc w:val="center"/>
              <w:ind w:right="351"/>
              <w:spacing w:after="0"/>
              <w:rPr>
                <w:sz w:val="20"/>
                <w:szCs w:val="20"/>
                <w:color w:val="auto"/>
              </w:rPr>
            </w:pPr>
            <w:r>
              <w:rPr>
                <w:rFonts w:ascii="Arial" w:cs="Arial" w:eastAsia="Arial" w:hAnsi="Arial"/>
                <w:sz w:val="18"/>
                <w:szCs w:val="18"/>
                <w:color w:val="auto"/>
                <w:w w:val="99"/>
              </w:rPr>
              <w:t>Delaware</w:t>
            </w:r>
          </w:p>
        </w:tc>
        <w:tc>
          <w:tcPr>
            <w:tcW w:w="1960" w:type="dxa"/>
            <w:vAlign w:val="bottom"/>
          </w:tcPr>
          <w:p>
            <w:pPr>
              <w:jc w:val="right"/>
              <w:spacing w:after="0"/>
              <w:rPr>
                <w:sz w:val="20"/>
                <w:szCs w:val="20"/>
                <w:color w:val="auto"/>
              </w:rPr>
            </w:pPr>
            <w:r>
              <w:rPr>
                <w:rFonts w:ascii="Arial" w:cs="Arial" w:eastAsia="Arial" w:hAnsi="Arial"/>
                <w:sz w:val="18"/>
                <w:szCs w:val="18"/>
                <w:color w:val="auto"/>
              </w:rPr>
              <w:t>100 %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DBDBDB"/>
          </w:tcPr>
          <w:p>
            <w:pPr>
              <w:ind w:left="20"/>
              <w:spacing w:after="0"/>
              <w:rPr>
                <w:sz w:val="20"/>
                <w:szCs w:val="20"/>
                <w:color w:val="auto"/>
              </w:rPr>
            </w:pPr>
            <w:r>
              <w:rPr>
                <w:rFonts w:ascii="Arial" w:cs="Arial" w:eastAsia="Arial" w:hAnsi="Arial"/>
                <w:sz w:val="18"/>
                <w:szCs w:val="18"/>
                <w:color w:val="auto"/>
              </w:rPr>
              <w:t>Honeywell (China) Co., Ltd.</w:t>
            </w:r>
          </w:p>
        </w:tc>
        <w:tc>
          <w:tcPr>
            <w:tcW w:w="1800" w:type="dxa"/>
            <w:vAlign w:val="bottom"/>
            <w:shd w:val="clear" w:color="auto" w:fill="DBDBDB"/>
          </w:tcPr>
          <w:p>
            <w:pPr>
              <w:jc w:val="center"/>
              <w:ind w:right="351"/>
              <w:spacing w:after="0"/>
              <w:rPr>
                <w:sz w:val="20"/>
                <w:szCs w:val="20"/>
                <w:color w:val="auto"/>
              </w:rPr>
            </w:pPr>
            <w:r>
              <w:rPr>
                <w:rFonts w:ascii="Arial" w:cs="Arial" w:eastAsia="Arial" w:hAnsi="Arial"/>
                <w:sz w:val="18"/>
                <w:szCs w:val="18"/>
                <w:color w:val="auto"/>
              </w:rPr>
              <w:t>China</w:t>
            </w:r>
          </w:p>
        </w:tc>
        <w:tc>
          <w:tcPr>
            <w:tcW w:w="1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100 %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tcPr>
          <w:p>
            <w:pPr>
              <w:ind w:left="20"/>
              <w:spacing w:after="0"/>
              <w:rPr>
                <w:sz w:val="20"/>
                <w:szCs w:val="20"/>
                <w:color w:val="auto"/>
              </w:rPr>
            </w:pPr>
            <w:r>
              <w:rPr>
                <w:rFonts w:ascii="Arial" w:cs="Arial" w:eastAsia="Arial" w:hAnsi="Arial"/>
                <w:sz w:val="18"/>
                <w:szCs w:val="18"/>
                <w:color w:val="auto"/>
              </w:rPr>
              <w:t>Honeywell Aerospace Avionics Malaysia Sdn Bhd</w:t>
            </w:r>
          </w:p>
        </w:tc>
        <w:tc>
          <w:tcPr>
            <w:tcW w:w="1800" w:type="dxa"/>
            <w:vAlign w:val="bottom"/>
          </w:tcPr>
          <w:p>
            <w:pPr>
              <w:jc w:val="center"/>
              <w:ind w:right="351"/>
              <w:spacing w:after="0"/>
              <w:rPr>
                <w:sz w:val="20"/>
                <w:szCs w:val="20"/>
                <w:color w:val="auto"/>
              </w:rPr>
            </w:pPr>
            <w:r>
              <w:rPr>
                <w:rFonts w:ascii="Arial" w:cs="Arial" w:eastAsia="Arial" w:hAnsi="Arial"/>
                <w:sz w:val="18"/>
                <w:szCs w:val="18"/>
                <w:color w:val="auto"/>
              </w:rPr>
              <w:t>Malaysia</w:t>
            </w:r>
          </w:p>
        </w:tc>
        <w:tc>
          <w:tcPr>
            <w:tcW w:w="1960" w:type="dxa"/>
            <w:vAlign w:val="bottom"/>
          </w:tcPr>
          <w:p>
            <w:pPr>
              <w:jc w:val="right"/>
              <w:spacing w:after="0"/>
              <w:rPr>
                <w:sz w:val="20"/>
                <w:szCs w:val="20"/>
                <w:color w:val="auto"/>
              </w:rPr>
            </w:pPr>
            <w:r>
              <w:rPr>
                <w:rFonts w:ascii="Arial" w:cs="Arial" w:eastAsia="Arial" w:hAnsi="Arial"/>
                <w:sz w:val="18"/>
                <w:szCs w:val="18"/>
                <w:color w:val="auto"/>
              </w:rPr>
              <w:t>100 %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DBDBDB"/>
          </w:tcPr>
          <w:p>
            <w:pPr>
              <w:ind w:left="20"/>
              <w:spacing w:after="0"/>
              <w:rPr>
                <w:sz w:val="20"/>
                <w:szCs w:val="20"/>
                <w:color w:val="auto"/>
              </w:rPr>
            </w:pPr>
            <w:r>
              <w:rPr>
                <w:rFonts w:ascii="Arial" w:cs="Arial" w:eastAsia="Arial" w:hAnsi="Arial"/>
                <w:sz w:val="18"/>
                <w:szCs w:val="18"/>
                <w:color w:val="auto"/>
              </w:rPr>
              <w:t>Honeywell Aerospace de México, S. de R.L. de C.V.</w:t>
            </w:r>
          </w:p>
        </w:tc>
        <w:tc>
          <w:tcPr>
            <w:tcW w:w="1800" w:type="dxa"/>
            <w:vAlign w:val="bottom"/>
            <w:shd w:val="clear" w:color="auto" w:fill="DBDBDB"/>
          </w:tcPr>
          <w:p>
            <w:pPr>
              <w:jc w:val="center"/>
              <w:ind w:right="351"/>
              <w:spacing w:after="0"/>
              <w:rPr>
                <w:sz w:val="20"/>
                <w:szCs w:val="20"/>
                <w:color w:val="auto"/>
              </w:rPr>
            </w:pPr>
            <w:r>
              <w:rPr>
                <w:rFonts w:ascii="Arial" w:cs="Arial" w:eastAsia="Arial" w:hAnsi="Arial"/>
                <w:sz w:val="18"/>
                <w:szCs w:val="18"/>
                <w:color w:val="auto"/>
                <w:w w:val="98"/>
              </w:rPr>
              <w:t>Mexico</w:t>
            </w:r>
          </w:p>
        </w:tc>
        <w:tc>
          <w:tcPr>
            <w:tcW w:w="1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100 %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tcPr>
          <w:p>
            <w:pPr>
              <w:ind w:left="20"/>
              <w:spacing w:after="0"/>
              <w:rPr>
                <w:sz w:val="20"/>
                <w:szCs w:val="20"/>
                <w:color w:val="auto"/>
              </w:rPr>
            </w:pPr>
            <w:r>
              <w:rPr>
                <w:rFonts w:ascii="Arial" w:cs="Arial" w:eastAsia="Arial" w:hAnsi="Arial"/>
                <w:sz w:val="18"/>
                <w:szCs w:val="18"/>
                <w:color w:val="auto"/>
              </w:rPr>
              <w:t>Honeywell Aerospace De Puerto Rico, Inc.</w:t>
            </w:r>
          </w:p>
        </w:tc>
        <w:tc>
          <w:tcPr>
            <w:tcW w:w="1800" w:type="dxa"/>
            <w:vAlign w:val="bottom"/>
          </w:tcPr>
          <w:p>
            <w:pPr>
              <w:jc w:val="center"/>
              <w:ind w:right="331"/>
              <w:spacing w:after="0"/>
              <w:rPr>
                <w:sz w:val="20"/>
                <w:szCs w:val="20"/>
                <w:color w:val="auto"/>
              </w:rPr>
            </w:pPr>
            <w:r>
              <w:rPr>
                <w:rFonts w:ascii="Arial" w:cs="Arial" w:eastAsia="Arial" w:hAnsi="Arial"/>
                <w:sz w:val="18"/>
                <w:szCs w:val="18"/>
                <w:color w:val="auto"/>
                <w:w w:val="99"/>
              </w:rPr>
              <w:t>Puerto Rico</w:t>
            </w:r>
          </w:p>
        </w:tc>
        <w:tc>
          <w:tcPr>
            <w:tcW w:w="1960" w:type="dxa"/>
            <w:vAlign w:val="bottom"/>
          </w:tcPr>
          <w:p>
            <w:pPr>
              <w:jc w:val="right"/>
              <w:spacing w:after="0"/>
              <w:rPr>
                <w:sz w:val="20"/>
                <w:szCs w:val="20"/>
                <w:color w:val="auto"/>
              </w:rPr>
            </w:pPr>
            <w:r>
              <w:rPr>
                <w:rFonts w:ascii="Arial" w:cs="Arial" w:eastAsia="Arial" w:hAnsi="Arial"/>
                <w:sz w:val="18"/>
                <w:szCs w:val="18"/>
                <w:color w:val="auto"/>
              </w:rPr>
              <w:t>100 %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shd w:val="clear" w:color="auto" w:fill="DBDBDB"/>
          </w:tcPr>
          <w:p>
            <w:pPr>
              <w:ind w:left="20"/>
              <w:spacing w:after="0"/>
              <w:rPr>
                <w:sz w:val="20"/>
                <w:szCs w:val="20"/>
                <w:color w:val="auto"/>
              </w:rPr>
            </w:pPr>
            <w:r>
              <w:rPr>
                <w:rFonts w:ascii="Arial" w:cs="Arial" w:eastAsia="Arial" w:hAnsi="Arial"/>
                <w:sz w:val="18"/>
                <w:szCs w:val="18"/>
                <w:color w:val="auto"/>
              </w:rPr>
              <w:t>Honeywell Aerospace UK</w:t>
            </w:r>
          </w:p>
        </w:tc>
        <w:tc>
          <w:tcPr>
            <w:tcW w:w="1800" w:type="dxa"/>
            <w:vAlign w:val="bottom"/>
            <w:shd w:val="clear" w:color="auto" w:fill="DBDBDB"/>
          </w:tcPr>
          <w:p>
            <w:pPr>
              <w:jc w:val="center"/>
              <w:ind w:right="351"/>
              <w:spacing w:after="0"/>
              <w:rPr>
                <w:sz w:val="20"/>
                <w:szCs w:val="20"/>
                <w:color w:val="auto"/>
              </w:rPr>
            </w:pPr>
            <w:r>
              <w:rPr>
                <w:rFonts w:ascii="Arial" w:cs="Arial" w:eastAsia="Arial" w:hAnsi="Arial"/>
                <w:sz w:val="18"/>
                <w:szCs w:val="18"/>
                <w:color w:val="auto"/>
                <w:w w:val="99"/>
              </w:rPr>
              <w:t>United Kingdom</w:t>
            </w:r>
          </w:p>
        </w:tc>
        <w:tc>
          <w:tcPr>
            <w:tcW w:w="1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100 %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20"/>
              <w:spacing w:after="0"/>
              <w:rPr>
                <w:sz w:val="20"/>
                <w:szCs w:val="20"/>
                <w:color w:val="auto"/>
              </w:rPr>
            </w:pPr>
            <w:r>
              <w:rPr>
                <w:rFonts w:ascii="Arial" w:cs="Arial" w:eastAsia="Arial" w:hAnsi="Arial"/>
                <w:sz w:val="18"/>
                <w:szCs w:val="18"/>
                <w:color w:val="auto"/>
              </w:rPr>
              <w:t>Honeywell Aircraft Leasing LLC</w:t>
            </w:r>
          </w:p>
        </w:tc>
        <w:tc>
          <w:tcPr>
            <w:tcW w:w="1800" w:type="dxa"/>
            <w:vAlign w:val="bottom"/>
          </w:tcPr>
          <w:p>
            <w:pPr>
              <w:jc w:val="center"/>
              <w:ind w:right="351"/>
              <w:spacing w:after="0"/>
              <w:rPr>
                <w:sz w:val="20"/>
                <w:szCs w:val="20"/>
                <w:color w:val="auto"/>
              </w:rPr>
            </w:pPr>
            <w:r>
              <w:rPr>
                <w:rFonts w:ascii="Arial" w:cs="Arial" w:eastAsia="Arial" w:hAnsi="Arial"/>
                <w:sz w:val="18"/>
                <w:szCs w:val="18"/>
                <w:color w:val="auto"/>
                <w:w w:val="99"/>
              </w:rPr>
              <w:t>Delaware</w:t>
            </w:r>
          </w:p>
        </w:tc>
        <w:tc>
          <w:tcPr>
            <w:tcW w:w="1960" w:type="dxa"/>
            <w:vAlign w:val="bottom"/>
          </w:tcPr>
          <w:p>
            <w:pPr>
              <w:jc w:val="right"/>
              <w:spacing w:after="0"/>
              <w:rPr>
                <w:sz w:val="20"/>
                <w:szCs w:val="20"/>
                <w:color w:val="auto"/>
              </w:rPr>
            </w:pPr>
            <w:r>
              <w:rPr>
                <w:rFonts w:ascii="Arial" w:cs="Arial" w:eastAsia="Arial" w:hAnsi="Arial"/>
                <w:sz w:val="18"/>
                <w:szCs w:val="18"/>
                <w:color w:val="auto"/>
              </w:rPr>
              <w:t>100 %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shd w:val="clear" w:color="auto" w:fill="DBDBDB"/>
          </w:tcPr>
          <w:p>
            <w:pPr>
              <w:ind w:left="20"/>
              <w:spacing w:after="0"/>
              <w:rPr>
                <w:sz w:val="20"/>
                <w:szCs w:val="20"/>
                <w:color w:val="auto"/>
              </w:rPr>
            </w:pPr>
            <w:r>
              <w:rPr>
                <w:rFonts w:ascii="Arial" w:cs="Arial" w:eastAsia="Arial" w:hAnsi="Arial"/>
                <w:sz w:val="18"/>
                <w:szCs w:val="18"/>
                <w:color w:val="auto"/>
              </w:rPr>
              <w:t>Honeywell Analytics Asia Pacific Co Ltd</w:t>
            </w:r>
          </w:p>
        </w:tc>
        <w:tc>
          <w:tcPr>
            <w:tcW w:w="1800" w:type="dxa"/>
            <w:vAlign w:val="bottom"/>
            <w:shd w:val="clear" w:color="auto" w:fill="DBDBDB"/>
          </w:tcPr>
          <w:p>
            <w:pPr>
              <w:jc w:val="center"/>
              <w:ind w:right="351"/>
              <w:spacing w:after="0"/>
              <w:rPr>
                <w:sz w:val="20"/>
                <w:szCs w:val="20"/>
                <w:color w:val="auto"/>
              </w:rPr>
            </w:pPr>
            <w:r>
              <w:rPr>
                <w:rFonts w:ascii="Arial" w:cs="Arial" w:eastAsia="Arial" w:hAnsi="Arial"/>
                <w:sz w:val="18"/>
                <w:szCs w:val="18"/>
                <w:color w:val="auto"/>
                <w:w w:val="99"/>
              </w:rPr>
              <w:t>Korea</w:t>
            </w:r>
          </w:p>
        </w:tc>
        <w:tc>
          <w:tcPr>
            <w:tcW w:w="1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100 %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20"/>
              <w:spacing w:after="0"/>
              <w:rPr>
                <w:sz w:val="20"/>
                <w:szCs w:val="20"/>
                <w:color w:val="auto"/>
              </w:rPr>
            </w:pPr>
            <w:r>
              <w:rPr>
                <w:rFonts w:ascii="Arial" w:cs="Arial" w:eastAsia="Arial" w:hAnsi="Arial"/>
                <w:sz w:val="18"/>
                <w:szCs w:val="18"/>
                <w:color w:val="auto"/>
              </w:rPr>
              <w:t>Honeywell Automation Control Solutions (China) Co Ltd</w:t>
            </w:r>
          </w:p>
        </w:tc>
        <w:tc>
          <w:tcPr>
            <w:tcW w:w="1800" w:type="dxa"/>
            <w:vAlign w:val="bottom"/>
          </w:tcPr>
          <w:p>
            <w:pPr>
              <w:jc w:val="center"/>
              <w:ind w:right="351"/>
              <w:spacing w:after="0"/>
              <w:rPr>
                <w:sz w:val="20"/>
                <w:szCs w:val="20"/>
                <w:color w:val="auto"/>
              </w:rPr>
            </w:pPr>
            <w:r>
              <w:rPr>
                <w:rFonts w:ascii="Arial" w:cs="Arial" w:eastAsia="Arial" w:hAnsi="Arial"/>
                <w:sz w:val="18"/>
                <w:szCs w:val="18"/>
                <w:color w:val="auto"/>
              </w:rPr>
              <w:t>China</w:t>
            </w:r>
          </w:p>
        </w:tc>
        <w:tc>
          <w:tcPr>
            <w:tcW w:w="1960" w:type="dxa"/>
            <w:vAlign w:val="bottom"/>
          </w:tcPr>
          <w:p>
            <w:pPr>
              <w:jc w:val="right"/>
              <w:spacing w:after="0"/>
              <w:rPr>
                <w:sz w:val="20"/>
                <w:szCs w:val="20"/>
                <w:color w:val="auto"/>
              </w:rPr>
            </w:pPr>
            <w:r>
              <w:rPr>
                <w:rFonts w:ascii="Arial" w:cs="Arial" w:eastAsia="Arial" w:hAnsi="Arial"/>
                <w:sz w:val="18"/>
                <w:szCs w:val="18"/>
                <w:color w:val="auto"/>
              </w:rPr>
              <w:t>100 %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DBDBDB"/>
          </w:tcPr>
          <w:p>
            <w:pPr>
              <w:ind w:left="20"/>
              <w:spacing w:after="0"/>
              <w:rPr>
                <w:sz w:val="20"/>
                <w:szCs w:val="20"/>
                <w:color w:val="auto"/>
              </w:rPr>
            </w:pPr>
            <w:r>
              <w:rPr>
                <w:rFonts w:ascii="Arial" w:cs="Arial" w:eastAsia="Arial" w:hAnsi="Arial"/>
                <w:sz w:val="18"/>
                <w:szCs w:val="18"/>
                <w:color w:val="auto"/>
              </w:rPr>
              <w:t>Honeywell Automation India Limited</w:t>
            </w:r>
          </w:p>
        </w:tc>
        <w:tc>
          <w:tcPr>
            <w:tcW w:w="1800" w:type="dxa"/>
            <w:vAlign w:val="bottom"/>
            <w:shd w:val="clear" w:color="auto" w:fill="DBDBDB"/>
          </w:tcPr>
          <w:p>
            <w:pPr>
              <w:jc w:val="center"/>
              <w:ind w:right="351"/>
              <w:spacing w:after="0"/>
              <w:rPr>
                <w:sz w:val="20"/>
                <w:szCs w:val="20"/>
                <w:color w:val="auto"/>
              </w:rPr>
            </w:pPr>
            <w:r>
              <w:rPr>
                <w:rFonts w:ascii="Arial" w:cs="Arial" w:eastAsia="Arial" w:hAnsi="Arial"/>
                <w:sz w:val="18"/>
                <w:szCs w:val="18"/>
                <w:color w:val="auto"/>
              </w:rPr>
              <w:t>India</w:t>
            </w:r>
          </w:p>
        </w:tc>
        <w:tc>
          <w:tcPr>
            <w:tcW w:w="1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75 %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tcPr>
          <w:p>
            <w:pPr>
              <w:ind w:left="20"/>
              <w:spacing w:after="0"/>
              <w:rPr>
                <w:sz w:val="20"/>
                <w:szCs w:val="20"/>
                <w:color w:val="auto"/>
              </w:rPr>
            </w:pPr>
            <w:r>
              <w:rPr>
                <w:rFonts w:ascii="Arial" w:cs="Arial" w:eastAsia="Arial" w:hAnsi="Arial"/>
                <w:sz w:val="18"/>
                <w:szCs w:val="18"/>
                <w:color w:val="auto"/>
              </w:rPr>
              <w:t>Honeywell Avionics (Shanghai) Co., Ltd.</w:t>
            </w:r>
          </w:p>
        </w:tc>
        <w:tc>
          <w:tcPr>
            <w:tcW w:w="1800" w:type="dxa"/>
            <w:vAlign w:val="bottom"/>
          </w:tcPr>
          <w:p>
            <w:pPr>
              <w:jc w:val="center"/>
              <w:ind w:right="351"/>
              <w:spacing w:after="0"/>
              <w:rPr>
                <w:sz w:val="20"/>
                <w:szCs w:val="20"/>
                <w:color w:val="auto"/>
              </w:rPr>
            </w:pPr>
            <w:r>
              <w:rPr>
                <w:rFonts w:ascii="Arial" w:cs="Arial" w:eastAsia="Arial" w:hAnsi="Arial"/>
                <w:sz w:val="18"/>
                <w:szCs w:val="18"/>
                <w:color w:val="auto"/>
              </w:rPr>
              <w:t>China</w:t>
            </w:r>
          </w:p>
        </w:tc>
        <w:tc>
          <w:tcPr>
            <w:tcW w:w="1960" w:type="dxa"/>
            <w:vAlign w:val="bottom"/>
          </w:tcPr>
          <w:p>
            <w:pPr>
              <w:jc w:val="right"/>
              <w:spacing w:after="0"/>
              <w:rPr>
                <w:sz w:val="20"/>
                <w:szCs w:val="20"/>
                <w:color w:val="auto"/>
              </w:rPr>
            </w:pPr>
            <w:r>
              <w:rPr>
                <w:rFonts w:ascii="Arial" w:cs="Arial" w:eastAsia="Arial" w:hAnsi="Arial"/>
                <w:sz w:val="18"/>
                <w:szCs w:val="18"/>
                <w:color w:val="auto"/>
              </w:rPr>
              <w:t>100 %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DBDBDB"/>
          </w:tcPr>
          <w:p>
            <w:pPr>
              <w:ind w:left="20"/>
              <w:spacing w:after="0"/>
              <w:rPr>
                <w:sz w:val="20"/>
                <w:szCs w:val="20"/>
                <w:color w:val="auto"/>
              </w:rPr>
            </w:pPr>
            <w:r>
              <w:rPr>
                <w:rFonts w:ascii="Arial" w:cs="Arial" w:eastAsia="Arial" w:hAnsi="Arial"/>
                <w:sz w:val="18"/>
                <w:szCs w:val="18"/>
                <w:color w:val="auto"/>
              </w:rPr>
              <w:t>Honeywell Co., Ltd.</w:t>
            </w:r>
          </w:p>
        </w:tc>
        <w:tc>
          <w:tcPr>
            <w:tcW w:w="1800" w:type="dxa"/>
            <w:vAlign w:val="bottom"/>
            <w:shd w:val="clear" w:color="auto" w:fill="DBDBDB"/>
          </w:tcPr>
          <w:p>
            <w:pPr>
              <w:jc w:val="center"/>
              <w:ind w:right="351"/>
              <w:spacing w:after="0"/>
              <w:rPr>
                <w:sz w:val="20"/>
                <w:szCs w:val="20"/>
                <w:color w:val="auto"/>
              </w:rPr>
            </w:pPr>
            <w:r>
              <w:rPr>
                <w:rFonts w:ascii="Arial" w:cs="Arial" w:eastAsia="Arial" w:hAnsi="Arial"/>
                <w:sz w:val="18"/>
                <w:szCs w:val="18"/>
                <w:color w:val="auto"/>
                <w:w w:val="99"/>
              </w:rPr>
              <w:t>Korea</w:t>
            </w:r>
          </w:p>
        </w:tc>
        <w:tc>
          <w:tcPr>
            <w:tcW w:w="1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100 %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20"/>
              <w:spacing w:after="0"/>
              <w:rPr>
                <w:sz w:val="20"/>
                <w:szCs w:val="20"/>
                <w:color w:val="auto"/>
              </w:rPr>
            </w:pPr>
            <w:r>
              <w:rPr>
                <w:rFonts w:ascii="Arial" w:cs="Arial" w:eastAsia="Arial" w:hAnsi="Arial"/>
                <w:sz w:val="18"/>
                <w:szCs w:val="18"/>
                <w:color w:val="auto"/>
              </w:rPr>
              <w:t>Honeywell Control Systems Limited</w:t>
            </w:r>
          </w:p>
        </w:tc>
        <w:tc>
          <w:tcPr>
            <w:tcW w:w="1800" w:type="dxa"/>
            <w:vAlign w:val="bottom"/>
          </w:tcPr>
          <w:p>
            <w:pPr>
              <w:jc w:val="center"/>
              <w:ind w:right="351"/>
              <w:spacing w:after="0"/>
              <w:rPr>
                <w:sz w:val="20"/>
                <w:szCs w:val="20"/>
                <w:color w:val="auto"/>
              </w:rPr>
            </w:pPr>
            <w:r>
              <w:rPr>
                <w:rFonts w:ascii="Arial" w:cs="Arial" w:eastAsia="Arial" w:hAnsi="Arial"/>
                <w:sz w:val="18"/>
                <w:szCs w:val="18"/>
                <w:color w:val="auto"/>
                <w:w w:val="99"/>
              </w:rPr>
              <w:t>United Kingdom</w:t>
            </w:r>
          </w:p>
        </w:tc>
        <w:tc>
          <w:tcPr>
            <w:tcW w:w="1960" w:type="dxa"/>
            <w:vAlign w:val="bottom"/>
          </w:tcPr>
          <w:p>
            <w:pPr>
              <w:jc w:val="right"/>
              <w:spacing w:after="0"/>
              <w:rPr>
                <w:sz w:val="20"/>
                <w:szCs w:val="20"/>
                <w:color w:val="auto"/>
              </w:rPr>
            </w:pPr>
            <w:r>
              <w:rPr>
                <w:rFonts w:ascii="Arial" w:cs="Arial" w:eastAsia="Arial" w:hAnsi="Arial"/>
                <w:sz w:val="18"/>
                <w:szCs w:val="18"/>
                <w:color w:val="auto"/>
              </w:rPr>
              <w:t>100 %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DBDBDB"/>
          </w:tcPr>
          <w:p>
            <w:pPr>
              <w:ind w:left="20"/>
              <w:spacing w:after="0"/>
              <w:rPr>
                <w:sz w:val="20"/>
                <w:szCs w:val="20"/>
                <w:color w:val="auto"/>
              </w:rPr>
            </w:pPr>
            <w:r>
              <w:rPr>
                <w:rFonts w:ascii="Arial" w:cs="Arial" w:eastAsia="Arial" w:hAnsi="Arial"/>
                <w:sz w:val="18"/>
                <w:szCs w:val="18"/>
                <w:color w:val="auto"/>
              </w:rPr>
              <w:t>Honeywell Deutschland Holding GmbH</w:t>
            </w:r>
          </w:p>
        </w:tc>
        <w:tc>
          <w:tcPr>
            <w:tcW w:w="1800" w:type="dxa"/>
            <w:vAlign w:val="bottom"/>
            <w:shd w:val="clear" w:color="auto" w:fill="DBDBDB"/>
          </w:tcPr>
          <w:p>
            <w:pPr>
              <w:jc w:val="center"/>
              <w:ind w:right="331"/>
              <w:spacing w:after="0"/>
              <w:rPr>
                <w:sz w:val="20"/>
                <w:szCs w:val="20"/>
                <w:color w:val="auto"/>
              </w:rPr>
            </w:pPr>
            <w:r>
              <w:rPr>
                <w:rFonts w:ascii="Arial" w:cs="Arial" w:eastAsia="Arial" w:hAnsi="Arial"/>
                <w:sz w:val="18"/>
                <w:szCs w:val="18"/>
                <w:color w:val="auto"/>
                <w:w w:val="99"/>
              </w:rPr>
              <w:t>Germany</w:t>
            </w:r>
          </w:p>
        </w:tc>
        <w:tc>
          <w:tcPr>
            <w:tcW w:w="1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100 %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tcPr>
          <w:p>
            <w:pPr>
              <w:ind w:left="20"/>
              <w:spacing w:after="0"/>
              <w:rPr>
                <w:sz w:val="20"/>
                <w:szCs w:val="20"/>
                <w:color w:val="auto"/>
              </w:rPr>
            </w:pPr>
            <w:r>
              <w:rPr>
                <w:rFonts w:ascii="Arial" w:cs="Arial" w:eastAsia="Arial" w:hAnsi="Arial"/>
                <w:sz w:val="18"/>
                <w:szCs w:val="18"/>
                <w:color w:val="auto"/>
              </w:rPr>
              <w:t>Honeywell Electronic Chemicals LLC</w:t>
            </w:r>
          </w:p>
        </w:tc>
        <w:tc>
          <w:tcPr>
            <w:tcW w:w="1800" w:type="dxa"/>
            <w:vAlign w:val="bottom"/>
          </w:tcPr>
          <w:p>
            <w:pPr>
              <w:jc w:val="center"/>
              <w:ind w:right="351"/>
              <w:spacing w:after="0"/>
              <w:rPr>
                <w:sz w:val="20"/>
                <w:szCs w:val="20"/>
                <w:color w:val="auto"/>
              </w:rPr>
            </w:pPr>
            <w:r>
              <w:rPr>
                <w:rFonts w:ascii="Arial" w:cs="Arial" w:eastAsia="Arial" w:hAnsi="Arial"/>
                <w:sz w:val="18"/>
                <w:szCs w:val="18"/>
                <w:color w:val="auto"/>
                <w:w w:val="99"/>
              </w:rPr>
              <w:t>Delaware</w:t>
            </w:r>
          </w:p>
        </w:tc>
        <w:tc>
          <w:tcPr>
            <w:tcW w:w="1960" w:type="dxa"/>
            <w:vAlign w:val="bottom"/>
          </w:tcPr>
          <w:p>
            <w:pPr>
              <w:jc w:val="right"/>
              <w:spacing w:after="0"/>
              <w:rPr>
                <w:sz w:val="20"/>
                <w:szCs w:val="20"/>
                <w:color w:val="auto"/>
              </w:rPr>
            </w:pPr>
            <w:r>
              <w:rPr>
                <w:rFonts w:ascii="Arial" w:cs="Arial" w:eastAsia="Arial" w:hAnsi="Arial"/>
                <w:sz w:val="18"/>
                <w:szCs w:val="18"/>
                <w:color w:val="auto"/>
              </w:rPr>
              <w:t>100 %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DBDBDB"/>
          </w:tcPr>
          <w:p>
            <w:pPr>
              <w:ind w:left="20"/>
              <w:spacing w:after="0"/>
              <w:rPr>
                <w:sz w:val="20"/>
                <w:szCs w:val="20"/>
                <w:color w:val="auto"/>
              </w:rPr>
            </w:pPr>
            <w:r>
              <w:rPr>
                <w:rFonts w:ascii="Arial" w:cs="Arial" w:eastAsia="Arial" w:hAnsi="Arial"/>
                <w:sz w:val="18"/>
                <w:szCs w:val="18"/>
                <w:color w:val="auto"/>
              </w:rPr>
              <w:t>Honeywell Electronic Materials (Thailand) Co., Ltd.</w:t>
            </w:r>
          </w:p>
        </w:tc>
        <w:tc>
          <w:tcPr>
            <w:tcW w:w="1800" w:type="dxa"/>
            <w:vAlign w:val="bottom"/>
            <w:shd w:val="clear" w:color="auto" w:fill="DBDBDB"/>
          </w:tcPr>
          <w:p>
            <w:pPr>
              <w:jc w:val="center"/>
              <w:ind w:right="351"/>
              <w:spacing w:after="0"/>
              <w:rPr>
                <w:sz w:val="20"/>
                <w:szCs w:val="20"/>
                <w:color w:val="auto"/>
              </w:rPr>
            </w:pPr>
            <w:r>
              <w:rPr>
                <w:rFonts w:ascii="Arial" w:cs="Arial" w:eastAsia="Arial" w:hAnsi="Arial"/>
                <w:sz w:val="18"/>
                <w:szCs w:val="18"/>
                <w:color w:val="auto"/>
                <w:w w:val="98"/>
              </w:rPr>
              <w:t>Thailand</w:t>
            </w:r>
          </w:p>
        </w:tc>
        <w:tc>
          <w:tcPr>
            <w:tcW w:w="1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100 %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20"/>
              <w:spacing w:after="0"/>
              <w:rPr>
                <w:sz w:val="20"/>
                <w:szCs w:val="20"/>
                <w:color w:val="auto"/>
              </w:rPr>
            </w:pPr>
            <w:r>
              <w:rPr>
                <w:rFonts w:ascii="Arial" w:cs="Arial" w:eastAsia="Arial" w:hAnsi="Arial"/>
                <w:sz w:val="18"/>
                <w:szCs w:val="18"/>
                <w:color w:val="auto"/>
              </w:rPr>
              <w:t>Honeywell Electronic Materials Manufacturing, LLC</w:t>
            </w:r>
          </w:p>
        </w:tc>
        <w:tc>
          <w:tcPr>
            <w:tcW w:w="1800" w:type="dxa"/>
            <w:vAlign w:val="bottom"/>
          </w:tcPr>
          <w:p>
            <w:pPr>
              <w:jc w:val="center"/>
              <w:ind w:right="351"/>
              <w:spacing w:after="0"/>
              <w:rPr>
                <w:sz w:val="20"/>
                <w:szCs w:val="20"/>
                <w:color w:val="auto"/>
              </w:rPr>
            </w:pPr>
            <w:r>
              <w:rPr>
                <w:rFonts w:ascii="Arial" w:cs="Arial" w:eastAsia="Arial" w:hAnsi="Arial"/>
                <w:sz w:val="18"/>
                <w:szCs w:val="18"/>
                <w:color w:val="auto"/>
              </w:rPr>
              <w:t>Washington</w:t>
            </w:r>
          </w:p>
        </w:tc>
        <w:tc>
          <w:tcPr>
            <w:tcW w:w="1960" w:type="dxa"/>
            <w:vAlign w:val="bottom"/>
          </w:tcPr>
          <w:p>
            <w:pPr>
              <w:jc w:val="right"/>
              <w:spacing w:after="0"/>
              <w:rPr>
                <w:sz w:val="20"/>
                <w:szCs w:val="20"/>
                <w:color w:val="auto"/>
              </w:rPr>
            </w:pPr>
            <w:r>
              <w:rPr>
                <w:rFonts w:ascii="Arial" w:cs="Arial" w:eastAsia="Arial" w:hAnsi="Arial"/>
                <w:sz w:val="18"/>
                <w:szCs w:val="18"/>
                <w:color w:val="auto"/>
              </w:rPr>
              <w:t>100 %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DBDBDB"/>
          </w:tcPr>
          <w:p>
            <w:pPr>
              <w:ind w:left="20"/>
              <w:spacing w:after="0"/>
              <w:rPr>
                <w:sz w:val="20"/>
                <w:szCs w:val="20"/>
                <w:color w:val="auto"/>
              </w:rPr>
            </w:pPr>
            <w:r>
              <w:rPr>
                <w:rFonts w:ascii="Arial" w:cs="Arial" w:eastAsia="Arial" w:hAnsi="Arial"/>
                <w:sz w:val="18"/>
                <w:szCs w:val="18"/>
                <w:color w:val="auto"/>
              </w:rPr>
              <w:t>Honeywell Energy Services Inc.</w:t>
            </w:r>
          </w:p>
        </w:tc>
        <w:tc>
          <w:tcPr>
            <w:tcW w:w="1800" w:type="dxa"/>
            <w:vAlign w:val="bottom"/>
            <w:shd w:val="clear" w:color="auto" w:fill="DBDBDB"/>
          </w:tcPr>
          <w:p>
            <w:pPr>
              <w:jc w:val="center"/>
              <w:ind w:right="351"/>
              <w:spacing w:after="0"/>
              <w:rPr>
                <w:sz w:val="20"/>
                <w:szCs w:val="20"/>
                <w:color w:val="auto"/>
              </w:rPr>
            </w:pPr>
            <w:r>
              <w:rPr>
                <w:rFonts w:ascii="Arial" w:cs="Arial" w:eastAsia="Arial" w:hAnsi="Arial"/>
                <w:sz w:val="18"/>
                <w:szCs w:val="18"/>
                <w:color w:val="auto"/>
                <w:w w:val="99"/>
              </w:rPr>
              <w:t>Delaware</w:t>
            </w:r>
          </w:p>
        </w:tc>
        <w:tc>
          <w:tcPr>
            <w:tcW w:w="1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100 %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tcPr>
          <w:p>
            <w:pPr>
              <w:ind w:left="20"/>
              <w:spacing w:after="0"/>
              <w:rPr>
                <w:sz w:val="20"/>
                <w:szCs w:val="20"/>
                <w:color w:val="auto"/>
              </w:rPr>
            </w:pPr>
            <w:r>
              <w:rPr>
                <w:rFonts w:ascii="Arial" w:cs="Arial" w:eastAsia="Arial" w:hAnsi="Arial"/>
                <w:sz w:val="18"/>
                <w:szCs w:val="18"/>
                <w:color w:val="auto"/>
              </w:rPr>
              <w:t>Honeywell Europe NV</w:t>
            </w:r>
          </w:p>
        </w:tc>
        <w:tc>
          <w:tcPr>
            <w:tcW w:w="1800" w:type="dxa"/>
            <w:vAlign w:val="bottom"/>
          </w:tcPr>
          <w:p>
            <w:pPr>
              <w:jc w:val="center"/>
              <w:ind w:right="351"/>
              <w:spacing w:after="0"/>
              <w:rPr>
                <w:sz w:val="20"/>
                <w:szCs w:val="20"/>
                <w:color w:val="auto"/>
              </w:rPr>
            </w:pPr>
            <w:r>
              <w:rPr>
                <w:rFonts w:ascii="Arial" w:cs="Arial" w:eastAsia="Arial" w:hAnsi="Arial"/>
                <w:sz w:val="18"/>
                <w:szCs w:val="18"/>
                <w:color w:val="auto"/>
                <w:w w:val="98"/>
              </w:rPr>
              <w:t>Belgium</w:t>
            </w:r>
          </w:p>
        </w:tc>
        <w:tc>
          <w:tcPr>
            <w:tcW w:w="1960" w:type="dxa"/>
            <w:vAlign w:val="bottom"/>
          </w:tcPr>
          <w:p>
            <w:pPr>
              <w:jc w:val="right"/>
              <w:spacing w:after="0"/>
              <w:rPr>
                <w:sz w:val="20"/>
                <w:szCs w:val="20"/>
                <w:color w:val="auto"/>
              </w:rPr>
            </w:pPr>
            <w:r>
              <w:rPr>
                <w:rFonts w:ascii="Arial" w:cs="Arial" w:eastAsia="Arial" w:hAnsi="Arial"/>
                <w:sz w:val="18"/>
                <w:szCs w:val="18"/>
                <w:color w:val="auto"/>
              </w:rPr>
              <w:t>100 %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DBDBDB"/>
          </w:tcPr>
          <w:p>
            <w:pPr>
              <w:ind w:left="20"/>
              <w:spacing w:after="0"/>
              <w:rPr>
                <w:sz w:val="20"/>
                <w:szCs w:val="20"/>
                <w:color w:val="auto"/>
              </w:rPr>
            </w:pPr>
            <w:r>
              <w:rPr>
                <w:rFonts w:ascii="Arial" w:cs="Arial" w:eastAsia="Arial" w:hAnsi="Arial"/>
                <w:sz w:val="18"/>
                <w:szCs w:val="18"/>
                <w:color w:val="auto"/>
              </w:rPr>
              <w:t>Honeywell Federal Manufacturing &amp; Technologies, LLC</w:t>
            </w:r>
          </w:p>
        </w:tc>
        <w:tc>
          <w:tcPr>
            <w:tcW w:w="1800" w:type="dxa"/>
            <w:vAlign w:val="bottom"/>
            <w:shd w:val="clear" w:color="auto" w:fill="DBDBDB"/>
          </w:tcPr>
          <w:p>
            <w:pPr>
              <w:jc w:val="center"/>
              <w:ind w:right="351"/>
              <w:spacing w:after="0"/>
              <w:rPr>
                <w:sz w:val="20"/>
                <w:szCs w:val="20"/>
                <w:color w:val="auto"/>
              </w:rPr>
            </w:pPr>
            <w:r>
              <w:rPr>
                <w:rFonts w:ascii="Arial" w:cs="Arial" w:eastAsia="Arial" w:hAnsi="Arial"/>
                <w:sz w:val="18"/>
                <w:szCs w:val="18"/>
                <w:color w:val="auto"/>
                <w:w w:val="99"/>
              </w:rPr>
              <w:t>Delaware</w:t>
            </w:r>
          </w:p>
        </w:tc>
        <w:tc>
          <w:tcPr>
            <w:tcW w:w="1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100 %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20"/>
              <w:spacing w:after="0"/>
              <w:rPr>
                <w:sz w:val="20"/>
                <w:szCs w:val="20"/>
                <w:color w:val="auto"/>
              </w:rPr>
            </w:pPr>
            <w:r>
              <w:rPr>
                <w:rFonts w:ascii="Arial" w:cs="Arial" w:eastAsia="Arial" w:hAnsi="Arial"/>
                <w:sz w:val="18"/>
                <w:szCs w:val="18"/>
                <w:color w:val="auto"/>
              </w:rPr>
              <w:t>Honeywell Finance Ontario LP</w:t>
            </w:r>
          </w:p>
        </w:tc>
        <w:tc>
          <w:tcPr>
            <w:tcW w:w="1800" w:type="dxa"/>
            <w:vAlign w:val="bottom"/>
          </w:tcPr>
          <w:p>
            <w:pPr>
              <w:jc w:val="center"/>
              <w:ind w:right="351"/>
              <w:spacing w:after="0"/>
              <w:rPr>
                <w:sz w:val="20"/>
                <w:szCs w:val="20"/>
                <w:color w:val="auto"/>
              </w:rPr>
            </w:pPr>
            <w:r>
              <w:rPr>
                <w:rFonts w:ascii="Arial" w:cs="Arial" w:eastAsia="Arial" w:hAnsi="Arial"/>
                <w:sz w:val="18"/>
                <w:szCs w:val="18"/>
                <w:color w:val="auto"/>
              </w:rPr>
              <w:t>Canada</w:t>
            </w:r>
          </w:p>
        </w:tc>
        <w:tc>
          <w:tcPr>
            <w:tcW w:w="1960" w:type="dxa"/>
            <w:vAlign w:val="bottom"/>
          </w:tcPr>
          <w:p>
            <w:pPr>
              <w:jc w:val="right"/>
              <w:spacing w:after="0"/>
              <w:rPr>
                <w:sz w:val="20"/>
                <w:szCs w:val="20"/>
                <w:color w:val="auto"/>
              </w:rPr>
            </w:pPr>
            <w:r>
              <w:rPr>
                <w:rFonts w:ascii="Arial" w:cs="Arial" w:eastAsia="Arial" w:hAnsi="Arial"/>
                <w:sz w:val="18"/>
                <w:szCs w:val="18"/>
                <w:color w:val="auto"/>
              </w:rPr>
              <w:t>100 %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DBDBDB"/>
          </w:tcPr>
          <w:p>
            <w:pPr>
              <w:ind w:left="20"/>
              <w:spacing w:after="0"/>
              <w:rPr>
                <w:sz w:val="20"/>
                <w:szCs w:val="20"/>
                <w:color w:val="auto"/>
              </w:rPr>
            </w:pPr>
            <w:r>
              <w:rPr>
                <w:rFonts w:ascii="Arial" w:cs="Arial" w:eastAsia="Arial" w:hAnsi="Arial"/>
                <w:sz w:val="18"/>
                <w:szCs w:val="18"/>
                <w:color w:val="auto"/>
              </w:rPr>
              <w:t>Honeywell Fluorine Products Europe B.V.</w:t>
            </w:r>
          </w:p>
        </w:tc>
        <w:tc>
          <w:tcPr>
            <w:tcW w:w="1800" w:type="dxa"/>
            <w:vAlign w:val="bottom"/>
            <w:shd w:val="clear" w:color="auto" w:fill="DBDBDB"/>
          </w:tcPr>
          <w:p>
            <w:pPr>
              <w:jc w:val="center"/>
              <w:ind w:right="351"/>
              <w:spacing w:after="0"/>
              <w:rPr>
                <w:sz w:val="20"/>
                <w:szCs w:val="20"/>
                <w:color w:val="auto"/>
              </w:rPr>
            </w:pPr>
            <w:r>
              <w:rPr>
                <w:rFonts w:ascii="Arial" w:cs="Arial" w:eastAsia="Arial" w:hAnsi="Arial"/>
                <w:sz w:val="18"/>
                <w:szCs w:val="18"/>
                <w:color w:val="auto"/>
                <w:w w:val="98"/>
              </w:rPr>
              <w:t>Netherlands</w:t>
            </w:r>
          </w:p>
        </w:tc>
        <w:tc>
          <w:tcPr>
            <w:tcW w:w="1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100 %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tcPr>
          <w:p>
            <w:pPr>
              <w:ind w:left="20"/>
              <w:spacing w:after="0"/>
              <w:rPr>
                <w:sz w:val="20"/>
                <w:szCs w:val="20"/>
                <w:color w:val="auto"/>
              </w:rPr>
            </w:pPr>
            <w:r>
              <w:rPr>
                <w:rFonts w:ascii="Arial" w:cs="Arial" w:eastAsia="Arial" w:hAnsi="Arial"/>
                <w:sz w:val="18"/>
                <w:szCs w:val="18"/>
                <w:color w:val="auto"/>
              </w:rPr>
              <w:t>Honeywell Holdings International Inc.</w:t>
            </w:r>
          </w:p>
        </w:tc>
        <w:tc>
          <w:tcPr>
            <w:tcW w:w="1800" w:type="dxa"/>
            <w:vAlign w:val="bottom"/>
          </w:tcPr>
          <w:p>
            <w:pPr>
              <w:jc w:val="center"/>
              <w:ind w:right="391"/>
              <w:spacing w:after="0"/>
              <w:rPr>
                <w:sz w:val="20"/>
                <w:szCs w:val="20"/>
                <w:color w:val="auto"/>
              </w:rPr>
            </w:pPr>
            <w:r>
              <w:rPr>
                <w:rFonts w:ascii="Arial" w:cs="Arial" w:eastAsia="Arial" w:hAnsi="Arial"/>
                <w:sz w:val="18"/>
                <w:szCs w:val="18"/>
                <w:color w:val="auto"/>
                <w:w w:val="99"/>
              </w:rPr>
              <w:t>Delaware</w:t>
            </w:r>
          </w:p>
        </w:tc>
        <w:tc>
          <w:tcPr>
            <w:tcW w:w="1960" w:type="dxa"/>
            <w:vAlign w:val="bottom"/>
          </w:tcPr>
          <w:p>
            <w:pPr>
              <w:jc w:val="right"/>
              <w:spacing w:after="0"/>
              <w:rPr>
                <w:sz w:val="20"/>
                <w:szCs w:val="20"/>
                <w:color w:val="auto"/>
              </w:rPr>
            </w:pPr>
            <w:r>
              <w:rPr>
                <w:rFonts w:ascii="Arial" w:cs="Arial" w:eastAsia="Arial" w:hAnsi="Arial"/>
                <w:sz w:val="18"/>
                <w:szCs w:val="18"/>
                <w:color w:val="auto"/>
              </w:rPr>
              <w:t>100 %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DBDBDB"/>
          </w:tcPr>
          <w:p>
            <w:pPr>
              <w:ind w:left="20"/>
              <w:spacing w:after="0"/>
              <w:rPr>
                <w:sz w:val="20"/>
                <w:szCs w:val="20"/>
                <w:color w:val="auto"/>
              </w:rPr>
            </w:pPr>
            <w:r>
              <w:rPr>
                <w:rFonts w:ascii="Arial" w:cs="Arial" w:eastAsia="Arial" w:hAnsi="Arial"/>
                <w:sz w:val="18"/>
                <w:szCs w:val="18"/>
                <w:color w:val="auto"/>
              </w:rPr>
              <w:t>Honeywell International (India) Private Limited</w:t>
            </w:r>
          </w:p>
        </w:tc>
        <w:tc>
          <w:tcPr>
            <w:tcW w:w="1800" w:type="dxa"/>
            <w:vAlign w:val="bottom"/>
            <w:shd w:val="clear" w:color="auto" w:fill="DBDBDB"/>
          </w:tcPr>
          <w:p>
            <w:pPr>
              <w:jc w:val="center"/>
              <w:ind w:right="351"/>
              <w:spacing w:after="0"/>
              <w:rPr>
                <w:sz w:val="20"/>
                <w:szCs w:val="20"/>
                <w:color w:val="auto"/>
              </w:rPr>
            </w:pPr>
            <w:r>
              <w:rPr>
                <w:rFonts w:ascii="Arial" w:cs="Arial" w:eastAsia="Arial" w:hAnsi="Arial"/>
                <w:sz w:val="18"/>
                <w:szCs w:val="18"/>
                <w:color w:val="auto"/>
              </w:rPr>
              <w:t>India</w:t>
            </w:r>
          </w:p>
        </w:tc>
        <w:tc>
          <w:tcPr>
            <w:tcW w:w="1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100 %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20"/>
              <w:spacing w:after="0"/>
              <w:rPr>
                <w:sz w:val="20"/>
                <w:szCs w:val="20"/>
                <w:color w:val="auto"/>
              </w:rPr>
            </w:pPr>
            <w:r>
              <w:rPr>
                <w:rFonts w:ascii="Arial" w:cs="Arial" w:eastAsia="Arial" w:hAnsi="Arial"/>
                <w:sz w:val="18"/>
                <w:szCs w:val="18"/>
                <w:color w:val="auto"/>
              </w:rPr>
              <w:t>Honeywell International Sàrl</w:t>
            </w:r>
          </w:p>
        </w:tc>
        <w:tc>
          <w:tcPr>
            <w:tcW w:w="1800" w:type="dxa"/>
            <w:vAlign w:val="bottom"/>
          </w:tcPr>
          <w:p>
            <w:pPr>
              <w:jc w:val="center"/>
              <w:ind w:right="351"/>
              <w:spacing w:after="0"/>
              <w:rPr>
                <w:sz w:val="20"/>
                <w:szCs w:val="20"/>
                <w:color w:val="auto"/>
              </w:rPr>
            </w:pPr>
            <w:r>
              <w:rPr>
                <w:rFonts w:ascii="Arial" w:cs="Arial" w:eastAsia="Arial" w:hAnsi="Arial"/>
                <w:sz w:val="18"/>
                <w:szCs w:val="18"/>
                <w:color w:val="auto"/>
                <w:w w:val="98"/>
              </w:rPr>
              <w:t>Switzerland</w:t>
            </w:r>
          </w:p>
        </w:tc>
        <w:tc>
          <w:tcPr>
            <w:tcW w:w="1960" w:type="dxa"/>
            <w:vAlign w:val="bottom"/>
          </w:tcPr>
          <w:p>
            <w:pPr>
              <w:jc w:val="right"/>
              <w:spacing w:after="0"/>
              <w:rPr>
                <w:sz w:val="20"/>
                <w:szCs w:val="20"/>
                <w:color w:val="auto"/>
              </w:rPr>
            </w:pPr>
            <w:r>
              <w:rPr>
                <w:rFonts w:ascii="Arial" w:cs="Arial" w:eastAsia="Arial" w:hAnsi="Arial"/>
                <w:sz w:val="18"/>
                <w:szCs w:val="18"/>
                <w:color w:val="auto"/>
              </w:rPr>
              <w:t>100 %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DBDBDB"/>
          </w:tcPr>
          <w:p>
            <w:pPr>
              <w:ind w:left="20"/>
              <w:spacing w:after="0"/>
              <w:rPr>
                <w:sz w:val="20"/>
                <w:szCs w:val="20"/>
                <w:color w:val="auto"/>
              </w:rPr>
            </w:pPr>
            <w:r>
              <w:rPr>
                <w:rFonts w:ascii="Arial" w:cs="Arial" w:eastAsia="Arial" w:hAnsi="Arial"/>
                <w:sz w:val="18"/>
                <w:szCs w:val="18"/>
                <w:color w:val="auto"/>
              </w:rPr>
              <w:t>Honeywell International Sdn. Bhd.</w:t>
            </w:r>
          </w:p>
        </w:tc>
        <w:tc>
          <w:tcPr>
            <w:tcW w:w="1800" w:type="dxa"/>
            <w:vAlign w:val="bottom"/>
            <w:shd w:val="clear" w:color="auto" w:fill="DBDBDB"/>
          </w:tcPr>
          <w:p>
            <w:pPr>
              <w:jc w:val="center"/>
              <w:ind w:right="351"/>
              <w:spacing w:after="0"/>
              <w:rPr>
                <w:sz w:val="20"/>
                <w:szCs w:val="20"/>
                <w:color w:val="auto"/>
              </w:rPr>
            </w:pPr>
            <w:r>
              <w:rPr>
                <w:rFonts w:ascii="Arial" w:cs="Arial" w:eastAsia="Arial" w:hAnsi="Arial"/>
                <w:sz w:val="18"/>
                <w:szCs w:val="18"/>
                <w:color w:val="auto"/>
              </w:rPr>
              <w:t>Malaysia</w:t>
            </w:r>
          </w:p>
        </w:tc>
        <w:tc>
          <w:tcPr>
            <w:tcW w:w="1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100 %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tcPr>
          <w:p>
            <w:pPr>
              <w:ind w:left="20"/>
              <w:spacing w:after="0"/>
              <w:rPr>
                <w:sz w:val="20"/>
                <w:szCs w:val="20"/>
                <w:color w:val="auto"/>
              </w:rPr>
            </w:pPr>
            <w:r>
              <w:rPr>
                <w:rFonts w:ascii="Arial" w:cs="Arial" w:eastAsia="Arial" w:hAnsi="Arial"/>
                <w:sz w:val="18"/>
                <w:szCs w:val="18"/>
                <w:color w:val="auto"/>
              </w:rPr>
              <w:t>Honeywell International UK Limited</w:t>
            </w:r>
          </w:p>
        </w:tc>
        <w:tc>
          <w:tcPr>
            <w:tcW w:w="1800" w:type="dxa"/>
            <w:vAlign w:val="bottom"/>
          </w:tcPr>
          <w:p>
            <w:pPr>
              <w:jc w:val="center"/>
              <w:ind w:right="351"/>
              <w:spacing w:after="0"/>
              <w:rPr>
                <w:sz w:val="20"/>
                <w:szCs w:val="20"/>
                <w:color w:val="auto"/>
              </w:rPr>
            </w:pPr>
            <w:r>
              <w:rPr>
                <w:rFonts w:ascii="Arial" w:cs="Arial" w:eastAsia="Arial" w:hAnsi="Arial"/>
                <w:sz w:val="18"/>
                <w:szCs w:val="18"/>
                <w:color w:val="auto"/>
                <w:w w:val="99"/>
              </w:rPr>
              <w:t>United Kingdom</w:t>
            </w:r>
          </w:p>
        </w:tc>
        <w:tc>
          <w:tcPr>
            <w:tcW w:w="1960" w:type="dxa"/>
            <w:vAlign w:val="bottom"/>
          </w:tcPr>
          <w:p>
            <w:pPr>
              <w:jc w:val="right"/>
              <w:spacing w:after="0"/>
              <w:rPr>
                <w:sz w:val="20"/>
                <w:szCs w:val="20"/>
                <w:color w:val="auto"/>
              </w:rPr>
            </w:pPr>
            <w:r>
              <w:rPr>
                <w:rFonts w:ascii="Arial" w:cs="Arial" w:eastAsia="Arial" w:hAnsi="Arial"/>
                <w:sz w:val="18"/>
                <w:szCs w:val="18"/>
                <w:color w:val="auto"/>
              </w:rPr>
              <w:t>100 %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DBDBDB"/>
          </w:tcPr>
          <w:p>
            <w:pPr>
              <w:ind w:left="20"/>
              <w:spacing w:after="0"/>
              <w:rPr>
                <w:sz w:val="20"/>
                <w:szCs w:val="20"/>
                <w:color w:val="auto"/>
              </w:rPr>
            </w:pPr>
            <w:r>
              <w:rPr>
                <w:rFonts w:ascii="Arial" w:cs="Arial" w:eastAsia="Arial" w:hAnsi="Arial"/>
                <w:sz w:val="18"/>
                <w:szCs w:val="18"/>
                <w:color w:val="auto"/>
              </w:rPr>
              <w:t>Honeywell Japan Ltd.</w:t>
            </w:r>
          </w:p>
        </w:tc>
        <w:tc>
          <w:tcPr>
            <w:tcW w:w="1800" w:type="dxa"/>
            <w:vAlign w:val="bottom"/>
            <w:shd w:val="clear" w:color="auto" w:fill="DBDBDB"/>
          </w:tcPr>
          <w:p>
            <w:pPr>
              <w:jc w:val="center"/>
              <w:ind w:right="351"/>
              <w:spacing w:after="0"/>
              <w:rPr>
                <w:sz w:val="20"/>
                <w:szCs w:val="20"/>
                <w:color w:val="auto"/>
              </w:rPr>
            </w:pPr>
            <w:r>
              <w:rPr>
                <w:rFonts w:ascii="Arial" w:cs="Arial" w:eastAsia="Arial" w:hAnsi="Arial"/>
                <w:sz w:val="18"/>
                <w:szCs w:val="18"/>
                <w:color w:val="auto"/>
                <w:w w:val="97"/>
              </w:rPr>
              <w:t>Japan</w:t>
            </w:r>
          </w:p>
        </w:tc>
        <w:tc>
          <w:tcPr>
            <w:tcW w:w="1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100 %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20"/>
              <w:spacing w:after="0"/>
              <w:rPr>
                <w:sz w:val="20"/>
                <w:szCs w:val="20"/>
                <w:color w:val="auto"/>
              </w:rPr>
            </w:pPr>
            <w:r>
              <w:rPr>
                <w:rFonts w:ascii="Arial" w:cs="Arial" w:eastAsia="Arial" w:hAnsi="Arial"/>
                <w:sz w:val="18"/>
                <w:szCs w:val="18"/>
                <w:color w:val="auto"/>
              </w:rPr>
              <w:t>Honeywell Limited</w:t>
            </w:r>
          </w:p>
        </w:tc>
        <w:tc>
          <w:tcPr>
            <w:tcW w:w="1800" w:type="dxa"/>
            <w:vAlign w:val="bottom"/>
          </w:tcPr>
          <w:p>
            <w:pPr>
              <w:jc w:val="center"/>
              <w:ind w:right="331"/>
              <w:spacing w:after="0"/>
              <w:rPr>
                <w:sz w:val="20"/>
                <w:szCs w:val="20"/>
                <w:color w:val="auto"/>
              </w:rPr>
            </w:pPr>
            <w:r>
              <w:rPr>
                <w:rFonts w:ascii="Arial" w:cs="Arial" w:eastAsia="Arial" w:hAnsi="Arial"/>
                <w:sz w:val="18"/>
                <w:szCs w:val="18"/>
                <w:color w:val="auto"/>
                <w:w w:val="99"/>
              </w:rPr>
              <w:t>Australia</w:t>
            </w:r>
          </w:p>
        </w:tc>
        <w:tc>
          <w:tcPr>
            <w:tcW w:w="1960" w:type="dxa"/>
            <w:vAlign w:val="bottom"/>
          </w:tcPr>
          <w:p>
            <w:pPr>
              <w:jc w:val="right"/>
              <w:spacing w:after="0"/>
              <w:rPr>
                <w:sz w:val="20"/>
                <w:szCs w:val="20"/>
                <w:color w:val="auto"/>
              </w:rPr>
            </w:pPr>
            <w:r>
              <w:rPr>
                <w:rFonts w:ascii="Arial" w:cs="Arial" w:eastAsia="Arial" w:hAnsi="Arial"/>
                <w:sz w:val="18"/>
                <w:szCs w:val="18"/>
                <w:color w:val="auto"/>
              </w:rPr>
              <w:t>100 %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DBDBDB"/>
          </w:tcPr>
          <w:p>
            <w:pPr>
              <w:ind w:left="20"/>
              <w:spacing w:after="0"/>
              <w:rPr>
                <w:sz w:val="20"/>
                <w:szCs w:val="20"/>
                <w:color w:val="auto"/>
              </w:rPr>
            </w:pPr>
            <w:r>
              <w:rPr>
                <w:rFonts w:ascii="Arial" w:cs="Arial" w:eastAsia="Arial" w:hAnsi="Arial"/>
                <w:sz w:val="18"/>
                <w:szCs w:val="18"/>
                <w:color w:val="auto"/>
              </w:rPr>
              <w:t>Honeywell Limited / Honeywell Limitée</w:t>
            </w:r>
          </w:p>
        </w:tc>
        <w:tc>
          <w:tcPr>
            <w:tcW w:w="1800" w:type="dxa"/>
            <w:vAlign w:val="bottom"/>
            <w:shd w:val="clear" w:color="auto" w:fill="DBDBDB"/>
          </w:tcPr>
          <w:p>
            <w:pPr>
              <w:jc w:val="center"/>
              <w:ind w:right="351"/>
              <w:spacing w:after="0"/>
              <w:rPr>
                <w:sz w:val="20"/>
                <w:szCs w:val="20"/>
                <w:color w:val="auto"/>
              </w:rPr>
            </w:pPr>
            <w:r>
              <w:rPr>
                <w:rFonts w:ascii="Arial" w:cs="Arial" w:eastAsia="Arial" w:hAnsi="Arial"/>
                <w:sz w:val="18"/>
                <w:szCs w:val="18"/>
                <w:color w:val="auto"/>
              </w:rPr>
              <w:t>Canada</w:t>
            </w:r>
          </w:p>
        </w:tc>
        <w:tc>
          <w:tcPr>
            <w:tcW w:w="1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100 %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20"/>
              <w:spacing w:after="0"/>
              <w:rPr>
                <w:sz w:val="20"/>
                <w:szCs w:val="20"/>
                <w:color w:val="auto"/>
              </w:rPr>
            </w:pPr>
            <w:r>
              <w:rPr>
                <w:rFonts w:ascii="Arial" w:cs="Arial" w:eastAsia="Arial" w:hAnsi="Arial"/>
                <w:sz w:val="18"/>
                <w:szCs w:val="18"/>
                <w:color w:val="auto"/>
              </w:rPr>
              <w:t>Honeywell NV</w:t>
            </w:r>
          </w:p>
        </w:tc>
        <w:tc>
          <w:tcPr>
            <w:tcW w:w="1800" w:type="dxa"/>
            <w:vAlign w:val="bottom"/>
          </w:tcPr>
          <w:p>
            <w:pPr>
              <w:jc w:val="center"/>
              <w:ind w:right="351"/>
              <w:spacing w:after="0"/>
              <w:rPr>
                <w:sz w:val="20"/>
                <w:szCs w:val="20"/>
                <w:color w:val="auto"/>
              </w:rPr>
            </w:pPr>
            <w:r>
              <w:rPr>
                <w:rFonts w:ascii="Arial" w:cs="Arial" w:eastAsia="Arial" w:hAnsi="Arial"/>
                <w:sz w:val="18"/>
                <w:szCs w:val="18"/>
                <w:color w:val="auto"/>
                <w:w w:val="98"/>
              </w:rPr>
              <w:t>Belgium</w:t>
            </w:r>
          </w:p>
        </w:tc>
        <w:tc>
          <w:tcPr>
            <w:tcW w:w="1960" w:type="dxa"/>
            <w:vAlign w:val="bottom"/>
          </w:tcPr>
          <w:p>
            <w:pPr>
              <w:jc w:val="right"/>
              <w:spacing w:after="0"/>
              <w:rPr>
                <w:sz w:val="20"/>
                <w:szCs w:val="20"/>
                <w:color w:val="auto"/>
              </w:rPr>
            </w:pPr>
            <w:r>
              <w:rPr>
                <w:rFonts w:ascii="Arial" w:cs="Arial" w:eastAsia="Arial" w:hAnsi="Arial"/>
                <w:sz w:val="18"/>
                <w:szCs w:val="18"/>
                <w:color w:val="auto"/>
              </w:rPr>
              <w:t>100 %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82" w:right="339" w:bottom="1440" w:gutter="0" w:footer="0" w:header="0"/>
        </w:sectPr>
      </w:pPr>
    </w:p>
    <w:bookmarkStart w:id="190" w:name="page191"/>
    <w:bookmarkEnd w:id="19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440" w:type="dxa"/>
            <w:vAlign w:val="bottom"/>
            <w:shd w:val="clear" w:color="auto" w:fill="DBDBDB"/>
          </w:tcPr>
          <w:p>
            <w:pPr>
              <w:ind w:left="20"/>
              <w:spacing w:after="0"/>
              <w:rPr>
                <w:sz w:val="20"/>
                <w:szCs w:val="20"/>
                <w:color w:val="auto"/>
              </w:rPr>
            </w:pPr>
            <w:r>
              <w:rPr>
                <w:rFonts w:ascii="Arial" w:cs="Arial" w:eastAsia="Arial" w:hAnsi="Arial"/>
                <w:sz w:val="18"/>
                <w:szCs w:val="18"/>
                <w:color w:val="auto"/>
              </w:rPr>
              <w:t>Honeywell Performance Materials and Technologies (China) Co Ltd</w:t>
            </w:r>
          </w:p>
        </w:tc>
        <w:tc>
          <w:tcPr>
            <w:tcW w:w="3280" w:type="dxa"/>
            <w:vAlign w:val="bottom"/>
            <w:shd w:val="clear" w:color="auto" w:fill="DBDBDB"/>
          </w:tcPr>
          <w:p>
            <w:pPr>
              <w:jc w:val="center"/>
              <w:ind w:left="30"/>
              <w:spacing w:after="0"/>
              <w:rPr>
                <w:sz w:val="20"/>
                <w:szCs w:val="20"/>
                <w:color w:val="auto"/>
              </w:rPr>
            </w:pPr>
            <w:r>
              <w:rPr>
                <w:rFonts w:ascii="Arial" w:cs="Arial" w:eastAsia="Arial" w:hAnsi="Arial"/>
                <w:sz w:val="18"/>
                <w:szCs w:val="18"/>
                <w:color w:val="auto"/>
              </w:rPr>
              <w:t>China</w:t>
            </w:r>
          </w:p>
        </w:tc>
        <w:tc>
          <w:tcPr>
            <w:tcW w:w="14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100 %</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Honeywell Safety Products USA, Inc.</w:t>
            </w:r>
          </w:p>
        </w:tc>
        <w:tc>
          <w:tcPr>
            <w:tcW w:w="3280" w:type="dxa"/>
            <w:vAlign w:val="bottom"/>
          </w:tcPr>
          <w:p>
            <w:pPr>
              <w:jc w:val="center"/>
              <w:ind w:left="30"/>
              <w:spacing w:after="0"/>
              <w:rPr>
                <w:sz w:val="20"/>
                <w:szCs w:val="20"/>
                <w:color w:val="auto"/>
              </w:rPr>
            </w:pPr>
            <w:r>
              <w:rPr>
                <w:rFonts w:ascii="Arial" w:cs="Arial" w:eastAsia="Arial" w:hAnsi="Arial"/>
                <w:sz w:val="18"/>
                <w:szCs w:val="18"/>
                <w:color w:val="auto"/>
                <w:w w:val="99"/>
              </w:rPr>
              <w:t>Delaware</w:t>
            </w:r>
          </w:p>
        </w:tc>
        <w:tc>
          <w:tcPr>
            <w:tcW w:w="1480" w:type="dxa"/>
            <w:vAlign w:val="bottom"/>
          </w:tcPr>
          <w:p>
            <w:pPr>
              <w:jc w:val="right"/>
              <w:spacing w:after="0"/>
              <w:rPr>
                <w:sz w:val="20"/>
                <w:szCs w:val="20"/>
                <w:color w:val="auto"/>
              </w:rPr>
            </w:pPr>
            <w:r>
              <w:rPr>
                <w:rFonts w:ascii="Arial" w:cs="Arial" w:eastAsia="Arial" w:hAnsi="Arial"/>
                <w:sz w:val="18"/>
                <w:szCs w:val="18"/>
                <w:color w:val="auto"/>
              </w:rPr>
              <w:t>100 %</w:t>
            </w:r>
          </w:p>
        </w:tc>
      </w:tr>
      <w:tr>
        <w:trPr>
          <w:trHeight w:val="229"/>
        </w:trPr>
        <w:tc>
          <w:tcPr>
            <w:tcW w:w="6440" w:type="dxa"/>
            <w:vAlign w:val="bottom"/>
            <w:shd w:val="clear" w:color="auto" w:fill="DBDBDB"/>
          </w:tcPr>
          <w:p>
            <w:pPr>
              <w:ind w:left="20"/>
              <w:spacing w:after="0"/>
              <w:rPr>
                <w:sz w:val="20"/>
                <w:szCs w:val="20"/>
                <w:color w:val="auto"/>
              </w:rPr>
            </w:pPr>
            <w:r>
              <w:rPr>
                <w:rFonts w:ascii="Arial" w:cs="Arial" w:eastAsia="Arial" w:hAnsi="Arial"/>
                <w:sz w:val="18"/>
                <w:szCs w:val="18"/>
                <w:color w:val="auto"/>
              </w:rPr>
              <w:t>Honeywell Specialty Chemicals Seelze GmbH</w:t>
            </w:r>
          </w:p>
        </w:tc>
        <w:tc>
          <w:tcPr>
            <w:tcW w:w="3280" w:type="dxa"/>
            <w:vAlign w:val="bottom"/>
            <w:shd w:val="clear" w:color="auto" w:fill="DBDBDB"/>
          </w:tcPr>
          <w:p>
            <w:pPr>
              <w:jc w:val="center"/>
              <w:ind w:left="10"/>
              <w:spacing w:after="0"/>
              <w:rPr>
                <w:sz w:val="20"/>
                <w:szCs w:val="20"/>
                <w:color w:val="auto"/>
              </w:rPr>
            </w:pPr>
            <w:r>
              <w:rPr>
                <w:rFonts w:ascii="Arial" w:cs="Arial" w:eastAsia="Arial" w:hAnsi="Arial"/>
                <w:sz w:val="18"/>
                <w:szCs w:val="18"/>
                <w:color w:val="auto"/>
                <w:w w:val="99"/>
              </w:rPr>
              <w:t>Germany</w:t>
            </w:r>
          </w:p>
        </w:tc>
        <w:tc>
          <w:tcPr>
            <w:tcW w:w="14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100 %</w:t>
            </w: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Honeywell Technology Solutions Lab Pvt. Ltd.</w:t>
            </w:r>
          </w:p>
        </w:tc>
        <w:tc>
          <w:tcPr>
            <w:tcW w:w="3280" w:type="dxa"/>
            <w:vAlign w:val="bottom"/>
          </w:tcPr>
          <w:p>
            <w:pPr>
              <w:jc w:val="center"/>
              <w:ind w:left="30"/>
              <w:spacing w:after="0"/>
              <w:rPr>
                <w:sz w:val="20"/>
                <w:szCs w:val="20"/>
                <w:color w:val="auto"/>
              </w:rPr>
            </w:pPr>
            <w:r>
              <w:rPr>
                <w:rFonts w:ascii="Arial" w:cs="Arial" w:eastAsia="Arial" w:hAnsi="Arial"/>
                <w:sz w:val="18"/>
                <w:szCs w:val="18"/>
                <w:color w:val="auto"/>
              </w:rPr>
              <w:t>India</w:t>
            </w:r>
          </w:p>
        </w:tc>
        <w:tc>
          <w:tcPr>
            <w:tcW w:w="1480" w:type="dxa"/>
            <w:vAlign w:val="bottom"/>
          </w:tcPr>
          <w:p>
            <w:pPr>
              <w:jc w:val="right"/>
              <w:spacing w:after="0"/>
              <w:rPr>
                <w:sz w:val="20"/>
                <w:szCs w:val="20"/>
                <w:color w:val="auto"/>
              </w:rPr>
            </w:pPr>
            <w:r>
              <w:rPr>
                <w:rFonts w:ascii="Arial" w:cs="Arial" w:eastAsia="Arial" w:hAnsi="Arial"/>
                <w:sz w:val="18"/>
                <w:szCs w:val="18"/>
                <w:color w:val="auto"/>
              </w:rPr>
              <w:t>100 %</w:t>
            </w:r>
          </w:p>
        </w:tc>
      </w:tr>
      <w:tr>
        <w:trPr>
          <w:trHeight w:val="230"/>
        </w:trPr>
        <w:tc>
          <w:tcPr>
            <w:tcW w:w="6440" w:type="dxa"/>
            <w:vAlign w:val="bottom"/>
            <w:shd w:val="clear" w:color="auto" w:fill="DBDBDB"/>
          </w:tcPr>
          <w:p>
            <w:pPr>
              <w:ind w:left="20"/>
              <w:spacing w:after="0"/>
              <w:rPr>
                <w:sz w:val="20"/>
                <w:szCs w:val="20"/>
                <w:color w:val="auto"/>
              </w:rPr>
            </w:pPr>
            <w:r>
              <w:rPr>
                <w:rFonts w:ascii="Arial" w:cs="Arial" w:eastAsia="Arial" w:hAnsi="Arial"/>
                <w:sz w:val="18"/>
                <w:szCs w:val="18"/>
                <w:color w:val="auto"/>
              </w:rPr>
              <w:t>Honeywell Trading (Shanghai) Co., Ltd.</w:t>
            </w:r>
          </w:p>
        </w:tc>
        <w:tc>
          <w:tcPr>
            <w:tcW w:w="3280" w:type="dxa"/>
            <w:vAlign w:val="bottom"/>
            <w:shd w:val="clear" w:color="auto" w:fill="DBDBDB"/>
          </w:tcPr>
          <w:p>
            <w:pPr>
              <w:jc w:val="center"/>
              <w:ind w:left="30"/>
              <w:spacing w:after="0"/>
              <w:rPr>
                <w:sz w:val="20"/>
                <w:szCs w:val="20"/>
                <w:color w:val="auto"/>
              </w:rPr>
            </w:pPr>
            <w:r>
              <w:rPr>
                <w:rFonts w:ascii="Arial" w:cs="Arial" w:eastAsia="Arial" w:hAnsi="Arial"/>
                <w:sz w:val="18"/>
                <w:szCs w:val="18"/>
                <w:color w:val="auto"/>
              </w:rPr>
              <w:t>China</w:t>
            </w:r>
          </w:p>
        </w:tc>
        <w:tc>
          <w:tcPr>
            <w:tcW w:w="14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100 %</w:t>
            </w: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Honeywell UK Limited</w:t>
            </w:r>
          </w:p>
        </w:tc>
        <w:tc>
          <w:tcPr>
            <w:tcW w:w="3280" w:type="dxa"/>
            <w:vAlign w:val="bottom"/>
          </w:tcPr>
          <w:p>
            <w:pPr>
              <w:jc w:val="center"/>
              <w:ind w:left="30"/>
              <w:spacing w:after="0"/>
              <w:rPr>
                <w:sz w:val="20"/>
                <w:szCs w:val="20"/>
                <w:color w:val="auto"/>
              </w:rPr>
            </w:pPr>
            <w:r>
              <w:rPr>
                <w:rFonts w:ascii="Arial" w:cs="Arial" w:eastAsia="Arial" w:hAnsi="Arial"/>
                <w:sz w:val="18"/>
                <w:szCs w:val="18"/>
                <w:color w:val="auto"/>
                <w:w w:val="99"/>
              </w:rPr>
              <w:t>United Kingdom</w:t>
            </w:r>
          </w:p>
        </w:tc>
        <w:tc>
          <w:tcPr>
            <w:tcW w:w="1480" w:type="dxa"/>
            <w:vAlign w:val="bottom"/>
          </w:tcPr>
          <w:p>
            <w:pPr>
              <w:jc w:val="right"/>
              <w:spacing w:after="0"/>
              <w:rPr>
                <w:sz w:val="20"/>
                <w:szCs w:val="20"/>
                <w:color w:val="auto"/>
              </w:rPr>
            </w:pPr>
            <w:r>
              <w:rPr>
                <w:rFonts w:ascii="Arial" w:cs="Arial" w:eastAsia="Arial" w:hAnsi="Arial"/>
                <w:sz w:val="18"/>
                <w:szCs w:val="18"/>
                <w:color w:val="auto"/>
              </w:rPr>
              <w:t>100 %</w:t>
            </w:r>
          </w:p>
        </w:tc>
      </w:tr>
      <w:tr>
        <w:trPr>
          <w:trHeight w:val="230"/>
        </w:trPr>
        <w:tc>
          <w:tcPr>
            <w:tcW w:w="6440" w:type="dxa"/>
            <w:vAlign w:val="bottom"/>
            <w:shd w:val="clear" w:color="auto" w:fill="DBDBDB"/>
          </w:tcPr>
          <w:p>
            <w:pPr>
              <w:ind w:left="20"/>
              <w:spacing w:after="0"/>
              <w:rPr>
                <w:sz w:val="20"/>
                <w:szCs w:val="20"/>
                <w:color w:val="auto"/>
              </w:rPr>
            </w:pPr>
            <w:r>
              <w:rPr>
                <w:rFonts w:ascii="Arial" w:cs="Arial" w:eastAsia="Arial" w:hAnsi="Arial"/>
                <w:sz w:val="18"/>
                <w:szCs w:val="18"/>
                <w:color w:val="auto"/>
              </w:rPr>
              <w:t>Intelligrated Headquarters, LLC</w:t>
            </w:r>
          </w:p>
        </w:tc>
        <w:tc>
          <w:tcPr>
            <w:tcW w:w="3280" w:type="dxa"/>
            <w:vAlign w:val="bottom"/>
            <w:shd w:val="clear" w:color="auto" w:fill="DBDBDB"/>
          </w:tcPr>
          <w:p>
            <w:pPr>
              <w:jc w:val="center"/>
              <w:ind w:left="30"/>
              <w:spacing w:after="0"/>
              <w:rPr>
                <w:sz w:val="20"/>
                <w:szCs w:val="20"/>
                <w:color w:val="auto"/>
              </w:rPr>
            </w:pPr>
            <w:r>
              <w:rPr>
                <w:rFonts w:ascii="Arial" w:cs="Arial" w:eastAsia="Arial" w:hAnsi="Arial"/>
                <w:sz w:val="18"/>
                <w:szCs w:val="18"/>
                <w:color w:val="auto"/>
                <w:w w:val="99"/>
              </w:rPr>
              <w:t>Delaware</w:t>
            </w:r>
          </w:p>
        </w:tc>
        <w:tc>
          <w:tcPr>
            <w:tcW w:w="14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100 %</w:t>
            </w: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Intelligrated Systems, Inc.</w:t>
            </w:r>
          </w:p>
        </w:tc>
        <w:tc>
          <w:tcPr>
            <w:tcW w:w="3280" w:type="dxa"/>
            <w:vAlign w:val="bottom"/>
          </w:tcPr>
          <w:p>
            <w:pPr>
              <w:jc w:val="center"/>
              <w:ind w:left="30"/>
              <w:spacing w:after="0"/>
              <w:rPr>
                <w:sz w:val="20"/>
                <w:szCs w:val="20"/>
                <w:color w:val="auto"/>
              </w:rPr>
            </w:pPr>
            <w:r>
              <w:rPr>
                <w:rFonts w:ascii="Arial" w:cs="Arial" w:eastAsia="Arial" w:hAnsi="Arial"/>
                <w:sz w:val="18"/>
                <w:szCs w:val="18"/>
                <w:color w:val="auto"/>
                <w:w w:val="99"/>
              </w:rPr>
              <w:t>Delaware</w:t>
            </w:r>
          </w:p>
        </w:tc>
        <w:tc>
          <w:tcPr>
            <w:tcW w:w="1480" w:type="dxa"/>
            <w:vAlign w:val="bottom"/>
          </w:tcPr>
          <w:p>
            <w:pPr>
              <w:jc w:val="right"/>
              <w:spacing w:after="0"/>
              <w:rPr>
                <w:sz w:val="20"/>
                <w:szCs w:val="20"/>
                <w:color w:val="auto"/>
              </w:rPr>
            </w:pPr>
            <w:r>
              <w:rPr>
                <w:rFonts w:ascii="Arial" w:cs="Arial" w:eastAsia="Arial" w:hAnsi="Arial"/>
                <w:sz w:val="18"/>
                <w:szCs w:val="18"/>
                <w:color w:val="auto"/>
              </w:rPr>
              <w:t>100 %</w:t>
            </w:r>
          </w:p>
        </w:tc>
      </w:tr>
      <w:tr>
        <w:trPr>
          <w:trHeight w:val="229"/>
        </w:trPr>
        <w:tc>
          <w:tcPr>
            <w:tcW w:w="6440" w:type="dxa"/>
            <w:vAlign w:val="bottom"/>
            <w:shd w:val="clear" w:color="auto" w:fill="DBDBDB"/>
          </w:tcPr>
          <w:p>
            <w:pPr>
              <w:ind w:left="20"/>
              <w:spacing w:after="0"/>
              <w:rPr>
                <w:sz w:val="20"/>
                <w:szCs w:val="20"/>
                <w:color w:val="auto"/>
              </w:rPr>
            </w:pPr>
            <w:r>
              <w:rPr>
                <w:rFonts w:ascii="Arial" w:cs="Arial" w:eastAsia="Arial" w:hAnsi="Arial"/>
                <w:sz w:val="18"/>
                <w:szCs w:val="18"/>
                <w:color w:val="auto"/>
              </w:rPr>
              <w:t>Intelligrated Systems, LLC</w:t>
            </w:r>
          </w:p>
        </w:tc>
        <w:tc>
          <w:tcPr>
            <w:tcW w:w="3280" w:type="dxa"/>
            <w:vAlign w:val="bottom"/>
            <w:shd w:val="clear" w:color="auto" w:fill="DBDBDB"/>
          </w:tcPr>
          <w:p>
            <w:pPr>
              <w:jc w:val="center"/>
              <w:ind w:left="30"/>
              <w:spacing w:after="0"/>
              <w:rPr>
                <w:sz w:val="20"/>
                <w:szCs w:val="20"/>
                <w:color w:val="auto"/>
              </w:rPr>
            </w:pPr>
            <w:r>
              <w:rPr>
                <w:rFonts w:ascii="Arial" w:cs="Arial" w:eastAsia="Arial" w:hAnsi="Arial"/>
                <w:sz w:val="18"/>
                <w:szCs w:val="18"/>
                <w:color w:val="auto"/>
                <w:w w:val="99"/>
              </w:rPr>
              <w:t>Delaware</w:t>
            </w:r>
          </w:p>
        </w:tc>
        <w:tc>
          <w:tcPr>
            <w:tcW w:w="14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100 %</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Intermec Technologies (S) Pte Ltd</w:t>
            </w:r>
          </w:p>
        </w:tc>
        <w:tc>
          <w:tcPr>
            <w:tcW w:w="3280" w:type="dxa"/>
            <w:vAlign w:val="bottom"/>
          </w:tcPr>
          <w:p>
            <w:pPr>
              <w:jc w:val="center"/>
              <w:ind w:left="10"/>
              <w:spacing w:after="0"/>
              <w:rPr>
                <w:sz w:val="20"/>
                <w:szCs w:val="20"/>
                <w:color w:val="auto"/>
              </w:rPr>
            </w:pPr>
            <w:r>
              <w:rPr>
                <w:rFonts w:ascii="Arial" w:cs="Arial" w:eastAsia="Arial" w:hAnsi="Arial"/>
                <w:sz w:val="18"/>
                <w:szCs w:val="18"/>
                <w:color w:val="auto"/>
                <w:w w:val="99"/>
              </w:rPr>
              <w:t>Singapore</w:t>
            </w:r>
          </w:p>
        </w:tc>
        <w:tc>
          <w:tcPr>
            <w:tcW w:w="1480" w:type="dxa"/>
            <w:vAlign w:val="bottom"/>
          </w:tcPr>
          <w:p>
            <w:pPr>
              <w:jc w:val="right"/>
              <w:spacing w:after="0"/>
              <w:rPr>
                <w:sz w:val="20"/>
                <w:szCs w:val="20"/>
                <w:color w:val="auto"/>
              </w:rPr>
            </w:pPr>
            <w:r>
              <w:rPr>
                <w:rFonts w:ascii="Arial" w:cs="Arial" w:eastAsia="Arial" w:hAnsi="Arial"/>
                <w:sz w:val="18"/>
                <w:szCs w:val="18"/>
                <w:color w:val="auto"/>
              </w:rPr>
              <w:t>100 %</w:t>
            </w:r>
          </w:p>
        </w:tc>
      </w:tr>
      <w:tr>
        <w:trPr>
          <w:trHeight w:val="229"/>
        </w:trPr>
        <w:tc>
          <w:tcPr>
            <w:tcW w:w="6440" w:type="dxa"/>
            <w:vAlign w:val="bottom"/>
            <w:shd w:val="clear" w:color="auto" w:fill="DBDBDB"/>
          </w:tcPr>
          <w:p>
            <w:pPr>
              <w:ind w:left="20"/>
              <w:spacing w:after="0"/>
              <w:rPr>
                <w:sz w:val="20"/>
                <w:szCs w:val="20"/>
                <w:color w:val="auto"/>
              </w:rPr>
            </w:pPr>
            <w:r>
              <w:rPr>
                <w:rFonts w:ascii="Arial" w:cs="Arial" w:eastAsia="Arial" w:hAnsi="Arial"/>
                <w:sz w:val="18"/>
                <w:szCs w:val="18"/>
                <w:color w:val="auto"/>
              </w:rPr>
              <w:t>International Turbine Engine Company LLC</w:t>
            </w:r>
          </w:p>
        </w:tc>
        <w:tc>
          <w:tcPr>
            <w:tcW w:w="3280" w:type="dxa"/>
            <w:vAlign w:val="bottom"/>
            <w:shd w:val="clear" w:color="auto" w:fill="DBDBDB"/>
          </w:tcPr>
          <w:p>
            <w:pPr>
              <w:jc w:val="center"/>
              <w:ind w:left="30"/>
              <w:spacing w:after="0"/>
              <w:rPr>
                <w:sz w:val="20"/>
                <w:szCs w:val="20"/>
                <w:color w:val="auto"/>
              </w:rPr>
            </w:pPr>
            <w:r>
              <w:rPr>
                <w:rFonts w:ascii="Arial" w:cs="Arial" w:eastAsia="Arial" w:hAnsi="Arial"/>
                <w:sz w:val="18"/>
                <w:szCs w:val="18"/>
                <w:color w:val="auto"/>
                <w:w w:val="99"/>
              </w:rPr>
              <w:t>Delaware</w:t>
            </w:r>
          </w:p>
        </w:tc>
        <w:tc>
          <w:tcPr>
            <w:tcW w:w="14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51 %</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KAC Alarm Company Limited</w:t>
            </w:r>
          </w:p>
        </w:tc>
        <w:tc>
          <w:tcPr>
            <w:tcW w:w="3280" w:type="dxa"/>
            <w:vAlign w:val="bottom"/>
          </w:tcPr>
          <w:p>
            <w:pPr>
              <w:jc w:val="center"/>
              <w:ind w:left="30"/>
              <w:spacing w:after="0"/>
              <w:rPr>
                <w:sz w:val="20"/>
                <w:szCs w:val="20"/>
                <w:color w:val="auto"/>
              </w:rPr>
            </w:pPr>
            <w:r>
              <w:rPr>
                <w:rFonts w:ascii="Arial" w:cs="Arial" w:eastAsia="Arial" w:hAnsi="Arial"/>
                <w:sz w:val="18"/>
                <w:szCs w:val="18"/>
                <w:color w:val="auto"/>
                <w:w w:val="99"/>
              </w:rPr>
              <w:t>United Kingdom</w:t>
            </w:r>
          </w:p>
        </w:tc>
        <w:tc>
          <w:tcPr>
            <w:tcW w:w="1480" w:type="dxa"/>
            <w:vAlign w:val="bottom"/>
          </w:tcPr>
          <w:p>
            <w:pPr>
              <w:jc w:val="right"/>
              <w:spacing w:after="0"/>
              <w:rPr>
                <w:sz w:val="20"/>
                <w:szCs w:val="20"/>
                <w:color w:val="auto"/>
              </w:rPr>
            </w:pPr>
            <w:r>
              <w:rPr>
                <w:rFonts w:ascii="Arial" w:cs="Arial" w:eastAsia="Arial" w:hAnsi="Arial"/>
                <w:sz w:val="18"/>
                <w:szCs w:val="18"/>
                <w:color w:val="auto"/>
              </w:rPr>
              <w:t>100 %</w:t>
            </w:r>
          </w:p>
        </w:tc>
      </w:tr>
      <w:tr>
        <w:trPr>
          <w:trHeight w:val="229"/>
        </w:trPr>
        <w:tc>
          <w:tcPr>
            <w:tcW w:w="6440" w:type="dxa"/>
            <w:vAlign w:val="bottom"/>
            <w:shd w:val="clear" w:color="auto" w:fill="DBDBDB"/>
          </w:tcPr>
          <w:p>
            <w:pPr>
              <w:ind w:left="20"/>
              <w:spacing w:after="0"/>
              <w:rPr>
                <w:sz w:val="20"/>
                <w:szCs w:val="20"/>
                <w:color w:val="auto"/>
              </w:rPr>
            </w:pPr>
            <w:r>
              <w:rPr>
                <w:rFonts w:ascii="Arial" w:cs="Arial" w:eastAsia="Arial" w:hAnsi="Arial"/>
                <w:sz w:val="18"/>
                <w:szCs w:val="18"/>
                <w:color w:val="auto"/>
              </w:rPr>
              <w:t>Life Safety Distribution GmbH</w:t>
            </w:r>
          </w:p>
        </w:tc>
        <w:tc>
          <w:tcPr>
            <w:tcW w:w="3280" w:type="dxa"/>
            <w:vAlign w:val="bottom"/>
            <w:shd w:val="clear" w:color="auto" w:fill="DBDBDB"/>
          </w:tcPr>
          <w:p>
            <w:pPr>
              <w:jc w:val="center"/>
              <w:ind w:left="10"/>
              <w:spacing w:after="0"/>
              <w:rPr>
                <w:sz w:val="20"/>
                <w:szCs w:val="20"/>
                <w:color w:val="auto"/>
              </w:rPr>
            </w:pPr>
            <w:r>
              <w:rPr>
                <w:rFonts w:ascii="Arial" w:cs="Arial" w:eastAsia="Arial" w:hAnsi="Arial"/>
                <w:sz w:val="18"/>
                <w:szCs w:val="18"/>
                <w:color w:val="auto"/>
              </w:rPr>
              <w:t>Switzerland</w:t>
            </w:r>
          </w:p>
        </w:tc>
        <w:tc>
          <w:tcPr>
            <w:tcW w:w="14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100 %</w:t>
            </w: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Maxon Corporation</w:t>
            </w:r>
          </w:p>
        </w:tc>
        <w:tc>
          <w:tcPr>
            <w:tcW w:w="3280" w:type="dxa"/>
            <w:vAlign w:val="bottom"/>
          </w:tcPr>
          <w:p>
            <w:pPr>
              <w:jc w:val="center"/>
              <w:ind w:left="30"/>
              <w:spacing w:after="0"/>
              <w:rPr>
                <w:sz w:val="20"/>
                <w:szCs w:val="20"/>
                <w:color w:val="auto"/>
              </w:rPr>
            </w:pPr>
            <w:r>
              <w:rPr>
                <w:rFonts w:ascii="Arial" w:cs="Arial" w:eastAsia="Arial" w:hAnsi="Arial"/>
                <w:sz w:val="18"/>
                <w:szCs w:val="18"/>
                <w:color w:val="auto"/>
              </w:rPr>
              <w:t>Indiana</w:t>
            </w:r>
          </w:p>
        </w:tc>
        <w:tc>
          <w:tcPr>
            <w:tcW w:w="1480" w:type="dxa"/>
            <w:vAlign w:val="bottom"/>
          </w:tcPr>
          <w:p>
            <w:pPr>
              <w:jc w:val="right"/>
              <w:spacing w:after="0"/>
              <w:rPr>
                <w:sz w:val="20"/>
                <w:szCs w:val="20"/>
                <w:color w:val="auto"/>
              </w:rPr>
            </w:pPr>
            <w:r>
              <w:rPr>
                <w:rFonts w:ascii="Arial" w:cs="Arial" w:eastAsia="Arial" w:hAnsi="Arial"/>
                <w:sz w:val="18"/>
                <w:szCs w:val="18"/>
                <w:color w:val="auto"/>
              </w:rPr>
              <w:t>100 %</w:t>
            </w:r>
          </w:p>
        </w:tc>
      </w:tr>
      <w:tr>
        <w:trPr>
          <w:trHeight w:val="230"/>
        </w:trPr>
        <w:tc>
          <w:tcPr>
            <w:tcW w:w="6440" w:type="dxa"/>
            <w:vAlign w:val="bottom"/>
            <w:shd w:val="clear" w:color="auto" w:fill="DBDBDB"/>
          </w:tcPr>
          <w:p>
            <w:pPr>
              <w:ind w:left="20"/>
              <w:spacing w:after="0"/>
              <w:rPr>
                <w:sz w:val="20"/>
                <w:szCs w:val="20"/>
                <w:color w:val="auto"/>
              </w:rPr>
            </w:pPr>
            <w:r>
              <w:rPr>
                <w:rFonts w:ascii="Arial" w:cs="Arial" w:eastAsia="Arial" w:hAnsi="Arial"/>
                <w:sz w:val="18"/>
                <w:szCs w:val="18"/>
                <w:color w:val="auto"/>
              </w:rPr>
              <w:t>Morning Pride Manufacturing L.L.C.</w:t>
            </w:r>
          </w:p>
        </w:tc>
        <w:tc>
          <w:tcPr>
            <w:tcW w:w="3280" w:type="dxa"/>
            <w:vAlign w:val="bottom"/>
            <w:shd w:val="clear" w:color="auto" w:fill="DBDBDB"/>
          </w:tcPr>
          <w:p>
            <w:pPr>
              <w:jc w:val="center"/>
              <w:ind w:left="30"/>
              <w:spacing w:after="0"/>
              <w:rPr>
                <w:sz w:val="20"/>
                <w:szCs w:val="20"/>
                <w:color w:val="auto"/>
              </w:rPr>
            </w:pPr>
            <w:r>
              <w:rPr>
                <w:rFonts w:ascii="Arial" w:cs="Arial" w:eastAsia="Arial" w:hAnsi="Arial"/>
                <w:sz w:val="18"/>
                <w:szCs w:val="18"/>
                <w:color w:val="auto"/>
                <w:w w:val="99"/>
              </w:rPr>
              <w:t>Delaware</w:t>
            </w:r>
          </w:p>
        </w:tc>
        <w:tc>
          <w:tcPr>
            <w:tcW w:w="14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100 %</w:t>
            </w: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Novar ED&amp;S Limited</w:t>
            </w:r>
          </w:p>
        </w:tc>
        <w:tc>
          <w:tcPr>
            <w:tcW w:w="3280" w:type="dxa"/>
            <w:vAlign w:val="bottom"/>
          </w:tcPr>
          <w:p>
            <w:pPr>
              <w:jc w:val="center"/>
              <w:ind w:left="30"/>
              <w:spacing w:after="0"/>
              <w:rPr>
                <w:sz w:val="20"/>
                <w:szCs w:val="20"/>
                <w:color w:val="auto"/>
              </w:rPr>
            </w:pPr>
            <w:r>
              <w:rPr>
                <w:rFonts w:ascii="Arial" w:cs="Arial" w:eastAsia="Arial" w:hAnsi="Arial"/>
                <w:sz w:val="18"/>
                <w:szCs w:val="18"/>
                <w:color w:val="auto"/>
                <w:w w:val="99"/>
              </w:rPr>
              <w:t>United Kingdom</w:t>
            </w:r>
          </w:p>
        </w:tc>
        <w:tc>
          <w:tcPr>
            <w:tcW w:w="1480" w:type="dxa"/>
            <w:vAlign w:val="bottom"/>
          </w:tcPr>
          <w:p>
            <w:pPr>
              <w:jc w:val="right"/>
              <w:spacing w:after="0"/>
              <w:rPr>
                <w:sz w:val="20"/>
                <w:szCs w:val="20"/>
                <w:color w:val="auto"/>
              </w:rPr>
            </w:pPr>
            <w:r>
              <w:rPr>
                <w:rFonts w:ascii="Arial" w:cs="Arial" w:eastAsia="Arial" w:hAnsi="Arial"/>
                <w:sz w:val="18"/>
                <w:szCs w:val="18"/>
                <w:color w:val="auto"/>
              </w:rPr>
              <w:t>100 %</w:t>
            </w:r>
          </w:p>
        </w:tc>
      </w:tr>
      <w:tr>
        <w:trPr>
          <w:trHeight w:val="229"/>
        </w:trPr>
        <w:tc>
          <w:tcPr>
            <w:tcW w:w="644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Novar GmbH</w:t>
            </w:r>
          </w:p>
        </w:tc>
        <w:tc>
          <w:tcPr>
            <w:tcW w:w="3280" w:type="dxa"/>
            <w:vAlign w:val="bottom"/>
            <w:shd w:val="clear" w:color="auto" w:fill="DBDBDB"/>
          </w:tcPr>
          <w:p>
            <w:pPr>
              <w:jc w:val="center"/>
              <w:ind w:left="10"/>
              <w:spacing w:after="0"/>
              <w:rPr>
                <w:sz w:val="20"/>
                <w:szCs w:val="20"/>
                <w:color w:val="auto"/>
              </w:rPr>
            </w:pPr>
            <w:r>
              <w:rPr>
                <w:rFonts w:ascii="Arial" w:cs="Arial" w:eastAsia="Arial" w:hAnsi="Arial"/>
                <w:sz w:val="18"/>
                <w:szCs w:val="18"/>
                <w:color w:val="auto"/>
                <w:w w:val="99"/>
              </w:rPr>
              <w:t>Germany</w:t>
            </w:r>
          </w:p>
        </w:tc>
        <w:tc>
          <w:tcPr>
            <w:tcW w:w="14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100 %</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Novar Systems Limited</w:t>
            </w:r>
          </w:p>
        </w:tc>
        <w:tc>
          <w:tcPr>
            <w:tcW w:w="3280" w:type="dxa"/>
            <w:vAlign w:val="bottom"/>
          </w:tcPr>
          <w:p>
            <w:pPr>
              <w:jc w:val="center"/>
              <w:ind w:left="30"/>
              <w:spacing w:after="0"/>
              <w:rPr>
                <w:sz w:val="20"/>
                <w:szCs w:val="20"/>
                <w:color w:val="auto"/>
              </w:rPr>
            </w:pPr>
            <w:r>
              <w:rPr>
                <w:rFonts w:ascii="Arial" w:cs="Arial" w:eastAsia="Arial" w:hAnsi="Arial"/>
                <w:sz w:val="18"/>
                <w:szCs w:val="18"/>
                <w:color w:val="auto"/>
                <w:w w:val="99"/>
              </w:rPr>
              <w:t>United Kingdom</w:t>
            </w:r>
          </w:p>
        </w:tc>
        <w:tc>
          <w:tcPr>
            <w:tcW w:w="1480" w:type="dxa"/>
            <w:vAlign w:val="bottom"/>
          </w:tcPr>
          <w:p>
            <w:pPr>
              <w:jc w:val="right"/>
              <w:spacing w:after="0"/>
              <w:rPr>
                <w:sz w:val="20"/>
                <w:szCs w:val="20"/>
                <w:color w:val="auto"/>
              </w:rPr>
            </w:pPr>
            <w:r>
              <w:rPr>
                <w:rFonts w:ascii="Arial" w:cs="Arial" w:eastAsia="Arial" w:hAnsi="Arial"/>
                <w:sz w:val="18"/>
                <w:szCs w:val="18"/>
                <w:color w:val="auto"/>
              </w:rPr>
              <w:t>100 %</w:t>
            </w:r>
          </w:p>
        </w:tc>
      </w:tr>
      <w:tr>
        <w:trPr>
          <w:trHeight w:val="229"/>
        </w:trPr>
        <w:tc>
          <w:tcPr>
            <w:tcW w:w="6440" w:type="dxa"/>
            <w:vAlign w:val="bottom"/>
            <w:shd w:val="clear" w:color="auto" w:fill="DBDBDB"/>
          </w:tcPr>
          <w:p>
            <w:pPr>
              <w:ind w:left="20"/>
              <w:spacing w:after="0"/>
              <w:rPr>
                <w:sz w:val="20"/>
                <w:szCs w:val="20"/>
                <w:color w:val="auto"/>
              </w:rPr>
            </w:pPr>
            <w:r>
              <w:rPr>
                <w:rFonts w:ascii="Arial" w:cs="Arial" w:eastAsia="Arial" w:hAnsi="Arial"/>
                <w:sz w:val="18"/>
                <w:szCs w:val="18"/>
                <w:color w:val="auto"/>
              </w:rPr>
              <w:t>Salisbury Electrical Safety L.L.C.</w:t>
            </w:r>
          </w:p>
        </w:tc>
        <w:tc>
          <w:tcPr>
            <w:tcW w:w="3280" w:type="dxa"/>
            <w:vAlign w:val="bottom"/>
            <w:shd w:val="clear" w:color="auto" w:fill="DBDBDB"/>
          </w:tcPr>
          <w:p>
            <w:pPr>
              <w:jc w:val="center"/>
              <w:ind w:left="30"/>
              <w:spacing w:after="0"/>
              <w:rPr>
                <w:sz w:val="20"/>
                <w:szCs w:val="20"/>
                <w:color w:val="auto"/>
              </w:rPr>
            </w:pPr>
            <w:r>
              <w:rPr>
                <w:rFonts w:ascii="Arial" w:cs="Arial" w:eastAsia="Arial" w:hAnsi="Arial"/>
                <w:sz w:val="18"/>
                <w:szCs w:val="18"/>
                <w:color w:val="auto"/>
                <w:w w:val="99"/>
              </w:rPr>
              <w:t>Delaware</w:t>
            </w:r>
          </w:p>
        </w:tc>
        <w:tc>
          <w:tcPr>
            <w:tcW w:w="14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100 %</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Sperian Protection SAS</w:t>
            </w:r>
          </w:p>
        </w:tc>
        <w:tc>
          <w:tcPr>
            <w:tcW w:w="3280" w:type="dxa"/>
            <w:vAlign w:val="bottom"/>
          </w:tcPr>
          <w:p>
            <w:pPr>
              <w:jc w:val="center"/>
              <w:ind w:left="30"/>
              <w:spacing w:after="0"/>
              <w:rPr>
                <w:sz w:val="20"/>
                <w:szCs w:val="20"/>
                <w:color w:val="auto"/>
              </w:rPr>
            </w:pPr>
            <w:r>
              <w:rPr>
                <w:rFonts w:ascii="Arial" w:cs="Arial" w:eastAsia="Arial" w:hAnsi="Arial"/>
                <w:sz w:val="18"/>
                <w:szCs w:val="18"/>
                <w:color w:val="auto"/>
                <w:w w:val="99"/>
              </w:rPr>
              <w:t>France</w:t>
            </w:r>
          </w:p>
        </w:tc>
        <w:tc>
          <w:tcPr>
            <w:tcW w:w="1480" w:type="dxa"/>
            <w:vAlign w:val="bottom"/>
          </w:tcPr>
          <w:p>
            <w:pPr>
              <w:jc w:val="right"/>
              <w:spacing w:after="0"/>
              <w:rPr>
                <w:sz w:val="20"/>
                <w:szCs w:val="20"/>
                <w:color w:val="auto"/>
              </w:rPr>
            </w:pPr>
            <w:r>
              <w:rPr>
                <w:rFonts w:ascii="Arial" w:cs="Arial" w:eastAsia="Arial" w:hAnsi="Arial"/>
                <w:sz w:val="18"/>
                <w:szCs w:val="18"/>
                <w:color w:val="auto"/>
              </w:rPr>
              <w:t>100 %</w:t>
            </w:r>
          </w:p>
        </w:tc>
      </w:tr>
      <w:tr>
        <w:trPr>
          <w:trHeight w:val="229"/>
        </w:trPr>
        <w:tc>
          <w:tcPr>
            <w:tcW w:w="6440" w:type="dxa"/>
            <w:vAlign w:val="bottom"/>
            <w:shd w:val="clear" w:color="auto" w:fill="DBDBDB"/>
          </w:tcPr>
          <w:p>
            <w:pPr>
              <w:ind w:left="20"/>
              <w:spacing w:after="0"/>
              <w:rPr>
                <w:sz w:val="20"/>
                <w:szCs w:val="20"/>
                <w:color w:val="auto"/>
              </w:rPr>
            </w:pPr>
            <w:r>
              <w:rPr>
                <w:rFonts w:ascii="Arial" w:cs="Arial" w:eastAsia="Arial" w:hAnsi="Arial"/>
                <w:sz w:val="18"/>
                <w:szCs w:val="18"/>
                <w:color w:val="auto"/>
              </w:rPr>
              <w:t>Transnorm System Inc.</w:t>
            </w:r>
          </w:p>
        </w:tc>
        <w:tc>
          <w:tcPr>
            <w:tcW w:w="3280" w:type="dxa"/>
            <w:vAlign w:val="bottom"/>
            <w:shd w:val="clear" w:color="auto" w:fill="DBDBDB"/>
          </w:tcPr>
          <w:p>
            <w:pPr>
              <w:jc w:val="center"/>
              <w:ind w:left="30"/>
              <w:spacing w:after="0"/>
              <w:rPr>
                <w:sz w:val="20"/>
                <w:szCs w:val="20"/>
                <w:color w:val="auto"/>
              </w:rPr>
            </w:pPr>
            <w:r>
              <w:rPr>
                <w:rFonts w:ascii="Arial" w:cs="Arial" w:eastAsia="Arial" w:hAnsi="Arial"/>
                <w:sz w:val="18"/>
                <w:szCs w:val="18"/>
                <w:color w:val="auto"/>
                <w:w w:val="99"/>
              </w:rPr>
              <w:t>Delaware</w:t>
            </w:r>
          </w:p>
        </w:tc>
        <w:tc>
          <w:tcPr>
            <w:tcW w:w="14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100 %</w:t>
            </w: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Tridium, Inc.</w:t>
            </w:r>
          </w:p>
        </w:tc>
        <w:tc>
          <w:tcPr>
            <w:tcW w:w="3280" w:type="dxa"/>
            <w:vAlign w:val="bottom"/>
          </w:tcPr>
          <w:p>
            <w:pPr>
              <w:jc w:val="center"/>
              <w:ind w:left="30"/>
              <w:spacing w:after="0"/>
              <w:rPr>
                <w:sz w:val="20"/>
                <w:szCs w:val="20"/>
                <w:color w:val="auto"/>
              </w:rPr>
            </w:pPr>
            <w:r>
              <w:rPr>
                <w:rFonts w:ascii="Arial" w:cs="Arial" w:eastAsia="Arial" w:hAnsi="Arial"/>
                <w:sz w:val="18"/>
                <w:szCs w:val="18"/>
                <w:color w:val="auto"/>
                <w:w w:val="99"/>
              </w:rPr>
              <w:t>Delaware</w:t>
            </w:r>
          </w:p>
        </w:tc>
        <w:tc>
          <w:tcPr>
            <w:tcW w:w="1480" w:type="dxa"/>
            <w:vAlign w:val="bottom"/>
          </w:tcPr>
          <w:p>
            <w:pPr>
              <w:jc w:val="right"/>
              <w:spacing w:after="0"/>
              <w:rPr>
                <w:sz w:val="20"/>
                <w:szCs w:val="20"/>
                <w:color w:val="auto"/>
              </w:rPr>
            </w:pPr>
            <w:r>
              <w:rPr>
                <w:rFonts w:ascii="Arial" w:cs="Arial" w:eastAsia="Arial" w:hAnsi="Arial"/>
                <w:sz w:val="18"/>
                <w:szCs w:val="18"/>
                <w:color w:val="auto"/>
              </w:rPr>
              <w:t>100 %</w:t>
            </w:r>
          </w:p>
        </w:tc>
      </w:tr>
      <w:tr>
        <w:trPr>
          <w:trHeight w:val="230"/>
        </w:trPr>
        <w:tc>
          <w:tcPr>
            <w:tcW w:w="6440" w:type="dxa"/>
            <w:vAlign w:val="bottom"/>
            <w:shd w:val="clear" w:color="auto" w:fill="DBDBDB"/>
          </w:tcPr>
          <w:p>
            <w:pPr>
              <w:ind w:left="20"/>
              <w:spacing w:after="0"/>
              <w:rPr>
                <w:sz w:val="20"/>
                <w:szCs w:val="20"/>
                <w:color w:val="auto"/>
              </w:rPr>
            </w:pPr>
            <w:r>
              <w:rPr>
                <w:rFonts w:ascii="Arial" w:cs="Arial" w:eastAsia="Arial" w:hAnsi="Arial"/>
                <w:sz w:val="18"/>
                <w:szCs w:val="18"/>
                <w:color w:val="auto"/>
              </w:rPr>
              <w:t>United Sortation Solutions LLC</w:t>
            </w:r>
          </w:p>
        </w:tc>
        <w:tc>
          <w:tcPr>
            <w:tcW w:w="3280" w:type="dxa"/>
            <w:vAlign w:val="bottom"/>
            <w:shd w:val="clear" w:color="auto" w:fill="DBDBDB"/>
          </w:tcPr>
          <w:p>
            <w:pPr>
              <w:jc w:val="center"/>
              <w:ind w:left="10"/>
              <w:spacing w:after="0"/>
              <w:rPr>
                <w:sz w:val="20"/>
                <w:szCs w:val="20"/>
                <w:color w:val="auto"/>
              </w:rPr>
            </w:pPr>
            <w:r>
              <w:rPr>
                <w:rFonts w:ascii="Arial" w:cs="Arial" w:eastAsia="Arial" w:hAnsi="Arial"/>
                <w:sz w:val="18"/>
                <w:szCs w:val="18"/>
                <w:color w:val="auto"/>
                <w:w w:val="99"/>
              </w:rPr>
              <w:t>Maryland</w:t>
            </w:r>
          </w:p>
        </w:tc>
        <w:tc>
          <w:tcPr>
            <w:tcW w:w="14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100 %</w:t>
            </w: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UOP CH Sàrl</w:t>
            </w:r>
          </w:p>
        </w:tc>
        <w:tc>
          <w:tcPr>
            <w:tcW w:w="3280" w:type="dxa"/>
            <w:vAlign w:val="bottom"/>
          </w:tcPr>
          <w:p>
            <w:pPr>
              <w:jc w:val="center"/>
              <w:ind w:left="10"/>
              <w:spacing w:after="0"/>
              <w:rPr>
                <w:sz w:val="20"/>
                <w:szCs w:val="20"/>
                <w:color w:val="auto"/>
              </w:rPr>
            </w:pPr>
            <w:r>
              <w:rPr>
                <w:rFonts w:ascii="Arial" w:cs="Arial" w:eastAsia="Arial" w:hAnsi="Arial"/>
                <w:sz w:val="18"/>
                <w:szCs w:val="18"/>
                <w:color w:val="auto"/>
              </w:rPr>
              <w:t>Switzerland</w:t>
            </w:r>
          </w:p>
        </w:tc>
        <w:tc>
          <w:tcPr>
            <w:tcW w:w="1480" w:type="dxa"/>
            <w:vAlign w:val="bottom"/>
          </w:tcPr>
          <w:p>
            <w:pPr>
              <w:jc w:val="right"/>
              <w:spacing w:after="0"/>
              <w:rPr>
                <w:sz w:val="20"/>
                <w:szCs w:val="20"/>
                <w:color w:val="auto"/>
              </w:rPr>
            </w:pPr>
            <w:r>
              <w:rPr>
                <w:rFonts w:ascii="Arial" w:cs="Arial" w:eastAsia="Arial" w:hAnsi="Arial"/>
                <w:sz w:val="18"/>
                <w:szCs w:val="18"/>
                <w:color w:val="auto"/>
              </w:rPr>
              <w:t>100 %</w:t>
            </w:r>
          </w:p>
        </w:tc>
      </w:tr>
      <w:tr>
        <w:trPr>
          <w:trHeight w:val="230"/>
        </w:trPr>
        <w:tc>
          <w:tcPr>
            <w:tcW w:w="6440" w:type="dxa"/>
            <w:vAlign w:val="bottom"/>
            <w:shd w:val="clear" w:color="auto" w:fill="DBDBDB"/>
          </w:tcPr>
          <w:p>
            <w:pPr>
              <w:ind w:left="20"/>
              <w:spacing w:after="0"/>
              <w:rPr>
                <w:sz w:val="20"/>
                <w:szCs w:val="20"/>
                <w:color w:val="auto"/>
              </w:rPr>
            </w:pPr>
            <w:r>
              <w:rPr>
                <w:rFonts w:ascii="Arial" w:cs="Arial" w:eastAsia="Arial" w:hAnsi="Arial"/>
                <w:sz w:val="18"/>
                <w:szCs w:val="18"/>
                <w:color w:val="auto"/>
              </w:rPr>
              <w:t>UOP Limited</w:t>
            </w:r>
          </w:p>
        </w:tc>
        <w:tc>
          <w:tcPr>
            <w:tcW w:w="3280" w:type="dxa"/>
            <w:vAlign w:val="bottom"/>
            <w:shd w:val="clear" w:color="auto" w:fill="DBDBDB"/>
          </w:tcPr>
          <w:p>
            <w:pPr>
              <w:jc w:val="center"/>
              <w:ind w:left="30"/>
              <w:spacing w:after="0"/>
              <w:rPr>
                <w:sz w:val="20"/>
                <w:szCs w:val="20"/>
                <w:color w:val="auto"/>
              </w:rPr>
            </w:pPr>
            <w:r>
              <w:rPr>
                <w:rFonts w:ascii="Arial" w:cs="Arial" w:eastAsia="Arial" w:hAnsi="Arial"/>
                <w:sz w:val="18"/>
                <w:szCs w:val="18"/>
                <w:color w:val="auto"/>
                <w:w w:val="99"/>
              </w:rPr>
              <w:t>United Kingdom</w:t>
            </w:r>
          </w:p>
        </w:tc>
        <w:tc>
          <w:tcPr>
            <w:tcW w:w="14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100 %</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UOP LLC</w:t>
            </w:r>
          </w:p>
        </w:tc>
        <w:tc>
          <w:tcPr>
            <w:tcW w:w="3280" w:type="dxa"/>
            <w:vAlign w:val="bottom"/>
          </w:tcPr>
          <w:p>
            <w:pPr>
              <w:jc w:val="center"/>
              <w:ind w:left="30"/>
              <w:spacing w:after="0"/>
              <w:rPr>
                <w:sz w:val="20"/>
                <w:szCs w:val="20"/>
                <w:color w:val="auto"/>
              </w:rPr>
            </w:pPr>
            <w:r>
              <w:rPr>
                <w:rFonts w:ascii="Arial" w:cs="Arial" w:eastAsia="Arial" w:hAnsi="Arial"/>
                <w:sz w:val="18"/>
                <w:szCs w:val="18"/>
                <w:color w:val="auto"/>
                <w:w w:val="99"/>
              </w:rPr>
              <w:t>Delaware</w:t>
            </w:r>
          </w:p>
        </w:tc>
        <w:tc>
          <w:tcPr>
            <w:tcW w:w="1480" w:type="dxa"/>
            <w:vAlign w:val="bottom"/>
          </w:tcPr>
          <w:p>
            <w:pPr>
              <w:jc w:val="right"/>
              <w:spacing w:after="0"/>
              <w:rPr>
                <w:sz w:val="20"/>
                <w:szCs w:val="20"/>
                <w:color w:val="auto"/>
              </w:rPr>
            </w:pPr>
            <w:r>
              <w:rPr>
                <w:rFonts w:ascii="Arial" w:cs="Arial" w:eastAsia="Arial" w:hAnsi="Arial"/>
                <w:sz w:val="18"/>
                <w:szCs w:val="18"/>
                <w:color w:val="auto"/>
              </w:rPr>
              <w:t>100 %</w:t>
            </w:r>
          </w:p>
        </w:tc>
      </w:tr>
      <w:tr>
        <w:trPr>
          <w:trHeight w:val="229"/>
        </w:trPr>
        <w:tc>
          <w:tcPr>
            <w:tcW w:w="6440" w:type="dxa"/>
            <w:vAlign w:val="bottom"/>
            <w:shd w:val="clear" w:color="auto" w:fill="DBDBDB"/>
          </w:tcPr>
          <w:p>
            <w:pPr>
              <w:ind w:left="20"/>
              <w:spacing w:after="0"/>
              <w:rPr>
                <w:sz w:val="20"/>
                <w:szCs w:val="20"/>
                <w:color w:val="auto"/>
              </w:rPr>
            </w:pPr>
            <w:r>
              <w:rPr>
                <w:rFonts w:ascii="Arial" w:cs="Arial" w:eastAsia="Arial" w:hAnsi="Arial"/>
                <w:sz w:val="18"/>
                <w:szCs w:val="18"/>
                <w:color w:val="auto"/>
              </w:rPr>
              <w:t>UOP Process Technology Co., Ltd.</w:t>
            </w:r>
          </w:p>
        </w:tc>
        <w:tc>
          <w:tcPr>
            <w:tcW w:w="3280" w:type="dxa"/>
            <w:vAlign w:val="bottom"/>
            <w:shd w:val="clear" w:color="auto" w:fill="DBDBDB"/>
          </w:tcPr>
          <w:p>
            <w:pPr>
              <w:jc w:val="center"/>
              <w:ind w:left="30"/>
              <w:spacing w:after="0"/>
              <w:rPr>
                <w:sz w:val="20"/>
                <w:szCs w:val="20"/>
                <w:color w:val="auto"/>
              </w:rPr>
            </w:pPr>
            <w:r>
              <w:rPr>
                <w:rFonts w:ascii="Arial" w:cs="Arial" w:eastAsia="Arial" w:hAnsi="Arial"/>
                <w:sz w:val="18"/>
                <w:szCs w:val="18"/>
                <w:color w:val="auto"/>
              </w:rPr>
              <w:t>China</w:t>
            </w:r>
          </w:p>
        </w:tc>
        <w:tc>
          <w:tcPr>
            <w:tcW w:w="14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100 %</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UOP Products LLC</w:t>
            </w:r>
          </w:p>
        </w:tc>
        <w:tc>
          <w:tcPr>
            <w:tcW w:w="3280" w:type="dxa"/>
            <w:vAlign w:val="bottom"/>
          </w:tcPr>
          <w:p>
            <w:pPr>
              <w:jc w:val="center"/>
              <w:ind w:left="30"/>
              <w:spacing w:after="0"/>
              <w:rPr>
                <w:sz w:val="20"/>
                <w:szCs w:val="20"/>
                <w:color w:val="auto"/>
              </w:rPr>
            </w:pPr>
            <w:r>
              <w:rPr>
                <w:rFonts w:ascii="Arial" w:cs="Arial" w:eastAsia="Arial" w:hAnsi="Arial"/>
                <w:sz w:val="18"/>
                <w:szCs w:val="18"/>
                <w:color w:val="auto"/>
                <w:w w:val="99"/>
              </w:rPr>
              <w:t>Delaware</w:t>
            </w:r>
          </w:p>
        </w:tc>
        <w:tc>
          <w:tcPr>
            <w:tcW w:w="1480" w:type="dxa"/>
            <w:vAlign w:val="bottom"/>
          </w:tcPr>
          <w:p>
            <w:pPr>
              <w:jc w:val="right"/>
              <w:spacing w:after="0"/>
              <w:rPr>
                <w:sz w:val="20"/>
                <w:szCs w:val="20"/>
                <w:color w:val="auto"/>
              </w:rPr>
            </w:pPr>
            <w:r>
              <w:rPr>
                <w:rFonts w:ascii="Arial" w:cs="Arial" w:eastAsia="Arial" w:hAnsi="Arial"/>
                <w:sz w:val="18"/>
                <w:szCs w:val="18"/>
                <w:color w:val="auto"/>
              </w:rPr>
              <w:t>100 %</w:t>
            </w:r>
          </w:p>
        </w:tc>
      </w:tr>
      <w:tr>
        <w:trPr>
          <w:trHeight w:val="230"/>
        </w:trPr>
        <w:tc>
          <w:tcPr>
            <w:tcW w:w="6440" w:type="dxa"/>
            <w:vAlign w:val="bottom"/>
            <w:shd w:val="clear" w:color="auto" w:fill="DBDBDB"/>
          </w:tcPr>
          <w:p>
            <w:pPr>
              <w:ind w:left="20"/>
              <w:spacing w:after="0"/>
              <w:rPr>
                <w:sz w:val="20"/>
                <w:szCs w:val="20"/>
                <w:color w:val="auto"/>
              </w:rPr>
            </w:pPr>
            <w:r>
              <w:rPr>
                <w:rFonts w:ascii="Arial" w:cs="Arial" w:eastAsia="Arial" w:hAnsi="Arial"/>
                <w:sz w:val="18"/>
                <w:szCs w:val="18"/>
                <w:color w:val="auto"/>
              </w:rPr>
              <w:t>UOP Russell LLC</w:t>
            </w:r>
          </w:p>
        </w:tc>
        <w:tc>
          <w:tcPr>
            <w:tcW w:w="3280" w:type="dxa"/>
            <w:vAlign w:val="bottom"/>
            <w:shd w:val="clear" w:color="auto" w:fill="DBDBDB"/>
          </w:tcPr>
          <w:p>
            <w:pPr>
              <w:jc w:val="center"/>
              <w:ind w:left="30"/>
              <w:spacing w:after="0"/>
              <w:rPr>
                <w:sz w:val="20"/>
                <w:szCs w:val="20"/>
                <w:color w:val="auto"/>
              </w:rPr>
            </w:pPr>
            <w:r>
              <w:rPr>
                <w:rFonts w:ascii="Arial" w:cs="Arial" w:eastAsia="Arial" w:hAnsi="Arial"/>
                <w:sz w:val="18"/>
                <w:szCs w:val="18"/>
                <w:color w:val="auto"/>
                <w:w w:val="99"/>
              </w:rPr>
              <w:t>Delaware</w:t>
            </w:r>
          </w:p>
        </w:tc>
        <w:tc>
          <w:tcPr>
            <w:tcW w:w="14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100 %</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UOP Services Limited</w:t>
            </w:r>
          </w:p>
        </w:tc>
        <w:tc>
          <w:tcPr>
            <w:tcW w:w="3280" w:type="dxa"/>
            <w:vAlign w:val="bottom"/>
          </w:tcPr>
          <w:p>
            <w:pPr>
              <w:jc w:val="center"/>
              <w:ind w:left="30"/>
              <w:spacing w:after="0"/>
              <w:rPr>
                <w:sz w:val="20"/>
                <w:szCs w:val="20"/>
                <w:color w:val="auto"/>
              </w:rPr>
            </w:pPr>
            <w:r>
              <w:rPr>
                <w:rFonts w:ascii="Arial" w:cs="Arial" w:eastAsia="Arial" w:hAnsi="Arial"/>
                <w:sz w:val="18"/>
                <w:szCs w:val="18"/>
                <w:color w:val="auto"/>
                <w:w w:val="99"/>
              </w:rPr>
              <w:t>United Kingdom</w:t>
            </w:r>
          </w:p>
        </w:tc>
        <w:tc>
          <w:tcPr>
            <w:tcW w:w="1480" w:type="dxa"/>
            <w:vAlign w:val="bottom"/>
          </w:tcPr>
          <w:p>
            <w:pPr>
              <w:jc w:val="right"/>
              <w:spacing w:after="0"/>
              <w:rPr>
                <w:sz w:val="20"/>
                <w:szCs w:val="20"/>
                <w:color w:val="auto"/>
              </w:rPr>
            </w:pPr>
            <w:r>
              <w:rPr>
                <w:rFonts w:ascii="Arial" w:cs="Arial" w:eastAsia="Arial" w:hAnsi="Arial"/>
                <w:sz w:val="18"/>
                <w:szCs w:val="18"/>
                <w:color w:val="auto"/>
              </w:rPr>
              <w:t>100 %</w:t>
            </w:r>
          </w:p>
        </w:tc>
      </w:tr>
      <w:tr>
        <w:trPr>
          <w:trHeight w:val="229"/>
        </w:trPr>
        <w:tc>
          <w:tcPr>
            <w:tcW w:w="6440" w:type="dxa"/>
            <w:vAlign w:val="bottom"/>
            <w:shd w:val="clear" w:color="auto" w:fill="DBDBDB"/>
          </w:tcPr>
          <w:p>
            <w:pPr>
              <w:ind w:left="20"/>
              <w:spacing w:after="0"/>
              <w:rPr>
                <w:sz w:val="20"/>
                <w:szCs w:val="20"/>
                <w:color w:val="auto"/>
              </w:rPr>
            </w:pPr>
            <w:r>
              <w:rPr>
                <w:rFonts w:ascii="Arial" w:cs="Arial" w:eastAsia="Arial" w:hAnsi="Arial"/>
                <w:sz w:val="18"/>
                <w:szCs w:val="18"/>
                <w:color w:val="auto"/>
              </w:rPr>
              <w:t>Vocollect, Inc.</w:t>
            </w:r>
          </w:p>
        </w:tc>
        <w:tc>
          <w:tcPr>
            <w:tcW w:w="3280" w:type="dxa"/>
            <w:vAlign w:val="bottom"/>
            <w:shd w:val="clear" w:color="auto" w:fill="DBDBDB"/>
          </w:tcPr>
          <w:p>
            <w:pPr>
              <w:jc w:val="center"/>
              <w:ind w:left="30"/>
              <w:spacing w:after="0"/>
              <w:rPr>
                <w:sz w:val="20"/>
                <w:szCs w:val="20"/>
                <w:color w:val="auto"/>
              </w:rPr>
            </w:pPr>
            <w:r>
              <w:rPr>
                <w:rFonts w:ascii="Arial" w:cs="Arial" w:eastAsia="Arial" w:hAnsi="Arial"/>
                <w:sz w:val="18"/>
                <w:szCs w:val="18"/>
                <w:color w:val="auto"/>
              </w:rPr>
              <w:t>Pennsylvania</w:t>
            </w:r>
          </w:p>
        </w:tc>
        <w:tc>
          <w:tcPr>
            <w:tcW w:w="14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100 %</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Xian System Sensor Electronics Ltd.</w:t>
            </w:r>
          </w:p>
        </w:tc>
        <w:tc>
          <w:tcPr>
            <w:tcW w:w="3280" w:type="dxa"/>
            <w:vAlign w:val="bottom"/>
          </w:tcPr>
          <w:p>
            <w:pPr>
              <w:jc w:val="center"/>
              <w:ind w:left="30"/>
              <w:spacing w:after="0"/>
              <w:rPr>
                <w:sz w:val="20"/>
                <w:szCs w:val="20"/>
                <w:color w:val="auto"/>
              </w:rPr>
            </w:pPr>
            <w:r>
              <w:rPr>
                <w:rFonts w:ascii="Arial" w:cs="Arial" w:eastAsia="Arial" w:hAnsi="Arial"/>
                <w:sz w:val="18"/>
                <w:szCs w:val="18"/>
                <w:color w:val="auto"/>
              </w:rPr>
              <w:t>China</w:t>
            </w:r>
          </w:p>
        </w:tc>
        <w:tc>
          <w:tcPr>
            <w:tcW w:w="1480" w:type="dxa"/>
            <w:vAlign w:val="bottom"/>
          </w:tcPr>
          <w:p>
            <w:pPr>
              <w:jc w:val="right"/>
              <w:spacing w:after="0"/>
              <w:rPr>
                <w:sz w:val="20"/>
                <w:szCs w:val="20"/>
                <w:color w:val="auto"/>
              </w:rPr>
            </w:pPr>
            <w:r>
              <w:rPr>
                <w:rFonts w:ascii="Arial" w:cs="Arial" w:eastAsia="Arial" w:hAnsi="Arial"/>
                <w:sz w:val="18"/>
                <w:szCs w:val="18"/>
                <w:color w:val="auto"/>
              </w:rPr>
              <w:t>60 %</w:t>
            </w:r>
          </w:p>
        </w:tc>
      </w:tr>
    </w:tbl>
    <w:p>
      <w:pPr>
        <w:sectPr>
          <w:pgSz w:w="11900" w:h="16838" w:orient="portrait"/>
          <w:cols w:equalWidth="0" w:num="1">
            <w:col w:w="11200"/>
          </w:cols>
          <w:pgMar w:left="320" w:top="936" w:right="379" w:bottom="1440" w:gutter="0" w:footer="0" w:header="0"/>
        </w:sectPr>
      </w:pPr>
    </w:p>
    <w:bookmarkStart w:id="191" w:name="page192"/>
    <w:bookmarkEnd w:id="191"/>
    <w:p>
      <w:pPr>
        <w:jc w:val="right"/>
        <w:spacing w:after="0"/>
        <w:rPr>
          <w:sz w:val="20"/>
          <w:szCs w:val="20"/>
          <w:color w:val="auto"/>
        </w:rPr>
      </w:pPr>
      <w:r>
        <w:rPr>
          <w:rFonts w:ascii="Arial" w:cs="Arial" w:eastAsia="Arial" w:hAnsi="Arial"/>
          <w:sz w:val="20"/>
          <w:szCs w:val="20"/>
          <w:b w:val="1"/>
          <w:bCs w:val="1"/>
          <w:color w:val="auto"/>
        </w:rPr>
        <w:t>EXHIBIT 23.1</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27"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We consent to the incorporation by reference in Registration Statement Nos. 033-55425, 333-22355, 333-101455 and 333-228729 on Form S-3 and Registration Statement Nos. 033-58347, 333-49280, 333-136083, 333-136086, 333-146932, 333-148995, 333-175260, 333-195331, 333-210889, 333-210899 and 333-228733 on Form S-8 of our report dated February 12, 2021, relating to the consolidated financial statements of Honeywell International Inc. and subsidiaries and the effectiveness of the Honeywell International Inc. and subsidiaries’ internal control over financial reporting, appearing in this Annual Report on Form 10-K of Honeywell International Inc. for the year ended December 31, 2020.</w:t>
      </w:r>
    </w:p>
    <w:p>
      <w:pPr>
        <w:spacing w:after="0" w:line="290" w:lineRule="exact"/>
        <w:rPr>
          <w:sz w:val="20"/>
          <w:szCs w:val="20"/>
          <w:color w:val="auto"/>
        </w:rPr>
      </w:pPr>
    </w:p>
    <w:p>
      <w:pPr>
        <w:spacing w:after="0"/>
        <w:rPr>
          <w:sz w:val="20"/>
          <w:szCs w:val="20"/>
          <w:color w:val="auto"/>
        </w:rPr>
      </w:pPr>
      <w:r>
        <w:rPr>
          <w:rFonts w:ascii="Arial" w:cs="Arial" w:eastAsia="Arial" w:hAnsi="Arial"/>
          <w:sz w:val="20"/>
          <w:szCs w:val="20"/>
          <w:color w:val="auto"/>
        </w:rPr>
        <w:t>/s/ Deloitte &amp; Touche LLP</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0"/>
          <w:szCs w:val="20"/>
          <w:color w:val="auto"/>
        </w:rPr>
        <w:t>February 12, 2021</w:t>
      </w:r>
    </w:p>
    <w:p>
      <w:pPr>
        <w:sectPr>
          <w:pgSz w:w="11900" w:h="16838" w:orient="portrait"/>
          <w:cols w:equalWidth="0" w:num="1">
            <w:col w:w="11240"/>
          </w:cols>
          <w:pgMar w:left="320" w:top="886" w:right="339" w:bottom="1440" w:gutter="0" w:footer="0" w:header="0"/>
        </w:sectPr>
      </w:pPr>
    </w:p>
    <w:bookmarkStart w:id="192" w:name="page193"/>
    <w:bookmarkEnd w:id="192"/>
    <w:p>
      <w:pPr>
        <w:jc w:val="right"/>
        <w:spacing w:after="0"/>
        <w:rPr>
          <w:sz w:val="20"/>
          <w:szCs w:val="20"/>
          <w:color w:val="auto"/>
        </w:rPr>
      </w:pPr>
      <w:r>
        <w:rPr>
          <w:rFonts w:ascii="Arial" w:cs="Arial" w:eastAsia="Arial" w:hAnsi="Arial"/>
          <w:sz w:val="18"/>
          <w:szCs w:val="18"/>
          <w:b w:val="1"/>
          <w:bCs w:val="1"/>
          <w:color w:val="auto"/>
        </w:rPr>
        <w:t>EXHIBIT 24</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200" w:lineRule="exact"/>
        <w:rPr>
          <w:sz w:val="20"/>
          <w:szCs w:val="20"/>
          <w:color w:val="auto"/>
        </w:rPr>
      </w:pPr>
    </w:p>
    <w:p>
      <w:pPr>
        <w:spacing w:after="0" w:line="282" w:lineRule="exact"/>
        <w:rPr>
          <w:sz w:val="20"/>
          <w:szCs w:val="20"/>
          <w:color w:val="auto"/>
        </w:rPr>
      </w:pPr>
    </w:p>
    <w:p>
      <w:pPr>
        <w:jc w:val="both"/>
        <w:spacing w:after="0"/>
        <w:rPr>
          <w:sz w:val="20"/>
          <w:szCs w:val="20"/>
          <w:color w:val="auto"/>
        </w:rPr>
      </w:pPr>
      <w:r>
        <w:rPr>
          <w:rFonts w:ascii="Arial" w:cs="Arial" w:eastAsia="Arial" w:hAnsi="Arial"/>
          <w:sz w:val="18"/>
          <w:szCs w:val="18"/>
          <w:color w:val="auto"/>
        </w:rPr>
        <w:t>Each of the undersigned, as a director of Honeywell International Inc. (the “Company”), a Delaware corporation, hereby appoints Darius Adamczyk, Gregory P. Lewis, Anne T. Madden, and Robert D. Mailloux, each with power to act without the other and with power of substitution and resubstitution, as my attorney-in-fact and agent for me and in my name, place and stead in any and all capacities,</w:t>
      </w:r>
    </w:p>
    <w:p>
      <w:pPr>
        <w:spacing w:after="0" w:line="230" w:lineRule="exact"/>
        <w:rPr>
          <w:sz w:val="20"/>
          <w:szCs w:val="20"/>
          <w:color w:val="auto"/>
        </w:rPr>
      </w:pPr>
    </w:p>
    <w:p>
      <w:pPr>
        <w:ind w:left="660" w:right="20" w:hanging="328"/>
        <w:spacing w:after="0" w:line="246" w:lineRule="auto"/>
        <w:tabs>
          <w:tab w:leader="none" w:pos="65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to sign the Company’s Annual Report on Form 10-K under the Securities Exchange Act of 1934 for the year ended December 31, 2020,</w:t>
      </w:r>
    </w:p>
    <w:p>
      <w:pPr>
        <w:spacing w:after="0" w:line="223" w:lineRule="exact"/>
        <w:rPr>
          <w:rFonts w:ascii="Arial" w:cs="Arial" w:eastAsia="Arial" w:hAnsi="Arial"/>
          <w:sz w:val="18"/>
          <w:szCs w:val="18"/>
          <w:color w:val="auto"/>
        </w:rPr>
      </w:pPr>
    </w:p>
    <w:p>
      <w:pPr>
        <w:ind w:left="660" w:hanging="328"/>
        <w:spacing w:after="0" w:line="246" w:lineRule="auto"/>
        <w:tabs>
          <w:tab w:leader="none" w:pos="65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to sign any amendment to the Annual Report referred to in (i) above, or to any previously filed Annual Report on Form 10-K for any prior fiscal year, and</w:t>
      </w:r>
    </w:p>
    <w:p>
      <w:pPr>
        <w:spacing w:after="0" w:line="223" w:lineRule="exact"/>
        <w:rPr>
          <w:rFonts w:ascii="Arial" w:cs="Arial" w:eastAsia="Arial" w:hAnsi="Arial"/>
          <w:sz w:val="18"/>
          <w:szCs w:val="18"/>
          <w:color w:val="auto"/>
        </w:rPr>
      </w:pPr>
    </w:p>
    <w:p>
      <w:pPr>
        <w:ind w:left="660" w:hanging="328"/>
        <w:spacing w:after="0"/>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to file the documents described in (i) and (ii) above and all exhibits thereto and any and all other documents in connection therewith,</w:t>
      </w:r>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granting unto each said attorney-in-fact and agent full power and authority to do and perform every act and thing requisite, necessary or desirable to be done in connection therewith, as fully to all intents and purposes as I might or could do in person, hereby ratifying and confirming all that said attorneys-in-fact and agents, or any of them, or their or his or her substitutes or substitute, may lawfully do or cause to be done by virtue hereof.</w:t>
      </w:r>
    </w:p>
    <w:p>
      <w:pPr>
        <w:sectPr>
          <w:pgSz w:w="11900" w:h="16838" w:orient="portrait"/>
          <w:cols w:equalWidth="0" w:num="1">
            <w:col w:w="11240"/>
          </w:cols>
          <w:pgMar w:left="320" w:top="1413" w:right="339" w:bottom="1440" w:gutter="0" w:footer="0" w:header="0"/>
        </w:sectPr>
      </w:pPr>
    </w:p>
    <w:bookmarkStart w:id="193" w:name="page194"/>
    <w:bookmarkEnd w:id="193"/>
    <w:p>
      <w:pPr>
        <w:spacing w:after="0" w:line="246" w:lineRule="auto"/>
        <w:rPr>
          <w:sz w:val="20"/>
          <w:szCs w:val="20"/>
          <w:color w:val="auto"/>
        </w:rPr>
      </w:pPr>
      <w:r>
        <w:rPr>
          <w:rFonts w:ascii="Arial" w:cs="Arial" w:eastAsia="Arial" w:hAnsi="Arial"/>
          <w:sz w:val="18"/>
          <w:szCs w:val="18"/>
          <w:color w:val="auto"/>
        </w:rPr>
        <w:t>This Power of Attorney may be signed in any number of counterparts, each of which shall be an original, with the same effect as if the signatures thereto and hereto were upon the same instrument.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December 11, 2020</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Linnet Deily</w:t>
      </w:r>
    </w:p>
    <w:p>
      <w:pPr>
        <w:spacing w:after="0"/>
        <w:rPr>
          <w:sz w:val="20"/>
          <w:szCs w:val="20"/>
          <w:color w:val="auto"/>
        </w:rPr>
      </w:pPr>
      <w:r>
        <w:rPr>
          <w:rFonts w:ascii="Arial" w:cs="Arial" w:eastAsia="Arial" w:hAnsi="Arial"/>
          <w:sz w:val="18"/>
          <w:szCs w:val="18"/>
          <w:color w:val="auto"/>
        </w:rPr>
        <w:t>Linnet Deily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Clive Hollick</w:t>
      </w:r>
    </w:p>
    <w:p>
      <w:pPr>
        <w:spacing w:after="0"/>
        <w:rPr>
          <w:sz w:val="20"/>
          <w:szCs w:val="20"/>
          <w:color w:val="auto"/>
        </w:rPr>
      </w:pPr>
      <w:r>
        <w:rPr>
          <w:rFonts w:ascii="Arial" w:cs="Arial" w:eastAsia="Arial" w:hAnsi="Arial"/>
          <w:sz w:val="18"/>
          <w:szCs w:val="18"/>
          <w:color w:val="auto"/>
        </w:rPr>
        <w:t>Clive Hollick</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Judd Gregg</w:t>
      </w:r>
    </w:p>
    <w:p>
      <w:pPr>
        <w:spacing w:after="0"/>
        <w:rPr>
          <w:sz w:val="20"/>
          <w:szCs w:val="20"/>
          <w:color w:val="auto"/>
        </w:rPr>
      </w:pPr>
      <w:r>
        <w:rPr>
          <w:rFonts w:ascii="Arial" w:cs="Arial" w:eastAsia="Arial" w:hAnsi="Arial"/>
          <w:sz w:val="18"/>
          <w:szCs w:val="18"/>
          <w:color w:val="auto"/>
        </w:rPr>
        <w:t>Judd Gregg</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Kevin Burke</w:t>
      </w:r>
    </w:p>
    <w:p>
      <w:pPr>
        <w:spacing w:after="0"/>
        <w:rPr>
          <w:sz w:val="20"/>
          <w:szCs w:val="20"/>
          <w:color w:val="auto"/>
        </w:rPr>
      </w:pPr>
      <w:r>
        <w:rPr>
          <w:rFonts w:ascii="Arial" w:cs="Arial" w:eastAsia="Arial" w:hAnsi="Arial"/>
          <w:sz w:val="18"/>
          <w:szCs w:val="18"/>
          <w:color w:val="auto"/>
        </w:rPr>
        <w:t>Kevin Burke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 Scott Davis</w:t>
      </w:r>
    </w:p>
    <w:p>
      <w:pPr>
        <w:spacing w:after="0"/>
        <w:rPr>
          <w:sz w:val="20"/>
          <w:szCs w:val="20"/>
          <w:color w:val="auto"/>
        </w:rPr>
      </w:pPr>
      <w:r>
        <w:rPr>
          <w:rFonts w:ascii="Arial" w:cs="Arial" w:eastAsia="Arial" w:hAnsi="Arial"/>
          <w:sz w:val="18"/>
          <w:szCs w:val="18"/>
          <w:color w:val="auto"/>
        </w:rPr>
        <w:t>D. Scott Davis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Robin Washington</w:t>
      </w:r>
    </w:p>
    <w:p>
      <w:pPr>
        <w:spacing w:after="0"/>
        <w:rPr>
          <w:sz w:val="20"/>
          <w:szCs w:val="20"/>
          <w:color w:val="auto"/>
        </w:rPr>
      </w:pPr>
      <w:r>
        <w:rPr>
          <w:rFonts w:ascii="Arial" w:cs="Arial" w:eastAsia="Arial" w:hAnsi="Arial"/>
          <w:sz w:val="18"/>
          <w:szCs w:val="18"/>
          <w:color w:val="auto"/>
        </w:rPr>
        <w:t>Robin Washington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Grace Lieblein</w:t>
      </w:r>
    </w:p>
    <w:p>
      <w:pPr>
        <w:spacing w:after="0"/>
        <w:rPr>
          <w:sz w:val="20"/>
          <w:szCs w:val="20"/>
          <w:color w:val="auto"/>
        </w:rPr>
      </w:pPr>
      <w:r>
        <w:rPr>
          <w:rFonts w:ascii="Arial" w:cs="Arial" w:eastAsia="Arial" w:hAnsi="Arial"/>
          <w:sz w:val="18"/>
          <w:szCs w:val="18"/>
          <w:color w:val="auto"/>
        </w:rPr>
        <w:t>Grace Lieblein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George Paz</w:t>
      </w:r>
    </w:p>
    <w:p>
      <w:pPr>
        <w:spacing w:after="0"/>
        <w:rPr>
          <w:sz w:val="20"/>
          <w:szCs w:val="20"/>
          <w:color w:val="auto"/>
        </w:rPr>
      </w:pPr>
      <w:r>
        <w:rPr>
          <w:rFonts w:ascii="Arial" w:cs="Arial" w:eastAsia="Arial" w:hAnsi="Arial"/>
          <w:sz w:val="18"/>
          <w:szCs w:val="18"/>
          <w:color w:val="auto"/>
        </w:rPr>
        <w:t>George Paz</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Raymond Odierno</w:t>
      </w:r>
    </w:p>
    <w:p>
      <w:pPr>
        <w:spacing w:after="0"/>
        <w:rPr>
          <w:sz w:val="20"/>
          <w:szCs w:val="20"/>
          <w:color w:val="auto"/>
        </w:rPr>
      </w:pPr>
      <w:r>
        <w:rPr>
          <w:rFonts w:ascii="Arial" w:cs="Arial" w:eastAsia="Arial" w:hAnsi="Arial"/>
          <w:sz w:val="18"/>
          <w:szCs w:val="18"/>
          <w:color w:val="auto"/>
        </w:rPr>
        <w:t>Raymond Odierno</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William Ayer</w:t>
      </w:r>
    </w:p>
    <w:p>
      <w:pPr>
        <w:spacing w:after="0"/>
        <w:rPr>
          <w:sz w:val="20"/>
          <w:szCs w:val="20"/>
          <w:color w:val="auto"/>
        </w:rPr>
      </w:pPr>
      <w:r>
        <w:rPr>
          <w:rFonts w:ascii="Arial" w:cs="Arial" w:eastAsia="Arial" w:hAnsi="Arial"/>
          <w:sz w:val="18"/>
          <w:szCs w:val="18"/>
          <w:color w:val="auto"/>
        </w:rPr>
        <w:t>William Ayer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Duncan Angove</w:t>
      </w:r>
    </w:p>
    <w:p>
      <w:pPr>
        <w:spacing w:after="0"/>
        <w:rPr>
          <w:sz w:val="20"/>
          <w:szCs w:val="20"/>
          <w:color w:val="auto"/>
        </w:rPr>
      </w:pPr>
      <w:r>
        <w:rPr>
          <w:rFonts w:ascii="Arial" w:cs="Arial" w:eastAsia="Arial" w:hAnsi="Arial"/>
          <w:sz w:val="18"/>
          <w:szCs w:val="18"/>
          <w:color w:val="auto"/>
        </w:rPr>
        <w:t>Duncan Angove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Deborah Flint</w:t>
      </w:r>
    </w:p>
    <w:p>
      <w:pPr>
        <w:spacing w:after="0"/>
        <w:rPr>
          <w:sz w:val="20"/>
          <w:szCs w:val="20"/>
          <w:color w:val="auto"/>
        </w:rPr>
      </w:pPr>
      <w:r>
        <w:rPr>
          <w:rFonts w:ascii="Arial" w:cs="Arial" w:eastAsia="Arial" w:hAnsi="Arial"/>
          <w:sz w:val="18"/>
          <w:szCs w:val="18"/>
          <w:color w:val="auto"/>
        </w:rPr>
        <w:t>Deborah Flint</w:t>
      </w:r>
    </w:p>
    <w:p>
      <w:pPr>
        <w:sectPr>
          <w:pgSz w:w="11900" w:h="16838" w:orient="portrait"/>
          <w:cols w:equalWidth="0" w:num="1">
            <w:col w:w="11240"/>
          </w:cols>
          <w:pgMar w:left="320" w:top="1435" w:right="339" w:bottom="1440" w:gutter="0" w:footer="0" w:header="0"/>
        </w:sectPr>
      </w:pPr>
    </w:p>
    <w:bookmarkStart w:id="194" w:name="page195"/>
    <w:bookmarkEnd w:id="194"/>
    <w:p>
      <w:pPr>
        <w:jc w:val="center"/>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200" w:lineRule="exact"/>
        <w:rPr>
          <w:sz w:val="20"/>
          <w:szCs w:val="20"/>
          <w:color w:val="auto"/>
        </w:rPr>
      </w:pPr>
    </w:p>
    <w:p>
      <w:pPr>
        <w:spacing w:after="0" w:line="304" w:lineRule="exact"/>
        <w:rPr>
          <w:sz w:val="20"/>
          <w:szCs w:val="20"/>
          <w:color w:val="auto"/>
        </w:rPr>
      </w:pPr>
    </w:p>
    <w:p>
      <w:pPr>
        <w:jc w:val="both"/>
        <w:spacing w:after="0" w:line="204" w:lineRule="exact"/>
        <w:rPr>
          <w:sz w:val="20"/>
          <w:szCs w:val="20"/>
          <w:color w:val="auto"/>
        </w:rPr>
      </w:pPr>
      <w:r>
        <w:rPr>
          <w:rFonts w:ascii="Arial" w:cs="Arial" w:eastAsia="Arial" w:hAnsi="Arial"/>
          <w:sz w:val="18"/>
          <w:szCs w:val="18"/>
          <w:color w:val="auto"/>
        </w:rPr>
        <w:t>Each of the undersigned, as a director of Honeywell International Inc. (the “Company”), a Delaware corporation, hereby appoints Darius Adamczyk, Gregory P. Lewis, Anne T. Madden, and Robert D. Mailloux, each with power to act without the other and with power of substitution and resubstitution, as my attorney-in-fact to sign on my behalf in my capacity as a director of the Company one or more registration statements on Form S-8 or any other appropriate form during fiscal year 2021 and to file the same together with all exhibits thereto, under the Securities Act of 1933, including any amendment or supplement thereto or to any registration statement heretofore filed by the Company on Form S</w:t>
      </w:r>
      <w:r>
        <w:rPr>
          <w:rFonts w:ascii="MS PGothic" w:cs="MS PGothic" w:eastAsia="MS PGothic" w:hAnsi="MS PGothic"/>
          <w:sz w:val="18"/>
          <w:szCs w:val="18"/>
          <w:color w:val="auto"/>
        </w:rPr>
        <w:t>‑</w:t>
      </w:r>
      <w:r>
        <w:rPr>
          <w:rFonts w:ascii="Arial" w:cs="Arial" w:eastAsia="Arial" w:hAnsi="Arial"/>
          <w:sz w:val="18"/>
          <w:szCs w:val="18"/>
          <w:color w:val="auto"/>
        </w:rPr>
        <w:t>8 or any other appropriate form for the registration of shares of the Company's Common Stock (or participations where appropriate) to be offered pursuant to the Honeywell Savings and Ownership Plan, the Honeywell Puerto Rico Savings and Ownership Plan, the Honeywell Supplemental Savings Plan, the 2006 Stock Plan for Non-Employee Directors of Honeywell International Inc., the 2007 Honeywell Global Employee Stock Plan (including any and all sub-plans), the 2011 Stock Incentive Plan of Honeywell International Inc. and its Affiliates, the 2016 Stock Plan for Non-Employee Directors of Honeywell International Inc., and the 2016 Stock Incentive Plan of Honeywell International Inc. and its Affiliates and any plan which is a successor to such plans or is a validly authorized new plan pursuant to which securities of the Company are issued to employees or non-employee directors.</w:t>
      </w:r>
    </w:p>
    <w:p>
      <w:pPr>
        <w:spacing w:after="0" w:line="231" w:lineRule="exact"/>
        <w:rPr>
          <w:sz w:val="20"/>
          <w:szCs w:val="20"/>
          <w:color w:val="auto"/>
        </w:rPr>
      </w:pPr>
    </w:p>
    <w:p>
      <w:pPr>
        <w:jc w:val="both"/>
        <w:spacing w:after="0"/>
        <w:rPr>
          <w:sz w:val="20"/>
          <w:szCs w:val="20"/>
          <w:color w:val="auto"/>
        </w:rPr>
      </w:pPr>
      <w:r>
        <w:rPr>
          <w:rFonts w:ascii="Arial" w:cs="Arial" w:eastAsia="Arial" w:hAnsi="Arial"/>
          <w:sz w:val="18"/>
          <w:szCs w:val="18"/>
          <w:color w:val="auto"/>
        </w:rPr>
        <w:t>I hereby grant to each such attorney-in-fact full power and authority to perform every act necessary to be done in connection with the foregoing as fully as I might do in person, hereby ratifying and confirming all that said attorneys-in-fact, or any of them or their substitutes, may lawfully do or cause to be done.</w:t>
      </w:r>
    </w:p>
    <w:p>
      <w:pPr>
        <w:spacing w:after="0" w:line="230"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I hereby revoke any or all prior appointments of attorneys</w:t>
      </w:r>
      <w:r>
        <w:rPr>
          <w:rFonts w:ascii="MS PGothic" w:cs="MS PGothic" w:eastAsia="MS PGothic" w:hAnsi="MS PGothic"/>
          <w:sz w:val="18"/>
          <w:szCs w:val="18"/>
          <w:color w:val="auto"/>
        </w:rPr>
        <w:t>‑</w:t>
      </w: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fact to sign the above-described documents.</w:t>
      </w:r>
    </w:p>
    <w:p>
      <w:pPr>
        <w:sectPr>
          <w:pgSz w:w="11900" w:h="16838" w:orient="portrait"/>
          <w:cols w:equalWidth="0" w:num="1">
            <w:col w:w="11240"/>
          </w:cols>
          <w:pgMar w:left="320" w:top="1413" w:right="339" w:bottom="1440" w:gutter="0" w:footer="0" w:header="0"/>
        </w:sectPr>
      </w:pPr>
    </w:p>
    <w:bookmarkStart w:id="195" w:name="page196"/>
    <w:bookmarkEnd w:id="195"/>
    <w:p>
      <w:pPr>
        <w:spacing w:after="0" w:line="246" w:lineRule="auto"/>
        <w:rPr>
          <w:sz w:val="20"/>
          <w:szCs w:val="20"/>
          <w:color w:val="auto"/>
        </w:rPr>
      </w:pPr>
      <w:r>
        <w:rPr>
          <w:rFonts w:ascii="Arial" w:cs="Arial" w:eastAsia="Arial" w:hAnsi="Arial"/>
          <w:sz w:val="18"/>
          <w:szCs w:val="18"/>
          <w:color w:val="auto"/>
        </w:rPr>
        <w:t>This Power of Attorney may be signed in any number of counterparts, each of which shall be an original, with the same effect as if the signatures thereto and hereto were upon the same instrument.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December 11, 2020</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Linnet Deily</w:t>
      </w:r>
    </w:p>
    <w:p>
      <w:pPr>
        <w:spacing w:after="0"/>
        <w:rPr>
          <w:sz w:val="20"/>
          <w:szCs w:val="20"/>
          <w:color w:val="auto"/>
        </w:rPr>
      </w:pPr>
      <w:r>
        <w:rPr>
          <w:rFonts w:ascii="Arial" w:cs="Arial" w:eastAsia="Arial" w:hAnsi="Arial"/>
          <w:sz w:val="18"/>
          <w:szCs w:val="18"/>
          <w:color w:val="auto"/>
        </w:rPr>
        <w:t>Linnet Deily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Clive Hollick</w:t>
      </w:r>
    </w:p>
    <w:p>
      <w:pPr>
        <w:spacing w:after="0"/>
        <w:rPr>
          <w:sz w:val="20"/>
          <w:szCs w:val="20"/>
          <w:color w:val="auto"/>
        </w:rPr>
      </w:pPr>
      <w:r>
        <w:rPr>
          <w:rFonts w:ascii="Arial" w:cs="Arial" w:eastAsia="Arial" w:hAnsi="Arial"/>
          <w:sz w:val="18"/>
          <w:szCs w:val="18"/>
          <w:color w:val="auto"/>
        </w:rPr>
        <w:t>Clive Hollick</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Judd Gregg</w:t>
      </w:r>
    </w:p>
    <w:p>
      <w:pPr>
        <w:spacing w:after="0"/>
        <w:rPr>
          <w:sz w:val="20"/>
          <w:szCs w:val="20"/>
          <w:color w:val="auto"/>
        </w:rPr>
      </w:pPr>
      <w:r>
        <w:rPr>
          <w:rFonts w:ascii="Arial" w:cs="Arial" w:eastAsia="Arial" w:hAnsi="Arial"/>
          <w:sz w:val="18"/>
          <w:szCs w:val="18"/>
          <w:color w:val="auto"/>
        </w:rPr>
        <w:t>Judd Gregg</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Kevin Burke</w:t>
      </w:r>
    </w:p>
    <w:p>
      <w:pPr>
        <w:spacing w:after="0"/>
        <w:rPr>
          <w:sz w:val="20"/>
          <w:szCs w:val="20"/>
          <w:color w:val="auto"/>
        </w:rPr>
      </w:pPr>
      <w:r>
        <w:rPr>
          <w:rFonts w:ascii="Arial" w:cs="Arial" w:eastAsia="Arial" w:hAnsi="Arial"/>
          <w:sz w:val="18"/>
          <w:szCs w:val="18"/>
          <w:color w:val="auto"/>
        </w:rPr>
        <w:t>Kevin Burke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 Scott Davis</w:t>
      </w:r>
    </w:p>
    <w:p>
      <w:pPr>
        <w:spacing w:after="0"/>
        <w:rPr>
          <w:sz w:val="20"/>
          <w:szCs w:val="20"/>
          <w:color w:val="auto"/>
        </w:rPr>
      </w:pPr>
      <w:r>
        <w:rPr>
          <w:rFonts w:ascii="Arial" w:cs="Arial" w:eastAsia="Arial" w:hAnsi="Arial"/>
          <w:sz w:val="18"/>
          <w:szCs w:val="18"/>
          <w:color w:val="auto"/>
        </w:rPr>
        <w:t>D. Scott Davis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Robin Washington</w:t>
      </w:r>
    </w:p>
    <w:p>
      <w:pPr>
        <w:spacing w:after="0"/>
        <w:rPr>
          <w:sz w:val="20"/>
          <w:szCs w:val="20"/>
          <w:color w:val="auto"/>
        </w:rPr>
      </w:pPr>
      <w:r>
        <w:rPr>
          <w:rFonts w:ascii="Arial" w:cs="Arial" w:eastAsia="Arial" w:hAnsi="Arial"/>
          <w:sz w:val="18"/>
          <w:szCs w:val="18"/>
          <w:color w:val="auto"/>
        </w:rPr>
        <w:t>Robin Washington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Grace Lieblein</w:t>
      </w:r>
    </w:p>
    <w:p>
      <w:pPr>
        <w:spacing w:after="0"/>
        <w:rPr>
          <w:sz w:val="20"/>
          <w:szCs w:val="20"/>
          <w:color w:val="auto"/>
        </w:rPr>
      </w:pPr>
      <w:r>
        <w:rPr>
          <w:rFonts w:ascii="Arial" w:cs="Arial" w:eastAsia="Arial" w:hAnsi="Arial"/>
          <w:sz w:val="18"/>
          <w:szCs w:val="18"/>
          <w:color w:val="auto"/>
        </w:rPr>
        <w:t>Grace Lieblein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George Paz</w:t>
      </w:r>
    </w:p>
    <w:p>
      <w:pPr>
        <w:spacing w:after="0"/>
        <w:rPr>
          <w:sz w:val="20"/>
          <w:szCs w:val="20"/>
          <w:color w:val="auto"/>
        </w:rPr>
      </w:pPr>
      <w:r>
        <w:rPr>
          <w:rFonts w:ascii="Arial" w:cs="Arial" w:eastAsia="Arial" w:hAnsi="Arial"/>
          <w:sz w:val="18"/>
          <w:szCs w:val="18"/>
          <w:color w:val="auto"/>
        </w:rPr>
        <w:t>George Paz</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Raymond Odierno</w:t>
      </w:r>
    </w:p>
    <w:p>
      <w:pPr>
        <w:spacing w:after="0"/>
        <w:rPr>
          <w:sz w:val="20"/>
          <w:szCs w:val="20"/>
          <w:color w:val="auto"/>
        </w:rPr>
      </w:pPr>
      <w:r>
        <w:rPr>
          <w:rFonts w:ascii="Arial" w:cs="Arial" w:eastAsia="Arial" w:hAnsi="Arial"/>
          <w:sz w:val="18"/>
          <w:szCs w:val="18"/>
          <w:color w:val="auto"/>
        </w:rPr>
        <w:t>Raymond Odierno</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William Ayer</w:t>
      </w:r>
    </w:p>
    <w:p>
      <w:pPr>
        <w:spacing w:after="0"/>
        <w:rPr>
          <w:sz w:val="20"/>
          <w:szCs w:val="20"/>
          <w:color w:val="auto"/>
        </w:rPr>
      </w:pPr>
      <w:r>
        <w:rPr>
          <w:rFonts w:ascii="Arial" w:cs="Arial" w:eastAsia="Arial" w:hAnsi="Arial"/>
          <w:sz w:val="18"/>
          <w:szCs w:val="18"/>
          <w:color w:val="auto"/>
        </w:rPr>
        <w:t>William Ayer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Duncan Angove</w:t>
      </w:r>
    </w:p>
    <w:p>
      <w:pPr>
        <w:spacing w:after="0"/>
        <w:rPr>
          <w:sz w:val="20"/>
          <w:szCs w:val="20"/>
          <w:color w:val="auto"/>
        </w:rPr>
      </w:pPr>
      <w:r>
        <w:rPr>
          <w:rFonts w:ascii="Arial" w:cs="Arial" w:eastAsia="Arial" w:hAnsi="Arial"/>
          <w:sz w:val="18"/>
          <w:szCs w:val="18"/>
          <w:color w:val="auto"/>
        </w:rPr>
        <w:t>Duncan Angove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Deborah Flint</w:t>
      </w:r>
    </w:p>
    <w:p>
      <w:pPr>
        <w:spacing w:after="0"/>
        <w:rPr>
          <w:sz w:val="20"/>
          <w:szCs w:val="20"/>
          <w:color w:val="auto"/>
        </w:rPr>
      </w:pPr>
      <w:r>
        <w:rPr>
          <w:rFonts w:ascii="Arial" w:cs="Arial" w:eastAsia="Arial" w:hAnsi="Arial"/>
          <w:sz w:val="18"/>
          <w:szCs w:val="18"/>
          <w:color w:val="auto"/>
        </w:rPr>
        <w:t>Deborah Flint</w:t>
      </w:r>
    </w:p>
    <w:p>
      <w:pPr>
        <w:sectPr>
          <w:pgSz w:w="11900" w:h="16838" w:orient="portrait"/>
          <w:cols w:equalWidth="0" w:num="1">
            <w:col w:w="11240"/>
          </w:cols>
          <w:pgMar w:left="320" w:top="1435" w:right="339" w:bottom="1440" w:gutter="0" w:footer="0" w:header="0"/>
        </w:sectPr>
      </w:pPr>
    </w:p>
    <w:bookmarkStart w:id="196" w:name="page197"/>
    <w:bookmarkEnd w:id="196"/>
    <w:p>
      <w:pPr>
        <w:jc w:val="center"/>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200" w:lineRule="exact"/>
        <w:rPr>
          <w:sz w:val="20"/>
          <w:szCs w:val="20"/>
          <w:color w:val="auto"/>
        </w:rPr>
      </w:pPr>
    </w:p>
    <w:p>
      <w:pPr>
        <w:spacing w:after="0" w:line="304"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Each of the undersigned, as a director of Honeywell International Inc. (the “Company”), a Delaware corporation, hereby appoints Darius Adamczyk, Gregory P. Lewis, Anne T. Madden, and Robert D. Mailloux, each with power to act without the other and with power of substitution and resubstitution, as my attorney-in-fact to sign on my behalf in my capacity as a director of the Company one or more registration statements on Form S-3 or S-4 or any other appropriate form during fiscal year 2021, and to file the same together with all exhibits thereto, under the Securities Act of 1933, including any amendment or supplement thereto or to any registration statement heretofore filed by the Company for the registration of sales or resales of:</w:t>
      </w:r>
    </w:p>
    <w:p>
      <w:pPr>
        <w:spacing w:after="0" w:line="232" w:lineRule="exact"/>
        <w:rPr>
          <w:sz w:val="20"/>
          <w:szCs w:val="20"/>
          <w:color w:val="auto"/>
        </w:rPr>
      </w:pPr>
    </w:p>
    <w:p>
      <w:pPr>
        <w:ind w:firstLine="500"/>
        <w:spacing w:after="0" w:line="246" w:lineRule="auto"/>
        <w:tabs>
          <w:tab w:leader="none" w:pos="71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shares of the Company’s common stock, par value, $1.00 per share, including shares of common stock to be offered under the Dividend Reinvestment and Share Purchase Plan of the Company and any successor or new plan for such purposes;</w:t>
      </w:r>
    </w:p>
    <w:p>
      <w:pPr>
        <w:spacing w:after="0" w:line="223" w:lineRule="exact"/>
        <w:rPr>
          <w:rFonts w:ascii="Arial" w:cs="Arial" w:eastAsia="Arial" w:hAnsi="Arial"/>
          <w:sz w:val="18"/>
          <w:szCs w:val="18"/>
          <w:color w:val="auto"/>
        </w:rPr>
      </w:pPr>
    </w:p>
    <w:p>
      <w:pPr>
        <w:ind w:left="740" w:hanging="240"/>
        <w:spacing w:after="0"/>
        <w:tabs>
          <w:tab w:leader="none" w:pos="7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shares of the Company’s preferred stock, without par value;</w:t>
      </w:r>
    </w:p>
    <w:p>
      <w:pPr>
        <w:spacing w:after="0" w:line="238" w:lineRule="exact"/>
        <w:rPr>
          <w:rFonts w:ascii="Arial" w:cs="Arial" w:eastAsia="Arial" w:hAnsi="Arial"/>
          <w:sz w:val="18"/>
          <w:szCs w:val="18"/>
          <w:color w:val="auto"/>
        </w:rPr>
      </w:pPr>
    </w:p>
    <w:p>
      <w:pPr>
        <w:ind w:firstLine="500"/>
        <w:spacing w:after="0" w:line="246" w:lineRule="auto"/>
        <w:tabs>
          <w:tab w:leader="none" w:pos="809" w:val="left"/>
        </w:tabs>
        <w:numPr>
          <w:ilvl w:val="0"/>
          <w:numId w:val="134"/>
        </w:numPr>
        <w:rPr>
          <w:rFonts w:ascii="Arial" w:cs="Arial" w:eastAsia="Arial" w:hAnsi="Arial"/>
          <w:sz w:val="18"/>
          <w:szCs w:val="18"/>
          <w:color w:val="auto"/>
        </w:rPr>
      </w:pPr>
      <w:r>
        <w:rPr>
          <w:rFonts w:ascii="Arial" w:cs="Arial" w:eastAsia="Arial" w:hAnsi="Arial"/>
          <w:sz w:val="18"/>
          <w:szCs w:val="18"/>
          <w:color w:val="auto"/>
        </w:rPr>
        <w:t>debt securities of the Company, with such terms as may be from time to time specified in such registration statement or any amendment, post-effective amendment or supplement thereto; and</w:t>
      </w:r>
    </w:p>
    <w:p>
      <w:pPr>
        <w:spacing w:after="0" w:line="223" w:lineRule="exact"/>
        <w:rPr>
          <w:rFonts w:ascii="Arial" w:cs="Arial" w:eastAsia="Arial" w:hAnsi="Arial"/>
          <w:sz w:val="18"/>
          <w:szCs w:val="18"/>
          <w:color w:val="auto"/>
        </w:rPr>
      </w:pPr>
    </w:p>
    <w:p>
      <w:pPr>
        <w:jc w:val="both"/>
        <w:ind w:firstLine="500"/>
        <w:spacing w:after="0"/>
        <w:tabs>
          <w:tab w:leader="none" w:pos="792" w:val="left"/>
        </w:tabs>
        <w:numPr>
          <w:ilvl w:val="0"/>
          <w:numId w:val="134"/>
        </w:numPr>
        <w:rPr>
          <w:rFonts w:ascii="Arial" w:cs="Arial" w:eastAsia="Arial" w:hAnsi="Arial"/>
          <w:sz w:val="18"/>
          <w:szCs w:val="18"/>
          <w:color w:val="auto"/>
        </w:rPr>
      </w:pPr>
      <w:r>
        <w:rPr>
          <w:rFonts w:ascii="Arial" w:cs="Arial" w:eastAsia="Arial" w:hAnsi="Arial"/>
          <w:sz w:val="18"/>
          <w:szCs w:val="18"/>
          <w:color w:val="auto"/>
        </w:rPr>
        <w:t>such other securities of the Company, its subsidiaries, joint ventures or affiliates or any other person or entity, as may be specified in any such registration statement, amendment or supplement thereto, all in accordance with the Securities Act of 1933 and the rules and regulations thereunder.</w:t>
      </w:r>
    </w:p>
    <w:p>
      <w:pPr>
        <w:spacing w:after="0" w:line="230"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 hereby grant to each such attorney-in-fact full power and authority to perform every act necessary to be done in connection with the foregoing as fully as I might do in person, hereby ratifying and confirming all that said attorneys-in-fact, or any of them or their substitutes, may lawfully do or cause to be done.</w:t>
      </w:r>
    </w:p>
    <w:p>
      <w:pPr>
        <w:spacing w:after="0" w:line="23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I hereby revoke any or all prior appointments of attorneys-in-fact to the extent that they confer authority to sign the above-described documents.</w:t>
      </w:r>
    </w:p>
    <w:p>
      <w:pPr>
        <w:sectPr>
          <w:pgSz w:w="11900" w:h="16838" w:orient="portrait"/>
          <w:cols w:equalWidth="0" w:num="1">
            <w:col w:w="11240"/>
          </w:cols>
          <w:pgMar w:left="320" w:top="1413" w:right="339" w:bottom="1440" w:gutter="0" w:footer="0" w:header="0"/>
        </w:sectPr>
      </w:pPr>
    </w:p>
    <w:bookmarkStart w:id="197" w:name="page198"/>
    <w:bookmarkEnd w:id="197"/>
    <w:p>
      <w:pPr>
        <w:ind w:firstLine="648"/>
        <w:spacing w:after="0" w:line="246" w:lineRule="auto"/>
        <w:rPr>
          <w:sz w:val="20"/>
          <w:szCs w:val="20"/>
          <w:color w:val="auto"/>
        </w:rPr>
      </w:pPr>
      <w:r>
        <w:rPr>
          <w:rFonts w:ascii="Arial" w:cs="Arial" w:eastAsia="Arial" w:hAnsi="Arial"/>
          <w:sz w:val="18"/>
          <w:szCs w:val="18"/>
          <w:color w:val="auto"/>
        </w:rPr>
        <w:t>This Power of Attorney may be signed in any number of counterparts, each of which shall be an original, with the same effect as if the signatures thereto and hereto were upon the same instrument.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December 11, 2020</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Linnet Deily</w:t>
      </w:r>
    </w:p>
    <w:p>
      <w:pPr>
        <w:spacing w:after="0"/>
        <w:rPr>
          <w:sz w:val="20"/>
          <w:szCs w:val="20"/>
          <w:color w:val="auto"/>
        </w:rPr>
      </w:pPr>
      <w:r>
        <w:rPr>
          <w:rFonts w:ascii="Arial" w:cs="Arial" w:eastAsia="Arial" w:hAnsi="Arial"/>
          <w:sz w:val="18"/>
          <w:szCs w:val="18"/>
          <w:color w:val="auto"/>
        </w:rPr>
        <w:t>Linnet Deily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Clive Hollick</w:t>
      </w:r>
    </w:p>
    <w:p>
      <w:pPr>
        <w:spacing w:after="0"/>
        <w:rPr>
          <w:sz w:val="20"/>
          <w:szCs w:val="20"/>
          <w:color w:val="auto"/>
        </w:rPr>
      </w:pPr>
      <w:r>
        <w:rPr>
          <w:rFonts w:ascii="Arial" w:cs="Arial" w:eastAsia="Arial" w:hAnsi="Arial"/>
          <w:sz w:val="18"/>
          <w:szCs w:val="18"/>
          <w:color w:val="auto"/>
        </w:rPr>
        <w:t>Clive Hollick</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Judd Gregg</w:t>
      </w:r>
    </w:p>
    <w:p>
      <w:pPr>
        <w:spacing w:after="0"/>
        <w:rPr>
          <w:sz w:val="20"/>
          <w:szCs w:val="20"/>
          <w:color w:val="auto"/>
        </w:rPr>
      </w:pPr>
      <w:r>
        <w:rPr>
          <w:rFonts w:ascii="Arial" w:cs="Arial" w:eastAsia="Arial" w:hAnsi="Arial"/>
          <w:sz w:val="18"/>
          <w:szCs w:val="18"/>
          <w:color w:val="auto"/>
        </w:rPr>
        <w:t>Judd Gregg</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Kevin Burke</w:t>
      </w:r>
    </w:p>
    <w:p>
      <w:pPr>
        <w:spacing w:after="0"/>
        <w:rPr>
          <w:sz w:val="20"/>
          <w:szCs w:val="20"/>
          <w:color w:val="auto"/>
        </w:rPr>
      </w:pPr>
      <w:r>
        <w:rPr>
          <w:rFonts w:ascii="Arial" w:cs="Arial" w:eastAsia="Arial" w:hAnsi="Arial"/>
          <w:sz w:val="18"/>
          <w:szCs w:val="18"/>
          <w:color w:val="auto"/>
        </w:rPr>
        <w:t>Kevin Burke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 Scott Davis</w:t>
      </w:r>
    </w:p>
    <w:p>
      <w:pPr>
        <w:spacing w:after="0"/>
        <w:rPr>
          <w:sz w:val="20"/>
          <w:szCs w:val="20"/>
          <w:color w:val="auto"/>
        </w:rPr>
      </w:pPr>
      <w:r>
        <w:rPr>
          <w:rFonts w:ascii="Arial" w:cs="Arial" w:eastAsia="Arial" w:hAnsi="Arial"/>
          <w:sz w:val="18"/>
          <w:szCs w:val="18"/>
          <w:color w:val="auto"/>
        </w:rPr>
        <w:t>D. Scott Davis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Robin Washington</w:t>
      </w:r>
    </w:p>
    <w:p>
      <w:pPr>
        <w:spacing w:after="0"/>
        <w:rPr>
          <w:sz w:val="20"/>
          <w:szCs w:val="20"/>
          <w:color w:val="auto"/>
        </w:rPr>
      </w:pPr>
      <w:r>
        <w:rPr>
          <w:rFonts w:ascii="Arial" w:cs="Arial" w:eastAsia="Arial" w:hAnsi="Arial"/>
          <w:sz w:val="18"/>
          <w:szCs w:val="18"/>
          <w:color w:val="auto"/>
        </w:rPr>
        <w:t>Robin Washington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Grace Lieblein</w:t>
      </w:r>
    </w:p>
    <w:p>
      <w:pPr>
        <w:spacing w:after="0"/>
        <w:rPr>
          <w:sz w:val="20"/>
          <w:szCs w:val="20"/>
          <w:color w:val="auto"/>
        </w:rPr>
      </w:pPr>
      <w:r>
        <w:rPr>
          <w:rFonts w:ascii="Arial" w:cs="Arial" w:eastAsia="Arial" w:hAnsi="Arial"/>
          <w:sz w:val="18"/>
          <w:szCs w:val="18"/>
          <w:color w:val="auto"/>
        </w:rPr>
        <w:t>Grace Lieblein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George Paz</w:t>
      </w:r>
    </w:p>
    <w:p>
      <w:pPr>
        <w:spacing w:after="0"/>
        <w:rPr>
          <w:sz w:val="20"/>
          <w:szCs w:val="20"/>
          <w:color w:val="auto"/>
        </w:rPr>
      </w:pPr>
      <w:r>
        <w:rPr>
          <w:rFonts w:ascii="Arial" w:cs="Arial" w:eastAsia="Arial" w:hAnsi="Arial"/>
          <w:sz w:val="18"/>
          <w:szCs w:val="18"/>
          <w:color w:val="auto"/>
        </w:rPr>
        <w:t>George Paz</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Raymond Odierno</w:t>
      </w:r>
    </w:p>
    <w:p>
      <w:pPr>
        <w:spacing w:after="0"/>
        <w:rPr>
          <w:sz w:val="20"/>
          <w:szCs w:val="20"/>
          <w:color w:val="auto"/>
        </w:rPr>
      </w:pPr>
      <w:r>
        <w:rPr>
          <w:rFonts w:ascii="Arial" w:cs="Arial" w:eastAsia="Arial" w:hAnsi="Arial"/>
          <w:sz w:val="18"/>
          <w:szCs w:val="18"/>
          <w:color w:val="auto"/>
        </w:rPr>
        <w:t>Raymond Odierno</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William Ayer</w:t>
      </w:r>
    </w:p>
    <w:p>
      <w:pPr>
        <w:spacing w:after="0"/>
        <w:rPr>
          <w:sz w:val="20"/>
          <w:szCs w:val="20"/>
          <w:color w:val="auto"/>
        </w:rPr>
      </w:pPr>
      <w:r>
        <w:rPr>
          <w:rFonts w:ascii="Arial" w:cs="Arial" w:eastAsia="Arial" w:hAnsi="Arial"/>
          <w:sz w:val="18"/>
          <w:szCs w:val="18"/>
          <w:color w:val="auto"/>
        </w:rPr>
        <w:t>William Ayer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Duncan Angove</w:t>
      </w:r>
    </w:p>
    <w:p>
      <w:pPr>
        <w:spacing w:after="0"/>
        <w:rPr>
          <w:sz w:val="20"/>
          <w:szCs w:val="20"/>
          <w:color w:val="auto"/>
        </w:rPr>
      </w:pPr>
      <w:r>
        <w:rPr>
          <w:rFonts w:ascii="Arial" w:cs="Arial" w:eastAsia="Arial" w:hAnsi="Arial"/>
          <w:sz w:val="18"/>
          <w:szCs w:val="18"/>
          <w:color w:val="auto"/>
        </w:rPr>
        <w:t>Duncan Angove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Deborah Flint</w:t>
      </w:r>
    </w:p>
    <w:p>
      <w:pPr>
        <w:spacing w:after="0"/>
        <w:rPr>
          <w:sz w:val="20"/>
          <w:szCs w:val="20"/>
          <w:color w:val="auto"/>
        </w:rPr>
      </w:pPr>
      <w:r>
        <w:rPr>
          <w:rFonts w:ascii="Arial" w:cs="Arial" w:eastAsia="Arial" w:hAnsi="Arial"/>
          <w:sz w:val="18"/>
          <w:szCs w:val="18"/>
          <w:color w:val="auto"/>
        </w:rPr>
        <w:t>Deborah Flint</w:t>
      </w:r>
    </w:p>
    <w:p>
      <w:pPr>
        <w:sectPr>
          <w:pgSz w:w="11900" w:h="16838" w:orient="portrait"/>
          <w:cols w:equalWidth="0" w:num="1">
            <w:col w:w="11240"/>
          </w:cols>
          <w:pgMar w:left="320" w:top="1435" w:right="339" w:bottom="1440" w:gutter="0" w:footer="0" w:header="0"/>
        </w:sectPr>
      </w:pPr>
    </w:p>
    <w:bookmarkStart w:id="198" w:name="page199"/>
    <w:bookmarkEnd w:id="198"/>
    <w:p>
      <w:pPr>
        <w:jc w:val="center"/>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200" w:lineRule="exact"/>
        <w:rPr>
          <w:sz w:val="20"/>
          <w:szCs w:val="20"/>
          <w:color w:val="auto"/>
        </w:rPr>
      </w:pPr>
    </w:p>
    <w:p>
      <w:pPr>
        <w:spacing w:after="0" w:line="304" w:lineRule="exact"/>
        <w:rPr>
          <w:sz w:val="20"/>
          <w:szCs w:val="20"/>
          <w:color w:val="auto"/>
        </w:rPr>
      </w:pPr>
    </w:p>
    <w:p>
      <w:pPr>
        <w:jc w:val="both"/>
        <w:spacing w:after="0"/>
        <w:rPr>
          <w:sz w:val="20"/>
          <w:szCs w:val="20"/>
          <w:color w:val="auto"/>
        </w:rPr>
      </w:pPr>
      <w:r>
        <w:rPr>
          <w:rFonts w:ascii="Arial" w:cs="Arial" w:eastAsia="Arial" w:hAnsi="Arial"/>
          <w:sz w:val="18"/>
          <w:szCs w:val="18"/>
          <w:color w:val="auto"/>
        </w:rPr>
        <w:t>I, Darius Adamczyk, a director and the principal executive officer of Honeywell International Inc. (the “Company”), a Delaware corporation, hereby appoint Gregory P. Lewis, Anne T. Madden, and Robert D. Mailloux, each with power to act without the other and with power of substitution and resubstitution, as my attorney-in-fact and agent for me and in my name, place and stead in any and all capacities,</w:t>
      </w:r>
    </w:p>
    <w:p>
      <w:pPr>
        <w:spacing w:after="0" w:line="230" w:lineRule="exact"/>
        <w:rPr>
          <w:sz w:val="20"/>
          <w:szCs w:val="20"/>
          <w:color w:val="auto"/>
        </w:rPr>
      </w:pPr>
    </w:p>
    <w:p>
      <w:pPr>
        <w:ind w:left="660" w:right="20" w:hanging="328"/>
        <w:spacing w:after="0" w:line="246" w:lineRule="auto"/>
        <w:tabs>
          <w:tab w:leader="none" w:pos="65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to sign the Company’s Annual Report on Form 10-K under the Securities Exchange Act of 1934 for the year ended December 31, 2020,</w:t>
      </w:r>
    </w:p>
    <w:p>
      <w:pPr>
        <w:spacing w:after="0" w:line="223" w:lineRule="exact"/>
        <w:rPr>
          <w:rFonts w:ascii="Arial" w:cs="Arial" w:eastAsia="Arial" w:hAnsi="Arial"/>
          <w:sz w:val="18"/>
          <w:szCs w:val="18"/>
          <w:color w:val="auto"/>
        </w:rPr>
      </w:pPr>
    </w:p>
    <w:p>
      <w:pPr>
        <w:ind w:left="660" w:hanging="328"/>
        <w:spacing w:after="0" w:line="246" w:lineRule="auto"/>
        <w:tabs>
          <w:tab w:leader="none" w:pos="65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to sign any amendment to the Annual Report referred to in (i) above or to any previously filed Annual Report on Form 10-K for any prior fiscal year, and</w:t>
      </w:r>
    </w:p>
    <w:p>
      <w:pPr>
        <w:spacing w:after="0" w:line="223" w:lineRule="exact"/>
        <w:rPr>
          <w:rFonts w:ascii="Arial" w:cs="Arial" w:eastAsia="Arial" w:hAnsi="Arial"/>
          <w:sz w:val="18"/>
          <w:szCs w:val="18"/>
          <w:color w:val="auto"/>
        </w:rPr>
      </w:pPr>
    </w:p>
    <w:p>
      <w:pPr>
        <w:ind w:left="660" w:hanging="328"/>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to file the documents described in (i) and (ii) above and all exhibits thereto and any and all other documents in connection therewith,</w:t>
      </w:r>
    </w:p>
    <w:p>
      <w:pPr>
        <w:spacing w:after="0" w:line="239"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granting unto each said attorney-in-fact and agent full power and authority to do and perform every act and thing requisite, necessary or desirable to be done in connection therewith, as fully to all intents and purposes as I might or could do in person, hereby ratifying and confirming all that said attorneys-in-fact and agents, or any of them, or their or his or her substitutes or substitute, may lawfully do or cause to be done by virtue hereof.</w:t>
      </w:r>
    </w:p>
    <w:p>
      <w:pPr>
        <w:spacing w:after="0" w:line="200" w:lineRule="exact"/>
        <w:rPr>
          <w:sz w:val="20"/>
          <w:szCs w:val="20"/>
          <w:color w:val="auto"/>
        </w:rPr>
      </w:pPr>
    </w:p>
    <w:p>
      <w:pPr>
        <w:spacing w:after="0" w:line="270" w:lineRule="exact"/>
        <w:rPr>
          <w:sz w:val="20"/>
          <w:szCs w:val="20"/>
          <w:color w:val="auto"/>
        </w:rPr>
      </w:pPr>
    </w:p>
    <w:p>
      <w:pPr>
        <w:ind w:left="5200"/>
        <w:spacing w:after="0"/>
        <w:rPr>
          <w:sz w:val="20"/>
          <w:szCs w:val="20"/>
          <w:color w:val="auto"/>
        </w:rPr>
      </w:pPr>
      <w:r>
        <w:rPr>
          <w:rFonts w:ascii="Arial" w:cs="Arial" w:eastAsia="Arial" w:hAnsi="Arial"/>
          <w:sz w:val="18"/>
          <w:szCs w:val="18"/>
          <w:u w:val="single" w:color="auto"/>
          <w:color w:val="auto"/>
        </w:rPr>
        <w:t>/s/ Darius Adamczyk</w:t>
      </w:r>
    </w:p>
    <w:p>
      <w:pPr>
        <w:ind w:left="5200"/>
        <w:spacing w:after="0"/>
        <w:rPr>
          <w:sz w:val="20"/>
          <w:szCs w:val="20"/>
          <w:color w:val="auto"/>
        </w:rPr>
      </w:pPr>
      <w:r>
        <w:rPr>
          <w:rFonts w:ascii="Arial" w:cs="Arial" w:eastAsia="Arial" w:hAnsi="Arial"/>
          <w:sz w:val="18"/>
          <w:szCs w:val="18"/>
          <w:color w:val="auto"/>
        </w:rPr>
        <w:t>Darius Adamczyk</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17, 2020</w:t>
      </w:r>
    </w:p>
    <w:p>
      <w:pPr>
        <w:sectPr>
          <w:pgSz w:w="11900" w:h="16838" w:orient="portrait"/>
          <w:cols w:equalWidth="0" w:num="1">
            <w:col w:w="11240"/>
          </w:cols>
          <w:pgMar w:left="320" w:top="1413" w:right="339" w:bottom="1440" w:gutter="0" w:footer="0" w:header="0"/>
        </w:sectPr>
      </w:pPr>
    </w:p>
    <w:bookmarkStart w:id="199" w:name="page200"/>
    <w:bookmarkEnd w:id="199"/>
    <w:p>
      <w:pPr>
        <w:jc w:val="center"/>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200" w:lineRule="exact"/>
        <w:rPr>
          <w:sz w:val="20"/>
          <w:szCs w:val="20"/>
          <w:color w:val="auto"/>
        </w:rPr>
      </w:pPr>
    </w:p>
    <w:p>
      <w:pPr>
        <w:spacing w:after="0" w:line="304" w:lineRule="exact"/>
        <w:rPr>
          <w:sz w:val="20"/>
          <w:szCs w:val="20"/>
          <w:color w:val="auto"/>
        </w:rPr>
      </w:pPr>
    </w:p>
    <w:p>
      <w:pPr>
        <w:jc w:val="both"/>
        <w:spacing w:after="0" w:line="204" w:lineRule="exact"/>
        <w:rPr>
          <w:sz w:val="20"/>
          <w:szCs w:val="20"/>
          <w:color w:val="auto"/>
        </w:rPr>
      </w:pPr>
      <w:r>
        <w:rPr>
          <w:rFonts w:ascii="Arial" w:cs="Arial" w:eastAsia="Arial" w:hAnsi="Arial"/>
          <w:sz w:val="18"/>
          <w:szCs w:val="18"/>
          <w:color w:val="auto"/>
        </w:rPr>
        <w:t>I, Darius Adamczyk, a director and the principal executive officer of Honeywell International Inc. (the “Company”), a Delaware corporation, hereby appoint Gregory P. Lewis, Anne T. Madden, and Robert D. Mailloux, each with power to act without the other and with power of substitution and resubstitution, as my attorney-in-fact to sign on my behalf in my capacity as a director or as the principal executive officer of the Company one or more registration statements on Form S-8 or any other appropriate form during fiscal year 2021, and to file the same together with all exhibits thereto, under the Securities Act of 1933, including any amendment or supplement thereto or to any registration statement heretofore filed by the Company on Form S</w:t>
      </w:r>
      <w:r>
        <w:rPr>
          <w:rFonts w:ascii="MS PGothic" w:cs="MS PGothic" w:eastAsia="MS PGothic" w:hAnsi="MS PGothic"/>
          <w:sz w:val="18"/>
          <w:szCs w:val="18"/>
          <w:color w:val="auto"/>
        </w:rPr>
        <w:t>‑</w:t>
      </w:r>
      <w:r>
        <w:rPr>
          <w:rFonts w:ascii="Arial" w:cs="Arial" w:eastAsia="Arial" w:hAnsi="Arial"/>
          <w:sz w:val="18"/>
          <w:szCs w:val="18"/>
          <w:color w:val="auto"/>
        </w:rPr>
        <w:t>8 or any other appropriate form for the registration of shares of the Company's Common Stock (or participations where appropriate) to be offered pursuant to the Honeywell Savings and Ownership Plan, the Honeywell Puerto Rico Savings and Ownership Plan, the Honeywell Supplemental Savings Plan, the 2006 Stock Plan for Non-Employee Directors of Honeywell International Inc., the 2007 Honeywell Global Employee Stock Plan (including any and all sub-plans), the 2011 Stock Incentive Plan of Honeywell International Inc. and its Affiliates, the 2016 Stock Plan for Non-Employee Directors of Honeywell International Inc., and the 2016 Stock Incentive Plan of Honeywell International Inc. and its Affiliates and any plan which is a successor to such plans or is a validly authorized new plan pursuant to which securities of the Company are issued to employees or non-employee directors.</w:t>
      </w:r>
    </w:p>
    <w:p>
      <w:pPr>
        <w:spacing w:after="0" w:line="231" w:lineRule="exact"/>
        <w:rPr>
          <w:sz w:val="20"/>
          <w:szCs w:val="20"/>
          <w:color w:val="auto"/>
        </w:rPr>
      </w:pPr>
    </w:p>
    <w:p>
      <w:pPr>
        <w:jc w:val="both"/>
        <w:spacing w:after="0"/>
        <w:rPr>
          <w:sz w:val="20"/>
          <w:szCs w:val="20"/>
          <w:color w:val="auto"/>
        </w:rPr>
      </w:pPr>
      <w:r>
        <w:rPr>
          <w:rFonts w:ascii="Arial" w:cs="Arial" w:eastAsia="Arial" w:hAnsi="Arial"/>
          <w:sz w:val="18"/>
          <w:szCs w:val="18"/>
          <w:color w:val="auto"/>
        </w:rPr>
        <w:t>I hereby grant to each such attorney-in-fact full power and authority to perform every act necessary to be done in connection with the foregoing as fully as I might do in person, hereby ratifying and confirming all that said attorneys-in-fact, or any of them or their substitutes, may lawfully do or cause to be done.</w:t>
      </w:r>
    </w:p>
    <w:p>
      <w:pPr>
        <w:spacing w:after="0" w:line="230"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I hereby revoke any or all prior appointments of attorneys</w:t>
      </w:r>
      <w:r>
        <w:rPr>
          <w:rFonts w:ascii="MS PGothic" w:cs="MS PGothic" w:eastAsia="MS PGothic" w:hAnsi="MS PGothic"/>
          <w:sz w:val="18"/>
          <w:szCs w:val="18"/>
          <w:color w:val="auto"/>
        </w:rPr>
        <w:t>‑</w:t>
      </w: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fact to sign the above-described documents.</w:t>
      </w:r>
    </w:p>
    <w:p>
      <w:pPr>
        <w:spacing w:after="0" w:line="200" w:lineRule="exact"/>
        <w:rPr>
          <w:sz w:val="20"/>
          <w:szCs w:val="20"/>
          <w:color w:val="auto"/>
        </w:rPr>
      </w:pPr>
    </w:p>
    <w:p>
      <w:pPr>
        <w:spacing w:after="0" w:line="277" w:lineRule="exact"/>
        <w:rPr>
          <w:sz w:val="20"/>
          <w:szCs w:val="20"/>
          <w:color w:val="auto"/>
        </w:rPr>
      </w:pPr>
    </w:p>
    <w:p>
      <w:pPr>
        <w:ind w:left="5200"/>
        <w:spacing w:after="0"/>
        <w:rPr>
          <w:sz w:val="20"/>
          <w:szCs w:val="20"/>
          <w:color w:val="auto"/>
        </w:rPr>
      </w:pPr>
      <w:r>
        <w:rPr>
          <w:rFonts w:ascii="Arial" w:cs="Arial" w:eastAsia="Arial" w:hAnsi="Arial"/>
          <w:sz w:val="18"/>
          <w:szCs w:val="18"/>
          <w:u w:val="single" w:color="auto"/>
          <w:color w:val="auto"/>
        </w:rPr>
        <w:t>/s/ Darius Adamczyk</w:t>
      </w:r>
    </w:p>
    <w:p>
      <w:pPr>
        <w:ind w:left="5200"/>
        <w:spacing w:after="0"/>
        <w:rPr>
          <w:sz w:val="20"/>
          <w:szCs w:val="20"/>
          <w:color w:val="auto"/>
        </w:rPr>
      </w:pPr>
      <w:r>
        <w:rPr>
          <w:rFonts w:ascii="Arial" w:cs="Arial" w:eastAsia="Arial" w:hAnsi="Arial"/>
          <w:sz w:val="18"/>
          <w:szCs w:val="18"/>
          <w:color w:val="auto"/>
        </w:rPr>
        <w:t>Darius Adamczyk</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17, 2020</w:t>
      </w:r>
    </w:p>
    <w:p>
      <w:pPr>
        <w:sectPr>
          <w:pgSz w:w="11900" w:h="16838" w:orient="portrait"/>
          <w:cols w:equalWidth="0" w:num="1">
            <w:col w:w="11240"/>
          </w:cols>
          <w:pgMar w:left="320" w:top="1413" w:right="339" w:bottom="1440" w:gutter="0" w:footer="0" w:header="0"/>
        </w:sectPr>
      </w:pPr>
    </w:p>
    <w:bookmarkStart w:id="200" w:name="page201"/>
    <w:bookmarkEnd w:id="200"/>
    <w:p>
      <w:pPr>
        <w:jc w:val="center"/>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200" w:lineRule="exact"/>
        <w:rPr>
          <w:sz w:val="20"/>
          <w:szCs w:val="20"/>
          <w:color w:val="auto"/>
        </w:rPr>
      </w:pPr>
    </w:p>
    <w:p>
      <w:pPr>
        <w:spacing w:after="0" w:line="304"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I, Darius Adamczyk, a director and the principal executive officer of Honeywell International Inc. (the “Company”), a Delaware corporation, hereby appoint Gregory P. Lewis, Anne T. Madden, and Robert D. Mailloux, each with power to act without the other and with power of substitution and resubstitution, as my attorney-in-fact to sign on my behalf in my capacity as a director or as the principal executive officer of the Company one or more registration statements on Form S-3 or S-4 or any other appropriate form during fiscal year 2021, and to file the same together with all exhibits thereto, under the Securities Act of 1933, including any amendment or supplement thereto or to any registration statement heretofore filed by the Company for the registration of sales or resales of:</w:t>
      </w:r>
    </w:p>
    <w:p>
      <w:pPr>
        <w:spacing w:after="0" w:line="232" w:lineRule="exact"/>
        <w:rPr>
          <w:sz w:val="20"/>
          <w:szCs w:val="20"/>
          <w:color w:val="auto"/>
        </w:rPr>
      </w:pPr>
    </w:p>
    <w:p>
      <w:pPr>
        <w:ind w:firstLine="500"/>
        <w:spacing w:after="0" w:line="246" w:lineRule="auto"/>
        <w:tabs>
          <w:tab w:leader="none" w:pos="71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shares of the Company’s common stock, par value, $1.00 per share, including shares of common stock to be offered under the Dividend Reinvestment and Share Purchase Plan of the Company and any successor or new plan for such purposes;</w:t>
      </w:r>
    </w:p>
    <w:p>
      <w:pPr>
        <w:spacing w:after="0" w:line="223" w:lineRule="exact"/>
        <w:rPr>
          <w:rFonts w:ascii="Arial" w:cs="Arial" w:eastAsia="Arial" w:hAnsi="Arial"/>
          <w:sz w:val="18"/>
          <w:szCs w:val="18"/>
          <w:color w:val="auto"/>
        </w:rPr>
      </w:pPr>
    </w:p>
    <w:p>
      <w:pPr>
        <w:ind w:left="740" w:hanging="240"/>
        <w:spacing w:after="0"/>
        <w:tabs>
          <w:tab w:leader="none" w:pos="7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shares of the Company’s preferred stock, without par value;</w:t>
      </w:r>
    </w:p>
    <w:p>
      <w:pPr>
        <w:spacing w:after="0" w:line="238" w:lineRule="exact"/>
        <w:rPr>
          <w:rFonts w:ascii="Arial" w:cs="Arial" w:eastAsia="Arial" w:hAnsi="Arial"/>
          <w:sz w:val="18"/>
          <w:szCs w:val="18"/>
          <w:color w:val="auto"/>
        </w:rPr>
      </w:pPr>
    </w:p>
    <w:p>
      <w:pPr>
        <w:ind w:firstLine="500"/>
        <w:spacing w:after="0" w:line="246" w:lineRule="auto"/>
        <w:tabs>
          <w:tab w:leader="none" w:pos="809" w:val="left"/>
        </w:tabs>
        <w:numPr>
          <w:ilvl w:val="0"/>
          <w:numId w:val="136"/>
        </w:numPr>
        <w:rPr>
          <w:rFonts w:ascii="Arial" w:cs="Arial" w:eastAsia="Arial" w:hAnsi="Arial"/>
          <w:sz w:val="18"/>
          <w:szCs w:val="18"/>
          <w:color w:val="auto"/>
        </w:rPr>
      </w:pPr>
      <w:r>
        <w:rPr>
          <w:rFonts w:ascii="Arial" w:cs="Arial" w:eastAsia="Arial" w:hAnsi="Arial"/>
          <w:sz w:val="18"/>
          <w:szCs w:val="18"/>
          <w:color w:val="auto"/>
        </w:rPr>
        <w:t>debt securities of the Company, with such terms as may be from time to time specified in such registration statement or any amendment, post-effective amendment or supplement thereto; and</w:t>
      </w:r>
    </w:p>
    <w:p>
      <w:pPr>
        <w:spacing w:after="0" w:line="223" w:lineRule="exact"/>
        <w:rPr>
          <w:rFonts w:ascii="Arial" w:cs="Arial" w:eastAsia="Arial" w:hAnsi="Arial"/>
          <w:sz w:val="18"/>
          <w:szCs w:val="18"/>
          <w:color w:val="auto"/>
        </w:rPr>
      </w:pPr>
    </w:p>
    <w:p>
      <w:pPr>
        <w:jc w:val="both"/>
        <w:ind w:firstLine="500"/>
        <w:spacing w:after="0"/>
        <w:tabs>
          <w:tab w:leader="none" w:pos="792" w:val="left"/>
        </w:tabs>
        <w:numPr>
          <w:ilvl w:val="0"/>
          <w:numId w:val="136"/>
        </w:numPr>
        <w:rPr>
          <w:rFonts w:ascii="Arial" w:cs="Arial" w:eastAsia="Arial" w:hAnsi="Arial"/>
          <w:sz w:val="18"/>
          <w:szCs w:val="18"/>
          <w:color w:val="auto"/>
        </w:rPr>
      </w:pPr>
      <w:r>
        <w:rPr>
          <w:rFonts w:ascii="Arial" w:cs="Arial" w:eastAsia="Arial" w:hAnsi="Arial"/>
          <w:sz w:val="18"/>
          <w:szCs w:val="18"/>
          <w:color w:val="auto"/>
        </w:rPr>
        <w:t>such other securities of the Company, its subsidiaries, joint ventures or affiliates or any other person or entity, as may be specified in any such registration statement, amendment or supplement thereto, all in accordance with the Securities Act of 1933 and the rules and regulations thereunder.</w:t>
      </w:r>
    </w:p>
    <w:p>
      <w:pPr>
        <w:spacing w:after="0" w:line="230"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 hereby grant to each such attorney-in-fact full power and authority to perform every act necessary to be done in connection with the foregoing as fully as I might do in person, hereby ratifying and confirming all that said attorneys-in-fact, or any of them or their substitutes, may lawfully do or cause to be done.</w:t>
      </w:r>
    </w:p>
    <w:p>
      <w:pPr>
        <w:spacing w:after="0" w:line="23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I hereby revoke any or all prior appointments of attorneys-in-fact to the extent that they confer authority to sign the above-described documents.</w:t>
      </w:r>
    </w:p>
    <w:p>
      <w:pPr>
        <w:spacing w:after="0" w:line="200" w:lineRule="exact"/>
        <w:rPr>
          <w:sz w:val="20"/>
          <w:szCs w:val="20"/>
          <w:color w:val="auto"/>
        </w:rPr>
      </w:pPr>
    </w:p>
    <w:p>
      <w:pPr>
        <w:spacing w:after="0" w:line="262" w:lineRule="exact"/>
        <w:rPr>
          <w:sz w:val="20"/>
          <w:szCs w:val="20"/>
          <w:color w:val="auto"/>
        </w:rPr>
      </w:pPr>
    </w:p>
    <w:p>
      <w:pPr>
        <w:ind w:left="5200"/>
        <w:spacing w:after="0"/>
        <w:rPr>
          <w:sz w:val="20"/>
          <w:szCs w:val="20"/>
          <w:color w:val="auto"/>
        </w:rPr>
      </w:pPr>
      <w:r>
        <w:rPr>
          <w:rFonts w:ascii="Arial" w:cs="Arial" w:eastAsia="Arial" w:hAnsi="Arial"/>
          <w:sz w:val="18"/>
          <w:szCs w:val="18"/>
          <w:u w:val="single" w:color="auto"/>
          <w:color w:val="auto"/>
        </w:rPr>
        <w:t>/s/ Darius Adamczyk</w:t>
      </w:r>
    </w:p>
    <w:p>
      <w:pPr>
        <w:ind w:left="5200"/>
        <w:spacing w:after="0"/>
        <w:rPr>
          <w:sz w:val="20"/>
          <w:szCs w:val="20"/>
          <w:color w:val="auto"/>
        </w:rPr>
      </w:pPr>
      <w:r>
        <w:rPr>
          <w:rFonts w:ascii="Arial" w:cs="Arial" w:eastAsia="Arial" w:hAnsi="Arial"/>
          <w:sz w:val="18"/>
          <w:szCs w:val="18"/>
          <w:color w:val="auto"/>
        </w:rPr>
        <w:t>Darius Adamczyk</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17, 2020</w:t>
      </w:r>
    </w:p>
    <w:p>
      <w:pPr>
        <w:sectPr>
          <w:pgSz w:w="11900" w:h="16838" w:orient="portrait"/>
          <w:cols w:equalWidth="0" w:num="1">
            <w:col w:w="11240"/>
          </w:cols>
          <w:pgMar w:left="320" w:top="1413" w:right="339" w:bottom="1440" w:gutter="0" w:footer="0" w:header="0"/>
        </w:sectPr>
      </w:pPr>
    </w:p>
    <w:bookmarkStart w:id="201" w:name="page202"/>
    <w:bookmarkEnd w:id="201"/>
    <w:p>
      <w:pPr>
        <w:jc w:val="right"/>
        <w:spacing w:after="0"/>
        <w:rPr>
          <w:sz w:val="20"/>
          <w:szCs w:val="20"/>
          <w:color w:val="auto"/>
        </w:rPr>
      </w:pPr>
      <w:r>
        <w:rPr>
          <w:rFonts w:ascii="Arial" w:cs="Arial" w:eastAsia="Arial" w:hAnsi="Arial"/>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Darius Adamczyk, certify that:</w:t>
      </w:r>
    </w:p>
    <w:p>
      <w:pPr>
        <w:spacing w:after="0" w:line="50" w:lineRule="exact"/>
        <w:rPr>
          <w:sz w:val="20"/>
          <w:szCs w:val="20"/>
          <w:color w:val="auto"/>
        </w:rPr>
      </w:pPr>
    </w:p>
    <w:p>
      <w:pPr>
        <w:ind w:left="680" w:hanging="192"/>
        <w:spacing w:after="0"/>
        <w:tabs>
          <w:tab w:leader="none" w:pos="6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Honeywell International Inc.;</w:t>
      </w:r>
    </w:p>
    <w:p>
      <w:pPr>
        <w:spacing w:after="0" w:line="292" w:lineRule="exact"/>
        <w:rPr>
          <w:rFonts w:ascii="Arial" w:cs="Arial" w:eastAsia="Arial" w:hAnsi="Arial"/>
          <w:sz w:val="18"/>
          <w:szCs w:val="18"/>
          <w:color w:val="auto"/>
        </w:rPr>
      </w:pPr>
    </w:p>
    <w:p>
      <w:pPr>
        <w:ind w:left="680" w:right="60" w:hanging="192"/>
        <w:spacing w:after="0" w:line="219" w:lineRule="auto"/>
        <w:tabs>
          <w:tab w:leader="none" w:pos="6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83" w:lineRule="exact"/>
        <w:rPr>
          <w:rFonts w:ascii="Arial" w:cs="Arial" w:eastAsia="Arial" w:hAnsi="Arial"/>
          <w:sz w:val="18"/>
          <w:szCs w:val="18"/>
          <w:color w:val="auto"/>
        </w:rPr>
      </w:pPr>
    </w:p>
    <w:p>
      <w:pPr>
        <w:ind w:left="680" w:right="100" w:hanging="192"/>
        <w:spacing w:after="0" w:line="219" w:lineRule="auto"/>
        <w:tabs>
          <w:tab w:leader="none" w:pos="6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83" w:lineRule="exact"/>
        <w:rPr>
          <w:rFonts w:ascii="Arial" w:cs="Arial" w:eastAsia="Arial" w:hAnsi="Arial"/>
          <w:sz w:val="18"/>
          <w:szCs w:val="18"/>
          <w:color w:val="auto"/>
        </w:rPr>
      </w:pPr>
    </w:p>
    <w:p>
      <w:pPr>
        <w:ind w:left="680" w:right="120" w:hanging="192"/>
        <w:spacing w:after="0" w:line="219" w:lineRule="auto"/>
        <w:tabs>
          <w:tab w:leader="none" w:pos="6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91" w:lineRule="exact"/>
        <w:rPr>
          <w:rFonts w:ascii="Arial" w:cs="Arial" w:eastAsia="Arial" w:hAnsi="Arial"/>
          <w:sz w:val="18"/>
          <w:szCs w:val="18"/>
          <w:color w:val="auto"/>
        </w:rPr>
      </w:pPr>
    </w:p>
    <w:p>
      <w:pPr>
        <w:ind w:left="900" w:right="60" w:hanging="206"/>
        <w:spacing w:after="0" w:line="219" w:lineRule="auto"/>
        <w:tabs>
          <w:tab w:leader="none" w:pos="90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83" w:lineRule="exact"/>
        <w:rPr>
          <w:rFonts w:ascii="Arial" w:cs="Arial" w:eastAsia="Arial" w:hAnsi="Arial"/>
          <w:sz w:val="18"/>
          <w:szCs w:val="18"/>
          <w:color w:val="auto"/>
        </w:rPr>
      </w:pPr>
    </w:p>
    <w:p>
      <w:pPr>
        <w:ind w:left="900" w:right="440" w:hanging="206"/>
        <w:spacing w:after="0" w:line="219" w:lineRule="auto"/>
        <w:tabs>
          <w:tab w:leader="none" w:pos="90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83" w:lineRule="exact"/>
        <w:rPr>
          <w:rFonts w:ascii="Arial" w:cs="Arial" w:eastAsia="Arial" w:hAnsi="Arial"/>
          <w:sz w:val="18"/>
          <w:szCs w:val="18"/>
          <w:color w:val="auto"/>
        </w:rPr>
      </w:pPr>
    </w:p>
    <w:p>
      <w:pPr>
        <w:jc w:val="both"/>
        <w:ind w:left="900" w:right="360" w:hanging="196"/>
        <w:spacing w:after="0" w:line="219" w:lineRule="auto"/>
        <w:tabs>
          <w:tab w:leader="none" w:pos="90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83" w:lineRule="exact"/>
        <w:rPr>
          <w:rFonts w:ascii="Arial" w:cs="Arial" w:eastAsia="Arial" w:hAnsi="Arial"/>
          <w:sz w:val="18"/>
          <w:szCs w:val="18"/>
          <w:color w:val="auto"/>
        </w:rPr>
      </w:pPr>
    </w:p>
    <w:p>
      <w:pPr>
        <w:ind w:left="900" w:right="180" w:hanging="206"/>
        <w:spacing w:after="0" w:line="219" w:lineRule="auto"/>
        <w:tabs>
          <w:tab w:leader="none" w:pos="90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391" w:lineRule="exact"/>
        <w:rPr>
          <w:rFonts w:ascii="Arial" w:cs="Arial" w:eastAsia="Arial" w:hAnsi="Arial"/>
          <w:sz w:val="18"/>
          <w:szCs w:val="18"/>
          <w:color w:val="auto"/>
        </w:rPr>
      </w:pPr>
    </w:p>
    <w:p>
      <w:pPr>
        <w:ind w:left="680" w:right="320" w:hanging="192"/>
        <w:spacing w:after="0" w:line="219" w:lineRule="auto"/>
        <w:tabs>
          <w:tab w:leader="none" w:pos="6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1" w:lineRule="exact"/>
        <w:rPr>
          <w:rFonts w:ascii="Arial" w:cs="Arial" w:eastAsia="Arial" w:hAnsi="Arial"/>
          <w:sz w:val="18"/>
          <w:szCs w:val="18"/>
          <w:color w:val="auto"/>
        </w:rPr>
      </w:pPr>
    </w:p>
    <w:p>
      <w:pPr>
        <w:ind w:left="900" w:right="80" w:hanging="206"/>
        <w:spacing w:after="0" w:line="241" w:lineRule="auto"/>
        <w:tabs>
          <w:tab w:leader="none" w:pos="900" w:val="left"/>
        </w:tabs>
        <w:numPr>
          <w:ilvl w:val="1"/>
          <w:numId w:val="13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82" w:lineRule="exact"/>
        <w:rPr>
          <w:rFonts w:ascii="Arial" w:cs="Arial" w:eastAsia="Arial" w:hAnsi="Arial"/>
          <w:sz w:val="17"/>
          <w:szCs w:val="17"/>
          <w:color w:val="auto"/>
        </w:rPr>
      </w:pPr>
    </w:p>
    <w:p>
      <w:pPr>
        <w:ind w:left="900" w:right="280" w:hanging="206"/>
        <w:spacing w:after="0" w:line="227" w:lineRule="auto"/>
        <w:tabs>
          <w:tab w:leader="none" w:pos="90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p>
      <w:pPr>
        <w:ind w:left="20"/>
        <w:spacing w:after="0"/>
        <w:tabs>
          <w:tab w:leader="none" w:pos="5820" w:val="left"/>
          <w:tab w:leader="none" w:pos="6980" w:val="left"/>
        </w:tabs>
        <w:rPr>
          <w:sz w:val="20"/>
          <w:szCs w:val="20"/>
          <w:color w:val="auto"/>
        </w:rPr>
      </w:pPr>
      <w:r>
        <w:rPr>
          <w:rFonts w:ascii="Arial" w:cs="Arial" w:eastAsia="Arial" w:hAnsi="Arial"/>
          <w:sz w:val="18"/>
          <w:szCs w:val="18"/>
          <w:color w:val="auto"/>
        </w:rPr>
        <w:t>Date: February 12,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u w:val="single" w:color="auto"/>
          <w:color w:val="auto"/>
        </w:rPr>
        <w:t>/s/ Darius Adamczyk</w:t>
      </w:r>
    </w:p>
    <w:p>
      <w:pPr>
        <w:ind w:left="7000"/>
        <w:spacing w:after="0" w:line="229" w:lineRule="auto"/>
        <w:rPr>
          <w:sz w:val="20"/>
          <w:szCs w:val="20"/>
          <w:color w:val="auto"/>
        </w:rPr>
      </w:pPr>
      <w:r>
        <w:rPr>
          <w:rFonts w:ascii="Arial" w:cs="Arial" w:eastAsia="Arial" w:hAnsi="Arial"/>
          <w:sz w:val="18"/>
          <w:szCs w:val="18"/>
          <w:color w:val="auto"/>
        </w:rPr>
        <w:t>Darius Adamczyk</w:t>
      </w:r>
    </w:p>
    <w:p>
      <w:pPr>
        <w:spacing w:after="0" w:line="1"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240"/>
          </w:cols>
          <w:pgMar w:left="320" w:top="886" w:right="339" w:bottom="1440" w:gutter="0" w:footer="0" w:header="0"/>
        </w:sectPr>
      </w:pPr>
    </w:p>
    <w:bookmarkStart w:id="202" w:name="page203"/>
    <w:bookmarkEnd w:id="202"/>
    <w:p>
      <w:pPr>
        <w:jc w:val="right"/>
        <w:spacing w:after="0"/>
        <w:rPr>
          <w:sz w:val="20"/>
          <w:szCs w:val="20"/>
          <w:color w:val="auto"/>
        </w:rPr>
      </w:pPr>
      <w:r>
        <w:rPr>
          <w:rFonts w:ascii="Arial" w:cs="Arial" w:eastAsia="Arial" w:hAnsi="Arial"/>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 Gregory P. Lewis, certify that:</w:t>
      </w:r>
    </w:p>
    <w:p>
      <w:pPr>
        <w:spacing w:after="0" w:line="158" w:lineRule="exact"/>
        <w:rPr>
          <w:sz w:val="20"/>
          <w:szCs w:val="20"/>
          <w:color w:val="auto"/>
        </w:rPr>
      </w:pPr>
    </w:p>
    <w:p>
      <w:pPr>
        <w:ind w:left="680" w:hanging="192"/>
        <w:spacing w:after="0"/>
        <w:tabs>
          <w:tab w:leader="none" w:pos="6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Honeywell International Inc.;</w:t>
      </w:r>
    </w:p>
    <w:p>
      <w:pPr>
        <w:spacing w:after="0" w:line="292" w:lineRule="exact"/>
        <w:rPr>
          <w:rFonts w:ascii="Arial" w:cs="Arial" w:eastAsia="Arial" w:hAnsi="Arial"/>
          <w:sz w:val="18"/>
          <w:szCs w:val="18"/>
          <w:color w:val="auto"/>
        </w:rPr>
      </w:pPr>
    </w:p>
    <w:p>
      <w:pPr>
        <w:ind w:left="680" w:right="60" w:hanging="192"/>
        <w:spacing w:after="0" w:line="219" w:lineRule="auto"/>
        <w:tabs>
          <w:tab w:leader="none" w:pos="6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83" w:lineRule="exact"/>
        <w:rPr>
          <w:rFonts w:ascii="Arial" w:cs="Arial" w:eastAsia="Arial" w:hAnsi="Arial"/>
          <w:sz w:val="18"/>
          <w:szCs w:val="18"/>
          <w:color w:val="auto"/>
        </w:rPr>
      </w:pPr>
    </w:p>
    <w:p>
      <w:pPr>
        <w:ind w:left="680" w:right="100" w:hanging="192"/>
        <w:spacing w:after="0" w:line="219" w:lineRule="auto"/>
        <w:tabs>
          <w:tab w:leader="none" w:pos="6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83" w:lineRule="exact"/>
        <w:rPr>
          <w:rFonts w:ascii="Arial" w:cs="Arial" w:eastAsia="Arial" w:hAnsi="Arial"/>
          <w:sz w:val="18"/>
          <w:szCs w:val="18"/>
          <w:color w:val="auto"/>
        </w:rPr>
      </w:pPr>
    </w:p>
    <w:p>
      <w:pPr>
        <w:ind w:left="680" w:right="120" w:hanging="192"/>
        <w:spacing w:after="0" w:line="219" w:lineRule="auto"/>
        <w:tabs>
          <w:tab w:leader="none" w:pos="6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91" w:lineRule="exact"/>
        <w:rPr>
          <w:rFonts w:ascii="Arial" w:cs="Arial" w:eastAsia="Arial" w:hAnsi="Arial"/>
          <w:sz w:val="18"/>
          <w:szCs w:val="18"/>
          <w:color w:val="auto"/>
        </w:rPr>
      </w:pPr>
    </w:p>
    <w:p>
      <w:pPr>
        <w:ind w:left="900" w:right="60" w:hanging="206"/>
        <w:spacing w:after="0" w:line="219" w:lineRule="auto"/>
        <w:tabs>
          <w:tab w:leader="none" w:pos="90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83" w:lineRule="exact"/>
        <w:rPr>
          <w:rFonts w:ascii="Arial" w:cs="Arial" w:eastAsia="Arial" w:hAnsi="Arial"/>
          <w:sz w:val="18"/>
          <w:szCs w:val="18"/>
          <w:color w:val="auto"/>
        </w:rPr>
      </w:pPr>
    </w:p>
    <w:p>
      <w:pPr>
        <w:ind w:left="900" w:right="440" w:hanging="206"/>
        <w:spacing w:after="0" w:line="219" w:lineRule="auto"/>
        <w:tabs>
          <w:tab w:leader="none" w:pos="90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83" w:lineRule="exact"/>
        <w:rPr>
          <w:rFonts w:ascii="Arial" w:cs="Arial" w:eastAsia="Arial" w:hAnsi="Arial"/>
          <w:sz w:val="18"/>
          <w:szCs w:val="18"/>
          <w:color w:val="auto"/>
        </w:rPr>
      </w:pPr>
    </w:p>
    <w:p>
      <w:pPr>
        <w:jc w:val="both"/>
        <w:ind w:left="900" w:right="360" w:hanging="196"/>
        <w:spacing w:after="0" w:line="219" w:lineRule="auto"/>
        <w:tabs>
          <w:tab w:leader="none" w:pos="90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83" w:lineRule="exact"/>
        <w:rPr>
          <w:rFonts w:ascii="Arial" w:cs="Arial" w:eastAsia="Arial" w:hAnsi="Arial"/>
          <w:sz w:val="18"/>
          <w:szCs w:val="18"/>
          <w:color w:val="auto"/>
        </w:rPr>
      </w:pPr>
    </w:p>
    <w:p>
      <w:pPr>
        <w:ind w:left="900" w:right="180" w:hanging="206"/>
        <w:spacing w:after="0" w:line="219" w:lineRule="auto"/>
        <w:tabs>
          <w:tab w:leader="none" w:pos="90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391" w:lineRule="exact"/>
        <w:rPr>
          <w:rFonts w:ascii="Arial" w:cs="Arial" w:eastAsia="Arial" w:hAnsi="Arial"/>
          <w:sz w:val="18"/>
          <w:szCs w:val="18"/>
          <w:color w:val="auto"/>
        </w:rPr>
      </w:pPr>
    </w:p>
    <w:p>
      <w:pPr>
        <w:ind w:left="680" w:right="320" w:hanging="192"/>
        <w:spacing w:after="0" w:line="219" w:lineRule="auto"/>
        <w:tabs>
          <w:tab w:leader="none" w:pos="6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1" w:lineRule="exact"/>
        <w:rPr>
          <w:rFonts w:ascii="Arial" w:cs="Arial" w:eastAsia="Arial" w:hAnsi="Arial"/>
          <w:sz w:val="18"/>
          <w:szCs w:val="18"/>
          <w:color w:val="auto"/>
        </w:rPr>
      </w:pPr>
    </w:p>
    <w:p>
      <w:pPr>
        <w:ind w:left="900" w:right="80" w:hanging="206"/>
        <w:spacing w:after="0" w:line="241" w:lineRule="auto"/>
        <w:tabs>
          <w:tab w:leader="none" w:pos="900" w:val="left"/>
        </w:tabs>
        <w:numPr>
          <w:ilvl w:val="1"/>
          <w:numId w:val="13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82" w:lineRule="exact"/>
        <w:rPr>
          <w:rFonts w:ascii="Arial" w:cs="Arial" w:eastAsia="Arial" w:hAnsi="Arial"/>
          <w:sz w:val="17"/>
          <w:szCs w:val="17"/>
          <w:color w:val="auto"/>
        </w:rPr>
      </w:pPr>
    </w:p>
    <w:p>
      <w:pPr>
        <w:ind w:left="900" w:right="280" w:hanging="206"/>
        <w:spacing w:after="0" w:line="227" w:lineRule="auto"/>
        <w:tabs>
          <w:tab w:leader="none" w:pos="90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p>
      <w:pPr>
        <w:ind w:left="20"/>
        <w:spacing w:after="0"/>
        <w:tabs>
          <w:tab w:leader="none" w:pos="5820" w:val="left"/>
          <w:tab w:leader="none" w:pos="6980" w:val="left"/>
        </w:tabs>
        <w:rPr>
          <w:sz w:val="20"/>
          <w:szCs w:val="20"/>
          <w:color w:val="auto"/>
        </w:rPr>
      </w:pPr>
      <w:r>
        <w:rPr>
          <w:rFonts w:ascii="Arial" w:cs="Arial" w:eastAsia="Arial" w:hAnsi="Arial"/>
          <w:sz w:val="18"/>
          <w:szCs w:val="18"/>
          <w:color w:val="auto"/>
        </w:rPr>
        <w:t>Date: February 12,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u w:val="single" w:color="auto"/>
          <w:color w:val="auto"/>
        </w:rPr>
        <w:t>/s/ Gregory P. Lewis</w:t>
      </w:r>
    </w:p>
    <w:p>
      <w:pPr>
        <w:ind w:left="7000"/>
        <w:spacing w:after="0" w:line="229" w:lineRule="auto"/>
        <w:rPr>
          <w:sz w:val="20"/>
          <w:szCs w:val="20"/>
          <w:color w:val="auto"/>
        </w:rPr>
      </w:pPr>
      <w:r>
        <w:rPr>
          <w:rFonts w:ascii="Arial" w:cs="Arial" w:eastAsia="Arial" w:hAnsi="Arial"/>
          <w:sz w:val="18"/>
          <w:szCs w:val="18"/>
          <w:color w:val="auto"/>
        </w:rPr>
        <w:t>Gregory P. Lewis</w:t>
      </w:r>
    </w:p>
    <w:p>
      <w:pPr>
        <w:spacing w:after="0" w:line="1"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240"/>
          </w:cols>
          <w:pgMar w:left="320" w:top="886" w:right="339" w:bottom="1440" w:gutter="0" w:footer="0" w:header="0"/>
        </w:sectPr>
      </w:pPr>
    </w:p>
    <w:bookmarkStart w:id="203" w:name="page204"/>
    <w:bookmarkEnd w:id="203"/>
    <w:p>
      <w:pPr>
        <w:jc w:val="right"/>
        <w:spacing w:after="0"/>
        <w:rPr>
          <w:sz w:val="20"/>
          <w:szCs w:val="20"/>
          <w:color w:val="auto"/>
        </w:rPr>
      </w:pPr>
      <w:r>
        <w:rPr>
          <w:rFonts w:ascii="Arial" w:cs="Arial" w:eastAsia="Arial" w:hAnsi="Arial"/>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17"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In connection with the Annual Report of Honeywell International Inc. (the Company) on Form 10-K for the period ending December 31, 2020 as filed with the Securities and Exchange Commission on the date hereof (the Report), I, Darius Adamczyk, Chairman and Chief Executive Officer of the Company, certify, pursuant to 18 U.S.C. Section 1350, as adopted pursuant to Section 906 of the Sarbanes-Oxley Act of 2002, that:</w:t>
      </w:r>
    </w:p>
    <w:p>
      <w:pPr>
        <w:spacing w:after="0" w:line="2" w:lineRule="exact"/>
        <w:rPr>
          <w:sz w:val="20"/>
          <w:szCs w:val="20"/>
          <w:color w:val="auto"/>
        </w:rPr>
      </w:pPr>
    </w:p>
    <w:p>
      <w:pPr>
        <w:ind w:left="520" w:hanging="310"/>
        <w:spacing w:after="0"/>
        <w:tabs>
          <w:tab w:leader="none" w:pos="5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 w:lineRule="exact"/>
        <w:rPr>
          <w:rFonts w:ascii="Arial" w:cs="Arial" w:eastAsia="Arial" w:hAnsi="Arial"/>
          <w:sz w:val="18"/>
          <w:szCs w:val="18"/>
          <w:color w:val="auto"/>
        </w:rPr>
      </w:pPr>
    </w:p>
    <w:p>
      <w:pPr>
        <w:ind w:left="540" w:right="140" w:hanging="330"/>
        <w:spacing w:after="0" w:line="261" w:lineRule="auto"/>
        <w:tabs>
          <w:tab w:leader="none" w:pos="53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tbl>
      <w:tblPr>
        <w:tblLayout w:type="fixed"/>
        <w:tblInd w:w="20" w:type="dxa"/>
        <w:tblCellMar>
          <w:top w:w="0" w:type="dxa"/>
          <w:left w:w="0" w:type="dxa"/>
          <w:bottom w:w="0" w:type="dxa"/>
          <w:right w:w="0" w:type="dxa"/>
        </w:tblCellMar>
      </w:tblPr>
      <w:tr>
        <w:trPr>
          <w:trHeight w:val="199"/>
        </w:trPr>
        <w:tc>
          <w:tcPr>
            <w:tcW w:w="3880" w:type="dxa"/>
            <w:vAlign w:val="bottom"/>
          </w:tcPr>
          <w:p>
            <w:pPr>
              <w:spacing w:after="0" w:line="199" w:lineRule="exact"/>
              <w:rPr>
                <w:sz w:val="20"/>
                <w:szCs w:val="20"/>
                <w:color w:val="auto"/>
              </w:rPr>
            </w:pPr>
            <w:r>
              <w:rPr>
                <w:rFonts w:ascii="Arial" w:cs="Arial" w:eastAsia="Arial" w:hAnsi="Arial"/>
                <w:sz w:val="18"/>
                <w:szCs w:val="18"/>
                <w:color w:val="auto"/>
              </w:rPr>
              <w:t>Date: February 12, 2021</w:t>
            </w:r>
          </w:p>
        </w:tc>
        <w:tc>
          <w:tcPr>
            <w:tcW w:w="3100" w:type="dxa"/>
            <w:vAlign w:val="bottom"/>
          </w:tcPr>
          <w:p>
            <w:pPr>
              <w:ind w:left="1940"/>
              <w:spacing w:after="0" w:line="199" w:lineRule="exact"/>
              <w:rPr>
                <w:sz w:val="20"/>
                <w:szCs w:val="20"/>
                <w:color w:val="auto"/>
              </w:rPr>
            </w:pPr>
            <w:r>
              <w:rPr>
                <w:rFonts w:ascii="Arial" w:cs="Arial" w:eastAsia="Arial" w:hAnsi="Arial"/>
                <w:sz w:val="18"/>
                <w:szCs w:val="18"/>
                <w:color w:val="auto"/>
              </w:rPr>
              <w:t>By:</w:t>
            </w:r>
          </w:p>
        </w:tc>
        <w:tc>
          <w:tcPr>
            <w:tcW w:w="3020" w:type="dxa"/>
            <w:vAlign w:val="bottom"/>
            <w:gridSpan w:val="2"/>
          </w:tcPr>
          <w:p>
            <w:pPr>
              <w:spacing w:after="0" w:line="199" w:lineRule="exact"/>
              <w:rPr>
                <w:sz w:val="20"/>
                <w:szCs w:val="20"/>
                <w:color w:val="auto"/>
              </w:rPr>
            </w:pPr>
            <w:r>
              <w:rPr>
                <w:rFonts w:ascii="Arial" w:cs="Arial" w:eastAsia="Arial" w:hAnsi="Arial"/>
                <w:sz w:val="18"/>
                <w:szCs w:val="18"/>
                <w:color w:val="auto"/>
              </w:rPr>
              <w:t>/s/ Darius Adamczyk</w:t>
            </w:r>
          </w:p>
        </w:tc>
      </w:tr>
      <w:tr>
        <w:trPr>
          <w:trHeight w:val="209"/>
        </w:trPr>
        <w:tc>
          <w:tcPr>
            <w:tcW w:w="38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6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Darius Adamczyk</w:t>
            </w:r>
          </w:p>
        </w:tc>
        <w:tc>
          <w:tcPr>
            <w:tcW w:w="1380" w:type="dxa"/>
            <w:vAlign w:val="bottom"/>
          </w:tcPr>
          <w:p>
            <w:pPr>
              <w:spacing w:after="0"/>
              <w:rPr>
                <w:sz w:val="18"/>
                <w:szCs w:val="18"/>
                <w:color w:val="auto"/>
              </w:rPr>
            </w:pPr>
          </w:p>
        </w:tc>
      </w:tr>
      <w:tr>
        <w:trPr>
          <w:trHeight w:val="217"/>
        </w:trPr>
        <w:tc>
          <w:tcPr>
            <w:tcW w:w="38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w w:val="99"/>
              </w:rPr>
              <w:t>Chairman and Chief Executive Officer</w:t>
            </w:r>
          </w:p>
        </w:tc>
      </w:tr>
    </w:tbl>
    <w:p>
      <w:pPr>
        <w:sectPr>
          <w:pgSz w:w="11900" w:h="16838" w:orient="portrait"/>
          <w:cols w:equalWidth="0" w:num="1">
            <w:col w:w="11240"/>
          </w:cols>
          <w:pgMar w:left="320" w:top="886" w:right="339" w:bottom="1440" w:gutter="0" w:footer="0" w:header="0"/>
        </w:sectPr>
      </w:pPr>
    </w:p>
    <w:bookmarkStart w:id="204" w:name="page205"/>
    <w:bookmarkEnd w:id="204"/>
    <w:p>
      <w:pPr>
        <w:jc w:val="right"/>
        <w:spacing w:after="0"/>
        <w:rPr>
          <w:sz w:val="20"/>
          <w:szCs w:val="20"/>
          <w:color w:val="auto"/>
        </w:rPr>
      </w:pPr>
      <w:r>
        <w:rPr>
          <w:rFonts w:ascii="Arial" w:cs="Arial" w:eastAsia="Arial" w:hAnsi="Arial"/>
          <w:sz w:val="18"/>
          <w:szCs w:val="18"/>
          <w:b w:val="1"/>
          <w:bCs w:val="1"/>
          <w:color w:val="auto"/>
        </w:rPr>
        <w:t>EXHIBIT 32.2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17" w:lineRule="exact"/>
        <w:rPr>
          <w:sz w:val="20"/>
          <w:szCs w:val="20"/>
          <w:color w:val="auto"/>
        </w:rPr>
      </w:pPr>
    </w:p>
    <w:p>
      <w:pPr>
        <w:jc w:val="both"/>
        <w:ind w:right="40"/>
        <w:spacing w:after="0" w:line="250" w:lineRule="auto"/>
        <w:rPr>
          <w:sz w:val="20"/>
          <w:szCs w:val="20"/>
          <w:color w:val="auto"/>
        </w:rPr>
      </w:pPr>
      <w:r>
        <w:rPr>
          <w:rFonts w:ascii="Arial" w:cs="Arial" w:eastAsia="Arial" w:hAnsi="Arial"/>
          <w:sz w:val="18"/>
          <w:szCs w:val="18"/>
          <w:color w:val="auto"/>
        </w:rPr>
        <w:t>In connection with the Annual Report of Honeywell International Inc. (the Company) on Form 10-K for the period ending December 31, 2020 as filed with the Securities and Exchange Commission on the date hereof (the Report), I, Gregory P. Lewis, Senior Vice President and Chief Financial Officer of the Company, certify, pursuant to 18 U.S.C. Section 1350, as adopted pursuant to Section 906 of the Sarbanes-Oxley Act of 2002, that:</w:t>
      </w:r>
    </w:p>
    <w:p>
      <w:pPr>
        <w:spacing w:after="0" w:line="2" w:lineRule="exact"/>
        <w:rPr>
          <w:sz w:val="20"/>
          <w:szCs w:val="20"/>
          <w:color w:val="auto"/>
        </w:rPr>
      </w:pPr>
    </w:p>
    <w:p>
      <w:pPr>
        <w:ind w:left="520" w:hanging="310"/>
        <w:spacing w:after="0"/>
        <w:tabs>
          <w:tab w:leader="none" w:pos="52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 w:lineRule="exact"/>
        <w:rPr>
          <w:rFonts w:ascii="Arial" w:cs="Arial" w:eastAsia="Arial" w:hAnsi="Arial"/>
          <w:sz w:val="18"/>
          <w:szCs w:val="18"/>
          <w:color w:val="auto"/>
        </w:rPr>
      </w:pPr>
    </w:p>
    <w:p>
      <w:pPr>
        <w:ind w:left="540" w:right="140" w:hanging="330"/>
        <w:spacing w:after="0" w:line="261" w:lineRule="auto"/>
        <w:tabs>
          <w:tab w:leader="none" w:pos="53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tbl>
      <w:tblPr>
        <w:tblLayout w:type="fixed"/>
        <w:tblInd w:w="20" w:type="dxa"/>
        <w:tblCellMar>
          <w:top w:w="0" w:type="dxa"/>
          <w:left w:w="0" w:type="dxa"/>
          <w:bottom w:w="0" w:type="dxa"/>
          <w:right w:w="0" w:type="dxa"/>
        </w:tblCellMar>
      </w:tblPr>
      <w:tr>
        <w:trPr>
          <w:trHeight w:val="199"/>
        </w:trPr>
        <w:tc>
          <w:tcPr>
            <w:tcW w:w="3880" w:type="dxa"/>
            <w:vAlign w:val="bottom"/>
          </w:tcPr>
          <w:p>
            <w:pPr>
              <w:spacing w:after="0" w:line="199" w:lineRule="exact"/>
              <w:rPr>
                <w:sz w:val="20"/>
                <w:szCs w:val="20"/>
                <w:color w:val="auto"/>
              </w:rPr>
            </w:pPr>
            <w:r>
              <w:rPr>
                <w:rFonts w:ascii="Arial" w:cs="Arial" w:eastAsia="Arial" w:hAnsi="Arial"/>
                <w:sz w:val="18"/>
                <w:szCs w:val="18"/>
                <w:color w:val="auto"/>
              </w:rPr>
              <w:t>Date: February 12, 2021</w:t>
            </w:r>
          </w:p>
        </w:tc>
        <w:tc>
          <w:tcPr>
            <w:tcW w:w="3100" w:type="dxa"/>
            <w:vAlign w:val="bottom"/>
          </w:tcPr>
          <w:p>
            <w:pPr>
              <w:ind w:left="1940"/>
              <w:spacing w:after="0" w:line="199" w:lineRule="exact"/>
              <w:rPr>
                <w:sz w:val="20"/>
                <w:szCs w:val="20"/>
                <w:color w:val="auto"/>
              </w:rPr>
            </w:pPr>
            <w:r>
              <w:rPr>
                <w:rFonts w:ascii="Arial" w:cs="Arial" w:eastAsia="Arial" w:hAnsi="Arial"/>
                <w:sz w:val="18"/>
                <w:szCs w:val="18"/>
                <w:color w:val="auto"/>
              </w:rPr>
              <w:t>By:</w:t>
            </w:r>
          </w:p>
        </w:tc>
        <w:tc>
          <w:tcPr>
            <w:tcW w:w="3900" w:type="dxa"/>
            <w:vAlign w:val="bottom"/>
            <w:gridSpan w:val="2"/>
          </w:tcPr>
          <w:p>
            <w:pPr>
              <w:spacing w:after="0" w:line="199" w:lineRule="exact"/>
              <w:rPr>
                <w:sz w:val="20"/>
                <w:szCs w:val="20"/>
                <w:color w:val="auto"/>
              </w:rPr>
            </w:pPr>
            <w:r>
              <w:rPr>
                <w:rFonts w:ascii="Arial" w:cs="Arial" w:eastAsia="Arial" w:hAnsi="Arial"/>
                <w:sz w:val="18"/>
                <w:szCs w:val="18"/>
                <w:color w:val="auto"/>
              </w:rPr>
              <w:t>/s/ Gregory P. Lewis</w:t>
            </w:r>
          </w:p>
        </w:tc>
      </w:tr>
      <w:tr>
        <w:trPr>
          <w:trHeight w:val="209"/>
        </w:trPr>
        <w:tc>
          <w:tcPr>
            <w:tcW w:w="38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Gregory P. Lewis</w:t>
            </w:r>
          </w:p>
        </w:tc>
        <w:tc>
          <w:tcPr>
            <w:tcW w:w="2300" w:type="dxa"/>
            <w:vAlign w:val="bottom"/>
          </w:tcPr>
          <w:p>
            <w:pPr>
              <w:spacing w:after="0"/>
              <w:rPr>
                <w:sz w:val="18"/>
                <w:szCs w:val="18"/>
                <w:color w:val="auto"/>
              </w:rPr>
            </w:pPr>
          </w:p>
        </w:tc>
      </w:tr>
      <w:tr>
        <w:trPr>
          <w:trHeight w:val="217"/>
        </w:trPr>
        <w:tc>
          <w:tcPr>
            <w:tcW w:w="38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w w:val="99"/>
              </w:rPr>
              <w:t>Senior Vice President and Chief Financial Officer</w:t>
            </w:r>
          </w:p>
        </w:tc>
      </w:tr>
    </w:tbl>
    <w:p>
      <w:pPr>
        <w:sectPr>
          <w:pgSz w:w="11900" w:h="16838" w:orient="portrait"/>
          <w:cols w:equalWidth="0" w:num="1">
            <w:col w:w="11240"/>
          </w:cols>
          <w:pgMar w:left="320" w:top="886" w:right="339" w:bottom="1440" w:gutter="0" w:footer="0" w:header="0"/>
        </w:sectPr>
      </w:pPr>
    </w:p>
    <w:bookmarkStart w:id="205" w:name="page206"/>
    <w:bookmarkEnd w:id="205"/>
    <w:p>
      <w:pPr>
        <w:jc w:val="right"/>
        <w:spacing w:after="0"/>
        <w:rPr>
          <w:sz w:val="20"/>
          <w:szCs w:val="20"/>
          <w:color w:val="auto"/>
        </w:rPr>
      </w:pPr>
      <w:r>
        <w:rPr>
          <w:rFonts w:ascii="Arial" w:cs="Arial" w:eastAsia="Arial" w:hAnsi="Arial"/>
          <w:sz w:val="18"/>
          <w:szCs w:val="18"/>
          <w:b w:val="1"/>
          <w:bCs w:val="1"/>
          <w:color w:val="auto"/>
        </w:rPr>
        <w:t>EXHIBIT 95</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Mine Safety Disclosures</w:t>
      </w:r>
    </w:p>
    <w:p>
      <w:pPr>
        <w:spacing w:after="0" w:line="355" w:lineRule="exact"/>
        <w:rPr>
          <w:sz w:val="20"/>
          <w:szCs w:val="20"/>
          <w:color w:val="auto"/>
        </w:rPr>
      </w:pPr>
    </w:p>
    <w:p>
      <w:pPr>
        <w:jc w:val="both"/>
        <w:ind w:firstLine="364"/>
        <w:spacing w:after="0" w:line="253" w:lineRule="auto"/>
        <w:rPr>
          <w:sz w:val="20"/>
          <w:szCs w:val="20"/>
          <w:color w:val="auto"/>
        </w:rPr>
      </w:pPr>
      <w:r>
        <w:rPr>
          <w:rFonts w:ascii="Arial" w:cs="Arial" w:eastAsia="Arial" w:hAnsi="Arial"/>
          <w:sz w:val="18"/>
          <w:szCs w:val="18"/>
          <w:color w:val="auto"/>
        </w:rPr>
        <w:t>The following disclosures are provided pursuant to Section 1503(a) of the Dodd-Frank Wall Street Reform and Consumer Protection Act and Item 104 of Regulation S-K, which require certain disclosures by companies required to file periodic reports under the Securities Exchange Act of 1934, as amended, that operate mines regulated under the Federal Mine Safety and Health Act of 1977 (the "Mine Safety Act"). One of the subsidiaries of Honeywell International Inc. (the "Company") has placer claims for and operates a surface mine for chabazite ore in Arizona.</w:t>
      </w:r>
    </w:p>
    <w:p>
      <w:pPr>
        <w:spacing w:after="0" w:line="97" w:lineRule="exact"/>
        <w:rPr>
          <w:sz w:val="20"/>
          <w:szCs w:val="20"/>
          <w:color w:val="auto"/>
        </w:rPr>
      </w:pPr>
    </w:p>
    <w:p>
      <w:pPr>
        <w:jc w:val="both"/>
        <w:ind w:firstLine="364"/>
        <w:spacing w:after="0" w:line="252" w:lineRule="auto"/>
        <w:rPr>
          <w:sz w:val="20"/>
          <w:szCs w:val="20"/>
          <w:color w:val="auto"/>
        </w:rPr>
      </w:pPr>
      <w:r>
        <w:rPr>
          <w:rFonts w:ascii="Arial" w:cs="Arial" w:eastAsia="Arial" w:hAnsi="Arial"/>
          <w:sz w:val="18"/>
          <w:szCs w:val="18"/>
          <w:color w:val="auto"/>
        </w:rPr>
        <w:t>During the year ended December 31, 2020, the Company did not receive any of the following: (a) a citation from the U.S. Mine Safety and Health Administration (“MSHA”) for a violation of mandatory health or safety standards that could significantly and substantially contribute to the cause and effect of a coal or other mine safety or health hazard under section 104 of the Mine Safety Act; (b) an order issued under section 104(b) of the Mine Safety Act; (c) a citation or order for unwarrantable failure of the mine operator to comply with mandatory health or safety standards under section 104(d) of the Mine Safety Act; (d) a flagrant violation under section 110(b)(2) of the Mine Safety Act; (e) an imminent danger order under section 107(a) of the Mine Safety Act; or (f) a proposed assessment from the MSHA.</w:t>
      </w:r>
    </w:p>
    <w:p>
      <w:pPr>
        <w:spacing w:after="0" w:line="100" w:lineRule="exact"/>
        <w:rPr>
          <w:sz w:val="20"/>
          <w:szCs w:val="20"/>
          <w:color w:val="auto"/>
        </w:rPr>
      </w:pPr>
    </w:p>
    <w:p>
      <w:pPr>
        <w:jc w:val="both"/>
        <w:ind w:firstLine="364"/>
        <w:spacing w:after="0" w:line="253" w:lineRule="auto"/>
        <w:rPr>
          <w:sz w:val="20"/>
          <w:szCs w:val="20"/>
          <w:color w:val="auto"/>
        </w:rPr>
      </w:pPr>
      <w:r>
        <w:rPr>
          <w:rFonts w:ascii="Arial" w:cs="Arial" w:eastAsia="Arial" w:hAnsi="Arial"/>
          <w:sz w:val="18"/>
          <w:szCs w:val="18"/>
          <w:color w:val="auto"/>
        </w:rPr>
        <w:t>In addition, during the year ended December 31, 2020, the Company had no mining-related fatalities, had no pending legal actions before the Federal Mine Safety and Health Review Commission involving a coal or other mine, and did not receive any written notice from the MSHA involving a pattern of violations, or the potential to have such a pattern, of mandatory health or safety standards that are of such nature as could have significantly and substantially contributed to the cause and effect of coal or other mine health or safety hazards under section 104(e) of the Mine Safety Act.</w:t>
      </w: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98A3148"/>
    <w:multiLevelType w:val="hybridMultilevel"/>
    <w:lvl w:ilvl="0">
      <w:lvlJc w:val="left"/>
      <w:lvlText w:val="☒"/>
      <w:numFmt w:val="bullet"/>
      <w:start w:val="1"/>
    </w:lvl>
  </w:abstractNum>
  <w:abstractNum w:abstractNumId="1">
    <w:nsid w:val="799D0247"/>
    <w:multiLevelType w:val="hybridMultilevel"/>
    <w:lvl w:ilvl="0">
      <w:lvlJc w:val="left"/>
      <w:lvlText w:val="☐"/>
      <w:numFmt w:val="bullet"/>
      <w:start w:val="1"/>
    </w:lvl>
  </w:abstractNum>
  <w:abstractNum w:abstractNumId="2">
    <w:nsid w:val="6B94764"/>
    <w:multiLevelType w:val="hybridMultilevel"/>
    <w:lvl w:ilvl="0">
      <w:lvlJc w:val="left"/>
      <w:lvlText w:val="*"/>
      <w:numFmt w:val="bullet"/>
      <w:start w:val="1"/>
    </w:lvl>
  </w:abstractNum>
  <w:abstractNum w:abstractNumId="3">
    <w:nsid w:val="42C296BD"/>
    <w:multiLevelType w:val="hybridMultilevel"/>
    <w:lvl w:ilvl="0">
      <w:lvlJc w:val="left"/>
      <w:lvlText w:val="•"/>
      <w:numFmt w:val="bullet"/>
      <w:start w:val="1"/>
    </w:lvl>
  </w:abstractNum>
  <w:abstractNum w:abstractNumId="4">
    <w:nsid w:val="168E121F"/>
    <w:multiLevelType w:val="hybridMultilevel"/>
    <w:lvl w:ilvl="0">
      <w:lvlJc w:val="left"/>
      <w:lvlText w:val="•"/>
      <w:numFmt w:val="bullet"/>
      <w:start w:val="1"/>
    </w:lvl>
  </w:abstractNum>
  <w:abstractNum w:abstractNumId="5">
    <w:nsid w:val="1EBA5D23"/>
    <w:multiLevelType w:val="hybridMultilevel"/>
    <w:lvl w:ilvl="0">
      <w:lvlJc w:val="left"/>
      <w:lvlText w:val="(%1)"/>
      <w:numFmt w:val="decimal"/>
      <w:start w:val="1"/>
    </w:lvl>
  </w:abstractNum>
  <w:abstractNum w:abstractNumId="6">
    <w:nsid w:val="661E3F1E"/>
    <w:multiLevelType w:val="hybridMultilevel"/>
    <w:lvl w:ilvl="0">
      <w:lvlJc w:val="left"/>
      <w:lvlText w:val="•"/>
      <w:numFmt w:val="bullet"/>
      <w:start w:val="1"/>
    </w:lvl>
  </w:abstractNum>
  <w:abstractNum w:abstractNumId="7">
    <w:nsid w:val="5DC79EA8"/>
    <w:multiLevelType w:val="hybridMultilevel"/>
    <w:lvl w:ilvl="0">
      <w:lvlJc w:val="left"/>
      <w:lvlText w:val="•"/>
      <w:numFmt w:val="bullet"/>
      <w:start w:val="1"/>
    </w:lvl>
  </w:abstractNum>
  <w:abstractNum w:abstractNumId="8">
    <w:nsid w:val="540A471C"/>
    <w:multiLevelType w:val="hybridMultilevel"/>
    <w:lvl w:ilvl="0">
      <w:lvlJc w:val="left"/>
      <w:lvlText w:val="•"/>
      <w:numFmt w:val="bullet"/>
      <w:start w:val="1"/>
    </w:lvl>
  </w:abstractNum>
  <w:abstractNum w:abstractNumId="9">
    <w:nsid w:val="7BD3EE7B"/>
    <w:multiLevelType w:val="hybridMultilevel"/>
    <w:lvl w:ilvl="0">
      <w:lvlJc w:val="left"/>
      <w:lvlText w:val="•"/>
      <w:numFmt w:val="bullet"/>
      <w:start w:val="1"/>
    </w:lvl>
  </w:abstractNum>
  <w:abstractNum w:abstractNumId="10">
    <w:nsid w:val="51D9C564"/>
    <w:multiLevelType w:val="hybridMultilevel"/>
    <w:lvl w:ilvl="0">
      <w:lvlJc w:val="left"/>
      <w:lvlText w:val="•"/>
      <w:numFmt w:val="bullet"/>
      <w:start w:val="1"/>
    </w:lvl>
  </w:abstractNum>
  <w:abstractNum w:abstractNumId="11">
    <w:nsid w:val="613EFDC5"/>
    <w:multiLevelType w:val="hybridMultilevel"/>
    <w:lvl w:ilvl="0">
      <w:lvlJc w:val="left"/>
      <w:lvlText w:val="•"/>
      <w:numFmt w:val="bullet"/>
      <w:start w:val="1"/>
    </w:lvl>
  </w:abstractNum>
  <w:abstractNum w:abstractNumId="12">
    <w:nsid w:val="BF72B14"/>
    <w:multiLevelType w:val="hybridMultilevel"/>
    <w:lvl w:ilvl="0">
      <w:lvlJc w:val="left"/>
      <w:lvlText w:val="•"/>
      <w:numFmt w:val="bullet"/>
      <w:start w:val="1"/>
    </w:lvl>
  </w:abstractNum>
  <w:abstractNum w:abstractNumId="13">
    <w:nsid w:val="11447B73"/>
    <w:multiLevelType w:val="hybridMultilevel"/>
    <w:lvl w:ilvl="0">
      <w:lvlJc w:val="left"/>
      <w:lvlText w:val="•"/>
      <w:numFmt w:val="bullet"/>
      <w:start w:val="1"/>
    </w:lvl>
  </w:abstractNum>
  <w:abstractNum w:abstractNumId="14">
    <w:nsid w:val="42963E5A"/>
    <w:multiLevelType w:val="hybridMultilevel"/>
    <w:lvl w:ilvl="0">
      <w:lvlJc w:val="left"/>
      <w:lvlText w:val="•"/>
      <w:numFmt w:val="bullet"/>
      <w:start w:val="1"/>
    </w:lvl>
  </w:abstractNum>
  <w:abstractNum w:abstractNumId="15">
    <w:nsid w:val="A0382C5"/>
    <w:multiLevelType w:val="hybridMultilevel"/>
    <w:lvl w:ilvl="0">
      <w:lvlJc w:val="left"/>
      <w:lvlText w:val="•"/>
      <w:numFmt w:val="bullet"/>
      <w:start w:val="1"/>
    </w:lvl>
  </w:abstractNum>
  <w:abstractNum w:abstractNumId="16">
    <w:nsid w:val="8F2B15E"/>
    <w:multiLevelType w:val="hybridMultilevel"/>
    <w:lvl w:ilvl="0">
      <w:lvlJc w:val="left"/>
      <w:lvlText w:val="•"/>
      <w:numFmt w:val="bullet"/>
      <w:start w:val="1"/>
    </w:lvl>
  </w:abstractNum>
  <w:abstractNum w:abstractNumId="17">
    <w:nsid w:val="1A32234B"/>
    <w:multiLevelType w:val="hybridMultilevel"/>
    <w:lvl w:ilvl="0">
      <w:lvlJc w:val="left"/>
      <w:lvlText w:val="•"/>
      <w:numFmt w:val="bullet"/>
      <w:start w:val="1"/>
    </w:lvl>
  </w:abstractNum>
  <w:abstractNum w:abstractNumId="18">
    <w:nsid w:val="3B0FD379"/>
    <w:multiLevelType w:val="hybridMultilevel"/>
    <w:lvl w:ilvl="0">
      <w:lvlJc w:val="left"/>
      <w:lvlText w:val="•"/>
      <w:numFmt w:val="bullet"/>
      <w:start w:val="1"/>
    </w:lvl>
  </w:abstractNum>
  <w:abstractNum w:abstractNumId="19">
    <w:nsid w:val="68EB2F63"/>
    <w:multiLevelType w:val="hybridMultilevel"/>
    <w:lvl w:ilvl="0">
      <w:lvlJc w:val="left"/>
      <w:lvlText w:val="•"/>
      <w:numFmt w:val="bullet"/>
      <w:start w:val="1"/>
    </w:lvl>
  </w:abstractNum>
  <w:abstractNum w:abstractNumId="20">
    <w:nsid w:val="4962813B"/>
    <w:multiLevelType w:val="hybridMultilevel"/>
    <w:lvl w:ilvl="0">
      <w:lvlJc w:val="left"/>
      <w:lvlText w:val="•"/>
      <w:numFmt w:val="bullet"/>
      <w:start w:val="1"/>
    </w:lvl>
  </w:abstractNum>
  <w:abstractNum w:abstractNumId="21">
    <w:nsid w:val="60B6DF70"/>
    <w:multiLevelType w:val="hybridMultilevel"/>
    <w:lvl w:ilvl="0">
      <w:lvlJc w:val="left"/>
      <w:lvlText w:val="•"/>
      <w:numFmt w:val="bullet"/>
      <w:start w:val="1"/>
    </w:lvl>
  </w:abstractNum>
  <w:abstractNum w:abstractNumId="22">
    <w:nsid w:val="6A5EE64"/>
    <w:multiLevelType w:val="hybridMultilevel"/>
    <w:lvl w:ilvl="0">
      <w:lvlJc w:val="left"/>
      <w:lvlText w:val="(%1)"/>
      <w:numFmt w:val="lowerRoman"/>
      <w:start w:val="7"/>
    </w:lvl>
  </w:abstractNum>
  <w:abstractNum w:abstractNumId="23">
    <w:nsid w:val="14330624"/>
    <w:multiLevelType w:val="hybridMultilevel"/>
    <w:lvl w:ilvl="0">
      <w:lvlJc w:val="left"/>
      <w:lvlText w:val="•"/>
      <w:numFmt w:val="bullet"/>
      <w:start w:val="1"/>
    </w:lvl>
  </w:abstractNum>
  <w:abstractNum w:abstractNumId="24">
    <w:nsid w:val="7FFFCA11"/>
    <w:multiLevelType w:val="hybridMultilevel"/>
    <w:lvl w:ilvl="0">
      <w:lvlJc w:val="left"/>
      <w:lvlText w:val="•"/>
      <w:numFmt w:val="bullet"/>
      <w:start w:val="1"/>
    </w:lvl>
  </w:abstractNum>
  <w:abstractNum w:abstractNumId="25">
    <w:nsid w:val="1A27709E"/>
    <w:multiLevelType w:val="hybridMultilevel"/>
    <w:lvl w:ilvl="0">
      <w:lvlJc w:val="left"/>
      <w:lvlText w:val="•"/>
      <w:numFmt w:val="bullet"/>
      <w:start w:val="1"/>
    </w:lvl>
  </w:abstractNum>
  <w:abstractNum w:abstractNumId="26">
    <w:nsid w:val="71EA1109"/>
    <w:multiLevelType w:val="hybridMultilevel"/>
    <w:lvl w:ilvl="0">
      <w:lvlJc w:val="left"/>
      <w:lvlText w:val="(%1)"/>
      <w:numFmt w:val="decimal"/>
      <w:start w:val="1"/>
    </w:lvl>
  </w:abstractNum>
  <w:abstractNum w:abstractNumId="27">
    <w:nsid w:val="100F59DC"/>
    <w:multiLevelType w:val="hybridMultilevel"/>
    <w:lvl w:ilvl="0">
      <w:lvlJc w:val="left"/>
      <w:lvlText w:val="(%1)"/>
      <w:numFmt w:val="decimal"/>
      <w:start w:val="1"/>
    </w:lvl>
  </w:abstractNum>
  <w:abstractNum w:abstractNumId="28">
    <w:nsid w:val="7FB7E0AA"/>
    <w:multiLevelType w:val="hybridMultilevel"/>
    <w:lvl w:ilvl="0">
      <w:lvlJc w:val="left"/>
      <w:lvlText w:val="•"/>
      <w:numFmt w:val="bullet"/>
      <w:start w:val="1"/>
    </w:lvl>
  </w:abstractNum>
  <w:abstractNum w:abstractNumId="29">
    <w:nsid w:val="6EB5BD4"/>
    <w:multiLevelType w:val="hybridMultilevel"/>
    <w:lvl w:ilvl="0">
      <w:lvlJc w:val="left"/>
      <w:lvlText w:val="(%1)"/>
      <w:numFmt w:val="lowerRoman"/>
      <w:start w:val="1"/>
    </w:lvl>
  </w:abstractNum>
  <w:abstractNum w:abstractNumId="30">
    <w:nsid w:val="6F6DD9AC"/>
    <w:multiLevelType w:val="hybridMultilevel"/>
    <w:lvl w:ilvl="0">
      <w:lvlJc w:val="left"/>
      <w:lvlText w:val="•"/>
      <w:numFmt w:val="bullet"/>
      <w:start w:val="1"/>
    </w:lvl>
  </w:abstractNum>
  <w:abstractNum w:abstractNumId="31">
    <w:nsid w:val="94211F2"/>
    <w:multiLevelType w:val="hybridMultilevel"/>
    <w:lvl w:ilvl="0">
      <w:lvlJc w:val="left"/>
      <w:lvlText w:val="(%1)"/>
      <w:numFmt w:val="decimal"/>
      <w:start w:val="1"/>
    </w:lvl>
  </w:abstractNum>
  <w:abstractNum w:abstractNumId="32">
    <w:nsid w:val="885E1B"/>
    <w:multiLevelType w:val="hybridMultilevel"/>
    <w:lvl w:ilvl="0">
      <w:lvlJc w:val="left"/>
      <w:lvlText w:val="(%1)"/>
      <w:numFmt w:val="decimal"/>
      <w:start w:val="1"/>
    </w:lvl>
  </w:abstractNum>
  <w:abstractNum w:abstractNumId="33">
    <w:nsid w:val="76272110"/>
    <w:multiLevelType w:val="hybridMultilevel"/>
    <w:lvl w:ilvl="0">
      <w:lvlJc w:val="left"/>
      <w:lvlText w:val="(%1)"/>
      <w:numFmt w:val="decimal"/>
      <w:start w:val="1"/>
    </w:lvl>
  </w:abstractNum>
  <w:abstractNum w:abstractNumId="34">
    <w:nsid w:val="4C04A8AF"/>
    <w:multiLevelType w:val="hybridMultilevel"/>
    <w:lvl w:ilvl="0">
      <w:lvlJc w:val="left"/>
      <w:lvlText w:val="(%1)"/>
      <w:numFmt w:val="decimal"/>
      <w:start w:val="1"/>
    </w:lvl>
  </w:abstractNum>
  <w:abstractNum w:abstractNumId="35">
    <w:nsid w:val="1716703B"/>
    <w:multiLevelType w:val="hybridMultilevel"/>
    <w:lvl w:ilvl="0">
      <w:lvlJc w:val="left"/>
      <w:lvlText w:val="(%1)"/>
      <w:numFmt w:val="decimal"/>
      <w:start w:val="1"/>
    </w:lvl>
  </w:abstractNum>
  <w:abstractNum w:abstractNumId="36">
    <w:nsid w:val="14E17E33"/>
    <w:multiLevelType w:val="hybridMultilevel"/>
    <w:lvl w:ilvl="0">
      <w:lvlJc w:val="left"/>
      <w:lvlText w:val="(%1)"/>
      <w:numFmt w:val="decimal"/>
      <w:start w:val="1"/>
    </w:lvl>
  </w:abstractNum>
  <w:abstractNum w:abstractNumId="37">
    <w:nsid w:val="3222E7CD"/>
    <w:multiLevelType w:val="hybridMultilevel"/>
    <w:lvl w:ilvl="0">
      <w:lvlJc w:val="left"/>
      <w:lvlText w:val="•"/>
      <w:numFmt w:val="bullet"/>
      <w:start w:val="1"/>
    </w:lvl>
    <w:lvl w:ilvl="1">
      <w:lvlJc w:val="left"/>
      <w:lvlText w:val="◦"/>
      <w:numFmt w:val="bullet"/>
      <w:start w:val="1"/>
    </w:lvl>
  </w:abstractNum>
  <w:abstractNum w:abstractNumId="38">
    <w:nsid w:val="74DE0EE3"/>
    <w:multiLevelType w:val="hybridMultilevel"/>
    <w:lvl w:ilvl="0">
      <w:lvlJc w:val="left"/>
      <w:lvlText w:val="•"/>
      <w:numFmt w:val="bullet"/>
      <w:start w:val="1"/>
    </w:lvl>
    <w:lvl w:ilvl="1">
      <w:lvlJc w:val="left"/>
      <w:lvlText w:val="◦"/>
      <w:numFmt w:val="bullet"/>
      <w:start w:val="1"/>
    </w:lvl>
  </w:abstractNum>
  <w:abstractNum w:abstractNumId="39">
    <w:nsid w:val="68EBC550"/>
    <w:multiLevelType w:val="hybridMultilevel"/>
    <w:lvl w:ilvl="0">
      <w:lvlJc w:val="left"/>
      <w:lvlText w:val="•"/>
      <w:numFmt w:val="bullet"/>
      <w:start w:val="1"/>
    </w:lvl>
  </w:abstractNum>
  <w:abstractNum w:abstractNumId="40">
    <w:nsid w:val="2DF6D648"/>
    <w:multiLevelType w:val="hybridMultilevel"/>
    <w:lvl w:ilvl="0">
      <w:lvlJc w:val="left"/>
      <w:lvlText w:val="(%1)"/>
      <w:numFmt w:val="decimal"/>
      <w:start w:val="1"/>
    </w:lvl>
  </w:abstractNum>
  <w:abstractNum w:abstractNumId="41">
    <w:nsid w:val="46B7D447"/>
    <w:multiLevelType w:val="hybridMultilevel"/>
    <w:lvl w:ilvl="0">
      <w:lvlJc w:val="left"/>
      <w:lvlText w:val="(%1)"/>
      <w:numFmt w:val="decimal"/>
      <w:start w:val="2"/>
    </w:lvl>
    <w:lvl w:ilvl="1">
      <w:lvlJc w:val="left"/>
      <w:lvlText w:val="•"/>
      <w:numFmt w:val="bullet"/>
      <w:start w:val="1"/>
    </w:lvl>
  </w:abstractNum>
  <w:abstractNum w:abstractNumId="42">
    <w:nsid w:val="4A2AC315"/>
    <w:multiLevelType w:val="hybridMultilevel"/>
    <w:lvl w:ilvl="0">
      <w:lvlJc w:val="left"/>
      <w:lvlText w:val="(%1)"/>
      <w:numFmt w:val="decimal"/>
      <w:start w:val="4"/>
    </w:lvl>
  </w:abstractNum>
  <w:abstractNum w:abstractNumId="43">
    <w:nsid w:val="39EE015C"/>
    <w:multiLevelType w:val="hybridMultilevel"/>
    <w:lvl w:ilvl="0">
      <w:lvlJc w:val="left"/>
      <w:lvlText w:val="%1"/>
      <w:numFmt w:val="decimal"/>
      <w:start w:val="21"/>
    </w:lvl>
  </w:abstractNum>
  <w:abstractNum w:abstractNumId="44">
    <w:nsid w:val="57FC4FBB"/>
    <w:multiLevelType w:val="hybridMultilevel"/>
    <w:lvl w:ilvl="0">
      <w:lvlJc w:val="left"/>
      <w:lvlText w:val="%1"/>
      <w:numFmt w:val="decimal"/>
      <w:start w:val="24"/>
    </w:lvl>
  </w:abstractNum>
  <w:abstractNum w:abstractNumId="45">
    <w:nsid w:val="CC1016F"/>
    <w:multiLevelType w:val="hybridMultilevel"/>
    <w:lvl w:ilvl="0">
      <w:lvlJc w:val="left"/>
      <w:lvlText w:val="%1"/>
      <w:numFmt w:val="decimal"/>
      <w:start w:val="95"/>
    </w:lvl>
  </w:abstractNum>
  <w:abstractNum w:abstractNumId="46">
    <w:nsid w:val="43F18422"/>
    <w:multiLevelType w:val="hybridMultilevel"/>
    <w:lvl w:ilvl="0">
      <w:lvlJc w:val="left"/>
      <w:lvlText w:val="%1"/>
      <w:numFmt w:val="decimal"/>
      <w:start w:val="104"/>
    </w:lvl>
  </w:abstractNum>
  <w:abstractNum w:abstractNumId="47">
    <w:nsid w:val="60EF0119"/>
    <w:multiLevelType w:val="hybridMultilevel"/>
    <w:lvl w:ilvl="0">
      <w:lvlJc w:val="left"/>
      <w:lvlText w:val="•"/>
      <w:numFmt w:val="bullet"/>
      <w:start w:val="1"/>
    </w:lvl>
  </w:abstractNum>
  <w:abstractNum w:abstractNumId="48">
    <w:nsid w:val="26F324BA"/>
    <w:multiLevelType w:val="hybridMultilevel"/>
    <w:lvl w:ilvl="0">
      <w:lvlJc w:val="left"/>
      <w:lvlText w:val="•"/>
      <w:numFmt w:val="bullet"/>
      <w:start w:val="1"/>
    </w:lvl>
  </w:abstractNum>
  <w:abstractNum w:abstractNumId="49">
    <w:nsid w:val="7F01579B"/>
    <w:multiLevelType w:val="hybridMultilevel"/>
    <w:lvl w:ilvl="0">
      <w:lvlJc w:val="left"/>
      <w:lvlText w:val="•"/>
      <w:numFmt w:val="bullet"/>
      <w:start w:val="1"/>
    </w:lvl>
    <w:lvl w:ilvl="1">
      <w:lvlJc w:val="left"/>
      <w:lvlText w:val="◦"/>
      <w:numFmt w:val="bullet"/>
      <w:start w:val="1"/>
    </w:lvl>
  </w:abstractNum>
  <w:abstractNum w:abstractNumId="50">
    <w:nsid w:val="49DA307D"/>
    <w:multiLevelType w:val="hybridMultilevel"/>
    <w:lvl w:ilvl="0">
      <w:lvlJc w:val="left"/>
      <w:lvlText w:val="◦"/>
      <w:numFmt w:val="bullet"/>
      <w:start w:val="1"/>
    </w:lvl>
  </w:abstractNum>
  <w:abstractNum w:abstractNumId="51">
    <w:nsid w:val="7055A5F5"/>
    <w:multiLevelType w:val="hybridMultilevel"/>
    <w:lvl w:ilvl="0">
      <w:lvlJc w:val="left"/>
      <w:lvlText w:val="•"/>
      <w:numFmt w:val="bullet"/>
      <w:start w:val="1"/>
    </w:lvl>
  </w:abstractNum>
  <w:abstractNum w:abstractNumId="52">
    <w:nsid w:val="5FB8370B"/>
    <w:multiLevelType w:val="hybridMultilevel"/>
    <w:lvl w:ilvl="0">
      <w:lvlJc w:val="left"/>
      <w:lvlText w:val="•"/>
      <w:numFmt w:val="bullet"/>
      <w:start w:val="1"/>
    </w:lvl>
  </w:abstractNum>
  <w:abstractNum w:abstractNumId="53">
    <w:nsid w:val="50801EE1"/>
    <w:multiLevelType w:val="hybridMultilevel"/>
    <w:lvl w:ilvl="0">
      <w:lvlJc w:val="left"/>
      <w:lvlText w:val="•"/>
      <w:numFmt w:val="bullet"/>
      <w:start w:val="1"/>
    </w:lvl>
  </w:abstractNum>
  <w:abstractNum w:abstractNumId="54">
    <w:nsid w:val="488AC1A"/>
    <w:multiLevelType w:val="hybridMultilevel"/>
    <w:lvl w:ilvl="0">
      <w:lvlJc w:val="left"/>
      <w:lvlText w:val="(%1)"/>
      <w:numFmt w:val="decimal"/>
      <w:start w:val="1"/>
    </w:lvl>
  </w:abstractNum>
  <w:abstractNum w:abstractNumId="55">
    <w:nsid w:val="5FB8011C"/>
    <w:multiLevelType w:val="hybridMultilevel"/>
    <w:lvl w:ilvl="0">
      <w:lvlJc w:val="left"/>
      <w:lvlText w:val="•"/>
      <w:numFmt w:val="bullet"/>
      <w:start w:val="1"/>
    </w:lvl>
  </w:abstractNum>
  <w:abstractNum w:abstractNumId="56">
    <w:nsid w:val="6AA78F7F"/>
    <w:multiLevelType w:val="hybridMultilevel"/>
    <w:lvl w:ilvl="0">
      <w:lvlJc w:val="left"/>
      <w:lvlText w:val="•"/>
      <w:numFmt w:val="bullet"/>
      <w:start w:val="1"/>
    </w:lvl>
  </w:abstractNum>
  <w:abstractNum w:abstractNumId="57">
    <w:nsid w:val="7672BD23"/>
    <w:multiLevelType w:val="hybridMultilevel"/>
    <w:lvl w:ilvl="0">
      <w:lvlJc w:val="left"/>
      <w:lvlText w:val="•"/>
      <w:numFmt w:val="bullet"/>
      <w:start w:val="1"/>
    </w:lvl>
  </w:abstractNum>
  <w:abstractNum w:abstractNumId="58">
    <w:nsid w:val="6FC75AF8"/>
    <w:multiLevelType w:val="hybridMultilevel"/>
    <w:lvl w:ilvl="0">
      <w:lvlJc w:val="left"/>
      <w:lvlText w:val="•"/>
      <w:numFmt w:val="bullet"/>
      <w:start w:val="1"/>
    </w:lvl>
  </w:abstractNum>
  <w:abstractNum w:abstractNumId="59">
    <w:nsid w:val="6A5F7029"/>
    <w:multiLevelType w:val="hybridMultilevel"/>
    <w:lvl w:ilvl="0">
      <w:lvlJc w:val="left"/>
      <w:lvlText w:val="1"/>
      <w:numFmt w:val="bullet"/>
      <w:start w:val="1"/>
    </w:lvl>
    <w:lvl w:ilvl="1">
      <w:lvlJc w:val="left"/>
      <w:lvlText w:val="%2."/>
      <w:numFmt w:val="lowerLetter"/>
      <w:start w:val="1"/>
    </w:lvl>
  </w:abstractNum>
  <w:abstractNum w:abstractNumId="60">
    <w:nsid w:val="7D5E18F8"/>
    <w:multiLevelType w:val="hybridMultilevel"/>
    <w:lvl w:ilvl="0">
      <w:lvlJc w:val="left"/>
      <w:lvlText w:val="2"/>
      <w:numFmt w:val="bullet"/>
      <w:start w:val="1"/>
    </w:lvl>
  </w:abstractNum>
  <w:abstractNum w:abstractNumId="61">
    <w:nsid w:val="5F3534A4"/>
    <w:multiLevelType w:val="hybridMultilevel"/>
    <w:lvl w:ilvl="0">
      <w:lvlJc w:val="left"/>
      <w:lvlText w:val="3"/>
      <w:numFmt w:val="bullet"/>
      <w:start w:val="1"/>
    </w:lvl>
  </w:abstractNum>
  <w:abstractNum w:abstractNumId="62">
    <w:nsid w:val="73A1821B"/>
    <w:multiLevelType w:val="hybridMultilevel"/>
    <w:lvl w:ilvl="0">
      <w:lvlJc w:val="left"/>
      <w:lvlText w:val="4"/>
      <w:numFmt w:val="bullet"/>
      <w:start w:val="1"/>
    </w:lvl>
  </w:abstractNum>
  <w:abstractNum w:abstractNumId="63">
    <w:nsid w:val="7DE67713"/>
    <w:multiLevelType w:val="hybridMultilevel"/>
    <w:lvl w:ilvl="0">
      <w:lvlJc w:val="left"/>
      <w:lvlText w:val="5"/>
      <w:numFmt w:val="bullet"/>
      <w:start w:val="1"/>
    </w:lvl>
  </w:abstractNum>
  <w:abstractNum w:abstractNumId="64">
    <w:nsid w:val="555C55B5"/>
    <w:multiLevelType w:val="hybridMultilevel"/>
    <w:lvl w:ilvl="0">
      <w:lvlJc w:val="left"/>
      <w:lvlText w:val="6"/>
      <w:numFmt w:val="bullet"/>
      <w:start w:val="1"/>
    </w:lvl>
  </w:abstractNum>
  <w:abstractNum w:abstractNumId="65">
    <w:nsid w:val="3FA62ACA"/>
    <w:multiLevelType w:val="hybridMultilevel"/>
    <w:lvl w:ilvl="0">
      <w:lvlJc w:val="left"/>
      <w:lvlText w:val="7"/>
      <w:numFmt w:val="bullet"/>
      <w:start w:val="1"/>
    </w:lvl>
  </w:abstractNum>
  <w:abstractNum w:abstractNumId="66">
    <w:nsid w:val="14FCE74E"/>
    <w:multiLevelType w:val="hybridMultilevel"/>
    <w:lvl w:ilvl="0">
      <w:lvlJc w:val="left"/>
      <w:lvlText w:val="8"/>
      <w:numFmt w:val="bullet"/>
      <w:start w:val="1"/>
    </w:lvl>
  </w:abstractNum>
  <w:abstractNum w:abstractNumId="67">
    <w:nsid w:val="6A3DD3E8"/>
    <w:multiLevelType w:val="hybridMultilevel"/>
    <w:lvl w:ilvl="0">
      <w:lvlJc w:val="left"/>
      <w:lvlText w:val="9"/>
      <w:numFmt w:val="bullet"/>
      <w:start w:val="1"/>
    </w:lvl>
  </w:abstractNum>
  <w:abstractNum w:abstractNumId="68">
    <w:nsid w:val="71C91298"/>
    <w:multiLevelType w:val="hybridMultilevel"/>
    <w:lvl w:ilvl="0">
      <w:lvlJc w:val="left"/>
      <w:lvlText w:val="%1"/>
      <w:numFmt w:val="decimal"/>
      <w:start w:val="10"/>
    </w:lvl>
  </w:abstractNum>
  <w:abstractNum w:abstractNumId="69">
    <w:nsid w:val="9DAF632"/>
    <w:multiLevelType w:val="hybridMultilevel"/>
    <w:lvl w:ilvl="0">
      <w:lvlJc w:val="left"/>
      <w:lvlText w:val="•"/>
      <w:numFmt w:val="bullet"/>
      <w:start w:val="1"/>
    </w:lvl>
  </w:abstractNum>
  <w:abstractNum w:abstractNumId="70">
    <w:nsid w:val="53299938"/>
    <w:multiLevelType w:val="hybridMultilevel"/>
    <w:lvl w:ilvl="0">
      <w:lvlJc w:val="left"/>
      <w:lvlText w:val="%1."/>
      <w:numFmt w:val="decimal"/>
      <w:start w:val="1"/>
    </w:lvl>
    <w:lvl w:ilvl="1">
      <w:lvlJc w:val="left"/>
      <w:lvlText w:val="%2."/>
      <w:numFmt w:val="lowerLetter"/>
      <w:start w:val="1"/>
    </w:lvl>
  </w:abstractNum>
  <w:abstractNum w:abstractNumId="71">
    <w:nsid w:val="1FBFE8E0"/>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72">
    <w:nsid w:val="5092CA79"/>
    <w:multiLevelType w:val="hybridMultilevel"/>
    <w:lvl w:ilvl="0">
      <w:lvlJc w:val="left"/>
      <w:lvlText w:val="%1"/>
      <w:numFmt w:val="decimal"/>
      <w:start w:val="1"/>
    </w:lvl>
    <w:lvl w:ilvl="1">
      <w:lvlJc w:val="left"/>
      <w:lvlText w:val="%2."/>
      <w:numFmt w:val="lowerLetter"/>
      <w:start w:val="2"/>
    </w:lvl>
  </w:abstractNum>
  <w:abstractNum w:abstractNumId="73">
    <w:nsid w:val="1D545C4D"/>
    <w:multiLevelType w:val="hybridMultilevel"/>
    <w:lvl w:ilvl="0">
      <w:lvlJc w:val="left"/>
      <w:lvlText w:val="%1."/>
      <w:numFmt w:val="decimal"/>
      <w:start w:val="5"/>
    </w:lvl>
    <w:lvl w:ilvl="1">
      <w:lvlJc w:val="left"/>
      <w:lvlText w:val="%2."/>
      <w:numFmt w:val="lowerLetter"/>
      <w:start w:val="1"/>
    </w:lvl>
  </w:abstractNum>
  <w:abstractNum w:abstractNumId="74">
    <w:nsid w:val="59ADEA3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75">
    <w:nsid w:val="288F1A34"/>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lvl w:ilvl="3">
      <w:lvlJc w:val="left"/>
      <w:lvlText w:val="%4"/>
      <w:numFmt w:val="upperLetter"/>
      <w:start w:val="1"/>
    </w:lvl>
  </w:abstractNum>
  <w:abstractNum w:abstractNumId="76">
    <w:nsid w:val="2A155DBC"/>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9"/>
    </w:lvl>
    <w:lvl w:ilvl="3">
      <w:lvlJc w:val="left"/>
      <w:lvlText w:val="%4"/>
      <w:numFmt w:val="upperLetter"/>
      <w:start w:val="1"/>
    </w:lvl>
  </w:abstractNum>
  <w:abstractNum w:abstractNumId="77">
    <w:nsid w:val="1D9F6E5F"/>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2"/>
    </w:lvl>
  </w:abstractNum>
  <w:abstractNum w:abstractNumId="78">
    <w:nsid w:val="97E1B4E"/>
    <w:multiLevelType w:val="hybridMultilevel"/>
    <w:lvl w:ilvl="0">
      <w:lvlJc w:val="left"/>
      <w:lvlText w:val="%1"/>
      <w:numFmt w:val="lowerLetter"/>
      <w:start w:val="1"/>
    </w:lvl>
    <w:lvl w:ilvl="1">
      <w:lvlJc w:val="left"/>
      <w:lvlText w:val="%2."/>
      <w:numFmt w:val="lowerRoman"/>
      <w:start w:val="4"/>
    </w:lvl>
    <w:lvl w:ilvl="2">
      <w:lvlJc w:val="left"/>
      <w:lvlText w:val="%3"/>
      <w:numFmt w:val="lowerRoman"/>
      <w:start w:val="1"/>
    </w:lvl>
  </w:abstractNum>
  <w:abstractNum w:abstractNumId="79">
    <w:nsid w:val="51088277"/>
    <w:multiLevelType w:val="hybridMultilevel"/>
    <w:lvl w:ilvl="0">
      <w:lvlJc w:val="left"/>
      <w:lvlText w:val="%1."/>
      <w:numFmt w:val="lowerLetter"/>
      <w:start w:val="3"/>
    </w:lvl>
    <w:lvl w:ilvl="1">
      <w:lvlJc w:val="left"/>
      <w:lvlText w:val="%2"/>
      <w:numFmt w:val="lowerRoman"/>
      <w:start w:val="1"/>
    </w:lvl>
    <w:lvl w:ilvl="2">
      <w:lvlJc w:val="left"/>
      <w:lvlText w:val="%3"/>
      <w:numFmt w:val="lowerRoman"/>
      <w:start w:val="1"/>
    </w:lvl>
  </w:abstractNum>
  <w:abstractNum w:abstractNumId="80">
    <w:nsid w:val="1CA0C5FA"/>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lvl w:ilvl="3">
      <w:lvlJc w:val="left"/>
      <w:lvlText w:val="%4"/>
      <w:numFmt w:val="upperLetter"/>
      <w:start w:val="1"/>
    </w:lvl>
  </w:abstractNum>
  <w:abstractNum w:abstractNumId="81">
    <w:nsid w:val="53584BCB"/>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82">
    <w:nsid w:val="415E286C"/>
    <w:multiLevelType w:val="hybridMultilevel"/>
    <w:lvl w:ilvl="0">
      <w:lvlJc w:val="left"/>
      <w:lvlText w:val="%1."/>
      <w:numFmt w:val="upperLetter"/>
      <w:start w:val="2"/>
    </w:lvl>
  </w:abstractNum>
  <w:abstractNum w:abstractNumId="83">
    <w:nsid w:val="7C58FD05"/>
    <w:multiLevelType w:val="hybridMultilevel"/>
    <w:lvl w:ilvl="0">
      <w:lvlJc w:val="left"/>
      <w:lvlText w:val="%1."/>
      <w:numFmt w:val="upperLetter"/>
      <w:start w:val="4"/>
    </w:lvl>
  </w:abstractNum>
  <w:abstractNum w:abstractNumId="84">
    <w:nsid w:val="23D86AAC"/>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85">
    <w:nsid w:val="45E6D486"/>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86">
    <w:nsid w:val="5C10FE2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87">
    <w:nsid w:val="E7FFA2B"/>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88">
    <w:nsid w:val="3C5991AA"/>
    <w:multiLevelType w:val="hybridMultilevel"/>
    <w:lvl w:ilvl="0">
      <w:lvlJc w:val="left"/>
      <w:lvlText w:val="%1."/>
      <w:numFmt w:val="decimal"/>
      <w:start w:val="8"/>
    </w:lvl>
    <w:lvl w:ilvl="1">
      <w:lvlJc w:val="left"/>
      <w:lvlText w:val="%2."/>
      <w:numFmt w:val="lowerLetter"/>
      <w:start w:val="1"/>
    </w:lvl>
  </w:abstractNum>
  <w:abstractNum w:abstractNumId="89">
    <w:nsid w:val="4BD8591A"/>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90">
    <w:nsid w:val="78DF6A55"/>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91">
    <w:nsid w:val="39B7AAA2"/>
    <w:multiLevelType w:val="hybridMultilevel"/>
    <w:lvl w:ilvl="0">
      <w:lvlJc w:val="left"/>
      <w:lvlText w:val="%1."/>
      <w:numFmt w:val="lowerLetter"/>
      <w:start w:val="2"/>
    </w:lvl>
  </w:abstractNum>
  <w:abstractNum w:abstractNumId="92">
    <w:nsid w:val="2B0D8DBE"/>
    <w:multiLevelType w:val="hybridMultilevel"/>
    <w:lvl w:ilvl="0">
      <w:lvlJc w:val="left"/>
      <w:lvlText w:val="%1."/>
      <w:numFmt w:val="decimal"/>
      <w:start w:val="11"/>
    </w:lvl>
    <w:lvl w:ilvl="1">
      <w:lvlJc w:val="left"/>
      <w:lvlText w:val="%2."/>
      <w:numFmt w:val="lowerLetter"/>
      <w:start w:val="1"/>
    </w:lvl>
  </w:abstractNum>
  <w:abstractNum w:abstractNumId="93">
    <w:nsid w:val="6C80EC70"/>
    <w:multiLevelType w:val="hybridMultilevel"/>
    <w:lvl w:ilvl="0">
      <w:lvlJc w:val="left"/>
      <w:lvlText w:val="%1."/>
      <w:numFmt w:val="lowerRoman"/>
      <w:start w:val="1"/>
    </w:lvl>
  </w:abstractNum>
  <w:abstractNum w:abstractNumId="94">
    <w:nsid w:val="379E21B5"/>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lvl w:ilvl="3">
      <w:lvlJc w:val="left"/>
      <w:lvlText w:val="%4."/>
      <w:numFmt w:val="lowerRoman"/>
      <w:start w:val="3"/>
    </w:lvl>
  </w:abstractNum>
  <w:abstractNum w:abstractNumId="95">
    <w:nsid w:val="69E373"/>
    <w:multiLevelType w:val="hybridMultilevel"/>
    <w:lvl w:ilvl="0">
      <w:lvlJc w:val="left"/>
      <w:lvlText w:val="%1"/>
      <w:numFmt w:val="lowerLetter"/>
      <w:start w:val="1"/>
    </w:lvl>
    <w:lvl w:ilvl="1">
      <w:lvlJc w:val="left"/>
      <w:lvlText w:val="%2."/>
      <w:numFmt w:val="lowerRoman"/>
      <w:start w:val="4"/>
    </w:lvl>
    <w:lvl w:ilvl="2">
      <w:lvlJc w:val="left"/>
      <w:lvlText w:val="%3"/>
      <w:numFmt w:val="decimal"/>
      <w:start w:val="1"/>
    </w:lvl>
    <w:lvl w:ilvl="3">
      <w:lvlJc w:val="left"/>
      <w:lvlText w:val="%4"/>
      <w:numFmt w:val="lowerRoman"/>
      <w:start w:val="1"/>
    </w:lvl>
  </w:abstractNum>
  <w:abstractNum w:abstractNumId="96">
    <w:nsid w:val="2C27173B"/>
    <w:multiLevelType w:val="hybridMultilevel"/>
    <w:lvl w:ilvl="0">
      <w:lvlJc w:val="left"/>
      <w:lvlText w:val="%1."/>
      <w:numFmt w:val="lowerLetter"/>
      <w:start w:val="3"/>
    </w:lvl>
    <w:lvl w:ilvl="1">
      <w:lvlJc w:val="left"/>
      <w:lvlText w:val="%2."/>
      <w:numFmt w:val="lowerRoman"/>
      <w:start w:val="3"/>
    </w:lvl>
    <w:lvl w:ilvl="2">
      <w:lvlJc w:val="left"/>
      <w:lvlText w:val="(%3)"/>
      <w:numFmt w:val="decimal"/>
      <w:start w:val="90"/>
    </w:lvl>
    <w:lvl w:ilvl="3">
      <w:lvlJc w:val="left"/>
      <w:lvlText w:val="%4."/>
      <w:numFmt w:val="lowerRoman"/>
      <w:start w:val="1"/>
    </w:lvl>
  </w:abstractNum>
  <w:abstractNum w:abstractNumId="97">
    <w:nsid w:val="4C9B0904"/>
    <w:multiLevelType w:val="hybridMultilevel"/>
    <w:lvl w:ilvl="0">
      <w:lvlJc w:val="left"/>
      <w:lvlText w:val="%1."/>
      <w:numFmt w:val="decimal"/>
      <w:start w:val="13"/>
    </w:lvl>
    <w:lvl w:ilvl="1">
      <w:lvlJc w:val="left"/>
      <w:lvlText w:val="%2."/>
      <w:numFmt w:val="lowerLetter"/>
      <w:start w:val="1"/>
    </w:lvl>
  </w:abstractNum>
  <w:abstractNum w:abstractNumId="98">
    <w:nsid w:val="6AA7B75C"/>
    <w:multiLevelType w:val="hybridMultilevel"/>
    <w:lvl w:ilvl="0">
      <w:lvlJc w:val="left"/>
      <w:lvlText w:val="%1."/>
      <w:numFmt w:val="lowerLetter"/>
      <w:start w:val="6"/>
    </w:lvl>
  </w:abstractNum>
  <w:abstractNum w:abstractNumId="99">
    <w:nsid w:val="1DF029D3"/>
    <w:multiLevelType w:val="hybridMultilevel"/>
    <w:lvl w:ilvl="0">
      <w:lvlJc w:val="left"/>
      <w:lvlText w:val="(%1)"/>
      <w:numFmt w:val="lowerLetter"/>
      <w:start w:val="1"/>
    </w:lvl>
  </w:abstractNum>
  <w:abstractNum w:abstractNumId="100">
    <w:nsid w:val="5675FF36"/>
    <w:multiLevelType w:val="hybridMultilevel"/>
    <w:lvl w:ilvl="0">
      <w:lvlJc w:val="left"/>
      <w:lvlText w:val="(%1)"/>
      <w:numFmt w:val="lowerLetter"/>
      <w:start w:val="5"/>
    </w:lvl>
  </w:abstractNum>
  <w:abstractNum w:abstractNumId="101">
    <w:nsid w:val="3DD15094"/>
    <w:multiLevelType w:val="hybridMultilevel"/>
    <w:lvl w:ilvl="0">
      <w:lvlJc w:val="left"/>
      <w:lvlText w:val="(%1)"/>
      <w:numFmt w:val="lowerLetter"/>
      <w:start w:val="1"/>
    </w:lvl>
  </w:abstractNum>
  <w:abstractNum w:abstractNumId="102">
    <w:nsid w:val="3DB012B3"/>
    <w:multiLevelType w:val="hybridMultilevel"/>
    <w:lvl w:ilvl="0">
      <w:lvlJc w:val="left"/>
      <w:lvlText w:val="%1."/>
      <w:numFmt w:val="decimal"/>
      <w:start w:val="1"/>
    </w:lvl>
    <w:lvl w:ilvl="1">
      <w:lvlJc w:val="left"/>
      <w:lvlText w:val="(%2)"/>
      <w:numFmt w:val="lowerLetter"/>
      <w:start w:val="1"/>
    </w:lvl>
  </w:abstractNum>
  <w:abstractNum w:abstractNumId="103">
    <w:nsid w:val="2708C9AF"/>
    <w:multiLevelType w:val="hybridMultilevel"/>
    <w:lvl w:ilvl="0">
      <w:lvlJc w:val="left"/>
      <w:lvlText w:val="%1."/>
      <w:numFmt w:val="decimal"/>
      <w:start w:val="4"/>
    </w:lvl>
    <w:lvl w:ilvl="1">
      <w:lvlJc w:val="left"/>
      <w:lvlText w:val="%2."/>
      <w:numFmt w:val="lowerLetter"/>
      <w:start w:val="1"/>
    </w:lvl>
    <w:lvl w:ilvl="2">
      <w:lvlJc w:val="left"/>
      <w:lvlText w:val="(%3)"/>
      <w:numFmt w:val="upperLetter"/>
      <w:start w:val="1"/>
    </w:lvl>
  </w:abstractNum>
  <w:abstractNum w:abstractNumId="104">
    <w:nsid w:val="5B25ACE2"/>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25"/>
    </w:lvl>
  </w:abstractNum>
  <w:abstractNum w:abstractNumId="105">
    <w:nsid w:val="175DFCF0"/>
    <w:multiLevelType w:val="hybridMultilevel"/>
    <w:lvl w:ilvl="0">
      <w:lvlJc w:val="left"/>
      <w:lvlText w:val="%1."/>
      <w:numFmt w:val="decimal"/>
      <w:start w:val="5"/>
    </w:lvl>
    <w:lvl w:ilvl="1">
      <w:lvlJc w:val="left"/>
      <w:lvlText w:val="%2"/>
      <w:numFmt w:val="lowerLetter"/>
      <w:start w:val="1"/>
    </w:lvl>
  </w:abstractNum>
  <w:abstractNum w:abstractNumId="106">
    <w:nsid w:val="4F97E3E4"/>
    <w:multiLevelType w:val="hybridMultilevel"/>
    <w:lvl w:ilvl="0">
      <w:lvlJc w:val="left"/>
      <w:lvlText w:val="%1."/>
      <w:numFmt w:val="lowerLetter"/>
      <w:start w:val="2"/>
    </w:lvl>
  </w:abstractNum>
  <w:abstractNum w:abstractNumId="107">
    <w:nsid w:val="53B0A9E"/>
    <w:multiLevelType w:val="hybridMultilevel"/>
    <w:lvl w:ilvl="0">
      <w:lvlJc w:val="left"/>
      <w:lvlText w:val="%1."/>
      <w:numFmt w:val="lowerLetter"/>
      <w:start w:val="3"/>
    </w:lvl>
    <w:lvl w:ilvl="1">
      <w:lvlJc w:val="left"/>
      <w:lvlText w:val="%2."/>
      <w:numFmt w:val="lowerRoman"/>
      <w:start w:val="1"/>
    </w:lvl>
  </w:abstractNum>
  <w:abstractNum w:abstractNumId="108">
    <w:nsid w:val="34FD6B4F"/>
    <w:multiLevelType w:val="hybridMultilevel"/>
    <w:lvl w:ilvl="0">
      <w:lvlJc w:val="left"/>
      <w:lvlText w:val="%1."/>
      <w:numFmt w:val="lowerRoman"/>
      <w:start w:val="2"/>
    </w:lvl>
  </w:abstractNum>
  <w:abstractNum w:abstractNumId="109">
    <w:nsid w:val="5915FF32"/>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10">
    <w:nsid w:val="56438D15"/>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11">
    <w:nsid w:val="519E3149"/>
    <w:multiLevelType w:val="hybridMultilevel"/>
    <w:lvl w:ilvl="0">
      <w:lvlJc w:val="left"/>
      <w:lvlText w:val="%1"/>
      <w:numFmt w:val="lowerLetter"/>
      <w:start w:val="1"/>
    </w:lvl>
    <w:lvl w:ilvl="1">
      <w:lvlJc w:val="left"/>
      <w:lvlText w:val="%2."/>
      <w:numFmt w:val="lowerLetter"/>
      <w:start w:val="61"/>
    </w:lvl>
  </w:abstractNum>
  <w:abstractNum w:abstractNumId="112">
    <w:nsid w:val="2C6E4AFD"/>
    <w:multiLevelType w:val="hybridMultilevel"/>
    <w:lvl w:ilvl="0">
      <w:lvlJc w:val="left"/>
      <w:lvlText w:val="%1."/>
      <w:numFmt w:val="lowerLetter"/>
      <w:start w:val="2"/>
    </w:lvl>
    <w:lvl w:ilvl="1">
      <w:lvlJc w:val="left"/>
      <w:lvlText w:val="%2"/>
      <w:numFmt w:val="lowerLetter"/>
      <w:start w:val="1"/>
    </w:lvl>
  </w:abstractNum>
  <w:abstractNum w:abstractNumId="113">
    <w:nsid w:val="17A1B582"/>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14">
    <w:nsid w:val="4DF72E4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115">
    <w:nsid w:val="5046B5A9"/>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116">
    <w:nsid w:val="5D888A08"/>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1"/>
    </w:lvl>
  </w:abstractNum>
  <w:abstractNum w:abstractNumId="117">
    <w:nsid w:val="2A082C70"/>
    <w:multiLevelType w:val="hybridMultilevel"/>
    <w:lvl w:ilvl="0">
      <w:lvlJc w:val="left"/>
      <w:lvlText w:val="%1."/>
      <w:numFmt w:val="decimal"/>
      <w:start w:val="11"/>
    </w:lvl>
    <w:lvl w:ilvl="1">
      <w:lvlJc w:val="left"/>
      <w:lvlText w:val="%2."/>
      <w:numFmt w:val="lowerLetter"/>
      <w:start w:val="1"/>
    </w:lvl>
  </w:abstractNum>
  <w:abstractNum w:abstractNumId="118">
    <w:nsid w:val="5EC6AFD4"/>
    <w:multiLevelType w:val="hybridMultilevel"/>
    <w:lvl w:ilvl="0">
      <w:lvlJc w:val="left"/>
      <w:lvlText w:val="%1"/>
      <w:numFmt w:val="decimal"/>
      <w:start w:val="1"/>
    </w:lvl>
    <w:lvl w:ilvl="1">
      <w:lvlJc w:val="left"/>
      <w:lvlText w:val="%2."/>
      <w:numFmt w:val="lowerLetter"/>
      <w:start w:val="4"/>
    </w:lvl>
  </w:abstractNum>
  <w:abstractNum w:abstractNumId="119">
    <w:nsid w:val="19E21BB2"/>
    <w:multiLevelType w:val="hybridMultilevel"/>
    <w:lvl w:ilvl="0">
      <w:lvlJc w:val="left"/>
      <w:lvlText w:val="%1."/>
      <w:numFmt w:val="decimal"/>
      <w:start w:val="12"/>
    </w:lvl>
    <w:lvl w:ilvl="1">
      <w:lvlJc w:val="left"/>
      <w:lvlText w:val="%2."/>
      <w:numFmt w:val="lowerLetter"/>
      <w:start w:val="1"/>
    </w:lvl>
  </w:abstractNum>
  <w:abstractNum w:abstractNumId="120">
    <w:nsid w:val="75E0858A"/>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4"/>
      <w:numFmt w:val="lowerRoman"/>
      <w:start w:val="1"/>
    </w:lvl>
  </w:abstractNum>
  <w:abstractNum w:abstractNumId="121">
    <w:nsid w:val="57A61A29"/>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3"/>
    </w:lvl>
    <w:lvl w:ilvl="3">
      <w:lvlJc w:val="left"/>
      <w:lvlText w:val="%4."/>
      <w:numFmt w:val="lowerRoman"/>
      <w:start w:val="1"/>
    </w:lvl>
  </w:abstractNum>
  <w:abstractNum w:abstractNumId="122">
    <w:nsid w:val="5399C654"/>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3"/>
    </w:lvl>
    <w:lvl w:ilvl="3">
      <w:lvlJc w:val="left"/>
      <w:lvlText w:val="%4."/>
      <w:numFmt w:val="lowerRoman"/>
      <w:start w:val="1"/>
    </w:lvl>
  </w:abstractNum>
  <w:abstractNum w:abstractNumId="123">
    <w:nsid w:val="20EE1348"/>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124">
    <w:nsid w:val="4427069A"/>
    <w:multiLevelType w:val="hybridMultilevel"/>
    <w:lvl w:ilvl="0">
      <w:lvlJc w:val="left"/>
      <w:lvlText w:val="%1."/>
      <w:numFmt w:val="lowerLetter"/>
      <w:start w:val="2"/>
    </w:lvl>
  </w:abstractNum>
  <w:abstractNum w:abstractNumId="125">
    <w:nsid w:val="B37E80A"/>
    <w:multiLevelType w:val="hybridMultilevel"/>
    <w:lvl w:ilvl="0">
      <w:lvlJc w:val="left"/>
      <w:lvlText w:val="%1."/>
      <w:numFmt w:val="lowerLetter"/>
      <w:start w:val="8"/>
    </w:lvl>
  </w:abstractNum>
  <w:abstractNum w:abstractNumId="126">
    <w:nsid w:val="2157F6BC"/>
    <w:multiLevelType w:val="hybridMultilevel"/>
    <w:lvl w:ilvl="0">
      <w:lvlJc w:val="left"/>
      <w:lvlText w:val="%1."/>
      <w:numFmt w:val="decimal"/>
      <w:start w:val="1"/>
    </w:lvl>
  </w:abstractNum>
  <w:abstractNum w:abstractNumId="127">
    <w:nsid w:val="704E1DD5"/>
    <w:multiLevelType w:val="hybridMultilevel"/>
    <w:lvl w:ilvl="0">
      <w:lvlJc w:val="left"/>
      <w:lvlText w:val="%1."/>
      <w:numFmt w:val="decimal"/>
      <w:start w:val="2"/>
    </w:lvl>
    <w:lvl w:ilvl="1">
      <w:lvlJc w:val="left"/>
      <w:lvlText w:val="%2."/>
      <w:numFmt w:val="lowerLetter"/>
      <w:start w:val="1"/>
    </w:lvl>
  </w:abstractNum>
  <w:abstractNum w:abstractNumId="128">
    <w:nsid w:val="57D2F10E"/>
    <w:multiLevelType w:val="hybridMultilevel"/>
    <w:lvl w:ilvl="0">
      <w:lvlJc w:val="left"/>
      <w:lvlText w:val="%1"/>
      <w:numFmt w:val="decimal"/>
      <w:start w:val="1"/>
    </w:lvl>
    <w:lvl w:ilvl="1">
      <w:lvlJc w:val="left"/>
      <w:lvlText w:val="%2."/>
      <w:numFmt w:val="lowerLetter"/>
      <w:start w:val="2"/>
    </w:lvl>
  </w:abstractNum>
  <w:abstractNum w:abstractNumId="129">
    <w:nsid w:val="BFFAE18"/>
    <w:multiLevelType w:val="hybridMultilevel"/>
    <w:lvl w:ilvl="0">
      <w:lvlJc w:val="left"/>
      <w:lvlText w:val="%1."/>
      <w:numFmt w:val="decimal"/>
      <w:start w:val="5"/>
    </w:lvl>
    <w:lvl w:ilvl="1">
      <w:lvlJc w:val="left"/>
      <w:lvlText w:val="%2."/>
      <w:numFmt w:val="lowerLetter"/>
      <w:start w:val="1"/>
    </w:lvl>
  </w:abstractNum>
  <w:abstractNum w:abstractNumId="130">
    <w:nsid w:val="E3E47A8"/>
    <w:multiLevelType w:val="hybridMultilevel"/>
    <w:lvl w:ilvl="0">
      <w:lvlJc w:val="left"/>
      <w:lvlText w:val="%1."/>
      <w:numFmt w:val="lowerLetter"/>
      <w:start w:val="2"/>
    </w:lvl>
  </w:abstractNum>
  <w:abstractNum w:abstractNumId="131">
    <w:nsid w:val="2E48F044"/>
    <w:multiLevelType w:val="hybridMultilevel"/>
    <w:lvl w:ilvl="0">
      <w:lvlJc w:val="left"/>
      <w:lvlText w:val="%1."/>
      <w:numFmt w:val="lowerLetter"/>
      <w:start w:val="1"/>
    </w:lvl>
  </w:abstractNum>
  <w:abstractNum w:abstractNumId="132">
    <w:nsid w:val="49D0FEAC"/>
    <w:multiLevelType w:val="hybridMultilevel"/>
    <w:lvl w:ilvl="0">
      <w:lvlJc w:val="left"/>
      <w:lvlText w:val="%1."/>
      <w:numFmt w:val="lowerRoman"/>
      <w:start w:val="1"/>
    </w:lvl>
  </w:abstractNum>
  <w:abstractNum w:abstractNumId="133">
    <w:nsid w:val="4BEE5A5B"/>
    <w:multiLevelType w:val="hybridMultilevel"/>
    <w:lvl w:ilvl="0">
      <w:lvlJc w:val="left"/>
      <w:lvlText w:val="(%1)"/>
      <w:numFmt w:val="lowerRoman"/>
      <w:start w:val="1"/>
    </w:lvl>
  </w:abstractNum>
  <w:abstractNum w:abstractNumId="134">
    <w:nsid w:val="5551B9F3"/>
    <w:multiLevelType w:val="hybridMultilevel"/>
    <w:lvl w:ilvl="0">
      <w:lvlJc w:val="left"/>
      <w:lvlText w:val="%1."/>
      <w:numFmt w:val="lowerRoman"/>
      <w:start w:val="1"/>
    </w:lvl>
  </w:abstractNum>
  <w:abstractNum w:abstractNumId="135">
    <w:nsid w:val="24F6AB8E"/>
    <w:multiLevelType w:val="hybridMultilevel"/>
    <w:lvl w:ilvl="0">
      <w:lvlJc w:val="left"/>
      <w:lvlText w:val="(%1)"/>
      <w:numFmt w:val="lowerRoman"/>
      <w:start w:val="1"/>
    </w:lvl>
  </w:abstractNum>
  <w:abstractNum w:abstractNumId="136">
    <w:nsid w:val="634C574C"/>
    <w:multiLevelType w:val="hybridMultilevel"/>
    <w:lvl w:ilvl="0">
      <w:lvlJc w:val="left"/>
      <w:lvlText w:val="%1."/>
      <w:numFmt w:val="decimal"/>
      <w:start w:val="1"/>
    </w:lvl>
    <w:lvl w:ilvl="1">
      <w:lvlJc w:val="left"/>
      <w:lvlText w:val="%2)"/>
      <w:numFmt w:val="lowerLetter"/>
      <w:start w:val="1"/>
    </w:lvl>
  </w:abstractNum>
  <w:abstractNum w:abstractNumId="137">
    <w:nsid w:val="24E99DD7"/>
    <w:multiLevelType w:val="hybridMultilevel"/>
    <w:lvl w:ilvl="0">
      <w:lvlJc w:val="left"/>
      <w:lvlText w:val="%1."/>
      <w:numFmt w:val="decimal"/>
      <w:start w:val="1"/>
    </w:lvl>
    <w:lvl w:ilvl="1">
      <w:lvlJc w:val="left"/>
      <w:lvlText w:val="%2)"/>
      <w:numFmt w:val="lowerLetter"/>
      <w:start w:val="1"/>
    </w:lvl>
  </w:abstractNum>
  <w:abstractNum w:abstractNumId="138">
    <w:nsid w:val="2A31B62D"/>
    <w:multiLevelType w:val="hybridMultilevel"/>
    <w:lvl w:ilvl="0">
      <w:lvlJc w:val="left"/>
      <w:lvlText w:val="(%1)"/>
      <w:numFmt w:val="decimal"/>
      <w:start w:val="1"/>
    </w:lvl>
  </w:abstractNum>
  <w:abstractNum w:abstractNumId="139">
    <w:nsid w:val="1849C29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jpeg"/><Relationship Id="rId30" Type="http://schemas.openxmlformats.org/officeDocument/2006/relationships/image" Target="media/image22.jpeg"/><Relationship Id="rId31" Type="http://schemas.openxmlformats.org/officeDocument/2006/relationships/image" Target="media/image23.png"/><Relationship Id="rId32" Type="http://schemas.openxmlformats.org/officeDocument/2006/relationships/image" Target="media/image24.jpeg"/><Relationship Id="rId33" Type="http://schemas.openxmlformats.org/officeDocument/2006/relationships/image" Target="media/image25.jpeg"/><Relationship Id="rId34" Type="http://schemas.openxmlformats.org/officeDocument/2006/relationships/image" Target="media/image26.png"/><Relationship Id="rId35" Type="http://schemas.openxmlformats.org/officeDocument/2006/relationships/image" Target="media/image27.jpeg"/><Relationship Id="rId36" Type="http://schemas.openxmlformats.org/officeDocument/2006/relationships/image" Target="media/image28.png"/><Relationship Id="rId37" Type="http://schemas.openxmlformats.org/officeDocument/2006/relationships/image" Target="media/image29.jpeg"/><Relationship Id="rId38" Type="http://schemas.openxmlformats.org/officeDocument/2006/relationships/image" Target="media/image30.jpeg"/><Relationship Id="rId39" Type="http://schemas.openxmlformats.org/officeDocument/2006/relationships/image" Target="media/image31.png"/><Relationship Id="rId40" Type="http://schemas.openxmlformats.org/officeDocument/2006/relationships/image" Target="media/image32.jpeg"/><Relationship Id="rId41" Type="http://schemas.openxmlformats.org/officeDocument/2006/relationships/image" Target="media/image33.png"/><Relationship Id="rId42" Type="http://schemas.openxmlformats.org/officeDocument/2006/relationships/image" Target="media/image34.jpeg"/><Relationship Id="rId43" Type="http://schemas.openxmlformats.org/officeDocument/2006/relationships/image" Target="media/image35.jpeg"/><Relationship Id="rId44" Type="http://schemas.openxmlformats.org/officeDocument/2006/relationships/image" Target="media/image36.png"/><Relationship Id="rId45" Type="http://schemas.openxmlformats.org/officeDocument/2006/relationships/image" Target="media/image37.jpeg"/><Relationship Id="rId46" Type="http://schemas.openxmlformats.org/officeDocument/2006/relationships/image" Target="media/image38.png"/><Relationship Id="rId47" Type="http://schemas.openxmlformats.org/officeDocument/2006/relationships/image" Target="media/image39.jpeg"/><Relationship Id="rId48" Type="http://schemas.openxmlformats.org/officeDocument/2006/relationships/image" Target="media/image40.png"/><Relationship Id="rId49" Type="http://schemas.openxmlformats.org/officeDocument/2006/relationships/image" Target="media/image41.jpe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jpe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jpe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69" Type="http://schemas.openxmlformats.org/officeDocument/2006/relationships/image" Target="media/image147.png"/><Relationship Id="rId170" Type="http://schemas.openxmlformats.org/officeDocument/2006/relationships/image" Target="media/image148.png"/><Relationship Id="rId172" Type="http://schemas.openxmlformats.org/officeDocument/2006/relationships/image" Target="media/image149.png"/><Relationship Id="rId174" Type="http://schemas.openxmlformats.org/officeDocument/2006/relationships/image" Target="media/image150.png"/><Relationship Id="rId176" Type="http://schemas.openxmlformats.org/officeDocument/2006/relationships/image" Target="media/image151.png"/><Relationship Id="rId178" Type="http://schemas.openxmlformats.org/officeDocument/2006/relationships/image" Target="media/image152.png"/><Relationship Id="rId180" Type="http://schemas.openxmlformats.org/officeDocument/2006/relationships/image" Target="media/image153.png"/><Relationship Id="rId182" Type="http://schemas.openxmlformats.org/officeDocument/2006/relationships/image" Target="media/image154.png"/><Relationship Id="rId184" Type="http://schemas.openxmlformats.org/officeDocument/2006/relationships/image" Target="media/image155.png"/><Relationship Id="rId186" Type="http://schemas.openxmlformats.org/officeDocument/2006/relationships/image" Target="media/image156.png"/><Relationship Id="rId188" Type="http://schemas.openxmlformats.org/officeDocument/2006/relationships/image" Target="media/image157.png"/><Relationship Id="rId190" Type="http://schemas.openxmlformats.org/officeDocument/2006/relationships/image" Target="media/image158.png"/><Relationship Id="rId192" Type="http://schemas.openxmlformats.org/officeDocument/2006/relationships/image" Target="media/image159.png"/><Relationship Id="rId194" Type="http://schemas.openxmlformats.org/officeDocument/2006/relationships/image" Target="media/image160.png"/><Relationship Id="rId196" Type="http://schemas.openxmlformats.org/officeDocument/2006/relationships/image" Target="media/image161.png"/><Relationship Id="rId198" Type="http://schemas.openxmlformats.org/officeDocument/2006/relationships/image" Target="media/image162.png"/><Relationship Id="rId200" Type="http://schemas.openxmlformats.org/officeDocument/2006/relationships/image" Target="media/image163.png"/><Relationship Id="rId202" Type="http://schemas.openxmlformats.org/officeDocument/2006/relationships/image" Target="media/image164.png"/><Relationship Id="rId204" Type="http://schemas.openxmlformats.org/officeDocument/2006/relationships/image" Target="media/image165.png"/><Relationship Id="rId206" Type="http://schemas.openxmlformats.org/officeDocument/2006/relationships/image" Target="media/image166.png"/><Relationship Id="rId207" Type="http://schemas.openxmlformats.org/officeDocument/2006/relationships/image" Target="media/image167.png"/><Relationship Id="rId208" Type="http://schemas.openxmlformats.org/officeDocument/2006/relationships/image" Target="media/image168.png"/><Relationship Id="rId210" Type="http://schemas.openxmlformats.org/officeDocument/2006/relationships/image" Target="media/image169.png"/><Relationship Id="rId212" Type="http://schemas.openxmlformats.org/officeDocument/2006/relationships/image" Target="media/image170.png"/><Relationship Id="rId214" Type="http://schemas.openxmlformats.org/officeDocument/2006/relationships/image" Target="media/image171.png"/><Relationship Id="rId216" Type="http://schemas.openxmlformats.org/officeDocument/2006/relationships/image" Target="media/image172.png"/><Relationship Id="rId218" Type="http://schemas.openxmlformats.org/officeDocument/2006/relationships/image" Target="media/image173.png"/><Relationship Id="rId220" Type="http://schemas.openxmlformats.org/officeDocument/2006/relationships/image" Target="media/image174.png"/><Relationship Id="rId222" Type="http://schemas.openxmlformats.org/officeDocument/2006/relationships/image" Target="media/image175.png"/><Relationship Id="rId224" Type="http://schemas.openxmlformats.org/officeDocument/2006/relationships/image" Target="media/image176.png"/><Relationship Id="rId226" Type="http://schemas.openxmlformats.org/officeDocument/2006/relationships/image" Target="media/image177.png"/><Relationship Id="rId228" Type="http://schemas.openxmlformats.org/officeDocument/2006/relationships/image" Target="media/image178.png"/><Relationship Id="rId230" Type="http://schemas.openxmlformats.org/officeDocument/2006/relationships/image" Target="media/image179.png"/><Relationship Id="rId232" Type="http://schemas.openxmlformats.org/officeDocument/2006/relationships/image" Target="media/image180.png"/><Relationship Id="rId234" Type="http://schemas.openxmlformats.org/officeDocument/2006/relationships/image" Target="media/image181.png"/><Relationship Id="rId236" Type="http://schemas.openxmlformats.org/officeDocument/2006/relationships/image" Target="media/image182.png"/><Relationship Id="rId238" Type="http://schemas.openxmlformats.org/officeDocument/2006/relationships/image" Target="media/image183.png"/><Relationship Id="rId239" Type="http://schemas.openxmlformats.org/officeDocument/2006/relationships/image" Target="media/image184.png"/><Relationship Id="rId241" Type="http://schemas.openxmlformats.org/officeDocument/2006/relationships/image" Target="media/image185.png"/><Relationship Id="rId243" Type="http://schemas.openxmlformats.org/officeDocument/2006/relationships/image" Target="media/image186.png"/><Relationship Id="rId244" Type="http://schemas.openxmlformats.org/officeDocument/2006/relationships/image" Target="media/image187.png"/><Relationship Id="rId245" Type="http://schemas.openxmlformats.org/officeDocument/2006/relationships/image" Target="media/image188.png"/><Relationship Id="rId247" Type="http://schemas.openxmlformats.org/officeDocument/2006/relationships/image" Target="media/image189.png"/><Relationship Id="rId249" Type="http://schemas.openxmlformats.org/officeDocument/2006/relationships/image" Target="media/image190.png"/><Relationship Id="rId251" Type="http://schemas.openxmlformats.org/officeDocument/2006/relationships/image" Target="media/image191.png"/><Relationship Id="rId253" Type="http://schemas.openxmlformats.org/officeDocument/2006/relationships/image" Target="media/image192.png"/><Relationship Id="rId255" Type="http://schemas.openxmlformats.org/officeDocument/2006/relationships/image" Target="media/image193.png"/><Relationship Id="rId256" Type="http://schemas.openxmlformats.org/officeDocument/2006/relationships/image" Target="media/image194.png"/><Relationship Id="rId258" Type="http://schemas.openxmlformats.org/officeDocument/2006/relationships/image" Target="media/image195.png"/><Relationship Id="rId260" Type="http://schemas.openxmlformats.org/officeDocument/2006/relationships/image" Target="media/image196.png"/><Relationship Id="rId262" Type="http://schemas.openxmlformats.org/officeDocument/2006/relationships/image" Target="media/image197.png"/><Relationship Id="rId263" Type="http://schemas.openxmlformats.org/officeDocument/2006/relationships/image" Target="media/image198.png"/><Relationship Id="rId265" Type="http://schemas.openxmlformats.org/officeDocument/2006/relationships/image" Target="media/image199.png"/><Relationship Id="rId267" Type="http://schemas.openxmlformats.org/officeDocument/2006/relationships/image" Target="media/image200.png"/><Relationship Id="rId269" Type="http://schemas.openxmlformats.org/officeDocument/2006/relationships/image" Target="media/image201.png"/><Relationship Id="rId271" Type="http://schemas.openxmlformats.org/officeDocument/2006/relationships/image" Target="media/image202.png"/><Relationship Id="rId273" Type="http://schemas.openxmlformats.org/officeDocument/2006/relationships/image" Target="media/image203.png"/><Relationship Id="rId275" Type="http://schemas.openxmlformats.org/officeDocument/2006/relationships/image" Target="media/image204.png"/><Relationship Id="rId277" Type="http://schemas.openxmlformats.org/officeDocument/2006/relationships/image" Target="media/image205.png"/><Relationship Id="rId279" Type="http://schemas.openxmlformats.org/officeDocument/2006/relationships/image" Target="media/image206.png"/><Relationship Id="rId280" Type="http://schemas.openxmlformats.org/officeDocument/2006/relationships/image" Target="media/image207.png"/><Relationship Id="rId282" Type="http://schemas.openxmlformats.org/officeDocument/2006/relationships/image" Target="media/image208.png"/><Relationship Id="rId283" Type="http://schemas.openxmlformats.org/officeDocument/2006/relationships/image" Target="media/image209.png"/><Relationship Id="rId284" Type="http://schemas.openxmlformats.org/officeDocument/2006/relationships/image" Target="media/image210.png"/><Relationship Id="rId285" Type="http://schemas.openxmlformats.org/officeDocument/2006/relationships/image" Target="media/image211.png"/><Relationship Id="rId287" Type="http://schemas.openxmlformats.org/officeDocument/2006/relationships/image" Target="media/image212.png"/><Relationship Id="rId288" Type="http://schemas.openxmlformats.org/officeDocument/2006/relationships/image" Target="media/image213.png"/><Relationship Id="rId289" Type="http://schemas.openxmlformats.org/officeDocument/2006/relationships/image" Target="media/image214.png"/><Relationship Id="rId290" Type="http://schemas.openxmlformats.org/officeDocument/2006/relationships/image" Target="media/image215.png"/><Relationship Id="rId291" Type="http://schemas.openxmlformats.org/officeDocument/2006/relationships/image" Target="media/image216.png"/><Relationship Id="rId292" Type="http://schemas.openxmlformats.org/officeDocument/2006/relationships/image" Target="media/image217.png"/><Relationship Id="rId293" Type="http://schemas.openxmlformats.org/officeDocument/2006/relationships/image" Target="media/image218.png"/><Relationship Id="rId294" Type="http://schemas.openxmlformats.org/officeDocument/2006/relationships/image" Target="media/image219.png"/><Relationship Id="rId295" Type="http://schemas.openxmlformats.org/officeDocument/2006/relationships/image" Target="media/image220.png"/><Relationship Id="rId296" Type="http://schemas.openxmlformats.org/officeDocument/2006/relationships/image" Target="media/image221.png"/><Relationship Id="rId297" Type="http://schemas.openxmlformats.org/officeDocument/2006/relationships/image" Target="media/image222.png"/><Relationship Id="rId298" Type="http://schemas.openxmlformats.org/officeDocument/2006/relationships/image" Target="media/image223.png"/><Relationship Id="rId299" Type="http://schemas.openxmlformats.org/officeDocument/2006/relationships/image" Target="media/image224.png"/><Relationship Id="rId300" Type="http://schemas.openxmlformats.org/officeDocument/2006/relationships/image" Target="media/image225.png"/><Relationship Id="rId301" Type="http://schemas.openxmlformats.org/officeDocument/2006/relationships/image" Target="media/image226.png"/><Relationship Id="rId302" Type="http://schemas.openxmlformats.org/officeDocument/2006/relationships/image" Target="media/image227.png"/><Relationship Id="rId303" Type="http://schemas.openxmlformats.org/officeDocument/2006/relationships/image" Target="media/image228.png"/><Relationship Id="rId304" Type="http://schemas.openxmlformats.org/officeDocument/2006/relationships/image" Target="media/image229.png"/><Relationship Id="rId305" Type="http://schemas.openxmlformats.org/officeDocument/2006/relationships/image" Target="media/image230.png"/><Relationship Id="rId306" Type="http://schemas.openxmlformats.org/officeDocument/2006/relationships/image" Target="media/image231.png"/><Relationship Id="rId307" Type="http://schemas.openxmlformats.org/officeDocument/2006/relationships/image" Target="media/image232.png"/><Relationship Id="rId308" Type="http://schemas.openxmlformats.org/officeDocument/2006/relationships/image" Target="media/image233.png"/><Relationship Id="rId309" Type="http://schemas.openxmlformats.org/officeDocument/2006/relationships/image" Target="media/image234.png"/><Relationship Id="rId310" Type="http://schemas.openxmlformats.org/officeDocument/2006/relationships/image" Target="media/image235.png"/><Relationship Id="rId311" Type="http://schemas.openxmlformats.org/officeDocument/2006/relationships/image" Target="media/image236.png"/><Relationship Id="rId312" Type="http://schemas.openxmlformats.org/officeDocument/2006/relationships/image" Target="media/image237.png"/><Relationship Id="rId313" Type="http://schemas.openxmlformats.org/officeDocument/2006/relationships/image" Target="media/image238.png"/><Relationship Id="rId314" Type="http://schemas.openxmlformats.org/officeDocument/2006/relationships/image" Target="media/image239.png"/><Relationship Id="rId315" Type="http://schemas.openxmlformats.org/officeDocument/2006/relationships/image" Target="media/image240.png"/><Relationship Id="rId316" Type="http://schemas.openxmlformats.org/officeDocument/2006/relationships/image" Target="media/image241.png"/><Relationship Id="rId317" Type="http://schemas.openxmlformats.org/officeDocument/2006/relationships/image" Target="media/image242.png"/><Relationship Id="rId318" Type="http://schemas.openxmlformats.org/officeDocument/2006/relationships/image" Target="media/image243.png"/><Relationship Id="rId319" Type="http://schemas.openxmlformats.org/officeDocument/2006/relationships/image" Target="media/image244.png"/><Relationship Id="rId320" Type="http://schemas.openxmlformats.org/officeDocument/2006/relationships/image" Target="media/image245.png"/><Relationship Id="rId321" Type="http://schemas.openxmlformats.org/officeDocument/2006/relationships/image" Target="media/image246.jpeg"/><Relationship Id="rId322" Type="http://schemas.openxmlformats.org/officeDocument/2006/relationships/image" Target="media/image247.jpeg"/><Relationship Id="rId323" Type="http://schemas.openxmlformats.org/officeDocument/2006/relationships/image" Target="media/image248.jpeg"/><Relationship Id="rId324" Type="http://schemas.openxmlformats.org/officeDocument/2006/relationships/image" Target="media/image249.jpeg"/><Relationship Id="rId325" Type="http://schemas.openxmlformats.org/officeDocument/2006/relationships/image" Target="media/image250.jpeg"/><Relationship Id="rId326" Type="http://schemas.openxmlformats.org/officeDocument/2006/relationships/image" Target="media/image251.jpeg"/><Relationship Id="rId327" Type="http://schemas.openxmlformats.org/officeDocument/2006/relationships/image" Target="media/image252.jpeg"/><Relationship Id="rId24" Type="http://schemas.openxmlformats.org/officeDocument/2006/relationships/hyperlink" Target="http://www.sec.gov/ix?doc=/Archives/edgar/data/773840/000077384020000009/hon1231201910k.htm" TargetMode="External"/><Relationship Id="rId155" Type="http://schemas.openxmlformats.org/officeDocument/2006/relationships/hyperlink" Target="http://www.sec.gov/Archives/edgar/data/773840/000093041318002303/c91619_ex3i.htm" TargetMode="External"/><Relationship Id="rId156" Type="http://schemas.openxmlformats.org/officeDocument/2006/relationships/hyperlink" Target="http://www.sec.gov/Archives/edgar/data/773840/000093041318002303/c91619_ex3ii.htm" TargetMode="External"/><Relationship Id="rId157" Type="http://schemas.openxmlformats.org/officeDocument/2006/relationships/hyperlink" Target="http://www.sec.gov/Archives/edgar/data/773840/000095011703003488/ex10-2.txt" TargetMode="External"/><Relationship Id="rId158" Type="http://schemas.openxmlformats.org/officeDocument/2006/relationships/hyperlink" Target="http://www.sec.gov/Archives/edgar/data/773840/000095011704004532/ex10-1.htm" TargetMode="External"/><Relationship Id="rId159" Type="http://schemas.openxmlformats.org/officeDocument/2006/relationships/hyperlink" Target="http://www.sec.gov/Archives/edgar/data/773840/000095011706000980/ex10-2.htm" TargetMode="External"/><Relationship Id="rId160" Type="http://schemas.openxmlformats.org/officeDocument/2006/relationships/hyperlink" Target="http://www.sec.gov/Archives/edgar/data/773840/000093041319000366/c92779_ex10-4.htm" TargetMode="External"/><Relationship Id="rId161" Type="http://schemas.openxmlformats.org/officeDocument/2006/relationships/hyperlink" Target="http://www.sec.gov/Archives/edgar/data/773840/000093041314000634/c75936_ex10-6.htm" TargetMode="External"/><Relationship Id="rId162" Type="http://schemas.openxmlformats.org/officeDocument/2006/relationships/hyperlink" Target="http://www.sec.gov/Archives/edgar/data/773840/000093041309000801/c56028_ex10-10.htm" TargetMode="External"/><Relationship Id="rId163" Type="http://schemas.openxmlformats.org/officeDocument/2006/relationships/hyperlink" Target="http://www.sec.gov/Archives/edgar/data/773840/000093041310000784/c60039_ex10-10.htm" TargetMode="External"/><Relationship Id="rId164" Type="http://schemas.openxmlformats.org/officeDocument/2006/relationships/hyperlink" Target="http://www.sec.gov/Archives/edgar/data/773840/000093041316005457/c83288_ex10-7.htm" TargetMode="External"/><Relationship Id="rId165" Type="http://schemas.openxmlformats.org/officeDocument/2006/relationships/hyperlink" Target="http://www.sec.gov/Archives/edgar/data/773840/000093041309000801/c56028_ex10-12.htm" TargetMode="External"/><Relationship Id="rId166" Type="http://schemas.openxmlformats.org/officeDocument/2006/relationships/hyperlink" Target="http://www.sec.gov/Archives/edgar/data/773840/000093041310000784/c60039_ex10-12.htm" TargetMode="External"/><Relationship Id="rId167" Type="http://schemas.openxmlformats.org/officeDocument/2006/relationships/hyperlink" Target="http://www.sec.gov/Archives/edgar/data/773840/000093041314000634/c75936_ex10-9.htm" TargetMode="External"/><Relationship Id="rId168" Type="http://schemas.openxmlformats.org/officeDocument/2006/relationships/hyperlink" Target="http://www.sec.gov/Archives/edgar/data/773840/000093041316005457/c83288_ex10-8.htm" TargetMode="External"/><Relationship Id="rId171" Type="http://schemas.openxmlformats.org/officeDocument/2006/relationships/hyperlink" Target="http://www.sec.gov/Archives/edgar/data/773840/000093041309000801/c56028_ex10-13.htm" TargetMode="External"/><Relationship Id="rId173" Type="http://schemas.openxmlformats.org/officeDocument/2006/relationships/hyperlink" Target="http://www.sec.gov/Archives/edgar/data/773840/000093041310000784/c60039_ex10-13.htm" TargetMode="External"/><Relationship Id="rId175" Type="http://schemas.openxmlformats.org/officeDocument/2006/relationships/hyperlink" Target="http://www.sec.gov/Archives/edgar/data/773840/000093041316005457/c83288_ex10-9.htm" TargetMode="External"/><Relationship Id="rId177" Type="http://schemas.openxmlformats.org/officeDocument/2006/relationships/hyperlink" Target="http://www.sec.gov/Archives/edgar/data/773840/000093041314000634/c75936_ex10-12.htm" TargetMode="External"/><Relationship Id="rId179" Type="http://schemas.openxmlformats.org/officeDocument/2006/relationships/hyperlink" Target="http://www.sec.gov/Archives/edgar/data/773840/000093041307001369/c44492_ex10-24.htm" TargetMode="External"/><Relationship Id="rId181" Type="http://schemas.openxmlformats.org/officeDocument/2006/relationships/hyperlink" Target="http://www.sec.gov/Archives/edgar/data/773840/000093041309000801/c56028_ex10-26.htm" TargetMode="External"/><Relationship Id="rId183" Type="http://schemas.openxmlformats.org/officeDocument/2006/relationships/hyperlink" Target="http://www.sec.gov/Archives/edgar/data/773840/000093041311002923/c65159_ex10-1.htm" TargetMode="External"/><Relationship Id="rId185" Type="http://schemas.openxmlformats.org/officeDocument/2006/relationships/hyperlink" Target="http://www.sec.gov/Archives/edgar/data/773840/000093041309002177/c57151_ex10-2.htm" TargetMode="External"/><Relationship Id="rId187" Type="http://schemas.openxmlformats.org/officeDocument/2006/relationships/hyperlink" Target="http://www.sec.gov/Archives/edgar/data/773840/000093041309000801/c56028_ex10-31.htm" TargetMode="External"/><Relationship Id="rId189" Type="http://schemas.openxmlformats.org/officeDocument/2006/relationships/hyperlink" Target="http://www.sec.gov/Archives/edgar/data/773840/000093041312000976/c68029_ex10-27.htm" TargetMode="External"/><Relationship Id="rId191" Type="http://schemas.openxmlformats.org/officeDocument/2006/relationships/hyperlink" Target="http://www.sec.gov/Archives/edgar/data/773840/000093041315000621/c79276_ex10-24.htm" TargetMode="External"/><Relationship Id="rId193" Type="http://schemas.openxmlformats.org/officeDocument/2006/relationships/hyperlink" Target="http://www.sec.gov/Archives/edgar/data/773840/000093041312002323/c69322_ex10-3.htm" TargetMode="External"/><Relationship Id="rId195" Type="http://schemas.openxmlformats.org/officeDocument/2006/relationships/hyperlink" Target="http://www.sec.gov/Archives/edgar/data/773840/000093041312002323/c69322_ex10-4.htm" TargetMode="External"/><Relationship Id="rId197" Type="http://schemas.openxmlformats.org/officeDocument/2006/relationships/hyperlink" Target="http://www.sec.gov/Archives/edgar/data/773840/000093041307002180/c46936.htm" TargetMode="External"/><Relationship Id="rId199" Type="http://schemas.openxmlformats.org/officeDocument/2006/relationships/hyperlink" Target="http://www.sec.gov/Archives/edgar/data/773840/000093041311000961/c63936_ex10-37.htm" TargetMode="External"/><Relationship Id="rId201" Type="http://schemas.openxmlformats.org/officeDocument/2006/relationships/hyperlink" Target="http://www.sec.gov/Archives/edgar/data/773840/000093041311000961/c63936_ex10-38.htm" TargetMode="External"/><Relationship Id="rId203" Type="http://schemas.openxmlformats.org/officeDocument/2006/relationships/hyperlink" Target="http://www.sec.gov/Archives/edgar/data/773840/000093041311000961/c63936_ex10-39.htm" TargetMode="External"/><Relationship Id="rId205" Type="http://schemas.openxmlformats.org/officeDocument/2006/relationships/hyperlink" Target="http://www.sec.gov/Archives/edgar/data/773840/000093041311001776/c64436_def14a.htm" TargetMode="External"/><Relationship Id="rId209" Type="http://schemas.openxmlformats.org/officeDocument/2006/relationships/hyperlink" Target="http://www.sec.gov/Archives/edgar/data/773840/000093041313000907/c72130_ex10-36.htm" TargetMode="External"/><Relationship Id="rId211" Type="http://schemas.openxmlformats.org/officeDocument/2006/relationships/hyperlink" Target="http://www.sec.gov/Archives/edgar/data/773840/000093041314001831/c77214_ex10-1.htm" TargetMode="External"/><Relationship Id="rId213" Type="http://schemas.openxmlformats.org/officeDocument/2006/relationships/hyperlink" Target="http://www.sec.gov/Archives/edgar/data/773840/000093041314001831/c77214_ex10-2.htm" TargetMode="External"/><Relationship Id="rId215" Type="http://schemas.openxmlformats.org/officeDocument/2006/relationships/hyperlink" Target="http://www.sec.gov/Archives/edgar/data/773840/000093041314001831/c77214_ex10-3.htm" TargetMode="External"/><Relationship Id="rId217" Type="http://schemas.openxmlformats.org/officeDocument/2006/relationships/hyperlink" Target="http://www.sec.gov/Archives/edgar/data/773840/000093041314001831/c77214_ex10-4.htm" TargetMode="External"/><Relationship Id="rId219" Type="http://schemas.openxmlformats.org/officeDocument/2006/relationships/hyperlink" Target="http://www.sec.gov/Archives/edgar/data/773840/000093041315000621/c79276_ex10-39.htm" TargetMode="External"/><Relationship Id="rId221" Type="http://schemas.openxmlformats.org/officeDocument/2006/relationships/hyperlink" Target="http://www.sec.gov/Archives/edgar/data/773840/000093041314001831/c77214_ex10-5.htm" TargetMode="External"/><Relationship Id="rId223" Type="http://schemas.openxmlformats.org/officeDocument/2006/relationships/hyperlink" Target="http://www.sec.gov/Archives/edgar/data/773840/000093041317001646/c88130_ex10-2.htm" TargetMode="External"/><Relationship Id="rId225" Type="http://schemas.openxmlformats.org/officeDocument/2006/relationships/hyperlink" Target="http://www.sec.gov/Archives/edgar/data/773840/000093041316006542/c84644_ex10-1.htm" TargetMode="External"/><Relationship Id="rId227" Type="http://schemas.openxmlformats.org/officeDocument/2006/relationships/hyperlink" Target="http://www.sec.gov/Archives/edgar/data/773840/000093041316006322/c84617_ex99-1.htm" TargetMode="External"/><Relationship Id="rId229" Type="http://schemas.openxmlformats.org/officeDocument/2006/relationships/hyperlink" Target="http://www.sec.gov/Archives/edgar/data/773840/000093041317000893/c87598_ex99-1.htm" TargetMode="External"/><Relationship Id="rId231" Type="http://schemas.openxmlformats.org/officeDocument/2006/relationships/hyperlink" Target="http://www.sec.gov/Archives/edgar/data/773840/000093041316005948/c82838_def14a.htm" TargetMode="External"/><Relationship Id="rId233" Type="http://schemas.openxmlformats.org/officeDocument/2006/relationships/hyperlink" Target="http://www.sec.gov/Archives/edgar/data/773840/000093041316007670/c85530_ex10-1.htm" TargetMode="External"/><Relationship Id="rId235" Type="http://schemas.openxmlformats.org/officeDocument/2006/relationships/hyperlink" Target="http://www.sec.gov/Archives/edgar/data/773840/000093041316007670/c85530_ex10-2.htm" TargetMode="External"/><Relationship Id="rId237" Type="http://schemas.openxmlformats.org/officeDocument/2006/relationships/hyperlink" Target="http://www.sec.gov/Archives/edgar/data/773840/000093041316007670/c85530_ex10-3.htm" TargetMode="External"/><Relationship Id="rId240" Type="http://schemas.openxmlformats.org/officeDocument/2006/relationships/hyperlink" Target="http://www.sec.gov/Archives/edgar/data/773840/000093041318000292/c89913_ex10-74.htm" TargetMode="External"/><Relationship Id="rId242" Type="http://schemas.openxmlformats.org/officeDocument/2006/relationships/hyperlink" Target="http://www.sec.gov/Archives/edgar/data/773840/000093041316007670/c85530_ex10-6.htm" TargetMode="External"/><Relationship Id="rId246" Type="http://schemas.openxmlformats.org/officeDocument/2006/relationships/hyperlink" Target="http://www.sec.gov/Archives/edgar/data/773840/000093041318000292/c89913_ex10-76.htm" TargetMode="External"/><Relationship Id="rId248" Type="http://schemas.openxmlformats.org/officeDocument/2006/relationships/hyperlink" Target="http://www.sec.gov/Archives/edgar/data/773840/000093041318001371/c90468_ex10-1.htm" TargetMode="External"/><Relationship Id="rId250" Type="http://schemas.openxmlformats.org/officeDocument/2006/relationships/hyperlink" Target="http://www.sec.gov/Archives/edgar/data/773840/000093041318002493/c91763_ex99-1.htm" TargetMode="External"/><Relationship Id="rId252" Type="http://schemas.openxmlformats.org/officeDocument/2006/relationships/hyperlink" Target="http://www.sec.gov/Archives/edgar/data/773840/000119312520103955/d913755dex101.htm" TargetMode="External"/><Relationship Id="rId254" Type="http://schemas.openxmlformats.org/officeDocument/2006/relationships/hyperlink" Target="http://www.sec.gov/Archives/edgar/data/773840/000119312519125772/d736548dex102.htm" TargetMode="External"/><Relationship Id="rId257" Type="http://schemas.openxmlformats.org/officeDocument/2006/relationships/hyperlink" Target="http://www.sec.gov/Archives/edgar/data/773840/000162828019004415/exhibit10-103312019.htm" TargetMode="External"/><Relationship Id="rId259" Type="http://schemas.openxmlformats.org/officeDocument/2006/relationships/hyperlink" Target="http://www.sec.gov/Archives/edgar/data/773840/000119312518274274/d623916dex21.htm" TargetMode="External"/><Relationship Id="rId261" Type="http://schemas.openxmlformats.org/officeDocument/2006/relationships/hyperlink" Target="http://www.sec.gov/Archives/edgar/data/773840/000119312518298884/d625197dex21.htm" TargetMode="External"/><Relationship Id="rId264" Type="http://schemas.openxmlformats.org/officeDocument/2006/relationships/hyperlink" Target="http://www.sec.gov/Archives/edgar/data/773840/000093041319002643/c94369_ex99-2.htm" TargetMode="External"/><Relationship Id="rId266" Type="http://schemas.openxmlformats.org/officeDocument/2006/relationships/hyperlink" Target="http://www.sec.gov/Archives/edgar/data/773840/000077384020000048/exhibit10209302020.htm" TargetMode="External"/><Relationship Id="rId268" Type="http://schemas.openxmlformats.org/officeDocument/2006/relationships/hyperlink" Target="http://www.sec.gov/Archives/edgar/data/773840/000077384020000038/exhibit10106302020.htm" TargetMode="External"/><Relationship Id="rId270" Type="http://schemas.openxmlformats.org/officeDocument/2006/relationships/hyperlink" Target="http://www.sec.gov/Archives/edgar/data/773840/000077384020000038/exhibit10206302020.htm" TargetMode="External"/><Relationship Id="rId272" Type="http://schemas.openxmlformats.org/officeDocument/2006/relationships/hyperlink" Target="http://www.sec.gov/Archives/edgar/data/773840/000077384020000038/exhibit10306302020.htm" TargetMode="External"/><Relationship Id="rId274" Type="http://schemas.openxmlformats.org/officeDocument/2006/relationships/hyperlink" Target="http://www.sec.gov/Archives/edgar/data/773840/000077384020000038/exhibit10406302020.htm" TargetMode="External"/><Relationship Id="rId276" Type="http://schemas.openxmlformats.org/officeDocument/2006/relationships/hyperlink" Target="http://www.sec.gov/Archives/edgar/data/773840/000077384020000016/exhibit101.htm" TargetMode="External"/><Relationship Id="rId278" Type="http://schemas.openxmlformats.org/officeDocument/2006/relationships/hyperlink" Target="http://www.sec.gov/Archives/edgar/data/773840/000077384020000048/exhibit10109302020.htm" TargetMode="External"/><Relationship Id="rId281" Type="http://schemas.openxmlformats.org/officeDocument/2006/relationships/hyperlink" Target="http://www.sec.gov/Archives/edgar/data/773840/000077384020000038/exhibit10606302020.htm" TargetMode="External"/><Relationship Id="rId286" Type="http://schemas.openxmlformats.org/officeDocument/2006/relationships/hyperlink" Target="http://www.sec.gov/Archives/edgar/data/773840/000077384020000038/exhibit1070630202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2021-02-12T13:36:55Z</dcterms:created>
  <dcterms:modified xsi:type="dcterms:W3CDTF">2021-02-12T13:36:55Z</dcterms:modified>
</cp:coreProperties>
</file>