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140335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84" w:lineRule="exact"/>
        <w:rPr>
          <w:sz w:val="24"/>
          <w:szCs w:val="24"/>
          <w:color w:val="auto"/>
        </w:rPr>
      </w:pPr>
    </w:p>
    <w:p>
      <w:pPr>
        <w:jc w:val="center"/>
        <w:ind w:right="-19"/>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QUARTERLY REPORT PURSUANT TO SECTION 13 OR 15(d)</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2017</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 TRANSITION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5900" w:type="dxa"/>
            <w:vAlign w:val="bottom"/>
            <w:gridSpan w:val="3"/>
          </w:tcPr>
          <w:p>
            <w:pPr>
              <w:jc w:val="center"/>
              <w:ind w:right="3620"/>
              <w:spacing w:after="0"/>
              <w:rPr>
                <w:sz w:val="20"/>
                <w:szCs w:val="20"/>
                <w:color w:val="auto"/>
              </w:rPr>
            </w:pPr>
            <w:r>
              <w:rPr>
                <w:rFonts w:ascii="Arial" w:cs="Arial" w:eastAsia="Arial" w:hAnsi="Arial"/>
                <w:sz w:val="18"/>
                <w:szCs w:val="18"/>
                <w:color w:val="auto"/>
                <w:w w:val="99"/>
              </w:rPr>
              <w:t>Delaware</w:t>
            </w:r>
          </w:p>
        </w:tc>
        <w:tc>
          <w:tcPr>
            <w:tcW w:w="2780" w:type="dxa"/>
            <w:vAlign w:val="bottom"/>
            <w:gridSpan w:val="2"/>
          </w:tcPr>
          <w:p>
            <w:pPr>
              <w:jc w:val="right"/>
              <w:ind w:right="1240"/>
              <w:spacing w:after="0"/>
              <w:rPr>
                <w:sz w:val="20"/>
                <w:szCs w:val="20"/>
                <w:color w:val="auto"/>
              </w:rPr>
            </w:pPr>
            <w:r>
              <w:rPr>
                <w:rFonts w:ascii="Arial" w:cs="Arial" w:eastAsia="Arial" w:hAnsi="Arial"/>
                <w:sz w:val="18"/>
                <w:szCs w:val="18"/>
                <w:color w:val="auto"/>
              </w:rPr>
              <w:t>22-2640650</w:t>
            </w:r>
          </w:p>
        </w:tc>
      </w:tr>
      <w:tr>
        <w:trPr>
          <w:trHeight w:val="195"/>
        </w:trPr>
        <w:tc>
          <w:tcPr>
            <w:tcW w:w="184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tcPr>
          <w:p>
            <w:pPr>
              <w:jc w:val="center"/>
              <w:ind w:right="1730"/>
              <w:spacing w:after="0" w:line="195" w:lineRule="exact"/>
              <w:rPr>
                <w:sz w:val="20"/>
                <w:szCs w:val="20"/>
                <w:color w:val="auto"/>
              </w:rPr>
            </w:pPr>
            <w:r>
              <w:rPr>
                <w:rFonts w:ascii="Arial" w:cs="Arial" w:eastAsia="Arial" w:hAnsi="Arial"/>
                <w:sz w:val="18"/>
                <w:szCs w:val="18"/>
                <w:color w:val="auto"/>
                <w:w w:val="99"/>
              </w:rPr>
              <w:t>(State or other jurisdiction of</w:t>
            </w:r>
          </w:p>
        </w:tc>
        <w:tc>
          <w:tcPr>
            <w:tcW w:w="11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2"/>
          </w:tcPr>
          <w:p>
            <w:pPr>
              <w:jc w:val="center"/>
              <w:ind w:right="660"/>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7740" w:type="dxa"/>
            <w:vAlign w:val="bottom"/>
            <w:gridSpan w:val="4"/>
          </w:tcPr>
          <w:p>
            <w:pPr>
              <w:jc w:val="center"/>
              <w:ind w:right="1800"/>
              <w:spacing w:after="0"/>
              <w:rPr>
                <w:sz w:val="20"/>
                <w:szCs w:val="20"/>
                <w:color w:val="auto"/>
              </w:rPr>
            </w:pPr>
            <w:r>
              <w:rPr>
                <w:rFonts w:ascii="Arial" w:cs="Arial" w:eastAsia="Arial" w:hAnsi="Arial"/>
                <w:sz w:val="18"/>
                <w:szCs w:val="18"/>
                <w:color w:val="auto"/>
                <w:w w:val="99"/>
              </w:rPr>
              <w:t>incorporation or organization)</w:t>
            </w:r>
          </w:p>
        </w:tc>
        <w:tc>
          <w:tcPr>
            <w:tcW w:w="278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Identification No.)</w:t>
            </w:r>
          </w:p>
        </w:tc>
      </w:tr>
      <w:tr>
        <w:trPr>
          <w:trHeight w:val="391"/>
        </w:trPr>
        <w:tc>
          <w:tcPr>
            <w:tcW w:w="1840" w:type="dxa"/>
            <w:vAlign w:val="bottom"/>
          </w:tcPr>
          <w:p>
            <w:pPr>
              <w:spacing w:after="0"/>
              <w:rPr>
                <w:sz w:val="24"/>
                <w:szCs w:val="24"/>
                <w:color w:val="auto"/>
              </w:rPr>
            </w:pPr>
          </w:p>
        </w:tc>
        <w:tc>
          <w:tcPr>
            <w:tcW w:w="5900" w:type="dxa"/>
            <w:vAlign w:val="bottom"/>
            <w:gridSpan w:val="3"/>
          </w:tcPr>
          <w:p>
            <w:pPr>
              <w:jc w:val="center"/>
              <w:ind w:right="3620"/>
              <w:spacing w:after="0"/>
              <w:rPr>
                <w:sz w:val="20"/>
                <w:szCs w:val="20"/>
                <w:color w:val="auto"/>
              </w:rPr>
            </w:pPr>
            <w:r>
              <w:rPr>
                <w:rFonts w:ascii="Arial" w:cs="Arial" w:eastAsia="Arial" w:hAnsi="Arial"/>
                <w:sz w:val="18"/>
                <w:szCs w:val="18"/>
                <w:color w:val="auto"/>
                <w:w w:val="98"/>
              </w:rPr>
              <w:t>115 Tabor Road</w:t>
            </w: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5900" w:type="dxa"/>
            <w:vAlign w:val="bottom"/>
            <w:gridSpan w:val="3"/>
          </w:tcPr>
          <w:p>
            <w:pPr>
              <w:jc w:val="center"/>
              <w:ind w:right="3620"/>
              <w:spacing w:after="0" w:line="203" w:lineRule="exact"/>
              <w:rPr>
                <w:sz w:val="20"/>
                <w:szCs w:val="20"/>
                <w:color w:val="auto"/>
              </w:rPr>
            </w:pPr>
            <w:r>
              <w:rPr>
                <w:rFonts w:ascii="Arial" w:cs="Arial" w:eastAsia="Arial" w:hAnsi="Arial"/>
                <w:sz w:val="18"/>
                <w:szCs w:val="18"/>
                <w:color w:val="auto"/>
                <w:w w:val="99"/>
              </w:rPr>
              <w:t>Morris Plains, New Jersey</w:t>
            </w:r>
          </w:p>
        </w:tc>
        <w:tc>
          <w:tcPr>
            <w:tcW w:w="2780" w:type="dxa"/>
            <w:vAlign w:val="bottom"/>
            <w:gridSpan w:val="2"/>
          </w:tcPr>
          <w:p>
            <w:pPr>
              <w:jc w:val="right"/>
              <w:ind w:right="1460"/>
              <w:spacing w:after="0" w:line="203" w:lineRule="exact"/>
              <w:rPr>
                <w:sz w:val="20"/>
                <w:szCs w:val="20"/>
                <w:color w:val="auto"/>
              </w:rPr>
            </w:pPr>
            <w:r>
              <w:rPr>
                <w:rFonts w:ascii="Arial" w:cs="Arial" w:eastAsia="Arial" w:hAnsi="Arial"/>
                <w:sz w:val="18"/>
                <w:szCs w:val="18"/>
                <w:color w:val="auto"/>
              </w:rPr>
              <w:t>07950</w:t>
            </w:r>
          </w:p>
        </w:tc>
      </w:tr>
      <w:tr>
        <w:trPr>
          <w:trHeight w:val="210"/>
        </w:trPr>
        <w:tc>
          <w:tcPr>
            <w:tcW w:w="59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8"/>
                <w:szCs w:val="18"/>
                <w:color w:val="auto"/>
              </w:rPr>
              <w:t>(Zip Code)</w:t>
            </w:r>
          </w:p>
        </w:tc>
      </w:tr>
      <w:tr>
        <w:trPr>
          <w:trHeight w:val="391"/>
        </w:trPr>
        <w:tc>
          <w:tcPr>
            <w:tcW w:w="5940" w:type="dxa"/>
            <w:vAlign w:val="bottom"/>
            <w:gridSpan w:val="2"/>
          </w:tcPr>
          <w:p>
            <w:pPr>
              <w:jc w:val="center"/>
              <w:ind w:left="4470"/>
              <w:spacing w:after="0"/>
              <w:rPr>
                <w:sz w:val="20"/>
                <w:szCs w:val="20"/>
                <w:color w:val="auto"/>
              </w:rPr>
            </w:pPr>
            <w:r>
              <w:rPr>
                <w:rFonts w:ascii="Arial" w:cs="Arial" w:eastAsia="Arial" w:hAnsi="Arial"/>
                <w:sz w:val="18"/>
                <w:szCs w:val="18"/>
                <w:color w:val="auto"/>
                <w:w w:val="99"/>
              </w:rPr>
              <w:t>(973) 455-2000</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0"/>
        </w:trPr>
        <w:tc>
          <w:tcPr>
            <w:tcW w:w="1840" w:type="dxa"/>
            <w:vAlign w:val="bottom"/>
          </w:tcPr>
          <w:p>
            <w:pPr>
              <w:spacing w:after="0"/>
              <w:rPr>
                <w:sz w:val="18"/>
                <w:szCs w:val="18"/>
                <w:color w:val="auto"/>
              </w:rPr>
            </w:pPr>
          </w:p>
        </w:tc>
        <w:tc>
          <w:tcPr>
            <w:tcW w:w="5900" w:type="dxa"/>
            <w:vAlign w:val="bottom"/>
            <w:tcBorders>
              <w:top w:val="single" w:sz="8" w:color="auto"/>
            </w:tcBorders>
            <w:gridSpan w:val="3"/>
          </w:tcPr>
          <w:p>
            <w:pPr>
              <w:jc w:val="center"/>
              <w:ind w:left="830"/>
              <w:spacing w:after="0"/>
              <w:rPr>
                <w:sz w:val="20"/>
                <w:szCs w:val="20"/>
                <w:color w:val="auto"/>
              </w:rPr>
            </w:pPr>
            <w:r>
              <w:rPr>
                <w:rFonts w:ascii="Arial" w:cs="Arial" w:eastAsia="Arial" w:hAnsi="Arial"/>
                <w:sz w:val="18"/>
                <w:szCs w:val="18"/>
                <w:color w:val="auto"/>
                <w:w w:val="99"/>
              </w:rPr>
              <w:t>(Registrant’s telephone number, including area code)</w:t>
            </w:r>
          </w:p>
        </w:tc>
        <w:tc>
          <w:tcPr>
            <w:tcW w:w="940" w:type="dxa"/>
            <w:vAlign w:val="bottom"/>
            <w:tcBorders>
              <w:top w:val="single" w:sz="8" w:color="auto"/>
            </w:tcBorders>
          </w:tcPr>
          <w:p>
            <w:pPr>
              <w:spacing w:after="0"/>
              <w:rPr>
                <w:sz w:val="18"/>
                <w:szCs w:val="18"/>
                <w:color w:val="auto"/>
              </w:rPr>
            </w:pPr>
          </w:p>
        </w:tc>
        <w:tc>
          <w:tcPr>
            <w:tcW w:w="1840" w:type="dxa"/>
            <w:vAlign w:val="bottom"/>
          </w:tcPr>
          <w:p>
            <w:pPr>
              <w:spacing w:after="0"/>
              <w:rPr>
                <w:sz w:val="18"/>
                <w:szCs w:val="18"/>
                <w:color w:val="auto"/>
              </w:rPr>
            </w:pPr>
          </w:p>
        </w:tc>
      </w:tr>
      <w:tr>
        <w:trPr>
          <w:trHeight w:val="391"/>
        </w:trPr>
        <w:tc>
          <w:tcPr>
            <w:tcW w:w="1840" w:type="dxa"/>
            <w:vAlign w:val="bottom"/>
          </w:tcPr>
          <w:p>
            <w:pPr>
              <w:spacing w:after="0"/>
              <w:rPr>
                <w:sz w:val="24"/>
                <w:szCs w:val="24"/>
                <w:color w:val="auto"/>
              </w:rPr>
            </w:pPr>
          </w:p>
        </w:tc>
        <w:tc>
          <w:tcPr>
            <w:tcW w:w="590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color w:val="auto"/>
                <w:w w:val="99"/>
              </w:rPr>
              <w:t>Not Applicable</w:t>
            </w:r>
          </w:p>
        </w:tc>
        <w:tc>
          <w:tcPr>
            <w:tcW w:w="94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195"/>
        </w:trPr>
        <w:tc>
          <w:tcPr>
            <w:tcW w:w="1840" w:type="dxa"/>
            <w:vAlign w:val="bottom"/>
          </w:tcPr>
          <w:p>
            <w:pPr>
              <w:spacing w:after="0"/>
              <w:rPr>
                <w:sz w:val="16"/>
                <w:szCs w:val="16"/>
                <w:color w:val="auto"/>
              </w:rPr>
            </w:pPr>
          </w:p>
        </w:tc>
        <w:tc>
          <w:tcPr>
            <w:tcW w:w="5900" w:type="dxa"/>
            <w:vAlign w:val="bottom"/>
            <w:gridSpan w:val="3"/>
          </w:tcPr>
          <w:p>
            <w:pPr>
              <w:jc w:val="center"/>
              <w:ind w:left="830"/>
              <w:spacing w:after="0" w:line="195" w:lineRule="exact"/>
              <w:rPr>
                <w:sz w:val="20"/>
                <w:szCs w:val="20"/>
                <w:color w:val="auto"/>
              </w:rPr>
            </w:pPr>
            <w:r>
              <w:rPr>
                <w:rFonts w:ascii="Arial" w:cs="Arial" w:eastAsia="Arial" w:hAnsi="Arial"/>
                <w:sz w:val="18"/>
                <w:szCs w:val="18"/>
                <w:color w:val="auto"/>
                <w:w w:val="99"/>
              </w:rPr>
              <w:t>(Former name, former address and former fiscal year,</w:t>
            </w:r>
          </w:p>
        </w:tc>
        <w:tc>
          <w:tcPr>
            <w:tcW w:w="9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17"/>
        </w:trPr>
        <w:tc>
          <w:tcPr>
            <w:tcW w:w="1840" w:type="dxa"/>
            <w:vAlign w:val="bottom"/>
          </w:tcPr>
          <w:p>
            <w:pPr>
              <w:spacing w:after="0"/>
              <w:rPr>
                <w:sz w:val="18"/>
                <w:szCs w:val="18"/>
                <w:color w:val="auto"/>
              </w:rPr>
            </w:pPr>
          </w:p>
        </w:tc>
        <w:tc>
          <w:tcPr>
            <w:tcW w:w="5900" w:type="dxa"/>
            <w:vAlign w:val="bottom"/>
            <w:gridSpan w:val="3"/>
          </w:tcPr>
          <w:p>
            <w:pPr>
              <w:jc w:val="center"/>
              <w:ind w:left="830"/>
              <w:spacing w:after="0"/>
              <w:rPr>
                <w:sz w:val="20"/>
                <w:szCs w:val="20"/>
                <w:color w:val="auto"/>
              </w:rPr>
            </w:pPr>
            <w:r>
              <w:rPr>
                <w:rFonts w:ascii="Arial" w:cs="Arial" w:eastAsia="Arial" w:hAnsi="Arial"/>
                <w:sz w:val="18"/>
                <w:szCs w:val="18"/>
                <w:color w:val="auto"/>
              </w:rPr>
              <w:t>if changed since last report)</w:t>
            </w: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r>
    </w:tbl>
    <w:p>
      <w:pPr>
        <w:spacing w:after="0" w:line="188"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42" w:right="239" w:bottom="1440" w:gutter="0" w:footer="0" w:header="0"/>
        </w:sectPr>
      </w:pP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Accelerated filer o</w:t>
      </w:r>
    </w:p>
    <w:p>
      <w:pPr>
        <w:spacing w:after="0" w:line="16" w:lineRule="exact"/>
        <w:rPr>
          <w:sz w:val="24"/>
          <w:szCs w:val="24"/>
          <w:color w:val="auto"/>
        </w:rPr>
      </w:pPr>
    </w:p>
    <w:p>
      <w:pPr>
        <w:sectPr>
          <w:pgSz w:w="11900" w:h="16838" w:orient="portrait"/>
          <w:cols w:equalWidth="0" w:num="2">
            <w:col w:w="7280" w:space="720"/>
            <w:col w:w="3420"/>
          </w:cols>
          <w:pgMar w:left="240" w:top="242" w:right="239" w:bottom="1440"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1" w:lineRule="exact"/>
        <w:rPr>
          <w:sz w:val="24"/>
          <w:szCs w:val="24"/>
          <w:color w:val="auto"/>
        </w:rPr>
      </w:pPr>
    </w:p>
    <w:p>
      <w:pPr>
        <w:sectPr>
          <w:pgSz w:w="11900" w:h="16838" w:orient="portrait"/>
          <w:cols w:equalWidth="0" w:num="2">
            <w:col w:w="7280" w:space="720"/>
            <w:col w:w="3420"/>
          </w:cols>
          <w:pgMar w:left="240" w:top="242" w:right="239" w:bottom="1440" w:gutter="0" w:footer="0" w:header="0"/>
          <w:type w:val="continuous"/>
        </w:sectPr>
      </w:pPr>
    </w:p>
    <w:p>
      <w:pPr>
        <w:ind w:left="8000"/>
        <w:spacing w:after="0"/>
        <w:rPr>
          <w:sz w:val="20"/>
          <w:szCs w:val="20"/>
          <w:color w:val="auto"/>
        </w:rPr>
      </w:pPr>
      <w:r>
        <w:rPr>
          <w:rFonts w:ascii="Arial" w:cs="Arial" w:eastAsia="Arial" w:hAnsi="Arial"/>
          <w:sz w:val="17"/>
          <w:szCs w:val="17"/>
          <w:color w:val="auto"/>
        </w:rPr>
        <w:t>Emerging growth company o</w:t>
      </w:r>
    </w:p>
    <w:p>
      <w:pPr>
        <w:sectPr>
          <w:pgSz w:w="11900" w:h="16838" w:orient="portrait"/>
          <w:cols w:equalWidth="0" w:num="1">
            <w:col w:w="11420"/>
          </w:cols>
          <w:pgMar w:left="240" w:top="242" w:right="239" w:bottom="1440" w:gutter="0" w:footer="0" w:header="0"/>
          <w:type w:val="continuous"/>
        </w:sectPr>
      </w:pPr>
    </w:p>
    <w:p>
      <w:pPr>
        <w:spacing w:after="0" w:line="222"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760,569,169 shares of Common Stock outstanding at June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100" w:type="dxa"/>
            <w:vAlign w:val="bottom"/>
            <w:gridSpan w:val="10"/>
          </w:tcPr>
          <w:p>
            <w:pPr>
              <w:jc w:val="center"/>
              <w:ind w:right="3120"/>
              <w:spacing w:after="0"/>
              <w:rPr>
                <w:sz w:val="20"/>
                <w:szCs w:val="20"/>
                <w:color w:val="auto"/>
              </w:rPr>
            </w:pPr>
            <w:r>
              <w:rPr>
                <w:rFonts w:ascii="Arial" w:cs="Arial" w:eastAsia="Arial" w:hAnsi="Arial"/>
                <w:sz w:val="22"/>
                <w:szCs w:val="22"/>
                <w:b w:val="1"/>
                <w:bCs w:val="1"/>
                <w:color w:val="auto"/>
                <w:w w:val="98"/>
              </w:rPr>
              <w:t>Honeywell International Inc.</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gridSpan w:val="8"/>
          </w:tcPr>
          <w:p>
            <w:pPr>
              <w:jc w:val="center"/>
              <w:ind w:right="3500"/>
              <w:spacing w:after="0"/>
              <w:rPr>
                <w:sz w:val="20"/>
                <w:szCs w:val="20"/>
                <w:color w:val="auto"/>
              </w:rPr>
            </w:pPr>
            <w:r>
              <w:rPr>
                <w:rFonts w:ascii="Arial" w:cs="Arial" w:eastAsia="Arial" w:hAnsi="Arial"/>
                <w:sz w:val="18"/>
                <w:szCs w:val="18"/>
                <w:b w:val="1"/>
                <w:bCs w:val="1"/>
                <w:color w:val="auto"/>
                <w:w w:val="97"/>
              </w:rPr>
              <w:t>Index</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65"/>
        </w:trPr>
        <w:tc>
          <w:tcPr>
            <w:tcW w:w="230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02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040" w:type="dxa"/>
            <w:vAlign w:val="bottom"/>
            <w:gridSpan w:val="2"/>
          </w:tcPr>
          <w:p>
            <w:pPr>
              <w:ind w:left="260"/>
              <w:spacing w:after="0"/>
              <w:rPr>
                <w:sz w:val="20"/>
                <w:szCs w:val="20"/>
                <w:color w:val="auto"/>
              </w:rPr>
            </w:pPr>
            <w:r>
              <w:rPr>
                <w:rFonts w:ascii="Arial" w:cs="Arial" w:eastAsia="Arial" w:hAnsi="Arial"/>
                <w:sz w:val="18"/>
                <w:szCs w:val="18"/>
                <w:b w:val="1"/>
                <w:bCs w:val="1"/>
                <w:color w:val="auto"/>
                <w:w w:val="98"/>
              </w:rPr>
              <w:t>Page No.</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80" w:type="dxa"/>
            <w:vAlign w:val="bottom"/>
          </w:tcPr>
          <w:p>
            <w:pPr>
              <w:spacing w:after="0"/>
              <w:rPr>
                <w:sz w:val="24"/>
                <w:szCs w:val="24"/>
                <w:color w:val="auto"/>
              </w:rPr>
            </w:pPr>
          </w:p>
        </w:tc>
        <w:tc>
          <w:tcPr>
            <w:tcW w:w="7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 – Three and Six Months Ended June 30,</w:t>
              </w:r>
            </w:hyperlink>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1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2017 and 2016</w:t>
              </w:r>
            </w:hyperlink>
          </w:p>
        </w:tc>
        <w:tc>
          <w:tcPr>
            <w:tcW w:w="560" w:type="dxa"/>
            <w:vAlign w:val="bottom"/>
            <w:gridSpan w:val="2"/>
          </w:tcPr>
          <w:p>
            <w:pPr>
              <w:spacing w:after="0"/>
              <w:rPr>
                <w:sz w:val="15"/>
                <w:szCs w:val="15"/>
                <w:color w:val="auto"/>
              </w:rPr>
            </w:pPr>
          </w:p>
        </w:tc>
        <w:tc>
          <w:tcPr>
            <w:tcW w:w="1040" w:type="dxa"/>
            <w:vAlign w:val="bottom"/>
            <w:gridSpan w:val="2"/>
          </w:tcPr>
          <w:p>
            <w:pPr>
              <w:jc w:val="center"/>
              <w:ind w:left="170"/>
              <w:spacing w:after="0" w:line="182" w:lineRule="exact"/>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 Three and Six Months Ended</w:t>
              </w:r>
            </w:hyperlink>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3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June 30, 2017 and 2016</w:t>
              </w:r>
            </w:hyperlink>
          </w:p>
        </w:tc>
        <w:tc>
          <w:tcPr>
            <w:tcW w:w="280" w:type="dxa"/>
            <w:vAlign w:val="bottom"/>
          </w:tcPr>
          <w:p>
            <w:pPr>
              <w:spacing w:after="0"/>
              <w:rPr>
                <w:sz w:val="15"/>
                <w:szCs w:val="15"/>
                <w:color w:val="auto"/>
              </w:rPr>
            </w:pPr>
          </w:p>
        </w:tc>
        <w:tc>
          <w:tcPr>
            <w:tcW w:w="1040" w:type="dxa"/>
            <w:vAlign w:val="bottom"/>
            <w:gridSpan w:val="2"/>
          </w:tcPr>
          <w:p>
            <w:pPr>
              <w:jc w:val="center"/>
              <w:ind w:left="170"/>
              <w:spacing w:after="0" w:line="182" w:lineRule="exact"/>
              <w:rPr>
                <w:sz w:val="20"/>
                <w:szCs w:val="20"/>
                <w:color w:val="auto"/>
              </w:rPr>
            </w:pPr>
            <w:r>
              <w:rPr>
                <w:rFonts w:ascii="Arial" w:cs="Arial" w:eastAsia="Arial" w:hAnsi="Arial"/>
                <w:sz w:val="18"/>
                <w:szCs w:val="18"/>
                <w:color w:val="auto"/>
                <w:w w:val="99"/>
              </w:rPr>
              <w:t>4</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6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 (unaudited) – June 30, 2017 and December 31, 2016</w:t>
              </w:r>
            </w:hyperlink>
          </w:p>
        </w:tc>
        <w:tc>
          <w:tcPr>
            <w:tcW w:w="1280" w:type="dxa"/>
            <w:vAlign w:val="bottom"/>
            <w:gridSpan w:val="4"/>
          </w:tcPr>
          <w:p>
            <w:pPr>
              <w:spacing w:after="0"/>
              <w:rPr>
                <w:sz w:val="24"/>
                <w:szCs w:val="24"/>
                <w:color w:val="auto"/>
              </w:rPr>
            </w:pP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 of Cash Flows (unaudited) – Six Months Ended June 30, 2017 and</w:t>
              </w:r>
            </w:hyperlink>
          </w:p>
        </w:tc>
        <w:tc>
          <w:tcPr>
            <w:tcW w:w="5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400" w:type="dxa"/>
            <w:vAlign w:val="bottom"/>
            <w:tcBorders>
              <w:bottom w:val="single" w:sz="8" w:color="0000EE"/>
            </w:tcBorders>
          </w:tcPr>
          <w:p>
            <w:pPr>
              <w:spacing w:after="0" w:line="18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2016</w:t>
              </w:r>
            </w:hyperlink>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center"/>
              <w:ind w:left="170"/>
              <w:spacing w:after="0" w:line="182" w:lineRule="exact"/>
              <w:rPr>
                <w:sz w:val="20"/>
                <w:szCs w:val="20"/>
                <w:color w:val="auto"/>
              </w:rPr>
            </w:pPr>
            <w:r>
              <w:rPr>
                <w:rFonts w:ascii="Arial" w:cs="Arial" w:eastAsia="Arial" w:hAnsi="Arial"/>
                <w:sz w:val="18"/>
                <w:szCs w:val="18"/>
                <w:color w:val="auto"/>
                <w:w w:val="99"/>
              </w:rPr>
              <w:t>6</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2.</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22</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3.</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tcBorders>
              <w:top w:val="single" w:sz="8" w:color="0000EE"/>
            </w:tcBorders>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Risks</w:t>
              </w:r>
            </w:hyperlink>
          </w:p>
        </w:tc>
        <w:tc>
          <w:tcPr>
            <w:tcW w:w="760" w:type="dxa"/>
            <w:vAlign w:val="bottom"/>
            <w:gridSpan w:val="3"/>
          </w:tcPr>
          <w:p>
            <w:pPr>
              <w:spacing w:after="0"/>
              <w:rPr>
                <w:sz w:val="24"/>
                <w:szCs w:val="24"/>
                <w:color w:val="auto"/>
              </w:rPr>
            </w:pPr>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30</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4.</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top w:val="single" w:sz="8" w:color="0000EE"/>
            </w:tcBorders>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3040" w:type="dxa"/>
            <w:vAlign w:val="bottom"/>
            <w:gridSpan w:val="6"/>
          </w:tcPr>
          <w:p>
            <w:pPr>
              <w:spacing w:after="0"/>
              <w:rPr>
                <w:sz w:val="24"/>
                <w:szCs w:val="24"/>
                <w:color w:val="auto"/>
              </w:rPr>
            </w:pPr>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30</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rFonts w:ascii="Arial" w:cs="Arial" w:eastAsia="Arial" w:hAnsi="Arial"/>
                <w:sz w:val="18"/>
                <w:szCs w:val="18"/>
                <w:b w:val="1"/>
                <w:bCs w:val="1"/>
                <w:color w:val="0000EE"/>
                <w:w w:val="83"/>
              </w:rPr>
            </w:pPr>
            <w:hyperlink w:anchor="page31">
              <w:r>
                <w:rPr>
                  <w:rFonts w:ascii="Arial" w:cs="Arial" w:eastAsia="Arial" w:hAnsi="Arial"/>
                  <w:sz w:val="18"/>
                  <w:szCs w:val="18"/>
                  <w:b w:val="1"/>
                  <w:bCs w:val="1"/>
                  <w:color w:val="0000EE"/>
                  <w:w w:val="83"/>
                </w:rPr>
                <w:t>Part II.</w:t>
              </w:r>
            </w:hyperlink>
          </w:p>
        </w:tc>
        <w:tc>
          <w:tcPr>
            <w:tcW w:w="6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8020" w:type="dxa"/>
            <w:vAlign w:val="bottom"/>
            <w:gridSpan w:val="1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1.</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Legal Proceedings</w:t>
              </w:r>
            </w:hyperlink>
          </w:p>
        </w:tc>
        <w:tc>
          <w:tcPr>
            <w:tcW w:w="6340" w:type="dxa"/>
            <w:vAlign w:val="bottom"/>
            <w:gridSpan w:val="12"/>
          </w:tcPr>
          <w:p>
            <w:pPr>
              <w:spacing w:after="0"/>
              <w:rPr>
                <w:sz w:val="24"/>
                <w:szCs w:val="24"/>
                <w:color w:val="auto"/>
              </w:rPr>
            </w:pPr>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31</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2.</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Unregistered Sales of Equity Securities and Use of Proceeds</w:t>
              </w:r>
            </w:hyperlink>
          </w:p>
        </w:tc>
        <w:tc>
          <w:tcPr>
            <w:tcW w:w="2980" w:type="dxa"/>
            <w:vAlign w:val="bottom"/>
            <w:gridSpan w:val="5"/>
          </w:tcPr>
          <w:p>
            <w:pPr>
              <w:spacing w:after="0"/>
              <w:rPr>
                <w:sz w:val="24"/>
                <w:szCs w:val="24"/>
                <w:color w:val="auto"/>
              </w:rPr>
            </w:pPr>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31</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5.</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31</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6.</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top w:val="single" w:sz="8" w:color="0000EE"/>
            </w:tcBorders>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6440" w:type="dxa"/>
            <w:vAlign w:val="bottom"/>
            <w:gridSpan w:val="13"/>
          </w:tcPr>
          <w:p>
            <w:pPr>
              <w:spacing w:after="0"/>
              <w:rPr>
                <w:sz w:val="24"/>
                <w:szCs w:val="24"/>
                <w:color w:val="auto"/>
              </w:rPr>
            </w:pPr>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32</w:t>
            </w:r>
          </w:p>
        </w:tc>
      </w:tr>
      <w:tr>
        <w:trPr>
          <w:trHeight w:val="385"/>
        </w:trPr>
        <w:tc>
          <w:tcPr>
            <w:tcW w:w="116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540" w:type="dxa"/>
            <w:vAlign w:val="bottom"/>
            <w:tcBorders>
              <w:top w:val="single" w:sz="8" w:color="0000EE"/>
            </w:tcBorders>
          </w:tcPr>
          <w:p>
            <w:pPr>
              <w:spacing w:after="0"/>
              <w:rPr>
                <w:sz w:val="24"/>
                <w:szCs w:val="24"/>
                <w:color w:val="auto"/>
              </w:rPr>
            </w:pPr>
          </w:p>
        </w:tc>
        <w:tc>
          <w:tcPr>
            <w:tcW w:w="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33</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2016 Annual Report on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financial statements and related footnotes as of June 30, 2017 should be read in conjunction with the financial statements for the year ended December 31, 2016 contained in our 2016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80" w:type="dxa"/>
            <w:vAlign w:val="bottom"/>
            <w:gridSpan w:val="8"/>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86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8,079</w:t>
            </w:r>
          </w:p>
        </w:tc>
        <w:tc>
          <w:tcPr>
            <w:tcW w:w="660" w:type="dxa"/>
            <w:vAlign w:val="bottom"/>
            <w:gridSpan w:val="3"/>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8,035</w:t>
            </w:r>
          </w:p>
        </w:tc>
        <w:tc>
          <w:tcPr>
            <w:tcW w:w="6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15,619</w:t>
            </w:r>
          </w:p>
        </w:tc>
        <w:tc>
          <w:tcPr>
            <w:tcW w:w="280" w:type="dxa"/>
            <w:vAlign w:val="bottom"/>
            <w:shd w:val="clear" w:color="auto" w:fill="E5FFFF"/>
          </w:tcPr>
          <w:p>
            <w:pPr>
              <w:spacing w:after="0"/>
              <w:rPr>
                <w:sz w:val="17"/>
                <w:szCs w:val="17"/>
                <w:color w:val="auto"/>
              </w:rPr>
            </w:pPr>
          </w:p>
        </w:tc>
        <w:tc>
          <w:tcPr>
            <w:tcW w:w="32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6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1,956</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3,951</w:t>
            </w:r>
          </w:p>
        </w:tc>
        <w:tc>
          <w:tcPr>
            <w:tcW w:w="28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60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10,078</w:t>
            </w:r>
          </w:p>
        </w:tc>
        <w:tc>
          <w:tcPr>
            <w:tcW w:w="40" w:type="dxa"/>
            <w:vAlign w:val="bottom"/>
            <w:tcBorders>
              <w:bottom w:val="single" w:sz="8" w:color="auto"/>
            </w:tcBorders>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9,991</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19,570</w:t>
            </w:r>
          </w:p>
        </w:tc>
        <w:tc>
          <w:tcPr>
            <w:tcW w:w="2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19,513</w:t>
            </w:r>
          </w:p>
        </w:tc>
        <w:tc>
          <w:tcPr>
            <w:tcW w:w="0" w:type="dxa"/>
            <w:vAlign w:val="bottom"/>
          </w:tcPr>
          <w:p>
            <w:pPr>
              <w:spacing w:after="0"/>
              <w:rPr>
                <w:sz w:val="1"/>
                <w:szCs w:val="1"/>
                <w:color w:val="auto"/>
              </w:rPr>
            </w:pPr>
          </w:p>
        </w:tc>
      </w:tr>
      <w:tr>
        <w:trPr>
          <w:trHeight w:val="399"/>
        </w:trPr>
        <w:tc>
          <w:tcPr>
            <w:tcW w:w="524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5,660</w:t>
            </w:r>
          </w:p>
        </w:tc>
        <w:tc>
          <w:tcPr>
            <w:tcW w:w="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5,602</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10,897</w:t>
            </w:r>
          </w:p>
        </w:tc>
        <w:tc>
          <w:tcPr>
            <w:tcW w:w="2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Cost of services sold</w:t>
            </w:r>
          </w:p>
        </w:tc>
        <w:tc>
          <w:tcPr>
            <w:tcW w:w="6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1,219</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2,309</w:t>
            </w:r>
          </w:p>
        </w:tc>
        <w:tc>
          <w:tcPr>
            <w:tcW w:w="28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6,850</w:t>
            </w:r>
          </w:p>
        </w:tc>
        <w:tc>
          <w:tcPr>
            <w:tcW w:w="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6,821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13,206</w:t>
            </w:r>
          </w:p>
        </w:tc>
        <w:tc>
          <w:tcPr>
            <w:tcW w:w="2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13,368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1,381</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1,329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2,730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w:t>
            </w:r>
          </w:p>
        </w:tc>
        <w:tc>
          <w:tcPr>
            <w:tcW w:w="2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6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8,300</w:t>
            </w:r>
          </w:p>
        </w:tc>
        <w:tc>
          <w:tcPr>
            <w:tcW w:w="40" w:type="dxa"/>
            <w:vAlign w:val="bottom"/>
            <w:tcBorders>
              <w:bottom w:val="single" w:sz="8" w:color="auto"/>
            </w:tcBorders>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8,236</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16,068</w:t>
            </w:r>
          </w:p>
        </w:tc>
        <w:tc>
          <w:tcPr>
            <w:tcW w:w="2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r>
        <w:trPr>
          <w:trHeight w:val="196"/>
        </w:trPr>
        <w:tc>
          <w:tcPr>
            <w:tcW w:w="524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taxes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1,778</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1,755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3,502</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6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378</w:t>
            </w:r>
          </w:p>
        </w:tc>
        <w:tc>
          <w:tcPr>
            <w:tcW w:w="40" w:type="dxa"/>
            <w:vAlign w:val="bottom"/>
            <w:tcBorders>
              <w:bottom w:val="single" w:sz="8" w:color="auto"/>
            </w:tcBorders>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2,732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Less: Net income attributable to the noncontrolling interest</w:t>
            </w: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c>
          <w:tcPr>
            <w:tcW w:w="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14</w:t>
            </w:r>
          </w:p>
        </w:tc>
        <w:tc>
          <w:tcPr>
            <w:tcW w:w="2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4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1,392</w:t>
            </w:r>
          </w:p>
        </w:tc>
        <w:tc>
          <w:tcPr>
            <w:tcW w:w="40" w:type="dxa"/>
            <w:vAlign w:val="bottom"/>
          </w:tcPr>
          <w:p>
            <w:pPr>
              <w:spacing w:after="0"/>
              <w:rPr>
                <w:sz w:val="21"/>
                <w:szCs w:val="21"/>
                <w:color w:val="auto"/>
              </w:rPr>
            </w:pP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2,718</w:t>
            </w:r>
          </w:p>
        </w:tc>
        <w:tc>
          <w:tcPr>
            <w:tcW w:w="280" w:type="dxa"/>
            <w:vAlign w:val="bottom"/>
          </w:tcPr>
          <w:p>
            <w:pPr>
              <w:spacing w:after="0"/>
              <w:rPr>
                <w:sz w:val="21"/>
                <w:szCs w:val="21"/>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Borders>
              <w:top w:val="single" w:sz="8" w:color="E5FFFF"/>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Earnings per share of common stock - basic</w:t>
            </w:r>
          </w:p>
        </w:tc>
        <w:tc>
          <w:tcPr>
            <w:tcW w:w="600" w:type="dxa"/>
            <w:vAlign w:val="bottom"/>
            <w:tcBorders>
              <w:top w:val="single" w:sz="8" w:color="E5FFFF"/>
              <w:bottom w:val="single" w:sz="8" w:color="E5FFFF"/>
            </w:tcBorders>
            <w:shd w:val="clear" w:color="auto" w:fill="E5FFFF"/>
          </w:tcPr>
          <w:p>
            <w:pPr>
              <w:spacing w:after="0"/>
              <w:rPr>
                <w:sz w:val="15"/>
                <w:szCs w:val="15"/>
                <w:color w:val="auto"/>
              </w:rPr>
            </w:pPr>
          </w:p>
        </w:tc>
        <w:tc>
          <w:tcPr>
            <w:tcW w:w="260" w:type="dxa"/>
            <w:vAlign w:val="bottom"/>
            <w:tcBorders>
              <w:top w:val="single" w:sz="8" w:color="auto"/>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rPr>
              <w:t>1.82</w:t>
            </w:r>
          </w:p>
        </w:tc>
        <w:tc>
          <w:tcPr>
            <w:tcW w:w="40" w:type="dxa"/>
            <w:vAlign w:val="bottom"/>
            <w:tcBorders>
              <w:top w:val="single" w:sz="8" w:color="auto"/>
              <w:bottom w:val="single" w:sz="8" w:color="auto"/>
            </w:tcBorders>
            <w:shd w:val="clear" w:color="auto" w:fill="E5FFFF"/>
          </w:tcPr>
          <w:p>
            <w:pPr>
              <w:spacing w:after="0"/>
              <w:rPr>
                <w:sz w:val="15"/>
                <w:szCs w:val="15"/>
                <w:color w:val="auto"/>
              </w:rPr>
            </w:pPr>
          </w:p>
        </w:tc>
        <w:tc>
          <w:tcPr>
            <w:tcW w:w="360" w:type="dxa"/>
            <w:vAlign w:val="bottom"/>
            <w:tcBorders>
              <w:top w:val="single" w:sz="8" w:color="E5FFFF"/>
              <w:bottom w:val="single" w:sz="8" w:color="E5FFFF"/>
            </w:tcBorders>
            <w:shd w:val="clear" w:color="auto" w:fill="E5FFFF"/>
          </w:tcPr>
          <w:p>
            <w:pPr>
              <w:spacing w:after="0"/>
              <w:rPr>
                <w:sz w:val="15"/>
                <w:szCs w:val="15"/>
                <w:color w:val="auto"/>
              </w:rPr>
            </w:pPr>
          </w:p>
        </w:tc>
        <w:tc>
          <w:tcPr>
            <w:tcW w:w="260" w:type="dxa"/>
            <w:vAlign w:val="bottom"/>
            <w:tcBorders>
              <w:top w:val="single" w:sz="8" w:color="auto"/>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1.73</w:t>
            </w:r>
          </w:p>
        </w:tc>
        <w:tc>
          <w:tcPr>
            <w:tcW w:w="340" w:type="dxa"/>
            <w:vAlign w:val="bottom"/>
            <w:tcBorders>
              <w:top w:val="single" w:sz="8" w:color="E5FFFF"/>
              <w:bottom w:val="single" w:sz="8" w:color="E5FFFF"/>
            </w:tcBorders>
            <w:shd w:val="clear" w:color="auto" w:fill="E5FFFF"/>
          </w:tcPr>
          <w:p>
            <w:pPr>
              <w:spacing w:after="0"/>
              <w:rPr>
                <w:sz w:val="15"/>
                <w:szCs w:val="15"/>
                <w:color w:val="auto"/>
              </w:rPr>
            </w:pPr>
          </w:p>
        </w:tc>
        <w:tc>
          <w:tcPr>
            <w:tcW w:w="260" w:type="dxa"/>
            <w:vAlign w:val="bottom"/>
            <w:tcBorders>
              <w:top w:val="single" w:sz="8" w:color="auto"/>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ind w:right="13"/>
              <w:spacing w:after="0" w:line="183" w:lineRule="exact"/>
              <w:rPr>
                <w:sz w:val="20"/>
                <w:szCs w:val="20"/>
                <w:color w:val="auto"/>
              </w:rPr>
            </w:pPr>
            <w:r>
              <w:rPr>
                <w:rFonts w:ascii="Arial" w:cs="Arial" w:eastAsia="Arial" w:hAnsi="Arial"/>
                <w:sz w:val="18"/>
                <w:szCs w:val="18"/>
                <w:color w:val="auto"/>
              </w:rPr>
              <w:t>3.56</w:t>
            </w:r>
          </w:p>
        </w:tc>
        <w:tc>
          <w:tcPr>
            <w:tcW w:w="280" w:type="dxa"/>
            <w:vAlign w:val="bottom"/>
            <w:tcBorders>
              <w:top w:val="single" w:sz="8" w:color="E5FFFF"/>
              <w:bottom w:val="single" w:sz="8" w:color="E5FFFF"/>
            </w:tcBorders>
            <w:shd w:val="clear" w:color="auto" w:fill="E5FFFF"/>
          </w:tcPr>
          <w:p>
            <w:pPr>
              <w:spacing w:after="0"/>
              <w:rPr>
                <w:sz w:val="15"/>
                <w:szCs w:val="15"/>
                <w:color w:val="auto"/>
              </w:rPr>
            </w:pPr>
          </w:p>
        </w:tc>
        <w:tc>
          <w:tcPr>
            <w:tcW w:w="60" w:type="dxa"/>
            <w:vAlign w:val="bottom"/>
            <w:tcBorders>
              <w:top w:val="single" w:sz="8" w:color="E5FFFF"/>
              <w:bottom w:val="single" w:sz="8" w:color="E5FFFF"/>
            </w:tcBorders>
            <w:shd w:val="clear" w:color="auto" w:fill="E5FFFF"/>
          </w:tcPr>
          <w:p>
            <w:pPr>
              <w:spacing w:after="0"/>
              <w:rPr>
                <w:sz w:val="15"/>
                <w:szCs w:val="15"/>
                <w:color w:val="auto"/>
              </w:rPr>
            </w:pPr>
          </w:p>
        </w:tc>
        <w:tc>
          <w:tcPr>
            <w:tcW w:w="260" w:type="dxa"/>
            <w:vAlign w:val="bottom"/>
            <w:tcBorders>
              <w:top w:val="single" w:sz="8" w:color="auto"/>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8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E5FFFF"/>
            </w:tcBorders>
            <w:vMerge w:val="continue"/>
          </w:tcPr>
          <w:p>
            <w:pPr>
              <w:spacing w:after="0"/>
              <w:rPr>
                <w:sz w:val="19"/>
                <w:szCs w:val="19"/>
                <w:color w:val="auto"/>
              </w:rPr>
            </w:pPr>
          </w:p>
        </w:tc>
        <w:tc>
          <w:tcPr>
            <w:tcW w:w="600" w:type="dxa"/>
            <w:vAlign w:val="bottom"/>
            <w:tcBorders>
              <w:bottom w:val="single" w:sz="8" w:color="E5FF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1.80</w:t>
            </w: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E5FF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1.70</w:t>
            </w:r>
          </w:p>
        </w:tc>
        <w:tc>
          <w:tcPr>
            <w:tcW w:w="340" w:type="dxa"/>
            <w:vAlign w:val="bottom"/>
            <w:tcBorders>
              <w:bottom w:val="single" w:sz="8" w:color="E5FF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3.51</w:t>
            </w:r>
          </w:p>
        </w:tc>
        <w:tc>
          <w:tcPr>
            <w:tcW w:w="280" w:type="dxa"/>
            <w:vAlign w:val="bottom"/>
            <w:tcBorders>
              <w:bottom w:val="single" w:sz="8" w:color="E5FFFF"/>
            </w:tcBorders>
          </w:tcPr>
          <w:p>
            <w:pPr>
              <w:spacing w:after="0"/>
              <w:rPr>
                <w:sz w:val="19"/>
                <w:szCs w:val="19"/>
                <w:color w:val="auto"/>
              </w:rPr>
            </w:pPr>
          </w:p>
        </w:tc>
        <w:tc>
          <w:tcPr>
            <w:tcW w:w="60" w:type="dxa"/>
            <w:vAlign w:val="bottom"/>
            <w:tcBorders>
              <w:bottom w:val="single" w:sz="8" w:color="E5FF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Borders>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Cash dividends per share of common stock</w:t>
            </w:r>
          </w:p>
        </w:tc>
        <w:tc>
          <w:tcPr>
            <w:tcW w:w="60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rPr>
              <w:t>0.6650</w:t>
            </w:r>
          </w:p>
        </w:tc>
        <w:tc>
          <w:tcPr>
            <w:tcW w:w="40" w:type="dxa"/>
            <w:vAlign w:val="bottom"/>
            <w:tcBorders>
              <w:bottom w:val="single" w:sz="8" w:color="auto"/>
            </w:tcBorders>
            <w:shd w:val="clear" w:color="auto" w:fill="E5FFFF"/>
          </w:tcPr>
          <w:p>
            <w:pPr>
              <w:spacing w:after="0"/>
              <w:rPr>
                <w:sz w:val="15"/>
                <w:szCs w:val="15"/>
                <w:color w:val="auto"/>
              </w:rPr>
            </w:pPr>
          </w:p>
        </w:tc>
        <w:tc>
          <w:tcPr>
            <w:tcW w:w="36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0.5950</w:t>
            </w:r>
          </w:p>
        </w:tc>
        <w:tc>
          <w:tcPr>
            <w:tcW w:w="34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ind w:right="13"/>
              <w:spacing w:after="0" w:line="183" w:lineRule="exact"/>
              <w:rPr>
                <w:sz w:val="20"/>
                <w:szCs w:val="20"/>
                <w:color w:val="auto"/>
              </w:rPr>
            </w:pPr>
            <w:r>
              <w:rPr>
                <w:rFonts w:ascii="Arial" w:cs="Arial" w:eastAsia="Arial" w:hAnsi="Arial"/>
                <w:sz w:val="18"/>
                <w:szCs w:val="18"/>
                <w:color w:val="auto"/>
              </w:rPr>
              <w:t>1.3300</w:t>
            </w:r>
          </w:p>
        </w:tc>
        <w:tc>
          <w:tcPr>
            <w:tcW w:w="280" w:type="dxa"/>
            <w:vAlign w:val="bottom"/>
            <w:tcBorders>
              <w:bottom w:val="single" w:sz="8" w:color="E5FFFF"/>
            </w:tcBorders>
            <w:shd w:val="clear" w:color="auto" w:fill="E5FFFF"/>
          </w:tcPr>
          <w:p>
            <w:pPr>
              <w:spacing w:after="0"/>
              <w:rPr>
                <w:sz w:val="15"/>
                <w:szCs w:val="15"/>
                <w:color w:val="auto"/>
              </w:rPr>
            </w:pPr>
          </w:p>
        </w:tc>
        <w:tc>
          <w:tcPr>
            <w:tcW w:w="6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1.1900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1,400</w:t>
            </w:r>
          </w:p>
        </w:tc>
        <w:tc>
          <w:tcPr>
            <w:tcW w:w="62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1,327</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2,732</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Foreign exchange translation adjustment</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(192)</w:t>
            </w: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(74)</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56</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80" w:type="dxa"/>
            <w:vAlign w:val="bottom"/>
          </w:tcPr>
          <w:p>
            <w:pPr>
              <w:ind w:left="520"/>
              <w:spacing w:after="0"/>
              <w:rPr>
                <w:sz w:val="20"/>
                <w:szCs w:val="20"/>
                <w:color w:val="auto"/>
              </w:rPr>
            </w:pPr>
            <w:r>
              <w:rPr>
                <w:rFonts w:ascii="Arial" w:cs="Arial" w:eastAsia="Arial" w:hAnsi="Arial"/>
                <w:sz w:val="18"/>
                <w:szCs w:val="18"/>
                <w:color w:val="auto"/>
              </w:rPr>
              <w:t>Prior service credit (cost)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Actuarial (gains) losses recognized</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3</w:t>
            </w: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5</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E5FFFF"/>
            </w:tcBorders>
          </w:tcPr>
          <w:p>
            <w:pPr>
              <w:ind w:left="520"/>
              <w:spacing w:after="0"/>
              <w:rPr>
                <w:sz w:val="20"/>
                <w:szCs w:val="20"/>
                <w:color w:val="auto"/>
              </w:rPr>
            </w:pPr>
            <w:r>
              <w:rPr>
                <w:rFonts w:ascii="Arial" w:cs="Arial" w:eastAsia="Arial" w:hAnsi="Arial"/>
                <w:sz w:val="18"/>
                <w:szCs w:val="18"/>
                <w:color w:val="auto"/>
              </w:rPr>
              <w:t>Prior service (credit) cost recognized</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Pension and other postretirement benefits adjustments</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(13)</w:t>
            </w: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(15)</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(73)</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580" w:type="dxa"/>
            <w:vAlign w:val="bottom"/>
          </w:tcPr>
          <w:p>
            <w:pPr>
              <w:ind w:left="520"/>
              <w:spacing w:after="0"/>
              <w:rPr>
                <w:sz w:val="20"/>
                <w:szCs w:val="20"/>
                <w:color w:val="auto"/>
              </w:rPr>
            </w:pPr>
            <w:r>
              <w:rPr>
                <w:rFonts w:ascii="Arial" w:cs="Arial" w:eastAsia="Arial" w:hAnsi="Arial"/>
                <w:sz w:val="18"/>
                <w:szCs w:val="18"/>
                <w:color w:val="auto"/>
              </w:rPr>
              <w:t>Effective portion of cash flow hedges recognized in other</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700"/>
              <w:spacing w:after="0" w:line="203" w:lineRule="exact"/>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(49)</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(62)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E5FFFF"/>
          </w:tcPr>
          <w:p>
            <w:pPr>
              <w:ind w:left="520"/>
              <w:spacing w:after="0" w:line="201" w:lineRule="exact"/>
              <w:rPr>
                <w:sz w:val="20"/>
                <w:szCs w:val="20"/>
                <w:color w:val="auto"/>
              </w:rPr>
            </w:pPr>
            <w:r>
              <w:rPr>
                <w:rFonts w:ascii="Arial" w:cs="Arial" w:eastAsia="Arial" w:hAnsi="Arial"/>
                <w:sz w:val="18"/>
                <w:szCs w:val="18"/>
                <w:color w:val="auto"/>
              </w:rPr>
              <w:t>Less: Reclassification adjustment for gains (losses) included</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E5FFFF"/>
          </w:tcPr>
          <w:p>
            <w:pPr>
              <w:ind w:left="700"/>
              <w:spacing w:after="0"/>
              <w:rPr>
                <w:sz w:val="20"/>
                <w:szCs w:val="20"/>
                <w:color w:val="auto"/>
              </w:rPr>
            </w:pPr>
            <w:r>
              <w:rPr>
                <w:rFonts w:ascii="Arial" w:cs="Arial" w:eastAsia="Arial" w:hAnsi="Arial"/>
                <w:sz w:val="18"/>
                <w:szCs w:val="18"/>
                <w:color w:val="auto"/>
              </w:rPr>
              <w:t>in net income</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21</w:t>
            </w:r>
          </w:p>
        </w:tc>
        <w:tc>
          <w:tcPr>
            <w:tcW w:w="3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44</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bottom w:val="single" w:sz="8" w:color="E5FFFF"/>
            </w:tcBorders>
          </w:tcPr>
          <w:p>
            <w:pPr>
              <w:ind w:left="340"/>
              <w:spacing w:after="0" w:line="196" w:lineRule="exact"/>
              <w:rPr>
                <w:sz w:val="20"/>
                <w:szCs w:val="20"/>
                <w:color w:val="auto"/>
              </w:rPr>
            </w:pPr>
            <w:r>
              <w:rPr>
                <w:rFonts w:ascii="Arial" w:cs="Arial" w:eastAsia="Arial" w:hAnsi="Arial"/>
                <w:sz w:val="18"/>
                <w:szCs w:val="18"/>
                <w:color w:val="auto"/>
              </w:rPr>
              <w:t>Changes in fair value of effective cash flow hedges</w:t>
            </w:r>
          </w:p>
        </w:tc>
        <w:tc>
          <w:tcPr>
            <w:tcW w:w="2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36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45</w:t>
            </w:r>
          </w:p>
        </w:tc>
        <w:tc>
          <w:tcPr>
            <w:tcW w:w="3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3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(275)</w:t>
            </w:r>
          </w:p>
        </w:tc>
        <w:tc>
          <w:tcPr>
            <w:tcW w:w="36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(44)</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(123)</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99"/>
        </w:trPr>
        <w:tc>
          <w:tcPr>
            <w:tcW w:w="56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1,125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1,283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2,609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E5FFFF"/>
          </w:tcPr>
          <w:p>
            <w:pPr>
              <w:ind w:left="520"/>
              <w:spacing w:after="0" w:line="201" w:lineRule="exact"/>
              <w:rPr>
                <w:sz w:val="20"/>
                <w:szCs w:val="20"/>
                <w:color w:val="auto"/>
              </w:rPr>
            </w:pPr>
            <w:r>
              <w:rPr>
                <w:rFonts w:ascii="Arial" w:cs="Arial" w:eastAsia="Arial" w:hAnsi="Arial"/>
                <w:sz w:val="18"/>
                <w:szCs w:val="18"/>
                <w:color w:val="auto"/>
              </w:rPr>
              <w:t>Less: Comprehensive income attributable to the</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E5FFFF"/>
          </w:tcPr>
          <w:p>
            <w:pPr>
              <w:ind w:left="70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9</w:t>
            </w:r>
          </w:p>
        </w:tc>
        <w:tc>
          <w:tcPr>
            <w:tcW w:w="3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5</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18</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1,116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1,278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2,591</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4"/>
          </w:tcPr>
          <w:p>
            <w:pPr>
              <w:jc w:val="right"/>
              <w:ind w:right="81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7,877</w:t>
            </w:r>
          </w:p>
        </w:tc>
        <w:tc>
          <w:tcPr>
            <w:tcW w:w="4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160"/>
              <w:spacing w:after="0" w:line="202" w:lineRule="exact"/>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1,944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receivable - net</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8,442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4,651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 current assets</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1,150</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24,064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23,058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570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5,718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Goodwill</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18,038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4,566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401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357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1,954</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160"/>
              <w:spacing w:after="0" w:line="197" w:lineRule="exact"/>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55,668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3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5,971</w:t>
            </w:r>
          </w:p>
        </w:tc>
        <w:tc>
          <w:tcPr>
            <w:tcW w:w="4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 and other short-term borrowings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3,803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1,378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Accrued liabilities</w:t>
            </w:r>
          </w:p>
        </w:tc>
        <w:tc>
          <w:tcPr>
            <w:tcW w:w="11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6,829</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17,981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11,329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329</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537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998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Redeemable noncontrolling interest</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05"/>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SHAREOWNERS’ EQUITY</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958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ind w:left="600"/>
              <w:spacing w:after="0" w:line="202" w:lineRule="exact"/>
              <w:rPr>
                <w:sz w:val="20"/>
                <w:szCs w:val="20"/>
                <w:color w:val="auto"/>
              </w:rPr>
            </w:pPr>
            <w:r>
              <w:rPr>
                <w:rFonts w:ascii="Arial" w:cs="Arial" w:eastAsia="Arial" w:hAnsi="Arial"/>
                <w:sz w:val="18"/>
                <w:szCs w:val="18"/>
                <w:color w:val="auto"/>
              </w:rPr>
              <w:t>- additional paid-in capital</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6,033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(14,135)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(2,837)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30,406</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28,710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20,425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110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20,550</w:t>
            </w:r>
          </w:p>
        </w:tc>
        <w:tc>
          <w:tcPr>
            <w:tcW w:w="3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19,547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5FFFF"/>
          </w:tcPr>
          <w:p>
            <w:pPr>
              <w:ind w:left="16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3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55,668</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54,146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8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69"/>
        </w:trPr>
        <w:tc>
          <w:tcPr>
            <w:tcW w:w="8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2016</w:t>
            </w:r>
          </w:p>
        </w:tc>
      </w:tr>
      <w:tr>
        <w:trPr>
          <w:trHeight w:val="318"/>
        </w:trPr>
        <w:tc>
          <w:tcPr>
            <w:tcW w:w="8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(Dollars in millions)</w:t>
            </w:r>
          </w:p>
        </w:tc>
      </w:tr>
      <w:tr>
        <w:trPr>
          <w:trHeight w:val="189"/>
        </w:trPr>
        <w:tc>
          <w:tcPr>
            <w:tcW w:w="82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spacing w:after="0"/>
              <w:rPr>
                <w:sz w:val="16"/>
                <w:szCs w:val="16"/>
                <w:color w:val="auto"/>
              </w:rPr>
            </w:pPr>
          </w:p>
        </w:tc>
      </w:tr>
      <w:tr>
        <w:trPr>
          <w:trHeight w:val="189"/>
        </w:trPr>
        <w:tc>
          <w:tcPr>
            <w:tcW w:w="82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2,732</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2,553</w:t>
            </w:r>
          </w:p>
        </w:tc>
      </w:tr>
      <w:tr>
        <w:trPr>
          <w:trHeight w:val="203"/>
        </w:trPr>
        <w:tc>
          <w:tcPr>
            <w:tcW w:w="82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Less: Net income attributable to the noncontrolling interest</w:t>
            </w:r>
          </w:p>
        </w:tc>
        <w:tc>
          <w:tcPr>
            <w:tcW w:w="54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20"/>
              <w:spacing w:after="0"/>
              <w:rPr>
                <w:sz w:val="20"/>
                <w:szCs w:val="20"/>
                <w:color w:val="auto"/>
              </w:rPr>
            </w:pPr>
            <w:r>
              <w:rPr>
                <w:rFonts w:ascii="Arial" w:cs="Arial" w:eastAsia="Arial" w:hAnsi="Arial"/>
                <w:sz w:val="16"/>
                <w:szCs w:val="16"/>
                <w:color w:val="auto"/>
              </w:rPr>
              <w:t>14</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18</w:t>
            </w:r>
          </w:p>
        </w:tc>
      </w:tr>
      <w:tr>
        <w:trPr>
          <w:trHeight w:val="183"/>
        </w:trPr>
        <w:tc>
          <w:tcPr>
            <w:tcW w:w="8280" w:type="dxa"/>
            <w:vAlign w:val="bottom"/>
          </w:tcPr>
          <w:p>
            <w:pPr>
              <w:ind w:left="180"/>
              <w:spacing w:after="0" w:line="183" w:lineRule="exact"/>
              <w:rPr>
                <w:sz w:val="20"/>
                <w:szCs w:val="20"/>
                <w:color w:val="auto"/>
              </w:rPr>
            </w:pPr>
            <w:r>
              <w:rPr>
                <w:rFonts w:ascii="Arial" w:cs="Arial" w:eastAsia="Arial" w:hAnsi="Arial"/>
                <w:sz w:val="16"/>
                <w:szCs w:val="16"/>
                <w:color w:val="auto"/>
              </w:rPr>
              <w:t>Net income attributable to Honeywell</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2,718</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2,535</w:t>
            </w:r>
          </w:p>
        </w:tc>
      </w:tr>
      <w:tr>
        <w:trPr>
          <w:trHeight w:val="189"/>
        </w:trPr>
        <w:tc>
          <w:tcPr>
            <w:tcW w:w="82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Adjustments to reconcile net income attributable to Honeywell to net cash provided by operating activities:</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spacing w:after="0"/>
              <w:rPr>
                <w:sz w:val="16"/>
                <w:szCs w:val="16"/>
                <w:color w:val="auto"/>
              </w:rPr>
            </w:pPr>
          </w:p>
        </w:tc>
      </w:tr>
      <w:tr>
        <w:trPr>
          <w:trHeight w:val="189"/>
        </w:trPr>
        <w:tc>
          <w:tcPr>
            <w:tcW w:w="828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354</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364</w:t>
            </w:r>
          </w:p>
        </w:tc>
      </w:tr>
      <w:tr>
        <w:trPr>
          <w:trHeight w:val="189"/>
        </w:trPr>
        <w:tc>
          <w:tcPr>
            <w:tcW w:w="8280" w:type="dxa"/>
            <w:vAlign w:val="bottom"/>
            <w:shd w:val="clear" w:color="auto" w:fill="E5FFFF"/>
          </w:tcPr>
          <w:p>
            <w:pPr>
              <w:ind w:left="360"/>
              <w:spacing w:after="0"/>
              <w:rPr>
                <w:sz w:val="20"/>
                <w:szCs w:val="20"/>
                <w:color w:val="auto"/>
              </w:rPr>
            </w:pPr>
            <w:r>
              <w:rPr>
                <w:rFonts w:ascii="Arial" w:cs="Arial" w:eastAsia="Arial" w:hAnsi="Arial"/>
                <w:sz w:val="16"/>
                <w:szCs w:val="16"/>
                <w:color w:val="auto"/>
              </w:rPr>
              <w:t>Amortization</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ind w:right="20"/>
              <w:spacing w:after="0"/>
              <w:rPr>
                <w:sz w:val="20"/>
                <w:szCs w:val="20"/>
                <w:color w:val="auto"/>
              </w:rPr>
            </w:pPr>
            <w:r>
              <w:rPr>
                <w:rFonts w:ascii="Arial" w:cs="Arial" w:eastAsia="Arial" w:hAnsi="Arial"/>
                <w:sz w:val="16"/>
                <w:szCs w:val="16"/>
                <w:color w:val="auto"/>
              </w:rPr>
              <w:t>193</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149</w:t>
            </w:r>
          </w:p>
        </w:tc>
      </w:tr>
      <w:tr>
        <w:trPr>
          <w:trHeight w:val="189"/>
        </w:trPr>
        <w:tc>
          <w:tcPr>
            <w:tcW w:w="8280" w:type="dxa"/>
            <w:vAlign w:val="bottom"/>
          </w:tcPr>
          <w:p>
            <w:pPr>
              <w:ind w:left="360"/>
              <w:spacing w:after="0"/>
              <w:rPr>
                <w:sz w:val="20"/>
                <w:szCs w:val="20"/>
                <w:color w:val="auto"/>
              </w:rPr>
            </w:pPr>
            <w:r>
              <w:rPr>
                <w:rFonts w:ascii="Arial" w:cs="Arial" w:eastAsia="Arial" w:hAnsi="Arial"/>
                <w:sz w:val="16"/>
                <w:szCs w:val="16"/>
                <w:color w:val="auto"/>
              </w:rPr>
              <w:t>Repositioning and other charges</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353</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265</w:t>
            </w:r>
          </w:p>
        </w:tc>
      </w:tr>
      <w:tr>
        <w:trPr>
          <w:trHeight w:val="189"/>
        </w:trPr>
        <w:tc>
          <w:tcPr>
            <w:tcW w:w="8280" w:type="dxa"/>
            <w:vAlign w:val="bottom"/>
            <w:shd w:val="clear" w:color="auto" w:fill="E5FFFF"/>
          </w:tcPr>
          <w:p>
            <w:pPr>
              <w:ind w:left="360"/>
              <w:spacing w:after="0"/>
              <w:rPr>
                <w:sz w:val="20"/>
                <w:szCs w:val="20"/>
                <w:color w:val="auto"/>
              </w:rPr>
            </w:pPr>
            <w:r>
              <w:rPr>
                <w:rFonts w:ascii="Arial" w:cs="Arial" w:eastAsia="Arial" w:hAnsi="Arial"/>
                <w:sz w:val="16"/>
                <w:szCs w:val="16"/>
                <w:color w:val="auto"/>
              </w:rPr>
              <w:t>Net payments for repositioning and other charges</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(264)</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(266)</w:t>
            </w:r>
          </w:p>
        </w:tc>
      </w:tr>
      <w:tr>
        <w:trPr>
          <w:trHeight w:val="189"/>
        </w:trPr>
        <w:tc>
          <w:tcPr>
            <w:tcW w:w="8280" w:type="dxa"/>
            <w:vAlign w:val="bottom"/>
          </w:tcPr>
          <w:p>
            <w:pPr>
              <w:ind w:left="360"/>
              <w:spacing w:after="0"/>
              <w:rPr>
                <w:sz w:val="20"/>
                <w:szCs w:val="20"/>
                <w:color w:val="auto"/>
              </w:rPr>
            </w:pPr>
            <w:r>
              <w:rPr>
                <w:rFonts w:ascii="Arial" w:cs="Arial" w:eastAsia="Arial" w:hAnsi="Arial"/>
                <w:sz w:val="16"/>
                <w:szCs w:val="16"/>
                <w:color w:val="auto"/>
              </w:rPr>
              <w:t>Pension and other postretirement income</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(373)</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189"/>
        </w:trPr>
        <w:tc>
          <w:tcPr>
            <w:tcW w:w="8280" w:type="dxa"/>
            <w:vAlign w:val="bottom"/>
            <w:shd w:val="clear" w:color="auto" w:fill="E5FFFF"/>
          </w:tcPr>
          <w:p>
            <w:pPr>
              <w:ind w:left="360"/>
              <w:spacing w:after="0"/>
              <w:rPr>
                <w:sz w:val="20"/>
                <w:szCs w:val="20"/>
                <w:color w:val="auto"/>
              </w:rPr>
            </w:pPr>
            <w:r>
              <w:rPr>
                <w:rFonts w:ascii="Arial" w:cs="Arial" w:eastAsia="Arial" w:hAnsi="Arial"/>
                <w:sz w:val="16"/>
                <w:szCs w:val="16"/>
                <w:color w:val="auto"/>
              </w:rPr>
              <w:t>Pension and other postretirement benefit payments</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w:t>
            </w:r>
          </w:p>
        </w:tc>
      </w:tr>
      <w:tr>
        <w:trPr>
          <w:trHeight w:val="189"/>
        </w:trPr>
        <w:tc>
          <w:tcPr>
            <w:tcW w:w="8280" w:type="dxa"/>
            <w:vAlign w:val="bottom"/>
          </w:tcPr>
          <w:p>
            <w:pPr>
              <w:ind w:left="360"/>
              <w:spacing w:after="0"/>
              <w:rPr>
                <w:sz w:val="20"/>
                <w:szCs w:val="20"/>
                <w:color w:val="auto"/>
              </w:rPr>
            </w:pPr>
            <w:r>
              <w:rPr>
                <w:rFonts w:ascii="Arial" w:cs="Arial" w:eastAsia="Arial" w:hAnsi="Arial"/>
                <w:sz w:val="16"/>
                <w:szCs w:val="16"/>
                <w:color w:val="auto"/>
              </w:rPr>
              <w:t>Stock compensation expense</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189"/>
        </w:trPr>
        <w:tc>
          <w:tcPr>
            <w:tcW w:w="8280" w:type="dxa"/>
            <w:vAlign w:val="bottom"/>
            <w:shd w:val="clear" w:color="auto" w:fill="E5FFFF"/>
          </w:tcPr>
          <w:p>
            <w:pPr>
              <w:ind w:left="360"/>
              <w:spacing w:after="0"/>
              <w:rPr>
                <w:sz w:val="20"/>
                <w:szCs w:val="20"/>
                <w:color w:val="auto"/>
              </w:rPr>
            </w:pPr>
            <w:r>
              <w:rPr>
                <w:rFonts w:ascii="Arial" w:cs="Arial" w:eastAsia="Arial" w:hAnsi="Arial"/>
                <w:sz w:val="16"/>
                <w:szCs w:val="16"/>
                <w:color w:val="auto"/>
              </w:rPr>
              <w:t>Deferred income taxes</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182</w:t>
            </w:r>
          </w:p>
        </w:tc>
      </w:tr>
      <w:tr>
        <w:trPr>
          <w:trHeight w:val="189"/>
        </w:trPr>
        <w:tc>
          <w:tcPr>
            <w:tcW w:w="8280" w:type="dxa"/>
            <w:vAlign w:val="bottom"/>
          </w:tcPr>
          <w:p>
            <w:pPr>
              <w:ind w:left="360"/>
              <w:spacing w:after="0"/>
              <w:rPr>
                <w:sz w:val="20"/>
                <w:szCs w:val="20"/>
                <w:color w:val="auto"/>
              </w:rPr>
            </w:pPr>
            <w:r>
              <w:rPr>
                <w:rFonts w:ascii="Arial" w:cs="Arial" w:eastAsia="Arial" w:hAnsi="Arial"/>
                <w:sz w:val="16"/>
                <w:szCs w:val="16"/>
                <w:color w:val="auto"/>
              </w:rPr>
              <w:t>Other</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89"/>
        </w:trPr>
        <w:tc>
          <w:tcPr>
            <w:tcW w:w="8280" w:type="dxa"/>
            <w:vAlign w:val="bottom"/>
            <w:shd w:val="clear" w:color="auto" w:fill="E5FFFF"/>
          </w:tcPr>
          <w:p>
            <w:pPr>
              <w:ind w:left="360"/>
              <w:spacing w:after="0"/>
              <w:rPr>
                <w:sz w:val="20"/>
                <w:szCs w:val="20"/>
                <w:color w:val="auto"/>
              </w:rPr>
            </w:pPr>
            <w:r>
              <w:rPr>
                <w:rFonts w:ascii="Arial" w:cs="Arial" w:eastAsia="Arial" w:hAnsi="Arial"/>
                <w:sz w:val="16"/>
                <w:szCs w:val="16"/>
                <w:color w:val="auto"/>
              </w:rPr>
              <w:t>Changes in assets and liabilities, net of the effects of acquisitions and divestitures:</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spacing w:after="0"/>
              <w:rPr>
                <w:sz w:val="16"/>
                <w:szCs w:val="16"/>
                <w:color w:val="auto"/>
              </w:rPr>
            </w:pPr>
          </w:p>
        </w:tc>
      </w:tr>
      <w:tr>
        <w:trPr>
          <w:trHeight w:val="189"/>
        </w:trPr>
        <w:tc>
          <w:tcPr>
            <w:tcW w:w="8280" w:type="dxa"/>
            <w:vAlign w:val="bottom"/>
          </w:tcPr>
          <w:p>
            <w:pPr>
              <w:ind w:left="540"/>
              <w:spacing w:after="0"/>
              <w:rPr>
                <w:sz w:val="20"/>
                <w:szCs w:val="20"/>
                <w:color w:val="auto"/>
              </w:rPr>
            </w:pPr>
            <w:r>
              <w:rPr>
                <w:rFonts w:ascii="Arial" w:cs="Arial" w:eastAsia="Arial" w:hAnsi="Arial"/>
                <w:sz w:val="16"/>
                <w:szCs w:val="16"/>
                <w:color w:val="auto"/>
              </w:rPr>
              <w:t>Accounts receivable</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189"/>
        </w:trPr>
        <w:tc>
          <w:tcPr>
            <w:tcW w:w="8280" w:type="dxa"/>
            <w:vAlign w:val="bottom"/>
            <w:shd w:val="clear" w:color="auto" w:fill="E5FFFF"/>
          </w:tcPr>
          <w:p>
            <w:pPr>
              <w:ind w:left="540"/>
              <w:spacing w:after="0"/>
              <w:rPr>
                <w:sz w:val="20"/>
                <w:szCs w:val="20"/>
                <w:color w:val="auto"/>
              </w:rPr>
            </w:pPr>
            <w:r>
              <w:rPr>
                <w:rFonts w:ascii="Arial" w:cs="Arial" w:eastAsia="Arial" w:hAnsi="Arial"/>
                <w:sz w:val="16"/>
                <w:szCs w:val="16"/>
                <w:color w:val="auto"/>
              </w:rPr>
              <w:t>Inventories</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(298)</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(212)</w:t>
            </w:r>
          </w:p>
        </w:tc>
      </w:tr>
      <w:tr>
        <w:trPr>
          <w:trHeight w:val="189"/>
        </w:trPr>
        <w:tc>
          <w:tcPr>
            <w:tcW w:w="8280" w:type="dxa"/>
            <w:vAlign w:val="bottom"/>
          </w:tcPr>
          <w:p>
            <w:pPr>
              <w:ind w:left="540"/>
              <w:spacing w:after="0"/>
              <w:rPr>
                <w:sz w:val="20"/>
                <w:szCs w:val="20"/>
                <w:color w:val="auto"/>
              </w:rPr>
            </w:pPr>
            <w:r>
              <w:rPr>
                <w:rFonts w:ascii="Arial" w:cs="Arial" w:eastAsia="Arial" w:hAnsi="Arial"/>
                <w:sz w:val="16"/>
                <w:szCs w:val="16"/>
                <w:color w:val="auto"/>
              </w:rPr>
              <w:t>Other current assets</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189"/>
        </w:trPr>
        <w:tc>
          <w:tcPr>
            <w:tcW w:w="8280" w:type="dxa"/>
            <w:vAlign w:val="bottom"/>
            <w:shd w:val="clear" w:color="auto" w:fill="E5FFFF"/>
          </w:tcPr>
          <w:p>
            <w:pPr>
              <w:ind w:left="540"/>
              <w:spacing w:after="0"/>
              <w:rPr>
                <w:sz w:val="20"/>
                <w:szCs w:val="20"/>
                <w:color w:val="auto"/>
              </w:rPr>
            </w:pPr>
            <w:r>
              <w:rPr>
                <w:rFonts w:ascii="Arial" w:cs="Arial" w:eastAsia="Arial" w:hAnsi="Arial"/>
                <w:sz w:val="16"/>
                <w:szCs w:val="16"/>
                <w:color w:val="auto"/>
              </w:rPr>
              <w:t>Accounts payable</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ind w:right="20"/>
              <w:spacing w:after="0"/>
              <w:rPr>
                <w:sz w:val="20"/>
                <w:szCs w:val="20"/>
                <w:color w:val="auto"/>
              </w:rPr>
            </w:pPr>
            <w:r>
              <w:rPr>
                <w:rFonts w:ascii="Arial" w:cs="Arial" w:eastAsia="Arial" w:hAnsi="Arial"/>
                <w:sz w:val="16"/>
                <w:szCs w:val="16"/>
                <w:color w:val="auto"/>
              </w:rPr>
              <w:t>314</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8280" w:type="dxa"/>
            <w:vAlign w:val="bottom"/>
            <w:tcBorders>
              <w:bottom w:val="single" w:sz="8" w:color="E5FFFF"/>
            </w:tcBorders>
          </w:tcPr>
          <w:p>
            <w:pPr>
              <w:ind w:left="540"/>
              <w:spacing w:after="0"/>
              <w:rPr>
                <w:sz w:val="20"/>
                <w:szCs w:val="20"/>
                <w:color w:val="auto"/>
              </w:rPr>
            </w:pPr>
            <w:r>
              <w:rPr>
                <w:rFonts w:ascii="Arial" w:cs="Arial" w:eastAsia="Arial" w:hAnsi="Arial"/>
                <w:sz w:val="16"/>
                <w:szCs w:val="16"/>
                <w:color w:val="auto"/>
              </w:rPr>
              <w:t>Accrued liabilities</w:t>
            </w:r>
          </w:p>
        </w:tc>
        <w:tc>
          <w:tcPr>
            <w:tcW w:w="5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3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183"/>
        </w:trPr>
        <w:tc>
          <w:tcPr>
            <w:tcW w:w="8280" w:type="dxa"/>
            <w:vAlign w:val="bottom"/>
            <w:shd w:val="clear" w:color="auto" w:fill="E5FFFF"/>
          </w:tcPr>
          <w:p>
            <w:pPr>
              <w:spacing w:after="0" w:line="177" w:lineRule="exact"/>
              <w:rPr>
                <w:sz w:val="20"/>
                <w:szCs w:val="20"/>
                <w:color w:val="auto"/>
              </w:rPr>
            </w:pPr>
            <w:r>
              <w:rPr>
                <w:rFonts w:ascii="Arial" w:cs="Arial" w:eastAsia="Arial" w:hAnsi="Arial"/>
                <w:sz w:val="16"/>
                <w:szCs w:val="16"/>
                <w:color w:val="auto"/>
              </w:rPr>
              <w:t>Net cash provided by operating activities</w:t>
            </w:r>
          </w:p>
        </w:tc>
        <w:tc>
          <w:tcPr>
            <w:tcW w:w="540" w:type="dxa"/>
            <w:vAlign w:val="bottom"/>
            <w:shd w:val="clear" w:color="auto" w:fill="E5FFFF"/>
          </w:tcPr>
          <w:p>
            <w:pPr>
              <w:spacing w:after="0"/>
              <w:rPr>
                <w:sz w:val="15"/>
                <w:szCs w:val="15"/>
                <w:color w:val="auto"/>
              </w:rPr>
            </w:pPr>
          </w:p>
        </w:tc>
        <w:tc>
          <w:tcPr>
            <w:tcW w:w="240" w:type="dxa"/>
            <w:vAlign w:val="bottom"/>
            <w:tcBorders>
              <w:bottom w:val="single" w:sz="8" w:color="auto"/>
            </w:tcBorders>
            <w:shd w:val="clear" w:color="auto" w:fill="E5FFFF"/>
          </w:tcPr>
          <w:p>
            <w:pPr>
              <w:spacing w:after="0"/>
              <w:rPr>
                <w:sz w:val="15"/>
                <w:szCs w:val="15"/>
                <w:color w:val="auto"/>
              </w:rPr>
            </w:pPr>
          </w:p>
        </w:tc>
        <w:tc>
          <w:tcPr>
            <w:tcW w:w="900" w:type="dxa"/>
            <w:vAlign w:val="bottom"/>
            <w:tcBorders>
              <w:bottom w:val="single" w:sz="8" w:color="auto"/>
            </w:tcBorders>
            <w:shd w:val="clear" w:color="auto" w:fill="E5FFFF"/>
          </w:tcPr>
          <w:p>
            <w:pPr>
              <w:jc w:val="right"/>
              <w:ind w:right="20"/>
              <w:spacing w:after="0" w:line="183" w:lineRule="exact"/>
              <w:rPr>
                <w:sz w:val="20"/>
                <w:szCs w:val="20"/>
                <w:color w:val="auto"/>
              </w:rPr>
            </w:pPr>
            <w:r>
              <w:rPr>
                <w:rFonts w:ascii="Arial" w:cs="Arial" w:eastAsia="Arial" w:hAnsi="Arial"/>
                <w:sz w:val="16"/>
                <w:szCs w:val="16"/>
                <w:color w:val="auto"/>
              </w:rPr>
              <w:t>2,387</w:t>
            </w:r>
          </w:p>
        </w:tc>
        <w:tc>
          <w:tcPr>
            <w:tcW w:w="340" w:type="dxa"/>
            <w:vAlign w:val="bottom"/>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spacing w:after="0"/>
              <w:rPr>
                <w:sz w:val="15"/>
                <w:szCs w:val="15"/>
                <w:color w:val="auto"/>
              </w:rPr>
            </w:pPr>
          </w:p>
        </w:tc>
        <w:tc>
          <w:tcPr>
            <w:tcW w:w="860" w:type="dxa"/>
            <w:vAlign w:val="bottom"/>
            <w:tcBorders>
              <w:bottom w:val="single" w:sz="8" w:color="auto"/>
            </w:tcBorders>
            <w:shd w:val="clear" w:color="auto" w:fill="E5FFFF"/>
          </w:tcPr>
          <w:p>
            <w:pPr>
              <w:jc w:val="right"/>
              <w:ind w:right="19"/>
              <w:spacing w:after="0" w:line="183" w:lineRule="exact"/>
              <w:rPr>
                <w:sz w:val="20"/>
                <w:szCs w:val="20"/>
                <w:color w:val="auto"/>
              </w:rPr>
            </w:pPr>
            <w:r>
              <w:rPr>
                <w:rFonts w:ascii="Arial" w:cs="Arial" w:eastAsia="Arial" w:hAnsi="Arial"/>
                <w:sz w:val="16"/>
                <w:szCs w:val="16"/>
                <w:color w:val="auto"/>
              </w:rPr>
              <w:t>1,902</w:t>
            </w:r>
          </w:p>
        </w:tc>
      </w:tr>
      <w:tr>
        <w:trPr>
          <w:trHeight w:val="372"/>
        </w:trPr>
        <w:tc>
          <w:tcPr>
            <w:tcW w:w="82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9"/>
        </w:trPr>
        <w:tc>
          <w:tcPr>
            <w:tcW w:w="82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(401)</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(475)</w:t>
            </w:r>
          </w:p>
        </w:tc>
      </w:tr>
      <w:tr>
        <w:trPr>
          <w:trHeight w:val="189"/>
        </w:trPr>
        <w:tc>
          <w:tcPr>
            <w:tcW w:w="8280" w:type="dxa"/>
            <w:vAlign w:val="bottom"/>
          </w:tcPr>
          <w:p>
            <w:pPr>
              <w:ind w:left="180"/>
              <w:spacing w:after="0"/>
              <w:rPr>
                <w:sz w:val="20"/>
                <w:szCs w:val="20"/>
                <w:color w:val="auto"/>
              </w:rPr>
            </w:pPr>
            <w:r>
              <w:rPr>
                <w:rFonts w:ascii="Arial" w:cs="Arial" w:eastAsia="Arial" w:hAnsi="Arial"/>
                <w:sz w:val="16"/>
                <w:szCs w:val="16"/>
                <w:color w:val="auto"/>
              </w:rPr>
              <w:t>Proceeds from disposals of property, plant and equipment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189"/>
        </w:trPr>
        <w:tc>
          <w:tcPr>
            <w:tcW w:w="82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Increase in investments</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(2,329)</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(1,821)</w:t>
            </w:r>
          </w:p>
        </w:tc>
      </w:tr>
      <w:tr>
        <w:trPr>
          <w:trHeight w:val="189"/>
        </w:trPr>
        <w:tc>
          <w:tcPr>
            <w:tcW w:w="8280" w:type="dxa"/>
            <w:vAlign w:val="bottom"/>
          </w:tcPr>
          <w:p>
            <w:pPr>
              <w:ind w:left="180"/>
              <w:spacing w:after="0"/>
              <w:rPr>
                <w:sz w:val="20"/>
                <w:szCs w:val="20"/>
                <w:color w:val="auto"/>
              </w:rPr>
            </w:pPr>
            <w:r>
              <w:rPr>
                <w:rFonts w:ascii="Arial" w:cs="Arial" w:eastAsia="Arial" w:hAnsi="Arial"/>
                <w:sz w:val="16"/>
                <w:szCs w:val="16"/>
                <w:color w:val="auto"/>
              </w:rPr>
              <w:t>Decrease in investments</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1,841</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1,785</w:t>
            </w:r>
          </w:p>
        </w:tc>
      </w:tr>
      <w:tr>
        <w:trPr>
          <w:trHeight w:val="189"/>
        </w:trPr>
        <w:tc>
          <w:tcPr>
            <w:tcW w:w="82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(1,084)</w:t>
            </w:r>
          </w:p>
        </w:tc>
      </w:tr>
      <w:tr>
        <w:trPr>
          <w:trHeight w:val="203"/>
        </w:trPr>
        <w:tc>
          <w:tcPr>
            <w:tcW w:w="8280" w:type="dxa"/>
            <w:vAlign w:val="bottom"/>
            <w:tcBorders>
              <w:bottom w:val="single" w:sz="8" w:color="E5FFFF"/>
            </w:tcBorders>
          </w:tcPr>
          <w:p>
            <w:pPr>
              <w:ind w:left="180"/>
              <w:spacing w:after="0"/>
              <w:rPr>
                <w:sz w:val="20"/>
                <w:szCs w:val="20"/>
                <w:color w:val="auto"/>
              </w:rPr>
            </w:pPr>
            <w:r>
              <w:rPr>
                <w:rFonts w:ascii="Arial" w:cs="Arial" w:eastAsia="Arial" w:hAnsi="Arial"/>
                <w:sz w:val="16"/>
                <w:szCs w:val="16"/>
                <w:color w:val="auto"/>
              </w:rPr>
              <w:t>Other</w:t>
            </w:r>
          </w:p>
        </w:tc>
        <w:tc>
          <w:tcPr>
            <w:tcW w:w="5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3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r>
      <w:tr>
        <w:trPr>
          <w:trHeight w:val="183"/>
        </w:trPr>
        <w:tc>
          <w:tcPr>
            <w:tcW w:w="8280" w:type="dxa"/>
            <w:vAlign w:val="bottom"/>
            <w:shd w:val="clear" w:color="auto" w:fill="E5FFFF"/>
          </w:tcPr>
          <w:p>
            <w:pPr>
              <w:spacing w:after="0" w:line="177" w:lineRule="exact"/>
              <w:rPr>
                <w:sz w:val="20"/>
                <w:szCs w:val="20"/>
                <w:color w:val="auto"/>
              </w:rPr>
            </w:pPr>
            <w:r>
              <w:rPr>
                <w:rFonts w:ascii="Arial" w:cs="Arial" w:eastAsia="Arial" w:hAnsi="Arial"/>
                <w:sz w:val="16"/>
                <w:szCs w:val="16"/>
                <w:color w:val="auto"/>
              </w:rPr>
              <w:t>Net cash used for investing activities</w:t>
            </w:r>
          </w:p>
        </w:tc>
        <w:tc>
          <w:tcPr>
            <w:tcW w:w="540" w:type="dxa"/>
            <w:vAlign w:val="bottom"/>
            <w:shd w:val="clear" w:color="auto" w:fill="E5FFFF"/>
          </w:tcPr>
          <w:p>
            <w:pPr>
              <w:spacing w:after="0"/>
              <w:rPr>
                <w:sz w:val="15"/>
                <w:szCs w:val="15"/>
                <w:color w:val="auto"/>
              </w:rPr>
            </w:pPr>
          </w:p>
        </w:tc>
        <w:tc>
          <w:tcPr>
            <w:tcW w:w="240" w:type="dxa"/>
            <w:vAlign w:val="bottom"/>
            <w:tcBorders>
              <w:bottom w:val="single" w:sz="8" w:color="auto"/>
            </w:tcBorders>
            <w:shd w:val="clear" w:color="auto" w:fill="E5FFFF"/>
          </w:tcPr>
          <w:p>
            <w:pPr>
              <w:spacing w:after="0"/>
              <w:rPr>
                <w:sz w:val="15"/>
                <w:szCs w:val="15"/>
                <w:color w:val="auto"/>
              </w:rPr>
            </w:pPr>
          </w:p>
        </w:tc>
        <w:tc>
          <w:tcPr>
            <w:tcW w:w="900" w:type="dxa"/>
            <w:vAlign w:val="bottom"/>
            <w:tcBorders>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6"/>
                <w:szCs w:val="16"/>
                <w:color w:val="auto"/>
              </w:rPr>
              <w:t>(992)</w:t>
            </w:r>
          </w:p>
        </w:tc>
        <w:tc>
          <w:tcPr>
            <w:tcW w:w="340" w:type="dxa"/>
            <w:vAlign w:val="bottom"/>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spacing w:after="0"/>
              <w:rPr>
                <w:sz w:val="15"/>
                <w:szCs w:val="15"/>
                <w:color w:val="auto"/>
              </w:rPr>
            </w:pPr>
          </w:p>
        </w:tc>
        <w:tc>
          <w:tcPr>
            <w:tcW w:w="860" w:type="dxa"/>
            <w:vAlign w:val="bottom"/>
            <w:tcBorders>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6"/>
                <w:szCs w:val="16"/>
                <w:color w:val="auto"/>
              </w:rPr>
              <w:t>(1,542)</w:t>
            </w:r>
          </w:p>
        </w:tc>
      </w:tr>
      <w:tr>
        <w:trPr>
          <w:trHeight w:val="372"/>
        </w:trPr>
        <w:tc>
          <w:tcPr>
            <w:tcW w:w="82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9"/>
        </w:trPr>
        <w:tc>
          <w:tcPr>
            <w:tcW w:w="82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Proceeds from issuance of commercial paper and other short-term borrowings</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ind w:right="20"/>
              <w:spacing w:after="0"/>
              <w:rPr>
                <w:sz w:val="20"/>
                <w:szCs w:val="20"/>
                <w:color w:val="auto"/>
              </w:rPr>
            </w:pPr>
            <w:r>
              <w:rPr>
                <w:rFonts w:ascii="Arial" w:cs="Arial" w:eastAsia="Arial" w:hAnsi="Arial"/>
                <w:sz w:val="16"/>
                <w:szCs w:val="16"/>
                <w:color w:val="auto"/>
              </w:rPr>
              <w:t>5,036</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10,694</w:t>
            </w:r>
          </w:p>
        </w:tc>
      </w:tr>
      <w:tr>
        <w:trPr>
          <w:trHeight w:val="189"/>
        </w:trPr>
        <w:tc>
          <w:tcPr>
            <w:tcW w:w="8280" w:type="dxa"/>
            <w:vAlign w:val="bottom"/>
          </w:tcPr>
          <w:p>
            <w:pPr>
              <w:ind w:left="180"/>
              <w:spacing w:after="0"/>
              <w:rPr>
                <w:sz w:val="20"/>
                <w:szCs w:val="20"/>
                <w:color w:val="auto"/>
              </w:rPr>
            </w:pPr>
            <w:r>
              <w:rPr>
                <w:rFonts w:ascii="Arial" w:cs="Arial" w:eastAsia="Arial" w:hAnsi="Arial"/>
                <w:sz w:val="16"/>
                <w:szCs w:val="16"/>
                <w:color w:val="auto"/>
              </w:rPr>
              <w:t>Payments of commercial paper and other short-term borrowings</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(4,835)</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(12,918)</w:t>
            </w:r>
          </w:p>
        </w:tc>
      </w:tr>
      <w:tr>
        <w:trPr>
          <w:trHeight w:val="189"/>
        </w:trPr>
        <w:tc>
          <w:tcPr>
            <w:tcW w:w="82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ind w:right="20"/>
              <w:spacing w:after="0"/>
              <w:rPr>
                <w:sz w:val="20"/>
                <w:szCs w:val="20"/>
                <w:color w:val="auto"/>
              </w:rPr>
            </w:pPr>
            <w:r>
              <w:rPr>
                <w:rFonts w:ascii="Arial" w:cs="Arial" w:eastAsia="Arial" w:hAnsi="Arial"/>
                <w:sz w:val="16"/>
                <w:szCs w:val="16"/>
                <w:color w:val="auto"/>
              </w:rPr>
              <w:t>376</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243</w:t>
            </w:r>
          </w:p>
        </w:tc>
      </w:tr>
      <w:tr>
        <w:trPr>
          <w:trHeight w:val="189"/>
        </w:trPr>
        <w:tc>
          <w:tcPr>
            <w:tcW w:w="828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4,473</w:t>
            </w:r>
          </w:p>
        </w:tc>
      </w:tr>
      <w:tr>
        <w:trPr>
          <w:trHeight w:val="189"/>
        </w:trPr>
        <w:tc>
          <w:tcPr>
            <w:tcW w:w="82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Payments of long-term debt</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(470)</w:t>
            </w:r>
          </w:p>
        </w:tc>
      </w:tr>
      <w:tr>
        <w:trPr>
          <w:trHeight w:val="189"/>
        </w:trPr>
        <w:tc>
          <w:tcPr>
            <w:tcW w:w="828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(992)</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(1,633)</w:t>
            </w:r>
          </w:p>
        </w:tc>
      </w:tr>
      <w:tr>
        <w:trPr>
          <w:trHeight w:val="189"/>
        </w:trPr>
        <w:tc>
          <w:tcPr>
            <w:tcW w:w="82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Cash dividends paid</w:t>
            </w:r>
          </w:p>
        </w:tc>
        <w:tc>
          <w:tcPr>
            <w:tcW w:w="5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(1,049)</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(957)</w:t>
            </w:r>
          </w:p>
        </w:tc>
      </w:tr>
      <w:tr>
        <w:trPr>
          <w:trHeight w:val="189"/>
        </w:trPr>
        <w:tc>
          <w:tcPr>
            <w:tcW w:w="8280" w:type="dxa"/>
            <w:vAlign w:val="bottom"/>
          </w:tcPr>
          <w:p>
            <w:pPr>
              <w:ind w:left="180"/>
              <w:spacing w:after="0"/>
              <w:rPr>
                <w:sz w:val="20"/>
                <w:szCs w:val="20"/>
                <w:color w:val="auto"/>
              </w:rPr>
            </w:pPr>
            <w:r>
              <w:rPr>
                <w:rFonts w:ascii="Arial" w:cs="Arial" w:eastAsia="Arial" w:hAnsi="Arial"/>
                <w:sz w:val="16"/>
                <w:szCs w:val="16"/>
                <w:color w:val="auto"/>
              </w:rPr>
              <w:t>Payments to purchase the noncontrolling interest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03"/>
        </w:trPr>
        <w:tc>
          <w:tcPr>
            <w:tcW w:w="82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Other</w:t>
            </w:r>
          </w:p>
        </w:tc>
        <w:tc>
          <w:tcPr>
            <w:tcW w:w="54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(105)</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w:t>
            </w:r>
          </w:p>
        </w:tc>
      </w:tr>
      <w:tr>
        <w:trPr>
          <w:trHeight w:val="183"/>
        </w:trPr>
        <w:tc>
          <w:tcPr>
            <w:tcW w:w="8280" w:type="dxa"/>
            <w:vAlign w:val="bottom"/>
            <w:tcBorders>
              <w:bottom w:val="single" w:sz="8" w:color="E5FFFF"/>
            </w:tcBorders>
          </w:tcPr>
          <w:p>
            <w:pPr>
              <w:spacing w:after="0" w:line="177" w:lineRule="exact"/>
              <w:rPr>
                <w:sz w:val="20"/>
                <w:szCs w:val="20"/>
                <w:color w:val="auto"/>
              </w:rPr>
            </w:pPr>
            <w:r>
              <w:rPr>
                <w:rFonts w:ascii="Arial" w:cs="Arial" w:eastAsia="Arial" w:hAnsi="Arial"/>
                <w:sz w:val="16"/>
                <w:szCs w:val="16"/>
                <w:color w:val="auto"/>
              </w:rPr>
              <w:t>Net cash used for financing activities</w:t>
            </w:r>
          </w:p>
        </w:tc>
        <w:tc>
          <w:tcPr>
            <w:tcW w:w="5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(1,583)</w:t>
            </w:r>
          </w:p>
        </w:tc>
        <w:tc>
          <w:tcPr>
            <w:tcW w:w="34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(821)</w:t>
            </w:r>
          </w:p>
        </w:tc>
      </w:tr>
      <w:tr>
        <w:trPr>
          <w:trHeight w:val="183"/>
        </w:trPr>
        <w:tc>
          <w:tcPr>
            <w:tcW w:w="8280" w:type="dxa"/>
            <w:vAlign w:val="bottom"/>
            <w:shd w:val="clear" w:color="auto" w:fill="E5FFFF"/>
          </w:tcPr>
          <w:p>
            <w:pPr>
              <w:spacing w:after="0" w:line="177" w:lineRule="exact"/>
              <w:rPr>
                <w:sz w:val="20"/>
                <w:szCs w:val="20"/>
                <w:color w:val="auto"/>
              </w:rPr>
            </w:pPr>
            <w:r>
              <w:rPr>
                <w:rFonts w:ascii="Arial" w:cs="Arial" w:eastAsia="Arial" w:hAnsi="Arial"/>
                <w:sz w:val="16"/>
                <w:szCs w:val="16"/>
                <w:color w:val="auto"/>
              </w:rPr>
              <w:t>Effect of foreign exchange rate changes on cash and cash equivalents</w:t>
            </w:r>
          </w:p>
        </w:tc>
        <w:tc>
          <w:tcPr>
            <w:tcW w:w="540" w:type="dxa"/>
            <w:vAlign w:val="bottom"/>
            <w:shd w:val="clear" w:color="auto" w:fill="E5FFFF"/>
          </w:tcPr>
          <w:p>
            <w:pPr>
              <w:spacing w:after="0"/>
              <w:rPr>
                <w:sz w:val="15"/>
                <w:szCs w:val="15"/>
                <w:color w:val="auto"/>
              </w:rPr>
            </w:pPr>
          </w:p>
        </w:tc>
        <w:tc>
          <w:tcPr>
            <w:tcW w:w="240" w:type="dxa"/>
            <w:vAlign w:val="bottom"/>
            <w:tcBorders>
              <w:bottom w:val="single" w:sz="8" w:color="auto"/>
            </w:tcBorders>
            <w:shd w:val="clear" w:color="auto" w:fill="E5FFFF"/>
          </w:tcPr>
          <w:p>
            <w:pPr>
              <w:spacing w:after="0"/>
              <w:rPr>
                <w:sz w:val="15"/>
                <w:szCs w:val="15"/>
                <w:color w:val="auto"/>
              </w:rPr>
            </w:pPr>
          </w:p>
        </w:tc>
        <w:tc>
          <w:tcPr>
            <w:tcW w:w="900" w:type="dxa"/>
            <w:vAlign w:val="bottom"/>
            <w:tcBorders>
              <w:bottom w:val="single" w:sz="8" w:color="auto"/>
            </w:tcBorders>
            <w:shd w:val="clear" w:color="auto" w:fill="E5FFFF"/>
          </w:tcPr>
          <w:p>
            <w:pPr>
              <w:jc w:val="right"/>
              <w:ind w:right="20"/>
              <w:spacing w:after="0" w:line="183" w:lineRule="exact"/>
              <w:rPr>
                <w:sz w:val="20"/>
                <w:szCs w:val="20"/>
                <w:color w:val="auto"/>
              </w:rPr>
            </w:pPr>
            <w:r>
              <w:rPr>
                <w:rFonts w:ascii="Arial" w:cs="Arial" w:eastAsia="Arial" w:hAnsi="Arial"/>
                <w:sz w:val="16"/>
                <w:szCs w:val="16"/>
                <w:color w:val="auto"/>
              </w:rPr>
              <w:t>222</w:t>
            </w:r>
          </w:p>
        </w:tc>
        <w:tc>
          <w:tcPr>
            <w:tcW w:w="340" w:type="dxa"/>
            <w:vAlign w:val="bottom"/>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spacing w:after="0"/>
              <w:rPr>
                <w:sz w:val="15"/>
                <w:szCs w:val="15"/>
                <w:color w:val="auto"/>
              </w:rPr>
            </w:pPr>
          </w:p>
        </w:tc>
        <w:tc>
          <w:tcPr>
            <w:tcW w:w="860" w:type="dxa"/>
            <w:vAlign w:val="bottom"/>
            <w:tcBorders>
              <w:bottom w:val="single" w:sz="8" w:color="auto"/>
            </w:tcBorders>
            <w:shd w:val="clear" w:color="auto" w:fill="E5FFFF"/>
          </w:tcPr>
          <w:p>
            <w:pPr>
              <w:jc w:val="right"/>
              <w:ind w:right="19"/>
              <w:spacing w:after="0" w:line="183" w:lineRule="exact"/>
              <w:rPr>
                <w:sz w:val="20"/>
                <w:szCs w:val="20"/>
                <w:color w:val="auto"/>
              </w:rPr>
            </w:pPr>
            <w:r>
              <w:rPr>
                <w:rFonts w:ascii="Arial" w:cs="Arial" w:eastAsia="Arial" w:hAnsi="Arial"/>
                <w:sz w:val="16"/>
                <w:szCs w:val="16"/>
                <w:color w:val="auto"/>
              </w:rPr>
              <w:t>51</w:t>
            </w:r>
          </w:p>
        </w:tc>
      </w:tr>
      <w:tr>
        <w:trPr>
          <w:trHeight w:val="183"/>
        </w:trPr>
        <w:tc>
          <w:tcPr>
            <w:tcW w:w="8280" w:type="dxa"/>
            <w:vAlign w:val="bottom"/>
          </w:tcPr>
          <w:p>
            <w:pPr>
              <w:spacing w:after="0" w:line="183" w:lineRule="exact"/>
              <w:rPr>
                <w:sz w:val="20"/>
                <w:szCs w:val="20"/>
                <w:color w:val="auto"/>
              </w:rPr>
            </w:pPr>
            <w:r>
              <w:rPr>
                <w:rFonts w:ascii="Arial" w:cs="Arial" w:eastAsia="Arial" w:hAnsi="Arial"/>
                <w:sz w:val="16"/>
                <w:szCs w:val="16"/>
                <w:color w:val="auto"/>
              </w:rPr>
              <w:t>Net increase (decrease) in cash and cash equivalents</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34</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(410)</w:t>
            </w:r>
          </w:p>
        </w:tc>
      </w:tr>
      <w:tr>
        <w:trPr>
          <w:trHeight w:val="203"/>
        </w:trPr>
        <w:tc>
          <w:tcPr>
            <w:tcW w:w="82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at beginning of period</w:t>
            </w:r>
          </w:p>
        </w:tc>
        <w:tc>
          <w:tcPr>
            <w:tcW w:w="54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20"/>
              <w:spacing w:after="0"/>
              <w:rPr>
                <w:sz w:val="20"/>
                <w:szCs w:val="20"/>
                <w:color w:val="auto"/>
              </w:rPr>
            </w:pPr>
            <w:r>
              <w:rPr>
                <w:rFonts w:ascii="Arial" w:cs="Arial" w:eastAsia="Arial" w:hAnsi="Arial"/>
                <w:sz w:val="16"/>
                <w:szCs w:val="16"/>
                <w:color w:val="auto"/>
              </w:rPr>
              <w:t>7,843</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5,455</w:t>
            </w:r>
          </w:p>
        </w:tc>
      </w:tr>
      <w:tr>
        <w:trPr>
          <w:trHeight w:val="196"/>
        </w:trPr>
        <w:tc>
          <w:tcPr>
            <w:tcW w:w="8280" w:type="dxa"/>
            <w:vAlign w:val="bottom"/>
          </w:tcPr>
          <w:p>
            <w:pPr>
              <w:spacing w:after="0" w:line="177" w:lineRule="exact"/>
              <w:rPr>
                <w:sz w:val="20"/>
                <w:szCs w:val="20"/>
                <w:color w:val="auto"/>
              </w:rPr>
            </w:pPr>
            <w:r>
              <w:rPr>
                <w:rFonts w:ascii="Arial" w:cs="Arial" w:eastAsia="Arial" w:hAnsi="Arial"/>
                <w:sz w:val="16"/>
                <w:szCs w:val="16"/>
                <w:color w:val="auto"/>
              </w:rPr>
              <w:t>Cash and cash equivalents at end of period</w:t>
            </w:r>
          </w:p>
        </w:tc>
        <w:tc>
          <w:tcPr>
            <w:tcW w:w="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7,877</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5,045</w:t>
            </w:r>
          </w:p>
        </w:tc>
      </w:tr>
      <w:tr>
        <w:trPr>
          <w:trHeight w:val="20"/>
        </w:trPr>
        <w:tc>
          <w:tcPr>
            <w:tcW w:w="8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June 30, 2017 and 2016 and the results of operations for the three and six months ended June 30, 2017 and 2016 and the cash flows for the six months ended June 30, 2017 and 2016. The results of operations for the three and six months ended June 30, 2017 and cash flows for the six months ended June 30, 2017 should not necessarily be taken as indicative of the entire year.</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and six months ended June 30, 2017 and 2016 were July 1, 2017 and July 2, 2016.</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consider the applicability and impact of all Accounting Standards Updates (ASUs) issued by Financial Accounting Standards Board (FASB). ASUs not listed below were assessed and determined to be either not applicable or are expected to have minimal impact on our consolidated result of operations, financial position and cash flows (Consolidated Financial Statements).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May 2014, and in following related amendments, the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effective date is for interim and annual periods beginning on or after December 15, 2017. The guidance permits the use of either a full retrospective or modified retrospective transition method. We will adopt the requirements of the new standard effective January 1, 2018 and expect to use the modified retrospective transition method with the cumulative effect to the opening balance of retained earnings recognized as of the date of initial adoption. We believe we are following an appropriate timeline to allow for proper recognition, presentation and disclosure upon adoption, including the related impacts to internal controls.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Company’s evaluation of the new standard is substantially complete and the Company has prepared an initial assessment of the impacts of adoption on its Consolidated Financial Statements and disclosures. The FASB has issued, and may issue in the future, interpretive guidance which may cause our evaluation to change. We will continue to evaluate the adoption impact of the new standard, including as it relates to new contracts that will be recognized following adoption. Based on the evaluation of our current contracts and revenue streams, recognition will be mostly consistent under both the current and new standard. However, we expect the guidance in certain areas, particularly in our Aerospace segment, to impact our current revenue recognition policies.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current accounting policy for costs incurred for nonrecurring engineering and development activities of our Aerospace products under agreements with commercial customers is generally to record the expense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incurred. Any customer funding received for such efforts is recognized when earned as a reduction of cost of sales. Following adoption of the new standard, the customer funding will generally be classified as revenue and not as a reduction of cost of sales. Such revenue will be recognized as products are delivered to the customers. Additionally, under the new guidance, expenses incurred, up to the customer agreed funded amount, will be deferred as an asset and recognized as cost of sales also when products are delivered to the customer. Hence, the new guidance will result in an increase in deferred costs (asset) and deferred revenue (liability) on our Consolidated Balance Sheet, however, we expect this to result in no net impact to income before taxes.</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we expect revenues for our mechanical service programs at our Aerospace business to be impacted. Our current policy is to recognize revenue over time as costs are incurred (input method). Following adoption, we will continue to recognize revenue over time, but recognition will reflect a series of distinct services using the output method. This change will result in certain unbilled receivables or deferred revenue being eliminated through retained earnings, but we do not expect a material impact.</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expect the new standard to have a material impact on our consolidated financial position or results of operations. We expect the new standard will have no cash impact and, as such, does not affect the economics of our underlying customer contracts. We expect that disclosure in our notes to Consolidated Financial Statements related to revenue recognition will be significantly expanded under the new standard, specifically around the quantitative and qualitative information about performance obligations, changes in contract assets and liabilities, and disaggregation of revenue.</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that will be effective for interim and annual periods beginning after December 15, 2018, with early adoption permitted. We expect to adopt the requirements of the new standard effective January 1, 2019. The guidance requires the use of a modified retrospective approach. We are currently evaluating the impact of the guidance on our consolidated financial position, results of operations, and related notes to financial statements.</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October 2016, the FASB issued an accounting standard update which requires an entity to recognize the income tax consequences of an intra-entity transfer of an asset, other than inventory, at the time the entity transfer occurs rather than when the asset is ultimately transferred to a third party, as required under current U.S. GAAP. The guidance is intended to reduce diversity in practice, particularly for transfers involving intellectual property. The guidance is effective for interim and annual periods beginning after December 15, 2017 with early adoption permitted. We expect to adopt the accounting standard update as of January 1, 2018. The guidance requires application on a modified retrospective basis. The impact upon adoption will result in an increase to deferred tax assets and liabilities, with the corresponding offset recorded as a cumulative -effect adjustment to retained earnings as of the beginning of the adoption period. We are currently in the process of evaluating the impact of this accounting standard update by determining the population of historical intra-entity transfers. We intend to complete our analysis during the third quarter of 2017.</w:t>
      </w:r>
    </w:p>
    <w:p>
      <w:pPr>
        <w:spacing w:after="0" w:line="19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March 2017, the FASB issued guidance on presentation of net periodic pension cost and net periodic postretirement benefit cost. The new standard requires that an employer disaggregate the service cost component of net benefit cost. The employer will be required to report the service cost component in the same line item or items in the statement of operations as other compensation costs arising from services rendered by the pertinent employees during the period. The other components of net benefit cost will be required to be presented in the statement of operations separately from the service cost component, such as in other income and expense. The guidance is effective for fiscal years beginning after December 15, 2017. This guidance will impact the presentation of our Consolidated Financial Statements. Our current presentation of the service cost component is consistent with the requirements of the new standard. Upon our adoption of the new standard, we expect to present the other components within Other (income) expense (we currently present within Cost of products and services sold and Selling, general, and administrative expenses). All components will continue to be excluded from Segment Profit (see Note 10 Segment Financial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6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w w:val="99"/>
              </w:rPr>
              <w:t>June 30,</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69"/>
        </w:trPr>
        <w:tc>
          <w:tcPr>
            <w:tcW w:w="53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2016</w:t>
            </w:r>
          </w:p>
        </w:tc>
      </w:tr>
      <w:tr>
        <w:trPr>
          <w:trHeight w:val="196"/>
        </w:trPr>
        <w:tc>
          <w:tcPr>
            <w:tcW w:w="53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54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82</w:t>
            </w:r>
          </w:p>
        </w:tc>
        <w:tc>
          <w:tcPr>
            <w:tcW w:w="12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70</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102</w:t>
            </w:r>
          </w:p>
        </w:tc>
        <w:tc>
          <w:tcPr>
            <w:tcW w:w="3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98</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35</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w:t>
            </w:r>
          </w:p>
        </w:tc>
      </w:tr>
      <w:tr>
        <w:trPr>
          <w:trHeight w:val="203"/>
        </w:trPr>
        <w:tc>
          <w:tcPr>
            <w:tcW w:w="53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5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3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9</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w:t>
            </w:r>
          </w:p>
        </w:tc>
      </w:tr>
      <w:tr>
        <w:trPr>
          <w:trHeight w:val="216"/>
        </w:trPr>
        <w:tc>
          <w:tcPr>
            <w:tcW w:w="53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Reserve adjustments</w:t>
            </w:r>
          </w:p>
        </w:tc>
        <w:tc>
          <w:tcPr>
            <w:tcW w:w="54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530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540" w:type="dxa"/>
            <w:vAlign w:val="bottom"/>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3"/>
              </w:rPr>
              <w:t>117</w:t>
            </w:r>
          </w:p>
        </w:tc>
        <w:tc>
          <w:tcPr>
            <w:tcW w:w="120" w:type="dxa"/>
            <w:vAlign w:val="bottom"/>
            <w:tcBorders>
              <w:bottom w:val="single" w:sz="8" w:color="auto"/>
            </w:tcBorders>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spacing w:after="0"/>
              <w:rPr>
                <w:sz w:val="17"/>
                <w:szCs w:val="17"/>
                <w:color w:val="auto"/>
              </w:rPr>
            </w:pPr>
          </w:p>
        </w:tc>
        <w:tc>
          <w:tcPr>
            <w:tcW w:w="4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53</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146</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73</w:t>
            </w:r>
          </w:p>
        </w:tc>
      </w:tr>
      <w:tr>
        <w:trPr>
          <w:trHeight w:val="399"/>
        </w:trPr>
        <w:tc>
          <w:tcPr>
            <w:tcW w:w="530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16"/>
        </w:trPr>
        <w:tc>
          <w:tcPr>
            <w:tcW w:w="5300" w:type="dxa"/>
            <w:vAlign w:val="bottom"/>
            <w:shd w:val="clear" w:color="auto" w:fill="E5FFFF"/>
          </w:tcPr>
          <w:p>
            <w:pPr>
              <w:spacing w:after="0"/>
              <w:rPr>
                <w:sz w:val="20"/>
                <w:szCs w:val="20"/>
                <w:color w:val="auto"/>
              </w:rPr>
            </w:pPr>
            <w:r>
              <w:rPr>
                <w:rFonts w:ascii="Arial" w:cs="Arial" w:eastAsia="Arial" w:hAnsi="Arial"/>
                <w:sz w:val="18"/>
                <w:szCs w:val="18"/>
                <w:color w:val="auto"/>
              </w:rPr>
              <w:t>Probable and reasonably estimable environmental liabilities</w:t>
            </w:r>
          </w:p>
        </w:tc>
        <w:tc>
          <w:tcPr>
            <w:tcW w:w="54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auto"/>
            </w:tcBorders>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83</w:t>
            </w:r>
          </w:p>
        </w:tc>
      </w:tr>
      <w:tr>
        <w:trPr>
          <w:trHeight w:val="426"/>
        </w:trPr>
        <w:tc>
          <w:tcPr>
            <w:tcW w:w="5300" w:type="dxa"/>
            <w:vAlign w:val="bottom"/>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128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224</w:t>
            </w:r>
          </w:p>
        </w:tc>
        <w:tc>
          <w:tcPr>
            <w:tcW w:w="122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140</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24"/>
                <w:szCs w:val="24"/>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265</w:t>
            </w:r>
          </w:p>
        </w:tc>
      </w:tr>
      <w:tr>
        <w:trPr>
          <w:trHeight w:val="20"/>
        </w:trPr>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6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574"/>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4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w w:val="99"/>
              </w:rPr>
              <w:t>June 30,</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69"/>
        </w:trPr>
        <w:tc>
          <w:tcPr>
            <w:tcW w:w="472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196"/>
        </w:trPr>
        <w:tc>
          <w:tcPr>
            <w:tcW w:w="47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112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3"/>
              </w:rPr>
              <w:t>174</w:t>
            </w:r>
          </w:p>
        </w:tc>
        <w:tc>
          <w:tcPr>
            <w:tcW w:w="12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79</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310</w:t>
            </w:r>
          </w:p>
        </w:tc>
        <w:tc>
          <w:tcPr>
            <w:tcW w:w="3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184</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57</w:t>
            </w: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8"/>
                <w:szCs w:val="18"/>
                <w:color w:val="auto"/>
              </w:rPr>
              <w:t>26</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24</w:t>
            </w:r>
          </w:p>
        </w:tc>
      </w:tr>
      <w:tr>
        <w:trPr>
          <w:trHeight w:val="210"/>
        </w:trPr>
        <w:tc>
          <w:tcPr>
            <w:tcW w:w="4720" w:type="dxa"/>
            <w:vAlign w:val="bottom"/>
          </w:tcPr>
          <w:p>
            <w:pPr>
              <w:spacing w:after="0"/>
              <w:rPr>
                <w:sz w:val="18"/>
                <w:szCs w:val="18"/>
                <w:color w:val="auto"/>
              </w:rPr>
            </w:pPr>
          </w:p>
        </w:tc>
        <w:tc>
          <w:tcPr>
            <w:tcW w:w="186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224</w:t>
            </w:r>
          </w:p>
        </w:tc>
        <w:tc>
          <w:tcPr>
            <w:tcW w:w="122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140</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265</w:t>
            </w:r>
          </w:p>
        </w:tc>
      </w:tr>
      <w:tr>
        <w:trPr>
          <w:trHeight w:val="20"/>
        </w:trPr>
        <w:tc>
          <w:tcPr>
            <w:tcW w:w="4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6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573"/>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w w:val="99"/>
              </w:rPr>
              <w:t>June 30,</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69"/>
        </w:trPr>
        <w:tc>
          <w:tcPr>
            <w:tcW w:w="456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2016</w:t>
            </w:r>
          </w:p>
        </w:tc>
      </w:tr>
      <w:tr>
        <w:trPr>
          <w:trHeight w:val="196"/>
        </w:trPr>
        <w:tc>
          <w:tcPr>
            <w:tcW w:w="45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128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84</w:t>
            </w:r>
          </w:p>
        </w:tc>
        <w:tc>
          <w:tcPr>
            <w:tcW w:w="12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72</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157</w:t>
            </w:r>
          </w:p>
        </w:tc>
        <w:tc>
          <w:tcPr>
            <w:tcW w:w="3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121</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w:t>
            </w:r>
          </w:p>
        </w:tc>
      </w:tr>
      <w:tr>
        <w:trPr>
          <w:trHeight w:val="203"/>
        </w:trPr>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28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27</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36</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16"/>
        </w:trPr>
        <w:tc>
          <w:tcPr>
            <w:tcW w:w="4560" w:type="dxa"/>
            <w:vAlign w:val="bottom"/>
            <w:shd w:val="clear" w:color="auto" w:fill="E5FFFF"/>
          </w:tcPr>
          <w:p>
            <w:pPr>
              <w:spacing w:after="0"/>
              <w:rPr>
                <w:sz w:val="20"/>
                <w:szCs w:val="20"/>
                <w:color w:val="auto"/>
              </w:rPr>
            </w:pPr>
            <w:r>
              <w:rPr>
                <w:rFonts w:ascii="Arial" w:cs="Arial" w:eastAsia="Arial" w:hAnsi="Arial"/>
                <w:sz w:val="18"/>
                <w:szCs w:val="18"/>
                <w:color w:val="auto"/>
              </w:rPr>
              <w:t>Corporate</w:t>
            </w:r>
          </w:p>
        </w:tc>
        <w:tc>
          <w:tcPr>
            <w:tcW w:w="128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auto"/>
            </w:tcBorders>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102</w:t>
            </w:r>
          </w:p>
        </w:tc>
      </w:tr>
      <w:tr>
        <w:trPr>
          <w:trHeight w:val="210"/>
        </w:trPr>
        <w:tc>
          <w:tcPr>
            <w:tcW w:w="4560" w:type="dxa"/>
            <w:vAlign w:val="bottom"/>
          </w:tcPr>
          <w:p>
            <w:pPr>
              <w:spacing w:after="0"/>
              <w:rPr>
                <w:sz w:val="18"/>
                <w:szCs w:val="18"/>
                <w:color w:val="auto"/>
              </w:rPr>
            </w:pPr>
          </w:p>
        </w:tc>
        <w:tc>
          <w:tcPr>
            <w:tcW w:w="202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224</w:t>
            </w:r>
          </w:p>
        </w:tc>
        <w:tc>
          <w:tcPr>
            <w:tcW w:w="122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140</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265</w:t>
            </w:r>
          </w:p>
        </w:tc>
      </w:tr>
      <w:tr>
        <w:trPr>
          <w:trHeight w:val="20"/>
        </w:trPr>
        <w:tc>
          <w:tcPr>
            <w:tcW w:w="4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quarter ended June 30, 2017, we recognized repositioning charges totaling $123 million including severance costs of $82 million related to workforce reductions of 1,902 manufacturing and administrative positions mainly in Home and Building Technologies and Aerospace. The workforce reductions were primarily related to cost savings actions taken in connection with our productivity and ongoing functional transformation initiatives and with site transitions, mainly in Aerospace, to more cost-effective locations. The repositioning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charges included asset impairments of $33 million primarily related to the write-down of property in our Corporate segment in connection with a planned sale of such property.</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quarter ended June 30, 2016, we recognized repositioning charges totaling $97 million including severance costs of $70 million related to workforce reductions of 2,578 manufacturing and administrative positions across our segments. The workforce reductions were primarily related to cost savings actions taken in connection with our productivity and ongoing functional transformation initiatives. The repositioning charge included asset impairments of $24 million primarily related to the write-off of certain intangible assets in connection with the now completed sale of a Performance Materials and Technologies business. Also, $ 44 million of previously established accruals for severance mainly in Home and Building Technologies, Safety and Productivity Solutions and Aerospace were returned to income as a result of higher attrition than anticipated in prior severance programs resulting in lower required severance payments, lower than expected severance costs in certain repositioning actions, and changes in the scope of previously announced repositioning actions.</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six months ended June 30, 2017, we recognized repositioning charges totaling $146 million including severance costs of $102 million related to workforce reductions of 2,524 manufacturing and administrative positions across our segments. The workforce reductions were primarily related to cost savings actions taken in connection with our productivity and ongoing functional transformation initiatives and with site transitions, mainly in Aerospace, to more cost-effective locations. The repositioning charges included asset impairments of $35 million primarily related to the write-down of property in our Corporate segment in connection with a planned sale of such property.</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six months ended June 30, 2016, we recognized repositioning charges totaling $134 million including severance costs of $98 million related to workforce reductions of 2,871 manufacturing and administrative positions across our segments. The workforce reductions were primarily related to cost savings actions taken in connection with our productivity and ongoing functional transformation initiatives, achieving acquisition-related synergies and outsourcing of certain packaging operations. The repositioning charge included asset impairments of $ 31 million primarily related to the write-off of certain intangible assets in connection with the now completed sale of a Performance Materials and Technologies business. Also, $61 million of previously established accruals, primarily for severance, in Home and Building Technologies, Safety and Productivity Solutions, Aerospace and Performance Materials and Technologies were returned to income as a result of higher attrition than anticipated in prior severance programs resulting in lower required severance payments, lower than expected severance costs in certain repositioning actions, and changes in the scope of previously announced repositioning actions.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54"/>
              <w:spacing w:after="0"/>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6"/>
                <w:szCs w:val="16"/>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Exit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4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Impairments</w:t>
            </w:r>
          </w:p>
        </w:tc>
        <w:tc>
          <w:tcPr>
            <w:tcW w:w="220" w:type="dxa"/>
            <w:vAlign w:val="bottom"/>
          </w:tcPr>
          <w:p>
            <w:pPr>
              <w:spacing w:after="0"/>
              <w:rPr>
                <w:sz w:val="16"/>
                <w:szCs w:val="16"/>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6"/>
                <w:szCs w:val="16"/>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0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December 31, 2016</w:t>
            </w:r>
          </w:p>
        </w:tc>
        <w:tc>
          <w:tcPr>
            <w:tcW w:w="12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298</w:t>
            </w:r>
          </w:p>
        </w:tc>
        <w:tc>
          <w:tcPr>
            <w:tcW w:w="3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33</w:t>
            </w:r>
          </w:p>
        </w:tc>
        <w:tc>
          <w:tcPr>
            <w:tcW w:w="3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331</w:t>
            </w:r>
          </w:p>
        </w:tc>
      </w:tr>
      <w:tr>
        <w:trPr>
          <w:trHeight w:val="203"/>
        </w:trPr>
        <w:tc>
          <w:tcPr>
            <w:tcW w:w="408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146</w:t>
            </w:r>
          </w:p>
        </w:tc>
      </w:tr>
      <w:tr>
        <w:trPr>
          <w:trHeight w:val="203"/>
        </w:trPr>
        <w:tc>
          <w:tcPr>
            <w:tcW w:w="4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1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(88)</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(94)</w:t>
            </w:r>
          </w:p>
        </w:tc>
      </w:tr>
      <w:tr>
        <w:trPr>
          <w:trHeight w:val="203"/>
        </w:trPr>
        <w:tc>
          <w:tcPr>
            <w:tcW w:w="408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4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11</w:t>
            </w:r>
          </w:p>
        </w:tc>
      </w:tr>
      <w:tr>
        <w:trPr>
          <w:trHeight w:val="216"/>
        </w:trPr>
        <w:tc>
          <w:tcPr>
            <w:tcW w:w="40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Adjustments and reclassifications</w:t>
            </w:r>
          </w:p>
        </w:tc>
        <w:tc>
          <w:tcPr>
            <w:tcW w:w="124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408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June 30, 2017</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323</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28</w:t>
            </w:r>
          </w:p>
        </w:tc>
        <w:tc>
          <w:tcPr>
            <w:tcW w:w="320" w:type="dxa"/>
            <w:vAlign w:val="bottom"/>
            <w:shd w:val="clear" w:color="auto" w:fill="E5FFFF"/>
          </w:tcPr>
          <w:p>
            <w:pPr>
              <w:spacing w:after="0"/>
              <w:rPr>
                <w:sz w:val="18"/>
                <w:szCs w:val="18"/>
                <w:color w:val="auto"/>
              </w:rPr>
            </w:pP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351</w:t>
            </w:r>
          </w:p>
        </w:tc>
      </w:tr>
      <w:tr>
        <w:trPr>
          <w:trHeight w:val="20"/>
        </w:trPr>
        <w:tc>
          <w:tcPr>
            <w:tcW w:w="4080" w:type="dxa"/>
            <w:vAlign w:val="bottom"/>
            <w:tcBorders>
              <w:top w:val="single" w:sz="8" w:color="E5FFFF"/>
            </w:tcBorders>
          </w:tcPr>
          <w:p>
            <w:pPr>
              <w:spacing w:after="0" w:line="20" w:lineRule="exact"/>
              <w:rPr>
                <w:sz w:val="1"/>
                <w:szCs w:val="1"/>
                <w:color w:val="auto"/>
              </w:rPr>
            </w:pPr>
          </w:p>
        </w:tc>
        <w:tc>
          <w:tcPr>
            <w:tcW w:w="12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Certain repositioning projects in 2017 and 2016 included exit or disposal activities, the costs related to which will be recognized in future periods when the actual liability is incurred. Such exit and disposal costs are not expected to be significant.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4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Basic</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gridSpan w:val="5"/>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4"/>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8"/>
              <w:spacing w:after="0" w:line="129"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4"/>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Net income attributable to Honeywell</w:t>
            </w:r>
          </w:p>
        </w:tc>
        <w:tc>
          <w:tcPr>
            <w:tcW w:w="146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1,392</w:t>
            </w:r>
          </w:p>
        </w:tc>
        <w:tc>
          <w:tcPr>
            <w:tcW w:w="740" w:type="dxa"/>
            <w:vAlign w:val="bottom"/>
            <w:gridSpan w:val="3"/>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1,319</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8"/>
              <w:spacing w:after="0" w:line="202" w:lineRule="exact"/>
              <w:rPr>
                <w:sz w:val="20"/>
                <w:szCs w:val="20"/>
                <w:color w:val="auto"/>
              </w:rPr>
            </w:pPr>
            <w:r>
              <w:rPr>
                <w:rFonts w:ascii="Arial" w:cs="Arial" w:eastAsia="Arial" w:hAnsi="Arial"/>
                <w:sz w:val="18"/>
                <w:szCs w:val="18"/>
                <w:color w:val="auto"/>
              </w:rPr>
              <w:t>2,718</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419"/>
        </w:trPr>
        <w:tc>
          <w:tcPr>
            <w:tcW w:w="4640" w:type="dxa"/>
            <w:vAlign w:val="bottom"/>
            <w:gridSpan w:val="5"/>
          </w:tcPr>
          <w:p>
            <w:pPr>
              <w:spacing w:after="0"/>
              <w:rPr>
                <w:sz w:val="20"/>
                <w:szCs w:val="20"/>
                <w:color w:val="auto"/>
              </w:rPr>
            </w:pPr>
            <w:r>
              <w:rPr>
                <w:rFonts w:ascii="Arial" w:cs="Arial" w:eastAsia="Arial" w:hAnsi="Arial"/>
                <w:sz w:val="18"/>
                <w:szCs w:val="18"/>
                <w:color w:val="auto"/>
              </w:rPr>
              <w:t>Weighted average shares outstanding</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764.2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763.3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763.6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146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1.82</w:t>
            </w:r>
          </w:p>
        </w:tc>
        <w:tc>
          <w:tcPr>
            <w:tcW w:w="740" w:type="dxa"/>
            <w:vAlign w:val="bottom"/>
            <w:gridSpan w:val="3"/>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1.73</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8"/>
              <w:spacing w:after="0" w:line="202" w:lineRule="exact"/>
              <w:rPr>
                <w:sz w:val="20"/>
                <w:szCs w:val="20"/>
                <w:color w:val="auto"/>
              </w:rPr>
            </w:pPr>
            <w:r>
              <w:rPr>
                <w:rFonts w:ascii="Arial" w:cs="Arial" w:eastAsia="Arial" w:hAnsi="Arial"/>
                <w:sz w:val="18"/>
                <w:szCs w:val="18"/>
                <w:color w:val="auto"/>
              </w:rPr>
              <w:t>3.56</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4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gridSpan w:val="5"/>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4"/>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8"/>
              <w:spacing w:after="0" w:line="129"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4"/>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Net income attributable to Honeywell</w:t>
            </w:r>
          </w:p>
        </w:tc>
        <w:tc>
          <w:tcPr>
            <w:tcW w:w="146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1,392</w:t>
            </w:r>
          </w:p>
        </w:tc>
        <w:tc>
          <w:tcPr>
            <w:tcW w:w="740" w:type="dxa"/>
            <w:vAlign w:val="bottom"/>
            <w:gridSpan w:val="3"/>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1,319</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8"/>
              <w:spacing w:after="0" w:line="202" w:lineRule="exact"/>
              <w:rPr>
                <w:sz w:val="20"/>
                <w:szCs w:val="20"/>
                <w:color w:val="auto"/>
              </w:rPr>
            </w:pPr>
            <w:r>
              <w:rPr>
                <w:rFonts w:ascii="Arial" w:cs="Arial" w:eastAsia="Arial" w:hAnsi="Arial"/>
                <w:sz w:val="18"/>
                <w:szCs w:val="18"/>
                <w:color w:val="auto"/>
              </w:rPr>
              <w:t>2,718</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351"/>
        </w:trPr>
        <w:tc>
          <w:tcPr>
            <w:tcW w:w="4640" w:type="dxa"/>
            <w:vAlign w:val="bottom"/>
            <w:gridSpan w:val="5"/>
          </w:tcPr>
          <w:p>
            <w:pPr>
              <w:spacing w:after="0"/>
              <w:rPr>
                <w:sz w:val="20"/>
                <w:szCs w:val="20"/>
                <w:color w:val="auto"/>
              </w:rPr>
            </w:pPr>
            <w:r>
              <w:rPr>
                <w:rFonts w:ascii="Arial" w:cs="Arial" w:eastAsia="Arial" w:hAnsi="Arial"/>
                <w:sz w:val="14"/>
                <w:szCs w:val="14"/>
                <w:b w:val="1"/>
                <w:bCs w:val="1"/>
                <w:color w:val="auto"/>
              </w:rPr>
              <w:t>Average Shares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2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764.2</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763.3</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763.6</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12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E5FFFF"/>
            </w:tcBorders>
            <w:gridSpan w:val="4"/>
            <w:shd w:val="clear" w:color="auto" w:fill="E5FFFF"/>
          </w:tcPr>
          <w:p>
            <w:pPr>
              <w:spacing w:after="0" w:line="197" w:lineRule="exact"/>
              <w:rPr>
                <w:sz w:val="20"/>
                <w:szCs w:val="20"/>
                <w:color w:val="auto"/>
              </w:rPr>
            </w:pPr>
            <w:r>
              <w:rPr>
                <w:rFonts w:ascii="Arial" w:cs="Arial" w:eastAsia="Arial" w:hAnsi="Arial"/>
                <w:sz w:val="18"/>
                <w:szCs w:val="18"/>
                <w:color w:val="auto"/>
              </w:rPr>
              <w:t>Total weighted average shares outstanding</w:t>
            </w:r>
          </w:p>
        </w:tc>
        <w:tc>
          <w:tcPr>
            <w:tcW w:w="1200" w:type="dxa"/>
            <w:vAlign w:val="bottom"/>
            <w:tcBorders>
              <w:bottom w:val="single" w:sz="8" w:color="E5FFFF"/>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774.0</w:t>
            </w:r>
          </w:p>
        </w:tc>
        <w:tc>
          <w:tcPr>
            <w:tcW w:w="120" w:type="dxa"/>
            <w:vAlign w:val="bottom"/>
            <w:tcBorders>
              <w:bottom w:val="single" w:sz="8" w:color="auto"/>
            </w:tcBorders>
            <w:shd w:val="clear" w:color="auto" w:fill="E5FFFF"/>
          </w:tcPr>
          <w:p>
            <w:pPr>
              <w:spacing w:after="0"/>
              <w:rPr>
                <w:sz w:val="18"/>
                <w:szCs w:val="18"/>
                <w:color w:val="auto"/>
              </w:rPr>
            </w:pPr>
          </w:p>
        </w:tc>
        <w:tc>
          <w:tcPr>
            <w:tcW w:w="360" w:type="dxa"/>
            <w:vAlign w:val="bottom"/>
            <w:tcBorders>
              <w:bottom w:val="single" w:sz="8" w:color="E5FFFF"/>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774.9</w:t>
            </w:r>
          </w:p>
        </w:tc>
        <w:tc>
          <w:tcPr>
            <w:tcW w:w="340" w:type="dxa"/>
            <w:vAlign w:val="bottom"/>
            <w:tcBorders>
              <w:bottom w:val="single" w:sz="8" w:color="E5FFFF"/>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8"/>
                <w:szCs w:val="18"/>
                <w:color w:val="auto"/>
              </w:rPr>
              <w:t>774.0</w:t>
            </w:r>
          </w:p>
        </w:tc>
        <w:tc>
          <w:tcPr>
            <w:tcW w:w="340" w:type="dxa"/>
            <w:vAlign w:val="bottom"/>
            <w:tcBorders>
              <w:bottom w:val="single" w:sz="8" w:color="E5FFFF"/>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40" w:type="dxa"/>
            <w:vAlign w:val="bottom"/>
            <w:gridSpan w:val="5"/>
          </w:tcPr>
          <w:p>
            <w:pPr>
              <w:spacing w:after="0"/>
              <w:rPr>
                <w:sz w:val="20"/>
                <w:szCs w:val="20"/>
                <w:color w:val="auto"/>
              </w:rPr>
            </w:pPr>
            <w:r>
              <w:rPr>
                <w:rFonts w:ascii="Arial" w:cs="Arial" w:eastAsia="Arial" w:hAnsi="Arial"/>
                <w:sz w:val="18"/>
                <w:szCs w:val="18"/>
                <w:color w:val="auto"/>
              </w:rPr>
              <w:t>Earnings per share of common stock</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3.51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six months ended June 30, 2017, the weighted average number of stock options excluded from the computations were 5.0 million and 3.5 million. For the three and six months ended June 30, 2016, the weighted average number of stock options excluded from the computations were 6.7 million and 7.6 million. These stock options were outstanding at the end of each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77"/>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Trade</w:t>
            </w:r>
          </w:p>
        </w:tc>
        <w:tc>
          <w:tcPr>
            <w:tcW w:w="18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8,641</w:t>
            </w:r>
          </w:p>
        </w:tc>
        <w:tc>
          <w:tcPr>
            <w:tcW w:w="4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 Allowance for doubtful accounts</w:t>
            </w:r>
          </w:p>
        </w:tc>
        <w:tc>
          <w:tcPr>
            <w:tcW w:w="16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5FFFF"/>
          </w:tcPr>
          <w:p>
            <w:pPr>
              <w:spacing w:after="0"/>
              <w:rPr>
                <w:sz w:val="18"/>
                <w:szCs w:val="18"/>
                <w:color w:val="auto"/>
              </w:rPr>
            </w:pPr>
          </w:p>
        </w:tc>
        <w:tc>
          <w:tcPr>
            <w:tcW w:w="18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17"/>
              <w:spacing w:after="0"/>
              <w:rPr>
                <w:sz w:val="20"/>
                <w:szCs w:val="20"/>
                <w:color w:val="auto"/>
              </w:rPr>
            </w:pPr>
            <w:r>
              <w:rPr>
                <w:rFonts w:ascii="Arial" w:cs="Arial" w:eastAsia="Arial" w:hAnsi="Arial"/>
                <w:sz w:val="18"/>
                <w:szCs w:val="18"/>
                <w:color w:val="auto"/>
              </w:rPr>
              <w:t>8,442</w:t>
            </w:r>
          </w:p>
        </w:tc>
        <w:tc>
          <w:tcPr>
            <w:tcW w:w="4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E5FFFF"/>
            </w:tcBorders>
          </w:tcPr>
          <w:p>
            <w:pPr>
              <w:spacing w:after="0" w:line="20" w:lineRule="exact"/>
              <w:rPr>
                <w:sz w:val="1"/>
                <w:szCs w:val="1"/>
                <w:color w:val="auto"/>
              </w:rPr>
            </w:pPr>
          </w:p>
        </w:tc>
        <w:tc>
          <w:tcPr>
            <w:tcW w:w="16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Trade receivables include $1,728 million and $1,626 million of unbilled balances under long-term contracts as of June 30, 2017 and December 31, 2016. These amounts are billed in accordance with the terms of the customer contracts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vMerge w:val="restart"/>
          </w:tcPr>
          <w:p>
            <w:pPr>
              <w:spacing w:after="0"/>
              <w:rPr>
                <w:sz w:val="13"/>
                <w:szCs w:val="13"/>
                <w:color w:val="auto"/>
              </w:rPr>
            </w:pPr>
          </w:p>
        </w:tc>
        <w:tc>
          <w:tcPr>
            <w:tcW w:w="33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33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Raw materials</w:t>
            </w:r>
          </w:p>
        </w:tc>
        <w:tc>
          <w:tcPr>
            <w:tcW w:w="31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1,187</w:t>
            </w:r>
          </w:p>
        </w:tc>
        <w:tc>
          <w:tcPr>
            <w:tcW w:w="4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1,104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775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8"/>
                <w:szCs w:val="18"/>
                <w:color w:val="auto"/>
              </w:rPr>
              <w:t>Finished products</w:t>
            </w:r>
          </w:p>
        </w:tc>
        <w:tc>
          <w:tcPr>
            <w:tcW w:w="29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2,707</w:t>
            </w:r>
          </w:p>
        </w:tc>
        <w:tc>
          <w:tcPr>
            <w:tcW w:w="2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4,689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4,431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E5FFFF"/>
          </w:tcPr>
          <w:p>
            <w:pPr>
              <w:spacing w:after="0"/>
              <w:rPr>
                <w:sz w:val="20"/>
                <w:szCs w:val="20"/>
                <w:color w:val="auto"/>
              </w:rPr>
            </w:pPr>
            <w:r>
              <w:rPr>
                <w:rFonts w:ascii="Arial" w:cs="Arial" w:eastAsia="Arial" w:hAnsi="Arial"/>
                <w:sz w:val="18"/>
                <w:szCs w:val="18"/>
                <w:color w:val="auto"/>
              </w:rPr>
              <w:t>Reduction to LIFO cost basis</w:t>
            </w:r>
          </w:p>
        </w:tc>
        <w:tc>
          <w:tcPr>
            <w:tcW w:w="29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4,651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900" w:type="dxa"/>
            <w:vAlign w:val="bottom"/>
            <w:vMerge w:val="restart"/>
          </w:tcPr>
          <w:p>
            <w:pPr>
              <w:jc w:val="right"/>
              <w:ind w:right="153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c>
          <w:tcPr>
            <w:tcW w:w="29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and Credit Agreements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7220" w:type="dxa"/>
            <w:vAlign w:val="bottom"/>
            <w:tcBorders>
              <w:bottom w:val="single" w:sz="8" w:color="E5FFFF"/>
            </w:tcBorders>
          </w:tcPr>
          <w:p>
            <w:pPr>
              <w:spacing w:after="0"/>
              <w:rPr>
                <w:sz w:val="17"/>
                <w:szCs w:val="17"/>
                <w:color w:val="auto"/>
              </w:rPr>
            </w:pPr>
          </w:p>
        </w:tc>
        <w:tc>
          <w:tcPr>
            <w:tcW w:w="30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r>
      <w:tr>
        <w:trPr>
          <w:trHeight w:val="196"/>
        </w:trPr>
        <w:tc>
          <w:tcPr>
            <w:tcW w:w="72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Floating rate Euro notes due 2018</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1,140</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1,054</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1.40% notes due 2019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1,250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1,250</w:t>
            </w:r>
          </w:p>
        </w:tc>
      </w:tr>
      <w:tr>
        <w:trPr>
          <w:trHeight w:val="203"/>
        </w:trPr>
        <w:tc>
          <w:tcPr>
            <w:tcW w:w="7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Floating rate notes due 2019</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250</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250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0.65% Euro notes due 2020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1,140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1,054</w:t>
            </w:r>
          </w:p>
        </w:tc>
      </w:tr>
      <w:tr>
        <w:trPr>
          <w:trHeight w:val="203"/>
        </w:trPr>
        <w:tc>
          <w:tcPr>
            <w:tcW w:w="7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1.85% notes due 2021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7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1.30% Euro notes due 2023</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1,426</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1,317</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3.35% notes due 2023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w:t>
            </w:r>
          </w:p>
        </w:tc>
      </w:tr>
      <w:tr>
        <w:trPr>
          <w:trHeight w:val="203"/>
        </w:trPr>
        <w:tc>
          <w:tcPr>
            <w:tcW w:w="7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2.50% notes due 2026</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1,500</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2.25% Euro notes due 2028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790</w:t>
            </w:r>
          </w:p>
        </w:tc>
      </w:tr>
      <w:tr>
        <w:trPr>
          <w:trHeight w:val="203"/>
        </w:trPr>
        <w:tc>
          <w:tcPr>
            <w:tcW w:w="7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r>
      <w:tr>
        <w:trPr>
          <w:trHeight w:val="203"/>
        </w:trPr>
        <w:tc>
          <w:tcPr>
            <w:tcW w:w="7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r>
      <w:tr>
        <w:trPr>
          <w:trHeight w:val="202"/>
        </w:trPr>
        <w:tc>
          <w:tcPr>
            <w:tcW w:w="7220" w:type="dxa"/>
            <w:vAlign w:val="bottom"/>
          </w:tcPr>
          <w:p>
            <w:pPr>
              <w:spacing w:after="0" w:line="201" w:lineRule="exact"/>
              <w:rPr>
                <w:sz w:val="20"/>
                <w:szCs w:val="20"/>
                <w:color w:val="auto"/>
              </w:rPr>
            </w:pPr>
            <w:r>
              <w:rPr>
                <w:rFonts w:ascii="Arial" w:cs="Arial" w:eastAsia="Arial" w:hAnsi="Arial"/>
                <w:sz w:val="18"/>
                <w:szCs w:val="18"/>
                <w:color w:val="auto"/>
              </w:rPr>
              <w:t>Industrial development bond obligations, floating rate maturing at various dates through</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220" w:type="dxa"/>
            <w:vAlign w:val="bottom"/>
          </w:tcPr>
          <w:p>
            <w:pPr>
              <w:ind w:left="180"/>
              <w:spacing w:after="0" w:line="203" w:lineRule="exact"/>
              <w:rPr>
                <w:sz w:val="20"/>
                <w:szCs w:val="20"/>
                <w:color w:val="auto"/>
              </w:rPr>
            </w:pPr>
            <w:r>
              <w:rPr>
                <w:rFonts w:ascii="Arial" w:cs="Arial" w:eastAsia="Arial" w:hAnsi="Arial"/>
                <w:sz w:val="18"/>
                <w:szCs w:val="18"/>
                <w:color w:val="auto"/>
              </w:rPr>
              <w:t>2037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30</w:t>
            </w:r>
          </w:p>
        </w:tc>
      </w:tr>
      <w:tr>
        <w:trPr>
          <w:trHeight w:val="203"/>
        </w:trPr>
        <w:tc>
          <w:tcPr>
            <w:tcW w:w="7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6.625% debentures due 2028</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9.065% debentures due 2033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r>
      <w:tr>
        <w:trPr>
          <w:trHeight w:val="202"/>
        </w:trPr>
        <w:tc>
          <w:tcPr>
            <w:tcW w:w="72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 0.3% weighted average</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r>
      <w:tr>
        <w:trPr>
          <w:trHeight w:val="217"/>
        </w:trPr>
        <w:tc>
          <w:tcPr>
            <w:tcW w:w="72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maturing at various dates through 2023</w:t>
            </w:r>
          </w:p>
        </w:tc>
        <w:tc>
          <w:tcPr>
            <w:tcW w:w="3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499</w:t>
            </w: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547</w:t>
            </w:r>
          </w:p>
        </w:tc>
      </w:tr>
      <w:tr>
        <w:trPr>
          <w:trHeight w:val="196"/>
        </w:trPr>
        <w:tc>
          <w:tcPr>
            <w:tcW w:w="7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12,707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12,409</w:t>
            </w:r>
          </w:p>
        </w:tc>
      </w:tr>
      <w:tr>
        <w:trPr>
          <w:trHeight w:val="216"/>
        </w:trPr>
        <w:tc>
          <w:tcPr>
            <w:tcW w:w="7220" w:type="dxa"/>
            <w:vAlign w:val="bottom"/>
            <w:shd w:val="clear" w:color="auto" w:fill="E5FFFF"/>
          </w:tcPr>
          <w:p>
            <w:pPr>
              <w:spacing w:after="0"/>
              <w:rPr>
                <w:sz w:val="20"/>
                <w:szCs w:val="20"/>
                <w:color w:val="auto"/>
              </w:rPr>
            </w:pPr>
            <w:r>
              <w:rPr>
                <w:rFonts w:ascii="Arial" w:cs="Arial" w:eastAsia="Arial" w:hAnsi="Arial"/>
                <w:sz w:val="18"/>
                <w:szCs w:val="18"/>
                <w:color w:val="auto"/>
              </w:rPr>
              <w:t>Less: current portion</w:t>
            </w:r>
          </w:p>
        </w:tc>
        <w:tc>
          <w:tcPr>
            <w:tcW w:w="3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(1,378)</w:t>
            </w: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7220" w:type="dxa"/>
            <w:vAlign w:val="bottom"/>
          </w:tcPr>
          <w:p>
            <w:pPr>
              <w:spacing w:after="0"/>
              <w:rPr>
                <w:sz w:val="19"/>
                <w:szCs w:val="19"/>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11,329</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12,182</w:t>
            </w:r>
          </w:p>
        </w:tc>
      </w:tr>
      <w:tr>
        <w:trPr>
          <w:trHeight w:val="20"/>
        </w:trPr>
        <w:tc>
          <w:tcPr>
            <w:tcW w:w="7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April 28, 2017, the Company entered into Amendment No. 3 (Amendment) to the Amended and Restated $4 billion Credit Agreement dated as of July 10, 2015, as amended by Amendment No. 1 dated as of September 30, 2015 and Amendment No. 2 dated as of April 29, 2016 (as so amended, the “Credit Agreement”), with a syndicate of banks. The Credit Agreement is maintained for general corporate purposes. Commitments under the Credit Agreement can be increased pursuant to the terms of the Credit Agreement to an aggregate amount not to exceed $4.5 billion. The Amendment, among other things, extends the Credit Agreement’s termination date from July 10, 2021 to April 28, 2022.</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April 28, 2017, the Company entered into a $1.5 billion 364-Day Credit Agreement (364-Day Credit Agreement) with a syndicate of banks. The 364-Day Credit Agreement is maintained for general corporate purposes.</w:t>
      </w:r>
    </w:p>
    <w:p>
      <w:pPr>
        <w:spacing w:after="0" w:line="18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 full description of the Amendment and 364-Day Credit Agreement can be found in the Company’s Current Report on Form 8-K, dated April 28, 2017.</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borrowings under any of the credit agreements previously described.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 and Fair Value Measures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14, Financial Instruments and Fair Value Measures, of Notes to Consolidated Financial Statements in our 2016 Annual Report on Form 10-K.</w:t>
      </w:r>
    </w:p>
    <w:p>
      <w:pPr>
        <w:spacing w:after="0" w:line="18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3"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75"/>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95"/>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4800" w:type="dxa"/>
            <w:vAlign w:val="bottom"/>
            <w:tcBorders>
              <w:bottom w:val="single" w:sz="8" w:color="E5FFFF"/>
            </w:tcBorders>
          </w:tcPr>
          <w:p>
            <w:pPr>
              <w:spacing w:after="0"/>
              <w:rPr>
                <w:sz w:val="17"/>
                <w:szCs w:val="17"/>
                <w:color w:val="auto"/>
              </w:rPr>
            </w:pPr>
          </w:p>
        </w:tc>
        <w:tc>
          <w:tcPr>
            <w:tcW w:w="148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r>
      <w:tr>
        <w:trPr>
          <w:trHeight w:val="210"/>
        </w:trPr>
        <w:tc>
          <w:tcPr>
            <w:tcW w:w="480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03"/>
        </w:trPr>
        <w:tc>
          <w:tcPr>
            <w:tcW w:w="4800" w:type="dxa"/>
            <w:vAlign w:val="bottom"/>
          </w:tcPr>
          <w:p>
            <w:pPr>
              <w:ind w:left="360"/>
              <w:spacing w:after="0" w:line="202" w:lineRule="exact"/>
              <w:rPr>
                <w:sz w:val="20"/>
                <w:szCs w:val="20"/>
                <w:color w:val="auto"/>
              </w:rPr>
            </w:pPr>
            <w:r>
              <w:rPr>
                <w:rFonts w:ascii="Arial" w:cs="Arial" w:eastAsia="Arial" w:hAnsi="Arial"/>
                <w:sz w:val="18"/>
                <w:szCs w:val="18"/>
                <w:color w:val="auto"/>
              </w:rPr>
              <w:t>Foreign currency exchange contracts</w:t>
            </w:r>
          </w:p>
        </w:tc>
        <w:tc>
          <w:tcPr>
            <w:tcW w:w="1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54</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r>
      <w:tr>
        <w:trPr>
          <w:trHeight w:val="203"/>
        </w:trPr>
        <w:tc>
          <w:tcPr>
            <w:tcW w:w="480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Available for sale investments</w:t>
            </w: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2,072</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1,670</w:t>
            </w:r>
          </w:p>
        </w:tc>
      </w:tr>
      <w:tr>
        <w:trPr>
          <w:trHeight w:val="217"/>
        </w:trPr>
        <w:tc>
          <w:tcPr>
            <w:tcW w:w="4800" w:type="dxa"/>
            <w:vAlign w:val="bottom"/>
          </w:tcPr>
          <w:p>
            <w:pPr>
              <w:ind w:left="360"/>
              <w:spacing w:after="0"/>
              <w:rPr>
                <w:sz w:val="20"/>
                <w:szCs w:val="20"/>
                <w:color w:val="auto"/>
              </w:rPr>
            </w:pPr>
            <w:r>
              <w:rPr>
                <w:rFonts w:ascii="Arial" w:cs="Arial" w:eastAsia="Arial" w:hAnsi="Arial"/>
                <w:sz w:val="18"/>
                <w:szCs w:val="18"/>
                <w:color w:val="auto"/>
              </w:rPr>
              <w:t>Interest rate swap agreements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2"/>
        </w:trPr>
        <w:tc>
          <w:tcPr>
            <w:tcW w:w="4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480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Liabilities:</w:t>
            </w:r>
          </w:p>
        </w:tc>
        <w:tc>
          <w:tcPr>
            <w:tcW w:w="14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03"/>
        </w:trPr>
        <w:tc>
          <w:tcPr>
            <w:tcW w:w="4800" w:type="dxa"/>
            <w:vAlign w:val="bottom"/>
          </w:tcPr>
          <w:p>
            <w:pPr>
              <w:ind w:left="360"/>
              <w:spacing w:after="0" w:line="202" w:lineRule="exact"/>
              <w:rPr>
                <w:sz w:val="20"/>
                <w:szCs w:val="20"/>
                <w:color w:val="auto"/>
              </w:rPr>
            </w:pPr>
            <w:r>
              <w:rPr>
                <w:rFonts w:ascii="Arial" w:cs="Arial" w:eastAsia="Arial" w:hAnsi="Arial"/>
                <w:sz w:val="18"/>
                <w:szCs w:val="18"/>
                <w:color w:val="auto"/>
              </w:rPr>
              <w:t>Foreign currency exchange contracts</w:t>
            </w:r>
          </w:p>
        </w:tc>
        <w:tc>
          <w:tcPr>
            <w:tcW w:w="1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40</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80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Interest rate swap agreements</w:t>
            </w: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44</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w:t>
            </w:r>
          </w:p>
        </w:tc>
      </w:tr>
    </w:tbl>
    <w:p>
      <w:pPr>
        <w:spacing w:after="0" w:line="21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foreign currency exchange contracts and interest rate swap agreements are valued using broker quotations or market transactions in either the listed or over-the-counter markets. These derivative instruments are classified within level 2. The Company holds investments in certificates of deposits, time deposits and commercial paper that are designated as available for sale and are valued using published prices based on observable market data.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accounts receivable, payables, commercial paper and short-term borrowings contained in the Consolidated Balance Sheet approximates fair value. The following table sets forth the Company’s financial assets and liabilities that were not carried at fair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 2017</w:t>
            </w:r>
          </w:p>
        </w:tc>
        <w:tc>
          <w:tcPr>
            <w:tcW w:w="9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 2016</w:t>
            </w:r>
          </w:p>
        </w:tc>
        <w:tc>
          <w:tcPr>
            <w:tcW w:w="860" w:type="dxa"/>
            <w:vAlign w:val="bottom"/>
            <w:tcBorders>
              <w:bottom w:val="single" w:sz="8" w:color="auto"/>
            </w:tcBorders>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321"/>
              <w:spacing w:after="0" w:line="156"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jc w:val="right"/>
              <w:ind w:right="459"/>
              <w:spacing w:after="0" w:line="156"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01"/>
              <w:spacing w:after="0" w:line="156"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ind w:right="459"/>
              <w:spacing w:after="0" w:line="156" w:lineRule="exact"/>
              <w:rPr>
                <w:sz w:val="20"/>
                <w:szCs w:val="20"/>
                <w:color w:val="auto"/>
              </w:rPr>
            </w:pPr>
            <w:r>
              <w:rPr>
                <w:rFonts w:ascii="Arial" w:cs="Arial" w:eastAsia="Arial" w:hAnsi="Arial"/>
                <w:sz w:val="14"/>
                <w:szCs w:val="14"/>
                <w:b w:val="1"/>
                <w:bCs w:val="1"/>
                <w:color w:val="auto"/>
              </w:rPr>
              <w:t>Fair</w:t>
            </w:r>
          </w:p>
        </w:tc>
      </w:tr>
      <w:tr>
        <w:trPr>
          <w:trHeight w:val="175"/>
        </w:trPr>
        <w:tc>
          <w:tcPr>
            <w:tcW w:w="4360" w:type="dxa"/>
            <w:vAlign w:val="bottom"/>
            <w:tcBorders>
              <w:bottom w:val="single" w:sz="8" w:color="E5FFFF"/>
            </w:tcBorders>
          </w:tcPr>
          <w:p>
            <w:pPr>
              <w:spacing w:after="0"/>
              <w:rPr>
                <w:sz w:val="15"/>
                <w:szCs w:val="15"/>
                <w:color w:val="auto"/>
              </w:rPr>
            </w:pPr>
          </w:p>
        </w:tc>
        <w:tc>
          <w:tcPr>
            <w:tcW w:w="58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E5FF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36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249</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238</w:t>
            </w: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280</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273</w:t>
            </w:r>
          </w:p>
        </w:tc>
      </w:tr>
      <w:tr>
        <w:trPr>
          <w:trHeight w:val="203"/>
        </w:trPr>
        <w:tc>
          <w:tcPr>
            <w:tcW w:w="43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17"/>
        </w:trPr>
        <w:tc>
          <w:tcPr>
            <w:tcW w:w="436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12,707</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13,403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12,409</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13,008</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188"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six months ended June 30, 2017, we recognized $9 million of gains and $2 million of losses in earnings on interest rate swap agreements. For the three and six months ended June 30, 2016, we recognized $8 million and $37 million of gains in earnings on interest rate swap agreements. Gains and losses are fully offset by losses and gains on the underlying debt being hedged.</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also economically hedge our exposure to changes in foreign exchange rates primarily with forward contracts. These contracts are marked-to-market with the resulting gains and losses recognized in earnings offsetting the gains and losses on the non-functional currency denominated monetary assets and liabilities being hedged. We recognized $84 million and $118 million of expense in Other (income) expense for the three and six months ended June 30, 2017. We recognized $122 million and $90 million of income in Other (income) expense for the three and six months ended June 30, 2016.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by Component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1"/>
        </w:trPr>
        <w:tc>
          <w:tcPr>
            <w:tcW w:w="470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Hedges</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7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2016</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(1,944)</w:t>
            </w: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(879)</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rPr>
              <w:t>109</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(2,714)</w:t>
            </w: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700" w:type="dxa"/>
            <w:vAlign w:val="bottom"/>
          </w:tcPr>
          <w:p>
            <w:pPr>
              <w:ind w:left="360"/>
              <w:spacing w:after="0" w:line="203" w:lineRule="exact"/>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38"/>
              <w:spacing w:after="0" w:line="203" w:lineRule="exact"/>
              <w:rPr>
                <w:sz w:val="20"/>
                <w:szCs w:val="20"/>
                <w:color w:val="auto"/>
              </w:rPr>
            </w:pPr>
            <w:r>
              <w:rPr>
                <w:rFonts w:ascii="Arial" w:cs="Arial" w:eastAsia="Arial" w:hAnsi="Arial"/>
                <w:sz w:val="18"/>
                <w:szCs w:val="18"/>
                <w:color w:val="auto"/>
              </w:rPr>
              <w:t>56</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(62)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(52)</w:t>
            </w:r>
          </w:p>
        </w:tc>
      </w:tr>
      <w:tr>
        <w:trPr>
          <w:trHeight w:val="202"/>
        </w:trPr>
        <w:tc>
          <w:tcPr>
            <w:tcW w:w="470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r>
      <w:tr>
        <w:trPr>
          <w:trHeight w:val="217"/>
        </w:trPr>
        <w:tc>
          <w:tcPr>
            <w:tcW w:w="470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470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56</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10"/>
        </w:trPr>
        <w:tc>
          <w:tcPr>
            <w:tcW w:w="470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June 30, 2017</w:t>
            </w:r>
          </w:p>
        </w:tc>
        <w:tc>
          <w:tcPr>
            <w:tcW w:w="4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(1,888)</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(952)</w:t>
            </w:r>
          </w:p>
        </w:tc>
        <w:tc>
          <w:tcPr>
            <w:tcW w:w="5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9"/>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(2,837)</w:t>
            </w:r>
          </w:p>
        </w:tc>
      </w:tr>
      <w:tr>
        <w:trPr>
          <w:trHeight w:val="20"/>
        </w:trPr>
        <w:tc>
          <w:tcPr>
            <w:tcW w:w="47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28"/>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1"/>
        </w:trPr>
        <w:tc>
          <w:tcPr>
            <w:tcW w:w="470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Hedges</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7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2015</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(1,892)</w:t>
            </w: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(644)</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(2,535)</w:t>
            </w: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700" w:type="dxa"/>
            <w:vAlign w:val="bottom"/>
          </w:tcPr>
          <w:p>
            <w:pPr>
              <w:ind w:left="360"/>
              <w:spacing w:after="0" w:line="203" w:lineRule="exact"/>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38"/>
              <w:spacing w:after="0" w:line="203" w:lineRule="exact"/>
              <w:rPr>
                <w:sz w:val="20"/>
                <w:szCs w:val="20"/>
                <w:color w:val="auto"/>
              </w:rPr>
            </w:pPr>
            <w:r>
              <w:rPr>
                <w:rFonts w:ascii="Arial" w:cs="Arial" w:eastAsia="Arial" w:hAnsi="Arial"/>
                <w:sz w:val="18"/>
                <w:szCs w:val="18"/>
                <w:color w:val="auto"/>
              </w:rPr>
              <w:t>48</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9"/>
              <w:spacing w:after="0" w:line="203" w:lineRule="exact"/>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3"/>
              <w:spacing w:after="0" w:line="203" w:lineRule="exact"/>
              <w:rPr>
                <w:sz w:val="20"/>
                <w:szCs w:val="20"/>
                <w:color w:val="auto"/>
              </w:rPr>
            </w:pPr>
            <w:r>
              <w:rPr>
                <w:rFonts w:ascii="Arial" w:cs="Arial" w:eastAsia="Arial" w:hAnsi="Arial"/>
                <w:sz w:val="18"/>
                <w:szCs w:val="18"/>
                <w:color w:val="auto"/>
              </w:rPr>
              <w:t>54</w:t>
            </w:r>
          </w:p>
        </w:tc>
      </w:tr>
      <w:tr>
        <w:trPr>
          <w:trHeight w:val="202"/>
        </w:trPr>
        <w:tc>
          <w:tcPr>
            <w:tcW w:w="470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r>
      <w:tr>
        <w:trPr>
          <w:trHeight w:val="217"/>
        </w:trPr>
        <w:tc>
          <w:tcPr>
            <w:tcW w:w="470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39"/>
              <w:spacing w:after="0"/>
              <w:rPr>
                <w:sz w:val="20"/>
                <w:szCs w:val="20"/>
                <w:color w:val="auto"/>
              </w:rPr>
            </w:pPr>
            <w:r>
              <w:rPr>
                <w:rFonts w:ascii="Arial" w:cs="Arial" w:eastAsia="Arial" w:hAnsi="Arial"/>
                <w:sz w:val="18"/>
                <w:szCs w:val="18"/>
                <w:color w:val="auto"/>
              </w:rPr>
              <w:t>13</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470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48</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19</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36</w:t>
            </w:r>
          </w:p>
        </w:tc>
      </w:tr>
      <w:tr>
        <w:trPr>
          <w:trHeight w:val="210"/>
        </w:trPr>
        <w:tc>
          <w:tcPr>
            <w:tcW w:w="470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June 30, 2016</w:t>
            </w:r>
          </w:p>
        </w:tc>
        <w:tc>
          <w:tcPr>
            <w:tcW w:w="4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(1,844)</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(675)</w:t>
            </w:r>
          </w:p>
        </w:tc>
        <w:tc>
          <w:tcPr>
            <w:tcW w:w="5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9"/>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(2,499)</w:t>
            </w:r>
          </w:p>
        </w:tc>
      </w:tr>
      <w:tr>
        <w:trPr>
          <w:trHeight w:val="20"/>
        </w:trPr>
        <w:tc>
          <w:tcPr>
            <w:tcW w:w="47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418"/>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7"/>
        </w:trPr>
        <w:tc>
          <w:tcPr>
            <w:tcW w:w="47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Financial Data</w:t>
      </w:r>
    </w:p>
    <w:p>
      <w:pPr>
        <w:spacing w:after="0" w:line="220" w:lineRule="exact"/>
        <w:rPr>
          <w:sz w:val="20"/>
          <w:szCs w:val="20"/>
          <w:color w:val="auto"/>
        </w:rPr>
      </w:pPr>
    </w:p>
    <w:p>
      <w:pPr>
        <w:jc w:val="both"/>
        <w:ind w:right="260" w:firstLine="648"/>
        <w:spacing w:after="0" w:line="246"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83"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segment income (loss) before taxes excluding general corporate unallocated expense, other income (expense), interest and other financial charges, stock compensation expense, pension and other postretirement income (expense), and repositioning and other charges.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2940" w:type="dxa"/>
            <w:vAlign w:val="bottom"/>
            <w:tcBorders>
              <w:bottom w:val="single" w:sz="8" w:color="E5FFFF"/>
            </w:tcBorders>
          </w:tcPr>
          <w:p>
            <w:pPr>
              <w:spacing w:after="0"/>
              <w:rPr>
                <w:sz w:val="17"/>
                <w:szCs w:val="17"/>
                <w:color w:val="auto"/>
              </w:rPr>
            </w:pPr>
          </w:p>
        </w:tc>
        <w:tc>
          <w:tcPr>
            <w:tcW w:w="80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E5FF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20" w:type="dxa"/>
            <w:vAlign w:val="bottom"/>
            <w:gridSpan w:val="3"/>
            <w:shd w:val="clear" w:color="auto" w:fill="E5FFFF"/>
          </w:tcPr>
          <w:p>
            <w:pPr>
              <w:spacing w:after="0" w:line="170" w:lineRule="exact"/>
              <w:rPr>
                <w:sz w:val="20"/>
                <w:szCs w:val="20"/>
                <w:color w:val="auto"/>
              </w:rPr>
            </w:pPr>
            <w:r>
              <w:rPr>
                <w:rFonts w:ascii="Arial" w:cs="Arial" w:eastAsia="Arial" w:hAnsi="Arial"/>
                <w:sz w:val="18"/>
                <w:szCs w:val="18"/>
                <w:color w:val="auto"/>
              </w:rPr>
              <w:t>Net Sales</w:t>
            </w:r>
          </w:p>
        </w:tc>
        <w:tc>
          <w:tcPr>
            <w:tcW w:w="80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520" w:type="dxa"/>
            <w:vAlign w:val="bottom"/>
            <w:shd w:val="clear" w:color="auto" w:fill="E5FFFF"/>
          </w:tcPr>
          <w:p>
            <w:pPr>
              <w:spacing w:after="0"/>
              <w:rPr>
                <w:sz w:val="14"/>
                <w:szCs w:val="14"/>
                <w:color w:val="auto"/>
              </w:rPr>
            </w:pPr>
          </w:p>
        </w:tc>
        <w:tc>
          <w:tcPr>
            <w:tcW w:w="84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500" w:type="dxa"/>
            <w:vAlign w:val="bottom"/>
            <w:shd w:val="clear" w:color="auto" w:fill="E5FFFF"/>
          </w:tcPr>
          <w:p>
            <w:pPr>
              <w:spacing w:after="0"/>
              <w:rPr>
                <w:sz w:val="14"/>
                <w:szCs w:val="14"/>
                <w:color w:val="auto"/>
              </w:rPr>
            </w:pPr>
          </w:p>
        </w:tc>
        <w:tc>
          <w:tcPr>
            <w:tcW w:w="86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294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1060" w:type="dxa"/>
            <w:vAlign w:val="bottom"/>
            <w:shd w:val="clear" w:color="auto" w:fill="E5FFFF"/>
          </w:tcPr>
          <w:p>
            <w:pPr>
              <w:spacing w:after="0"/>
              <w:rPr>
                <w:sz w:val="2"/>
                <w:szCs w:val="2"/>
                <w:color w:val="auto"/>
              </w:rPr>
            </w:pPr>
          </w:p>
        </w:tc>
        <w:tc>
          <w:tcPr>
            <w:tcW w:w="360" w:type="dxa"/>
            <w:vAlign w:val="bottom"/>
            <w:shd w:val="clear" w:color="auto" w:fill="E5FFFF"/>
          </w:tcPr>
          <w:p>
            <w:pPr>
              <w:spacing w:after="0"/>
              <w:rPr>
                <w:sz w:val="2"/>
                <w:szCs w:val="2"/>
                <w:color w:val="auto"/>
              </w:rPr>
            </w:pPr>
          </w:p>
        </w:tc>
        <w:tc>
          <w:tcPr>
            <w:tcW w:w="520" w:type="dxa"/>
            <w:vAlign w:val="bottom"/>
            <w:shd w:val="clear" w:color="auto" w:fill="E5FFFF"/>
          </w:tcPr>
          <w:p>
            <w:pPr>
              <w:spacing w:after="0"/>
              <w:rPr>
                <w:sz w:val="2"/>
                <w:szCs w:val="2"/>
                <w:color w:val="auto"/>
              </w:rPr>
            </w:pPr>
          </w:p>
        </w:tc>
        <w:tc>
          <w:tcPr>
            <w:tcW w:w="84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300" w:type="dxa"/>
            <w:vAlign w:val="bottom"/>
            <w:shd w:val="clear" w:color="auto" w:fill="E5FFFF"/>
          </w:tcPr>
          <w:p>
            <w:pPr>
              <w:spacing w:after="0"/>
              <w:rPr>
                <w:sz w:val="2"/>
                <w:szCs w:val="2"/>
                <w:color w:val="auto"/>
              </w:rPr>
            </w:pPr>
          </w:p>
        </w:tc>
        <w:tc>
          <w:tcPr>
            <w:tcW w:w="106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500" w:type="dxa"/>
            <w:vAlign w:val="bottom"/>
            <w:shd w:val="clear" w:color="auto" w:fill="E5FFFF"/>
          </w:tcPr>
          <w:p>
            <w:pPr>
              <w:spacing w:after="0"/>
              <w:rPr>
                <w:sz w:val="2"/>
                <w:szCs w:val="2"/>
                <w:color w:val="auto"/>
              </w:rPr>
            </w:pPr>
          </w:p>
        </w:tc>
        <w:tc>
          <w:tcPr>
            <w:tcW w:w="86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Aerospace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112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2,545</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2,556</w:t>
            </w:r>
          </w:p>
        </w:tc>
        <w:tc>
          <w:tcPr>
            <w:tcW w:w="6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4,941</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1,129</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1,223</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2,279</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3,674</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3,779</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7,220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Home and Building Technologies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2,379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2,375</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4,596</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357</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301</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693</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2,736</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2,676</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5,289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Performance Materials and Technologies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1,800</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2,013</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3,474</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439</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421</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834</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2,239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2,434</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4,308</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Safety and Productivity Solutions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1,355</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1,091</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2,608</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1,429</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1,102</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2,753</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10,078</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9,991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19,570</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8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7"/>
              </w:rPr>
              <w:t>Segment Profit</w:t>
            </w:r>
          </w:p>
        </w:tc>
        <w:tc>
          <w:tcPr>
            <w:tcW w:w="2940" w:type="dxa"/>
            <w:vAlign w:val="bottom"/>
            <w:tcBorders>
              <w:bottom w:val="single" w:sz="8" w:color="E5FFFF"/>
            </w:tcBorders>
            <w:shd w:val="clear" w:color="auto" w:fill="E5FFFF"/>
          </w:tcPr>
          <w:p>
            <w:pPr>
              <w:spacing w:after="0"/>
              <w:rPr>
                <w:sz w:val="15"/>
                <w:szCs w:val="15"/>
                <w:color w:val="auto"/>
              </w:rPr>
            </w:pPr>
          </w:p>
        </w:tc>
        <w:tc>
          <w:tcPr>
            <w:tcW w:w="80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6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E5FFFF"/>
            </w:tcBorders>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3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500" w:type="dxa"/>
            <w:vAlign w:val="bottom"/>
            <w:tcBorders>
              <w:bottom w:val="single" w:sz="8" w:color="E5FFFF"/>
            </w:tcBorders>
            <w:shd w:val="clear" w:color="auto" w:fill="E5FFFF"/>
          </w:tcPr>
          <w:p>
            <w:pPr>
              <w:spacing w:after="0"/>
              <w:rPr>
                <w:sz w:val="15"/>
                <w:szCs w:val="15"/>
                <w:color w:val="auto"/>
              </w:rPr>
            </w:pPr>
          </w:p>
        </w:tc>
        <w:tc>
          <w:tcPr>
            <w:tcW w:w="86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819</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791</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1,615</w:t>
            </w:r>
          </w:p>
        </w:tc>
        <w:tc>
          <w:tcPr>
            <w:tcW w:w="32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420</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412</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809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524</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520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995</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214</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173</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408</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Corporate</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80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1,910</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1,847</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3,699</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453"/>
        </w:trPr>
        <w:tc>
          <w:tcPr>
            <w:tcW w:w="4140" w:type="dxa"/>
            <w:vAlign w:val="bottom"/>
            <w:gridSpan w:val="4"/>
          </w:tcPr>
          <w:p>
            <w:pPr>
              <w:spacing w:after="0"/>
              <w:rPr>
                <w:sz w:val="20"/>
                <w:szCs w:val="20"/>
                <w:color w:val="auto"/>
              </w:rPr>
            </w:pPr>
            <w:r>
              <w:rPr>
                <w:rFonts w:ascii="Arial" w:cs="Arial" w:eastAsia="Arial" w:hAnsi="Arial"/>
                <w:sz w:val="18"/>
                <w:szCs w:val="18"/>
                <w:color w:val="auto"/>
              </w:rPr>
              <w:t>Other income (expense)</w:t>
            </w:r>
            <w:r>
              <w:rPr>
                <w:rFonts w:ascii="Arial" w:cs="Arial" w:eastAsia="Arial" w:hAnsi="Arial"/>
                <w:sz w:val="30"/>
                <w:szCs w:val="30"/>
                <w:color w:val="auto"/>
                <w:vertAlign w:val="superscript"/>
              </w:rPr>
              <w:t>(a)</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(85)</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(154)</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363</w:t>
            </w:r>
          </w:p>
        </w:tc>
        <w:tc>
          <w:tcPr>
            <w:tcW w:w="3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spacing w:after="0" w:line="243" w:lineRule="exact"/>
              <w:rPr>
                <w:sz w:val="20"/>
                <w:szCs w:val="20"/>
                <w:color w:val="auto"/>
              </w:rPr>
            </w:pPr>
            <w:r>
              <w:rPr>
                <w:rFonts w:ascii="Arial" w:cs="Arial" w:eastAsia="Arial" w:hAnsi="Arial"/>
                <w:sz w:val="17"/>
                <w:szCs w:val="17"/>
                <w:color w:val="auto"/>
              </w:rPr>
              <w:t>Other postretirement income (expense)</w:t>
            </w:r>
            <w:r>
              <w:rPr>
                <w:rFonts w:ascii="Arial" w:cs="Arial" w:eastAsia="Arial" w:hAnsi="Arial"/>
                <w:sz w:val="28"/>
                <w:szCs w:val="28"/>
                <w:color w:val="auto"/>
                <w:vertAlign w:val="superscript"/>
              </w:rPr>
              <w:t>(b)</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800" w:type="dxa"/>
            <w:vAlign w:val="bottom"/>
            <w:shd w:val="clear" w:color="auto" w:fill="E5FFFF"/>
          </w:tcPr>
          <w:p>
            <w:pPr>
              <w:spacing w:after="0"/>
              <w:rPr>
                <w:sz w:val="22"/>
                <w:szCs w:val="22"/>
                <w:color w:val="auto"/>
              </w:rPr>
            </w:pPr>
          </w:p>
        </w:tc>
        <w:tc>
          <w:tcPr>
            <w:tcW w:w="32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E5FFFF"/>
          </w:tcPr>
          <w:p>
            <w:pPr>
              <w:spacing w:after="0"/>
              <w:rPr>
                <w:sz w:val="22"/>
                <w:szCs w:val="22"/>
                <w:color w:val="auto"/>
              </w:rPr>
            </w:pPr>
          </w:p>
        </w:tc>
        <w:tc>
          <w:tcPr>
            <w:tcW w:w="520" w:type="dxa"/>
            <w:vAlign w:val="bottom"/>
            <w:tcBorders>
              <w:bottom w:val="single" w:sz="8" w:color="auto"/>
            </w:tcBorders>
            <w:shd w:val="clear" w:color="auto" w:fill="E5FFFF"/>
          </w:tcPr>
          <w:p>
            <w:pPr>
              <w:spacing w:after="0"/>
              <w:rPr>
                <w:sz w:val="22"/>
                <w:szCs w:val="22"/>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E5FFFF"/>
          </w:tcPr>
          <w:p>
            <w:pPr>
              <w:spacing w:after="0"/>
              <w:rPr>
                <w:sz w:val="22"/>
                <w:szCs w:val="22"/>
                <w:color w:val="auto"/>
              </w:rPr>
            </w:pPr>
          </w:p>
        </w:tc>
        <w:tc>
          <w:tcPr>
            <w:tcW w:w="500" w:type="dxa"/>
            <w:vAlign w:val="bottom"/>
            <w:tcBorders>
              <w:bottom w:val="single" w:sz="8" w:color="auto"/>
            </w:tcBorders>
            <w:shd w:val="clear" w:color="auto" w:fill="E5FFFF"/>
          </w:tcPr>
          <w:p>
            <w:pPr>
              <w:spacing w:after="0"/>
              <w:rPr>
                <w:sz w:val="22"/>
                <w:szCs w:val="22"/>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3"/>
          </w:tcPr>
          <w:p>
            <w:pPr>
              <w:spacing w:after="0" w:line="197" w:lineRule="exact"/>
              <w:rPr>
                <w:sz w:val="20"/>
                <w:szCs w:val="20"/>
                <w:color w:val="auto"/>
              </w:rPr>
            </w:pPr>
            <w:r>
              <w:rPr>
                <w:rFonts w:ascii="Arial" w:cs="Arial" w:eastAsia="Arial" w:hAnsi="Arial"/>
                <w:sz w:val="18"/>
                <w:szCs w:val="18"/>
                <w:color w:val="auto"/>
              </w:rPr>
              <w:t>Income before taxes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1,778</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1,755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3,502</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income for our significant defined benefit plans include the following components: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U.S. Plans</w:t>
            </w: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4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4"/>
                <w:szCs w:val="14"/>
                <w:b w:val="1"/>
                <w:bCs w:val="1"/>
                <w:color w:val="auto"/>
                <w:w w:val="99"/>
              </w:rPr>
              <w:t>June 30,</w:t>
            </w:r>
          </w:p>
        </w:tc>
        <w:tc>
          <w:tcPr>
            <w:tcW w:w="4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Service cost</w:t>
            </w:r>
          </w:p>
        </w:tc>
        <w:tc>
          <w:tcPr>
            <w:tcW w:w="1740" w:type="dxa"/>
            <w:vAlign w:val="bottom"/>
            <w:gridSpan w:val="2"/>
            <w:shd w:val="clear" w:color="auto" w:fill="E5FFFF"/>
          </w:tcPr>
          <w:p>
            <w:pPr>
              <w:jc w:val="right"/>
              <w:ind w:right="64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43</w:t>
            </w:r>
          </w:p>
        </w:tc>
        <w:tc>
          <w:tcPr>
            <w:tcW w:w="1140" w:type="dxa"/>
            <w:vAlign w:val="bottom"/>
            <w:gridSpan w:val="2"/>
            <w:shd w:val="clear" w:color="auto" w:fill="E5FF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47</w:t>
            </w:r>
          </w:p>
        </w:tc>
        <w:tc>
          <w:tcPr>
            <w:tcW w:w="32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86</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146</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150</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293</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5"/>
              </w:rPr>
              <w:t>(315)</w:t>
            </w:r>
          </w:p>
        </w:tc>
        <w:tc>
          <w:tcPr>
            <w:tcW w:w="3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5"/>
              </w:rPr>
              <w:t>(306)</w:t>
            </w:r>
          </w:p>
        </w:tc>
        <w:tc>
          <w:tcPr>
            <w:tcW w:w="32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(630)</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Amortization of prior service (credit)</w:t>
            </w:r>
          </w:p>
        </w:tc>
        <w:tc>
          <w:tcPr>
            <w:tcW w:w="92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E5FFFF"/>
            </w:tcBorders>
            <w:shd w:val="clear" w:color="auto" w:fill="E5FFFF"/>
          </w:tcPr>
          <w:p>
            <w:pPr>
              <w:spacing w:after="0"/>
              <w:rPr>
                <w:sz w:val="19"/>
                <w:szCs w:val="19"/>
                <w:color w:val="auto"/>
              </w:rPr>
            </w:pPr>
          </w:p>
        </w:tc>
        <w:tc>
          <w:tcPr>
            <w:tcW w:w="920" w:type="dxa"/>
            <w:vAlign w:val="bottom"/>
            <w:tcBorders>
              <w:bottom w:val="single" w:sz="8" w:color="E5FFFF"/>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ind w:right="64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5"/>
              </w:rPr>
              <w:t>(137)</w:t>
            </w:r>
          </w:p>
        </w:tc>
        <w:tc>
          <w:tcPr>
            <w:tcW w:w="320" w:type="dxa"/>
            <w:vAlign w:val="bottom"/>
            <w:tcBorders>
              <w:bottom w:val="single" w:sz="8" w:color="E5FFFF"/>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5"/>
              </w:rPr>
              <w:t>(120)</w:t>
            </w:r>
          </w:p>
        </w:tc>
        <w:tc>
          <w:tcPr>
            <w:tcW w:w="320" w:type="dxa"/>
            <w:vAlign w:val="bottom"/>
            <w:tcBorders>
              <w:bottom w:val="single" w:sz="8" w:color="E5FFFF"/>
            </w:tcBorders>
            <w:shd w:val="clear" w:color="auto" w:fill="E5FFFF"/>
          </w:tcPr>
          <w:p>
            <w:pPr>
              <w:spacing w:after="0"/>
              <w:rPr>
                <w:sz w:val="19"/>
                <w:szCs w:val="19"/>
                <w:color w:val="auto"/>
              </w:rPr>
            </w:pPr>
          </w:p>
        </w:tc>
        <w:tc>
          <w:tcPr>
            <w:tcW w:w="420" w:type="dxa"/>
            <w:vAlign w:val="bottom"/>
            <w:tcBorders>
              <w:bottom w:val="single" w:sz="8" w:color="auto"/>
            </w:tcBorders>
            <w:shd w:val="clear" w:color="auto" w:fill="E5FF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Borders>
              <w:bottom w:val="single" w:sz="8" w:color="E5FFFF"/>
            </w:tcBorders>
            <w:shd w:val="clear" w:color="auto" w:fill="E5FFFF"/>
          </w:tcPr>
          <w:p>
            <w:pPr>
              <w:spacing w:after="0"/>
              <w:rPr>
                <w:sz w:val="19"/>
                <w:szCs w:val="19"/>
                <w:color w:val="auto"/>
              </w:rPr>
            </w:pPr>
          </w:p>
        </w:tc>
        <w:tc>
          <w:tcPr>
            <w:tcW w:w="480" w:type="dxa"/>
            <w:vAlign w:val="bottom"/>
            <w:tcBorders>
              <w:bottom w:val="single" w:sz="8" w:color="auto"/>
            </w:tcBorders>
            <w:shd w:val="clear" w:color="auto" w:fill="E5FF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40" w:type="dxa"/>
            <w:vAlign w:val="bottom"/>
            <w:gridSpan w:val="4"/>
          </w:tcPr>
          <w:p>
            <w:pPr>
              <w:jc w:val="center"/>
              <w:ind w:left="402"/>
              <w:spacing w:after="0" w:line="156" w:lineRule="exact"/>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gridSpan w:val="3"/>
          </w:tcPr>
          <w:p>
            <w:pPr>
              <w:jc w:val="center"/>
              <w:ind w:left="317"/>
              <w:spacing w:after="0" w:line="156" w:lineRule="exact"/>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4"/>
                <w:szCs w:val="14"/>
                <w:b w:val="1"/>
                <w:bCs w:val="1"/>
                <w:color w:val="auto"/>
                <w:w w:val="99"/>
              </w:rPr>
              <w:t>June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Service cost</w:t>
            </w:r>
          </w:p>
        </w:tc>
        <w:tc>
          <w:tcPr>
            <w:tcW w:w="1740" w:type="dxa"/>
            <w:vAlign w:val="bottom"/>
            <w:gridSpan w:val="2"/>
            <w:shd w:val="clear" w:color="auto" w:fill="E5FFFF"/>
          </w:tcPr>
          <w:p>
            <w:pPr>
              <w:jc w:val="right"/>
              <w:ind w:right="64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10</w:t>
            </w:r>
          </w:p>
        </w:tc>
        <w:tc>
          <w:tcPr>
            <w:tcW w:w="1140" w:type="dxa"/>
            <w:vAlign w:val="bottom"/>
            <w:gridSpan w:val="2"/>
            <w:shd w:val="clear" w:color="auto" w:fill="E5FF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13</w:t>
            </w:r>
          </w:p>
        </w:tc>
        <w:tc>
          <w:tcPr>
            <w:tcW w:w="32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19</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37</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72</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5"/>
              </w:rPr>
              <w:t>(102)</w:t>
            </w:r>
          </w:p>
        </w:tc>
        <w:tc>
          <w:tcPr>
            <w:tcW w:w="3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5"/>
              </w:rPr>
              <w:t>(100)</w:t>
            </w:r>
          </w:p>
        </w:tc>
        <w:tc>
          <w:tcPr>
            <w:tcW w:w="32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(201)</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Amortization of prior service (credit)</w:t>
            </w:r>
          </w:p>
        </w:tc>
        <w:tc>
          <w:tcPr>
            <w:tcW w:w="92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shd w:val="clear" w:color="auto" w:fill="E5FFFF"/>
          </w:tcPr>
          <w:p>
            <w:pPr>
              <w:spacing w:after="0"/>
              <w:rPr>
                <w:sz w:val="19"/>
                <w:szCs w:val="19"/>
                <w:color w:val="auto"/>
              </w:rPr>
            </w:pPr>
          </w:p>
        </w:tc>
        <w:tc>
          <w:tcPr>
            <w:tcW w:w="1740" w:type="dxa"/>
            <w:vAlign w:val="bottom"/>
            <w:gridSpan w:val="2"/>
            <w:shd w:val="clear" w:color="auto" w:fill="E5FFFF"/>
          </w:tcPr>
          <w:p>
            <w:pPr>
              <w:jc w:val="right"/>
              <w:ind w:right="64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(55)</w:t>
            </w:r>
          </w:p>
        </w:tc>
        <w:tc>
          <w:tcPr>
            <w:tcW w:w="1140" w:type="dxa"/>
            <w:vAlign w:val="bottom"/>
            <w:gridSpan w:val="2"/>
            <w:shd w:val="clear" w:color="auto" w:fill="E5FF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E5FFFF"/>
          </w:tcPr>
          <w:p>
            <w:pPr>
              <w:spacing w:after="0"/>
              <w:rPr>
                <w:sz w:val="19"/>
                <w:szCs w:val="19"/>
                <w:color w:val="auto"/>
              </w:rPr>
            </w:pPr>
          </w:p>
        </w:tc>
        <w:tc>
          <w:tcPr>
            <w:tcW w:w="4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E5FFFF"/>
          </w:tcPr>
          <w:p>
            <w:pPr>
              <w:spacing w:after="0"/>
              <w:rPr>
                <w:sz w:val="19"/>
                <w:szCs w:val="19"/>
                <w:color w:val="auto"/>
              </w:rPr>
            </w:pPr>
          </w:p>
        </w:tc>
        <w:tc>
          <w:tcPr>
            <w:tcW w:w="480" w:type="dxa"/>
            <w:vAlign w:val="bottom"/>
            <w:shd w:val="clear" w:color="auto" w:fill="E5FF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environmental matters are described in Note 19 Commitments and Contingencies of Notes to Consolidated Financial Statements in our 2016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126365</wp:posOffset>
            </wp:positionV>
            <wp:extent cx="11918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1895" cy="137160"/>
                    </a:xfrm>
                    <a:prstGeom prst="rect">
                      <a:avLst/>
                    </a:prstGeom>
                    <a:noFill/>
                  </pic:spPr>
                </pic:pic>
              </a:graphicData>
            </a:graphic>
          </wp:anchor>
        </w:drawing>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24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2016</w:t>
            </w:r>
          </w:p>
        </w:tc>
        <w:tc>
          <w:tcPr>
            <w:tcW w:w="108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511</w:t>
            </w:r>
          </w:p>
        </w:tc>
        <w:tc>
          <w:tcPr>
            <w:tcW w:w="1880" w:type="dxa"/>
            <w:vAlign w:val="bottom"/>
            <w:shd w:val="clear" w:color="auto" w:fill="E5FFFF"/>
          </w:tcPr>
          <w:p>
            <w:pPr>
              <w:spacing w:after="0"/>
              <w:rPr>
                <w:sz w:val="18"/>
                <w:szCs w:val="18"/>
                <w:color w:val="auto"/>
              </w:rPr>
            </w:pPr>
          </w:p>
        </w:tc>
      </w:tr>
      <w:tr>
        <w:trPr>
          <w:trHeight w:val="202"/>
        </w:trPr>
        <w:tc>
          <w:tcPr>
            <w:tcW w:w="4240" w:type="dxa"/>
            <w:vAlign w:val="bottom"/>
          </w:tcPr>
          <w:p>
            <w:pPr>
              <w:ind w:left="180"/>
              <w:spacing w:after="0" w:line="201" w:lineRule="exact"/>
              <w:rPr>
                <w:sz w:val="20"/>
                <w:szCs w:val="20"/>
                <w:color w:val="auto"/>
              </w:rPr>
            </w:pPr>
            <w:r>
              <w:rPr>
                <w:rFonts w:ascii="Arial" w:cs="Arial" w:eastAsia="Arial" w:hAnsi="Arial"/>
                <w:sz w:val="18"/>
                <w:szCs w:val="18"/>
                <w:color w:val="auto"/>
              </w:rPr>
              <w:t>Accruals for environmental matters deemed</w:t>
            </w: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4240" w:type="dxa"/>
            <w:vAlign w:val="bottom"/>
          </w:tcPr>
          <w:p>
            <w:pPr>
              <w:ind w:left="360"/>
              <w:spacing w:after="0" w:line="203" w:lineRule="exact"/>
              <w:rPr>
                <w:sz w:val="20"/>
                <w:szCs w:val="20"/>
                <w:color w:val="auto"/>
              </w:rPr>
            </w:pPr>
            <w:r>
              <w:rPr>
                <w:rFonts w:ascii="Arial" w:cs="Arial" w:eastAsia="Arial" w:hAnsi="Arial"/>
                <w:sz w:val="18"/>
                <w:szCs w:val="18"/>
                <w:color w:val="auto"/>
              </w:rPr>
              <w:t>probable and reasonably estimable</w:t>
            </w: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105</w:t>
            </w:r>
          </w:p>
        </w:tc>
        <w:tc>
          <w:tcPr>
            <w:tcW w:w="1880" w:type="dxa"/>
            <w:vAlign w:val="bottom"/>
          </w:tcPr>
          <w:p>
            <w:pPr>
              <w:spacing w:after="0"/>
              <w:rPr>
                <w:sz w:val="17"/>
                <w:szCs w:val="17"/>
                <w:color w:val="auto"/>
              </w:rPr>
            </w:pPr>
          </w:p>
        </w:tc>
      </w:tr>
      <w:tr>
        <w:trPr>
          <w:trHeight w:val="216"/>
        </w:trPr>
        <w:tc>
          <w:tcPr>
            <w:tcW w:w="42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Environmental liability payments</w:t>
            </w:r>
          </w:p>
        </w:tc>
        <w:tc>
          <w:tcPr>
            <w:tcW w:w="58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(70)</w:t>
            </w:r>
          </w:p>
        </w:tc>
        <w:tc>
          <w:tcPr>
            <w:tcW w:w="1880" w:type="dxa"/>
            <w:vAlign w:val="bottom"/>
            <w:shd w:val="clear" w:color="auto" w:fill="E5FFFF"/>
          </w:tcPr>
          <w:p>
            <w:pPr>
              <w:spacing w:after="0"/>
              <w:rPr>
                <w:sz w:val="18"/>
                <w:szCs w:val="18"/>
                <w:color w:val="auto"/>
              </w:rPr>
            </w:pPr>
          </w:p>
        </w:tc>
      </w:tr>
      <w:tr>
        <w:trPr>
          <w:trHeight w:val="216"/>
        </w:trPr>
        <w:tc>
          <w:tcPr>
            <w:tcW w:w="42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80" w:type="dxa"/>
            <w:vAlign w:val="bottom"/>
            <w:tcBorders>
              <w:bottom w:val="single" w:sz="8" w:color="E5FFFF"/>
            </w:tcBorders>
          </w:tcPr>
          <w:p>
            <w:pPr>
              <w:spacing w:after="0"/>
              <w:rPr>
                <w:sz w:val="18"/>
                <w:szCs w:val="18"/>
                <w:color w:val="auto"/>
              </w:rPr>
            </w:pPr>
          </w:p>
        </w:tc>
      </w:tr>
      <w:tr>
        <w:trPr>
          <w:trHeight w:val="210"/>
        </w:trPr>
        <w:tc>
          <w:tcPr>
            <w:tcW w:w="424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June 30, 2017</w:t>
            </w:r>
          </w:p>
        </w:tc>
        <w:tc>
          <w:tcPr>
            <w:tcW w:w="108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554</w:t>
            </w:r>
          </w:p>
        </w:tc>
        <w:tc>
          <w:tcPr>
            <w:tcW w:w="1880" w:type="dxa"/>
            <w:vAlign w:val="bottom"/>
            <w:shd w:val="clear" w:color="auto" w:fill="E5FFFF"/>
          </w:tcPr>
          <w:p>
            <w:pPr>
              <w:spacing w:after="0"/>
              <w:rPr>
                <w:sz w:val="18"/>
                <w:szCs w:val="18"/>
                <w:color w:val="auto"/>
              </w:rPr>
            </w:pPr>
          </w:p>
        </w:tc>
      </w:tr>
      <w:tr>
        <w:trPr>
          <w:trHeight w:val="20"/>
        </w:trPr>
        <w:tc>
          <w:tcPr>
            <w:tcW w:w="424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E5FF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-445135</wp:posOffset>
            </wp:positionV>
            <wp:extent cx="119189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1895" cy="13716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-170815</wp:posOffset>
            </wp:positionV>
            <wp:extent cx="119189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15430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40" w:type="dxa"/>
            <w:vAlign w:val="bottom"/>
          </w:tcPr>
          <w:p>
            <w:pPr>
              <w:jc w:val="right"/>
              <w:ind w:right="77"/>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2640" w:type="dxa"/>
            <w:vAlign w:val="bottom"/>
            <w:tcBorders>
              <w:bottom w:val="single" w:sz="8" w:color="E5FFFF"/>
            </w:tcBorders>
          </w:tcPr>
          <w:p>
            <w:pPr>
              <w:spacing w:after="0"/>
              <w:rPr>
                <w:sz w:val="18"/>
                <w:szCs w:val="18"/>
                <w:color w:val="auto"/>
              </w:rPr>
            </w:pPr>
          </w:p>
        </w:tc>
        <w:tc>
          <w:tcPr>
            <w:tcW w:w="21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6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214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252</w:t>
            </w:r>
          </w:p>
        </w:tc>
        <w:tc>
          <w:tcPr>
            <w:tcW w:w="64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liabilities</w:t>
            </w:r>
          </w:p>
        </w:tc>
        <w:tc>
          <w:tcPr>
            <w:tcW w:w="21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64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40" w:type="dxa"/>
            <w:vAlign w:val="bottom"/>
            <w:shd w:val="clear" w:color="auto" w:fill="E5FFFF"/>
          </w:tcPr>
          <w:p>
            <w:pPr>
              <w:spacing w:after="0"/>
              <w:rPr>
                <w:sz w:val="19"/>
                <w:szCs w:val="19"/>
                <w:color w:val="auto"/>
              </w:rPr>
            </w:pPr>
          </w:p>
        </w:tc>
        <w:tc>
          <w:tcPr>
            <w:tcW w:w="238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554</w:t>
            </w:r>
          </w:p>
        </w:tc>
        <w:tc>
          <w:tcPr>
            <w:tcW w:w="640" w:type="dxa"/>
            <w:vAlign w:val="bottom"/>
            <w:shd w:val="clear" w:color="auto" w:fill="E5FFFF"/>
          </w:tcPr>
          <w:p>
            <w:pPr>
              <w:spacing w:after="0"/>
              <w:rPr>
                <w:sz w:val="19"/>
                <w:szCs w:val="19"/>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Borders>
              <w:top w:val="single" w:sz="8" w:color="E5FFFF"/>
            </w:tcBorders>
          </w:tcPr>
          <w:p>
            <w:pPr>
              <w:spacing w:after="0" w:line="20" w:lineRule="exact"/>
              <w:rPr>
                <w:sz w:val="1"/>
                <w:szCs w:val="1"/>
                <w:color w:val="auto"/>
              </w:rPr>
            </w:pPr>
          </w:p>
        </w:tc>
        <w:tc>
          <w:tcPr>
            <w:tcW w:w="2140" w:type="dxa"/>
            <w:vAlign w:val="bottom"/>
            <w:tcBorders>
              <w:top w:val="single" w:sz="8" w:color="E5FFFF"/>
              <w:bottom w:val="single" w:sz="8" w:color="E5FFFF"/>
            </w:tcBorders>
            <w:vMerge w:val="restart"/>
          </w:tcPr>
          <w:p>
            <w:pPr>
              <w:jc w:val="right"/>
              <w:ind w:right="59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0C0C0"/>
            </w:tcBorders>
          </w:tcPr>
          <w:p>
            <w:pPr>
              <w:spacing w:after="0"/>
              <w:rPr>
                <w:sz w:val="20"/>
                <w:szCs w:val="20"/>
                <w:color w:val="auto"/>
              </w:rPr>
            </w:pPr>
          </w:p>
        </w:tc>
        <w:tc>
          <w:tcPr>
            <w:tcW w:w="2640" w:type="dxa"/>
            <w:vAlign w:val="bottom"/>
            <w:tcBorders>
              <w:bottom w:val="single" w:sz="8" w:color="C0C0C0"/>
            </w:tcBorders>
          </w:tcPr>
          <w:p>
            <w:pPr>
              <w:spacing w:after="0"/>
              <w:rPr>
                <w:sz w:val="20"/>
                <w:szCs w:val="20"/>
                <w:color w:val="auto"/>
              </w:rPr>
            </w:pPr>
          </w:p>
        </w:tc>
        <w:tc>
          <w:tcPr>
            <w:tcW w:w="2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6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6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—In 2016, we largely completed a dredging/capping remedy of Onondaga Lake pursuant to a consent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decree approved by the United States District Court for the Northern District of New York in January 2007. Some additional long-term monitoring and maintenance activities will continue, as required by the consent decree. Honeywell is also conducting remedial investigations and activities at other sites in Syracuse. We have recorded reserves for these investigations and activities where appropriate.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these sites. It is not possible to predict the outcome or duration of this assessment, or the amounts of, or responsibility for, any damages.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98" w:lineRule="exact"/>
        <w:rPr>
          <w:sz w:val="20"/>
          <w:szCs w:val="20"/>
          <w:color w:val="auto"/>
        </w:rPr>
      </w:pPr>
    </w:p>
    <w:p>
      <w:pPr>
        <w:jc w:val="both"/>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202" w:lineRule="exact"/>
        <w:rPr>
          <w:rFonts w:ascii="Arial" w:cs="Arial" w:eastAsia="Arial" w:hAnsi="Arial"/>
          <w:sz w:val="18"/>
          <w:szCs w:val="18"/>
          <w:color w:val="auto"/>
        </w:rPr>
      </w:pPr>
    </w:p>
    <w:p>
      <w:pPr>
        <w:jc w:val="both"/>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gridSpan w:val="4"/>
          </w:tcPr>
          <w:p>
            <w:pPr>
              <w:ind w:left="660"/>
              <w:spacing w:after="0"/>
              <w:rPr>
                <w:sz w:val="20"/>
                <w:szCs w:val="20"/>
                <w:color w:val="auto"/>
              </w:rPr>
            </w:pPr>
            <w:r>
              <w:rPr>
                <w:rFonts w:ascii="Arial" w:cs="Arial" w:eastAsia="Arial" w:hAnsi="Arial"/>
                <w:sz w:val="14"/>
                <w:szCs w:val="14"/>
                <w:b w:val="1"/>
                <w:bCs w:val="1"/>
                <w:color w:val="auto"/>
              </w:rPr>
              <w:t>Asbestos Related Liabilities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Bendix</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NARCO</w:t>
            </w:r>
          </w:p>
        </w:tc>
        <w:tc>
          <w:tcPr>
            <w:tcW w:w="260" w:type="dxa"/>
            <w:vAlign w:val="bottom"/>
          </w:tcPr>
          <w:p>
            <w:pPr>
              <w:spacing w:after="0"/>
              <w:rPr>
                <w:sz w:val="24"/>
                <w:szCs w:val="24"/>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66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2016</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641</w:t>
            </w:r>
          </w:p>
        </w:tc>
        <w:tc>
          <w:tcPr>
            <w:tcW w:w="4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919</w:t>
            </w:r>
          </w:p>
        </w:tc>
        <w:tc>
          <w:tcPr>
            <w:tcW w:w="4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1,560</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6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6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Asbestos related liability payments</w:t>
            </w:r>
          </w:p>
        </w:tc>
        <w:tc>
          <w:tcPr>
            <w:tcW w:w="20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w:t>
            </w:r>
          </w:p>
        </w:tc>
        <w:tc>
          <w:tcPr>
            <w:tcW w:w="4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60" w:type="dxa"/>
            <w:vAlign w:val="bottom"/>
            <w:gridSpan w:val="3"/>
          </w:tcPr>
          <w:p>
            <w:pPr>
              <w:spacing w:after="0" w:line="197" w:lineRule="exact"/>
              <w:rPr>
                <w:sz w:val="20"/>
                <w:szCs w:val="20"/>
                <w:color w:val="auto"/>
              </w:rPr>
            </w:pPr>
            <w:r>
              <w:rPr>
                <w:rFonts w:ascii="Arial" w:cs="Arial" w:eastAsia="Arial" w:hAnsi="Arial"/>
                <w:sz w:val="18"/>
                <w:szCs w:val="18"/>
                <w:color w:val="auto"/>
              </w:rPr>
              <w:t>June 30, 2017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913</w:t>
            </w:r>
          </w:p>
        </w:tc>
        <w:tc>
          <w:tcPr>
            <w:tcW w:w="4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32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Bendix</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NARCO</w:t>
            </w:r>
          </w:p>
        </w:tc>
        <w:tc>
          <w:tcPr>
            <w:tcW w:w="260" w:type="dxa"/>
            <w:vAlign w:val="bottom"/>
          </w:tcPr>
          <w:p>
            <w:pPr>
              <w:spacing w:after="0"/>
              <w:rPr>
                <w:sz w:val="24"/>
                <w:szCs w:val="24"/>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66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2016</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121</w:t>
            </w:r>
          </w:p>
        </w:tc>
        <w:tc>
          <w:tcPr>
            <w:tcW w:w="4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319</w:t>
            </w:r>
          </w:p>
        </w:tc>
        <w:tc>
          <w:tcPr>
            <w:tcW w:w="4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440</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6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Probable insurance recoveries related to</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660" w:type="dxa"/>
            <w:vAlign w:val="bottom"/>
            <w:gridSpan w:val="3"/>
          </w:tcPr>
          <w:p>
            <w:pPr>
              <w:ind w:left="360"/>
              <w:spacing w:after="0" w:line="203" w:lineRule="exact"/>
              <w:rPr>
                <w:sz w:val="20"/>
                <w:szCs w:val="20"/>
                <w:color w:val="auto"/>
              </w:rPr>
            </w:pPr>
            <w:r>
              <w:rPr>
                <w:rFonts w:ascii="Arial" w:cs="Arial" w:eastAsia="Arial" w:hAnsi="Arial"/>
                <w:sz w:val="18"/>
                <w:szCs w:val="18"/>
                <w:color w:val="auto"/>
              </w:rPr>
              <w:t>estimated liability</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8</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8</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6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Insurance receipts for asbestos related liabilities</w:t>
            </w:r>
          </w:p>
        </w:tc>
        <w:tc>
          <w:tcPr>
            <w:tcW w:w="20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60" w:type="dxa"/>
            <w:vAlign w:val="bottom"/>
            <w:gridSpan w:val="3"/>
          </w:tcPr>
          <w:p>
            <w:pPr>
              <w:spacing w:after="0" w:line="197" w:lineRule="exact"/>
              <w:rPr>
                <w:sz w:val="20"/>
                <w:szCs w:val="20"/>
                <w:color w:val="auto"/>
              </w:rPr>
            </w:pPr>
            <w:r>
              <w:rPr>
                <w:rFonts w:ascii="Arial" w:cs="Arial" w:eastAsia="Arial" w:hAnsi="Arial"/>
                <w:sz w:val="18"/>
                <w:szCs w:val="18"/>
                <w:color w:val="auto"/>
              </w:rPr>
              <w:t>June 30, 2017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w:t>
            </w:r>
          </w:p>
        </w:tc>
        <w:tc>
          <w:tcPr>
            <w:tcW w:w="4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613"/>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Borders>
              <w:bottom w:val="single" w:sz="8" w:color="C0C0C0"/>
            </w:tcBorders>
          </w:tcPr>
          <w:p>
            <w:pPr>
              <w:spacing w:after="0"/>
              <w:rPr>
                <w:sz w:val="20"/>
                <w:szCs w:val="20"/>
                <w:color w:val="auto"/>
              </w:rPr>
            </w:pPr>
          </w:p>
        </w:tc>
        <w:tc>
          <w:tcPr>
            <w:tcW w:w="1900" w:type="dxa"/>
            <w:vAlign w:val="bottom"/>
            <w:tcBorders>
              <w:bottom w:val="single" w:sz="8" w:color="C0C0C0"/>
            </w:tcBorders>
          </w:tcPr>
          <w:p>
            <w:pPr>
              <w:spacing w:after="0"/>
              <w:rPr>
                <w:sz w:val="20"/>
                <w:szCs w:val="20"/>
                <w:color w:val="auto"/>
              </w:rPr>
            </w:pPr>
          </w:p>
        </w:tc>
        <w:tc>
          <w:tcPr>
            <w:tcW w:w="17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16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28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54"/>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688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r>
      <w:tr>
        <w:trPr>
          <w:trHeight w:val="196"/>
        </w:trPr>
        <w:tc>
          <w:tcPr>
            <w:tcW w:w="68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23</w:t>
            </w:r>
          </w:p>
        </w:tc>
        <w:tc>
          <w:tcPr>
            <w:tcW w:w="50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23</w:t>
            </w:r>
          </w:p>
        </w:tc>
      </w:tr>
      <w:tr>
        <w:trPr>
          <w:trHeight w:val="216"/>
        </w:trPr>
        <w:tc>
          <w:tcPr>
            <w:tcW w:w="68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401</w:t>
            </w:r>
          </w:p>
        </w:tc>
        <w:tc>
          <w:tcPr>
            <w:tcW w:w="50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417</w:t>
            </w:r>
          </w:p>
        </w:tc>
      </w:tr>
      <w:tr>
        <w:trPr>
          <w:trHeight w:val="223"/>
        </w:trPr>
        <w:tc>
          <w:tcPr>
            <w:tcW w:w="6880" w:type="dxa"/>
            <w:vAlign w:val="bottom"/>
            <w:tcBorders>
              <w:bottom w:val="single" w:sz="8" w:color="E5FFFF"/>
            </w:tcBorders>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424</w:t>
            </w:r>
          </w:p>
        </w:tc>
        <w:tc>
          <w:tcPr>
            <w:tcW w:w="500" w:type="dxa"/>
            <w:vAlign w:val="bottom"/>
            <w:tcBorders>
              <w:bottom w:val="single" w:sz="8" w:color="E5FFFF"/>
            </w:tcBorders>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440</w:t>
            </w:r>
          </w:p>
        </w:tc>
      </w:tr>
      <w:tr>
        <w:trPr>
          <w:trHeight w:val="20"/>
        </w:trPr>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99"/>
        </w:trPr>
        <w:tc>
          <w:tcPr>
            <w:tcW w:w="6880" w:type="dxa"/>
            <w:vAlign w:val="bottom"/>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547</w:t>
            </w:r>
          </w:p>
        </w:tc>
        <w:tc>
          <w:tcPr>
            <w:tcW w:w="5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546</w:t>
            </w:r>
          </w:p>
        </w:tc>
      </w:tr>
      <w:tr>
        <w:trPr>
          <w:trHeight w:val="216"/>
        </w:trPr>
        <w:tc>
          <w:tcPr>
            <w:tcW w:w="688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26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998</w:t>
            </w:r>
          </w:p>
        </w:tc>
        <w:tc>
          <w:tcPr>
            <w:tcW w:w="50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1,014</w:t>
            </w:r>
          </w:p>
        </w:tc>
      </w:tr>
      <w:tr>
        <w:trPr>
          <w:trHeight w:val="223"/>
        </w:trPr>
        <w:tc>
          <w:tcPr>
            <w:tcW w:w="68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1,545</w:t>
            </w:r>
          </w:p>
        </w:tc>
        <w:tc>
          <w:tcPr>
            <w:tcW w:w="5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1,560</w:t>
            </w:r>
          </w:p>
        </w:tc>
      </w:tr>
      <w:tr>
        <w:trPr>
          <w:trHeight w:val="20"/>
        </w:trPr>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9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the years 2017 and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parties agreed to dismiss the proceeding without prejudice pursuant to an 18 month Standstill Agreement that expires in October 2017. Claims processing will continue during this period subject to a defined dispute resolution process. As of June 30, 2017, Honeywell has not made any payments to the NARCO Trust for Annual Contribution Claims.</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$ 150 million and are expected to be paid during the initial years of trust operations ($5 million of which has been paid since the effective date of the NARCO Trust). Such payments are not subject to the annual cap described above.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($145 million), unsettled claims pending as of the time NARCO filed for bankruptcy protection ($25 million) and for the estimated value of future NARCO asbestos claims expected to be asserted against the NARCO Trust ($743 million). The estimate of future NARCO claims is based on a commonly accepted methodology used by numerous bankruptcy courts addressing 524(g) trusts and also reflects disputes concerning implementation of the Trust Distribution Procedures by the NARCO Trust, a lack of sufficient trust claims processing experience, as well as the stay of all NARCO asbestos claims which remained in place throughout NARCO’s Chapter 11 case. Some critical assumptions underlying this commonly accepted methodology include claims filing rates, disease criteria and payment values contained in the Trust Distribution Procedures, estimated approval rates of claims submitted to the NARCO Trust and epidemiological studies estimating disease instances. The estimated value of future NARCO claims was originally established at the time of the NARCO Chapter 11 filing reflecting claims expected to be asserted against NARCO over a fifteen year period. This projection resulted in a range of estimated liability of $743 million to $961 million. We believe that no amount within this range is a better estimate than any other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amount, and accordingly, we have recorded the minimum amount in the range.</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—The following tables present information regarding Bendix related asbestos claims activity:</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Claims Activity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beginning of period</w:t>
      </w:r>
    </w:p>
    <w:p>
      <w:pPr>
        <w:spacing w:after="0" w:line="234" w:lineRule="auto"/>
        <w:rPr>
          <w:sz w:val="20"/>
          <w:szCs w:val="20"/>
          <w:color w:val="auto"/>
        </w:rPr>
      </w:pPr>
      <w:r>
        <w:rPr>
          <w:rFonts w:ascii="Arial" w:cs="Arial" w:eastAsia="Arial" w:hAnsi="Arial"/>
          <w:sz w:val="18"/>
          <w:szCs w:val="18"/>
          <w:color w:val="auto"/>
        </w:rPr>
        <w:t>Claims Filed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Claims Resolved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end of period</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2020" w:type="dxa"/>
            <w:vAlign w:val="bottom"/>
            <w:gridSpan w:val="3"/>
          </w:tcPr>
          <w:p>
            <w:pPr>
              <w:jc w:val="center"/>
              <w:ind w:left="838"/>
              <w:spacing w:after="0"/>
              <w:rPr>
                <w:sz w:val="20"/>
                <w:szCs w:val="20"/>
                <w:color w:val="auto"/>
              </w:rPr>
            </w:pPr>
            <w:r>
              <w:rPr>
                <w:rFonts w:ascii="Arial" w:cs="Arial" w:eastAsia="Arial" w:hAnsi="Arial"/>
                <w:sz w:val="14"/>
                <w:szCs w:val="14"/>
                <w:b w:val="1"/>
                <w:bCs w:val="1"/>
                <w:color w:val="auto"/>
              </w:rPr>
              <w:t>Years Ended</w:t>
            </w:r>
          </w:p>
        </w:tc>
        <w:tc>
          <w:tcPr>
            <w:tcW w:w="920" w:type="dxa"/>
            <w:vAlign w:val="bottom"/>
          </w:tcPr>
          <w:p>
            <w:pPr>
              <w:spacing w:after="0"/>
              <w:rPr>
                <w:sz w:val="16"/>
                <w:szCs w:val="16"/>
                <w:color w:val="auto"/>
              </w:rPr>
            </w:pPr>
          </w:p>
        </w:tc>
      </w:tr>
      <w:tr>
        <w:trPr>
          <w:trHeight w:val="189"/>
        </w:trPr>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202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6"/>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7"/>
                <w:szCs w:val="17"/>
                <w:color w:val="auto"/>
              </w:rPr>
            </w:pPr>
          </w:p>
        </w:tc>
        <w:tc>
          <w:tcPr>
            <w:tcW w:w="13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r>
      <w:tr>
        <w:trPr>
          <w:trHeight w:val="195"/>
        </w:trPr>
        <w:tc>
          <w:tcPr>
            <w:tcW w:w="1360" w:type="dxa"/>
            <w:vAlign w:val="bottom"/>
          </w:tcPr>
          <w:p>
            <w:pPr>
              <w:jc w:val="right"/>
              <w:ind w:right="38"/>
              <w:spacing w:after="0" w:line="195" w:lineRule="exact"/>
              <w:rPr>
                <w:sz w:val="20"/>
                <w:szCs w:val="20"/>
                <w:color w:val="auto"/>
              </w:rPr>
            </w:pPr>
            <w:r>
              <w:rPr>
                <w:rFonts w:ascii="Arial" w:cs="Arial" w:eastAsia="Arial" w:hAnsi="Arial"/>
                <w:sz w:val="18"/>
                <w:szCs w:val="18"/>
                <w:color w:val="auto"/>
              </w:rPr>
              <w:t>7,724</w:t>
            </w:r>
          </w:p>
        </w:tc>
        <w:tc>
          <w:tcPr>
            <w:tcW w:w="300" w:type="dxa"/>
            <w:vAlign w:val="bottom"/>
          </w:tcPr>
          <w:p>
            <w:pPr>
              <w:spacing w:after="0"/>
              <w:rPr>
                <w:sz w:val="16"/>
                <w:szCs w:val="16"/>
                <w:color w:val="auto"/>
              </w:rPr>
            </w:pP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7,779</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14"/>
              <w:spacing w:after="0" w:line="195" w:lineRule="exact"/>
              <w:rPr>
                <w:sz w:val="20"/>
                <w:szCs w:val="20"/>
                <w:color w:val="auto"/>
              </w:rPr>
            </w:pPr>
            <w:r>
              <w:rPr>
                <w:rFonts w:ascii="Arial" w:cs="Arial" w:eastAsia="Arial" w:hAnsi="Arial"/>
                <w:sz w:val="18"/>
                <w:szCs w:val="18"/>
                <w:color w:val="auto"/>
              </w:rPr>
              <w:t>9,267</w:t>
            </w:r>
          </w:p>
        </w:tc>
      </w:tr>
      <w:tr>
        <w:trPr>
          <w:trHeight w:val="216"/>
        </w:trPr>
        <w:tc>
          <w:tcPr>
            <w:tcW w:w="1360" w:type="dxa"/>
            <w:vAlign w:val="bottom"/>
          </w:tcPr>
          <w:p>
            <w:pPr>
              <w:jc w:val="right"/>
              <w:ind w:right="38"/>
              <w:spacing w:after="0"/>
              <w:rPr>
                <w:sz w:val="20"/>
                <w:szCs w:val="20"/>
                <w:color w:val="auto"/>
              </w:rPr>
            </w:pPr>
            <w:r>
              <w:rPr>
                <w:rFonts w:ascii="Arial" w:cs="Arial" w:eastAsia="Arial" w:hAnsi="Arial"/>
                <w:sz w:val="18"/>
                <w:szCs w:val="18"/>
                <w:color w:val="auto"/>
              </w:rPr>
              <w:t>1,300</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2,862</w:t>
            </w:r>
          </w:p>
        </w:tc>
      </w:tr>
      <w:tr>
        <w:trPr>
          <w:trHeight w:val="203"/>
        </w:trPr>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(2,266)</w:t>
            </w:r>
          </w:p>
        </w:tc>
        <w:tc>
          <w:tcPr>
            <w:tcW w:w="3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(2,885)</w:t>
            </w:r>
          </w:p>
        </w:tc>
        <w:tc>
          <w:tcPr>
            <w:tcW w:w="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(4,350)</w:t>
            </w:r>
          </w:p>
        </w:tc>
      </w:tr>
      <w:tr>
        <w:trPr>
          <w:trHeight w:val="237"/>
        </w:trPr>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6,758</w:t>
            </w: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7,779</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-591185</wp:posOffset>
            </wp:positionV>
            <wp:extent cx="65176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-325120</wp:posOffset>
            </wp:positionV>
            <wp:extent cx="65176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720"/>
            <w:col w:w="5740"/>
          </w:cols>
          <w:pgMar w:left="240" w:top="400"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Disease Distribution of Unresolved Claims</w:t>
            </w: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w:t>
            </w:r>
          </w:p>
        </w:tc>
        <w:tc>
          <w:tcPr>
            <w:tcW w:w="202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680" w:type="dxa"/>
            <w:vAlign w:val="bottom"/>
            <w:gridSpan w:val="2"/>
            <w:vMerge w:val="continue"/>
          </w:tcPr>
          <w:p>
            <w:pPr>
              <w:spacing w:after="0"/>
              <w:rPr>
                <w:sz w:val="13"/>
                <w:szCs w:val="13"/>
                <w:color w:val="auto"/>
              </w:rPr>
            </w:pPr>
          </w:p>
        </w:tc>
        <w:tc>
          <w:tcPr>
            <w:tcW w:w="136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1320" w:type="dxa"/>
            <w:vAlign w:val="bottom"/>
          </w:tcPr>
          <w:p>
            <w:pPr>
              <w:jc w:val="right"/>
              <w:ind w:right="41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
        </w:trPr>
        <w:tc>
          <w:tcPr>
            <w:tcW w:w="3640" w:type="dxa"/>
            <w:vAlign w:val="bottom"/>
            <w:tcBorders>
              <w:top w:val="single" w:sz="8" w:color="auto"/>
              <w:bottom w:val="single" w:sz="8" w:color="E5FFFF"/>
            </w:tcBorders>
          </w:tcPr>
          <w:p>
            <w:pPr>
              <w:spacing w:after="0" w:line="20" w:lineRule="exact"/>
              <w:rPr>
                <w:sz w:val="1"/>
                <w:szCs w:val="1"/>
                <w:color w:val="auto"/>
              </w:rPr>
            </w:pPr>
          </w:p>
        </w:tc>
        <w:tc>
          <w:tcPr>
            <w:tcW w:w="2040" w:type="dxa"/>
            <w:vAlign w:val="bottom"/>
            <w:tcBorders>
              <w:bottom w:val="single" w:sz="8" w:color="E5FF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E5FF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E5FF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8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Mesothelioma and Other Cancer Claims</w:t>
            </w:r>
          </w:p>
        </w:tc>
        <w:tc>
          <w:tcPr>
            <w:tcW w:w="1360" w:type="dxa"/>
            <w:vAlign w:val="bottom"/>
            <w:shd w:val="clear" w:color="auto" w:fill="E5FFFF"/>
          </w:tcPr>
          <w:p>
            <w:pPr>
              <w:jc w:val="right"/>
              <w:ind w:right="37"/>
              <w:spacing w:after="0" w:line="183" w:lineRule="exact"/>
              <w:rPr>
                <w:sz w:val="20"/>
                <w:szCs w:val="20"/>
                <w:color w:val="auto"/>
              </w:rPr>
            </w:pPr>
            <w:r>
              <w:rPr>
                <w:rFonts w:ascii="Arial" w:cs="Arial" w:eastAsia="Arial" w:hAnsi="Arial"/>
                <w:sz w:val="18"/>
                <w:szCs w:val="18"/>
                <w:color w:val="auto"/>
              </w:rPr>
              <w:t>3,103</w:t>
            </w:r>
          </w:p>
        </w:tc>
        <w:tc>
          <w:tcPr>
            <w:tcW w:w="300" w:type="dxa"/>
            <w:vAlign w:val="bottom"/>
            <w:shd w:val="clear" w:color="auto" w:fill="E5FFFF"/>
          </w:tcPr>
          <w:p>
            <w:pPr>
              <w:spacing w:after="0"/>
              <w:rPr>
                <w:sz w:val="15"/>
                <w:szCs w:val="15"/>
                <w:color w:val="auto"/>
              </w:rPr>
            </w:pPr>
          </w:p>
        </w:tc>
        <w:tc>
          <w:tcPr>
            <w:tcW w:w="132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3,490</w:t>
            </w:r>
          </w:p>
        </w:tc>
        <w:tc>
          <w:tcPr>
            <w:tcW w:w="300" w:type="dxa"/>
            <w:vAlign w:val="bottom"/>
            <w:shd w:val="clear" w:color="auto" w:fill="E5FFFF"/>
          </w:tcPr>
          <w:p>
            <w:pPr>
              <w:spacing w:after="0"/>
              <w:rPr>
                <w:sz w:val="15"/>
                <w:szCs w:val="15"/>
                <w:color w:val="auto"/>
              </w:rPr>
            </w:pPr>
          </w:p>
        </w:tc>
        <w:tc>
          <w:tcPr>
            <w:tcW w:w="400" w:type="dxa"/>
            <w:vAlign w:val="bottom"/>
            <w:shd w:val="clear" w:color="auto" w:fill="E5FFFF"/>
          </w:tcPr>
          <w:p>
            <w:pPr>
              <w:spacing w:after="0"/>
              <w:rPr>
                <w:sz w:val="15"/>
                <w:szCs w:val="15"/>
                <w:color w:val="auto"/>
              </w:rPr>
            </w:pPr>
          </w:p>
        </w:tc>
        <w:tc>
          <w:tcPr>
            <w:tcW w:w="920" w:type="dxa"/>
            <w:vAlign w:val="bottom"/>
            <w:shd w:val="clear" w:color="auto" w:fill="E5FFFF"/>
          </w:tcPr>
          <w:p>
            <w:pPr>
              <w:jc w:val="right"/>
              <w:ind w:right="14"/>
              <w:spacing w:after="0" w:line="183" w:lineRule="exact"/>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Nonmalignant Claims</w:t>
            </w: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3,655</w:t>
            </w:r>
          </w:p>
        </w:tc>
        <w:tc>
          <w:tcPr>
            <w:tcW w:w="30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30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E5FFFF"/>
            </w:tcBorders>
            <w:gridSpan w:val="2"/>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Claims</w:t>
            </w:r>
          </w:p>
        </w:tc>
        <w:tc>
          <w:tcPr>
            <w:tcW w:w="1360" w:type="dxa"/>
            <w:vAlign w:val="bottom"/>
            <w:tcBorders>
              <w:bottom w:val="single" w:sz="8" w:color="auto"/>
            </w:tcBorders>
            <w:shd w:val="clear" w:color="auto" w:fill="E5FFFF"/>
          </w:tcPr>
          <w:p>
            <w:pPr>
              <w:jc w:val="right"/>
              <w:ind w:right="37"/>
              <w:spacing w:after="0"/>
              <w:rPr>
                <w:sz w:val="20"/>
                <w:szCs w:val="20"/>
                <w:color w:val="auto"/>
              </w:rPr>
            </w:pPr>
            <w:r>
              <w:rPr>
                <w:rFonts w:ascii="Arial" w:cs="Arial" w:eastAsia="Arial" w:hAnsi="Arial"/>
                <w:sz w:val="18"/>
                <w:szCs w:val="18"/>
                <w:color w:val="auto"/>
              </w:rPr>
              <w:t>6,758</w:t>
            </w:r>
          </w:p>
        </w:tc>
        <w:tc>
          <w:tcPr>
            <w:tcW w:w="300" w:type="dxa"/>
            <w:vAlign w:val="bottom"/>
            <w:tcBorders>
              <w:bottom w:val="single" w:sz="8" w:color="E5FFFF"/>
            </w:tcBorders>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7,724</w:t>
            </w:r>
          </w:p>
        </w:tc>
        <w:tc>
          <w:tcPr>
            <w:tcW w:w="300" w:type="dxa"/>
            <w:vAlign w:val="bottom"/>
            <w:tcBorders>
              <w:bottom w:val="single" w:sz="8" w:color="E5FFFF"/>
            </w:tcBorders>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2012</w:t>
            </w:r>
          </w:p>
        </w:tc>
      </w:tr>
      <w:tr>
        <w:trPr>
          <w:trHeight w:val="182"/>
        </w:trPr>
        <w:tc>
          <w:tcPr>
            <w:tcW w:w="4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(in whole dollars)</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Malignant claims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44,000</w:t>
            </w:r>
          </w:p>
        </w:tc>
        <w:tc>
          <w:tcPr>
            <w:tcW w:w="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44,000</w:t>
            </w:r>
          </w:p>
        </w:tc>
        <w:tc>
          <w:tcPr>
            <w:tcW w:w="6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53,500</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51,000</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49,000</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Nonmalignant claims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4,485</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120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850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1,400</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liability for future claims represents the estimated value of future asbestos related bodily injury claims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employment,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68"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filed a suit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Eastern District of Michigan alleging that the Master Collective Bargaining Agreements (MCBAs) between Honeywell and the UAW do not provide for limitations on Honeywell’s obligation to contribute toward healthcare coverage for former employees who retired under the MCBAs (CAPS). Honeywell subsequently answered the UAW’s complaint and asserted counterclaims.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began enforcing the CAPS against former employees who retired after the initial inclusion of the CAPS in the 2003 MCBA (the post-2003 retirees) on January 1, 2014. The UAW and certain of the plaintiffs filed a motion for partial summary judgment with respect to the post-2003 retirees, seeking a ruling that the 2003 MCBA did not limit Honeywell’s obligation to contribute to healthcare coverage for those retirees. That motion remains pending. Honeywell is confident that the District Court will find that the 2003 MCBA does, in fact, limit Honeywell’s retiree healthcare obligation for the post-2003 retirees. In the event of an adverse ruling, however, Honeywell’s other postretirement benefits for post-2003 retirees would increase by approximately $95 million, reflecting the estimated value of these CAPS.</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In the second quarter of 2014, the parties agreed to stay the proceedings with respect to former employees who retired before the initial inclusion of the CAPS in the 2003 MCBA (the pre-2003 retirees) until the Supreme Court decided </w:t>
      </w:r>
      <w:r>
        <w:rPr>
          <w:rFonts w:ascii="Arial" w:cs="Arial" w:eastAsia="Arial" w:hAnsi="Arial"/>
          <w:sz w:val="18"/>
          <w:szCs w:val="18"/>
          <w:i w:val="1"/>
          <w:iCs w:val="1"/>
          <w:color w:val="auto"/>
        </w:rPr>
        <w:t>M&amp;G Polymers USA, LLC v. Tackett</w:t>
      </w:r>
      <w:r>
        <w:rPr>
          <w:rFonts w:ascii="Arial" w:cs="Arial" w:eastAsia="Arial" w:hAnsi="Arial"/>
          <w:sz w:val="21"/>
          <w:szCs w:val="21"/>
          <w:color w:val="auto"/>
        </w:rPr>
        <w:t>.</w:t>
      </w:r>
      <w:r>
        <w:rPr>
          <w:rFonts w:ascii="Arial" w:cs="Arial" w:eastAsia="Arial" w:hAnsi="Arial"/>
          <w:sz w:val="18"/>
          <w:szCs w:val="18"/>
          <w:color w:val="auto"/>
        </w:rPr>
        <w:t xml:space="preserve"> The Supreme Court decided the case on January 26, 2015 and, based on the ruling, Honeywell began enforcing the CAPS against the pre-2003 retirees as of May 1, 2015. Honeywell is confident that the CAPS will be upheld by the District Court and that its liability for healthcare coverage premiums with respect to the putative class will be limited as negotiated and expressly set forth in the applicable MCBAs. In the event of an adverse ruling, however, Honeywell’s other postretirement benefits for the pre-2003 retirees would increase by approximately $129 million, reflecting the estimated value of these CAPS.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Joint Strike Fighter Investigation</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In May 2017, Honeywell received a declination letter from the Department of Justice stating that it would not pursue any criminal prosecution of the Company or its employees. This matter is now fully resolved.</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120" w:type="dxa"/>
            <w:vAlign w:val="bottom"/>
          </w:tcPr>
          <w:p>
            <w:pPr>
              <w:spacing w:after="0"/>
              <w:rPr>
                <w:sz w:val="17"/>
                <w:szCs w:val="17"/>
                <w:color w:val="auto"/>
              </w:rPr>
            </w:pPr>
          </w:p>
        </w:tc>
        <w:tc>
          <w:tcPr>
            <w:tcW w:w="5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1780" w:type="dxa"/>
            <w:vAlign w:val="bottom"/>
          </w:tcPr>
          <w:p>
            <w:pPr>
              <w:spacing w:after="0"/>
              <w:rPr>
                <w:sz w:val="17"/>
                <w:szCs w:val="17"/>
                <w:color w:val="auto"/>
              </w:rPr>
            </w:pPr>
          </w:p>
        </w:tc>
        <w:tc>
          <w:tcPr>
            <w:tcW w:w="6720" w:type="dxa"/>
            <w:vAlign w:val="bottom"/>
            <w:gridSpan w:val="3"/>
          </w:tcPr>
          <w:p>
            <w:pPr>
              <w:jc w:val="center"/>
              <w:ind w:left="1010"/>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2"/>
        </w:trPr>
        <w:tc>
          <w:tcPr>
            <w:tcW w:w="1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(quarter) and six months ended June 30, 2017. The financial information as of June 30, 2017 should be read in conjunction with the consolidated financial statements for the year ended December 31, 2016 contained in our 2016 Annual Report on Form 10-K.</w:t>
      </w:r>
    </w:p>
    <w:p>
      <w:pPr>
        <w:spacing w:after="0" w:line="166" w:lineRule="exact"/>
        <w:rPr>
          <w:sz w:val="20"/>
          <w:szCs w:val="20"/>
          <w:color w:val="auto"/>
        </w:rPr>
      </w:pPr>
    </w:p>
    <w:p>
      <w:pPr>
        <w:ind w:right="100" w:firstLine="8"/>
        <w:spacing w:after="0" w:line="506" w:lineRule="auto"/>
        <w:tabs>
          <w:tab w:leader="none" w:pos="3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Results of Operations – three and six months ended June 30, 2017 compared with the three and six months ended June 30, 2016 </w:t>
      </w:r>
      <w:r>
        <w:rPr>
          <w:rFonts w:ascii="Arial" w:cs="Arial" w:eastAsia="Arial" w:hAnsi="Arial"/>
          <w:sz w:val="18"/>
          <w:szCs w:val="18"/>
          <w:b w:val="1"/>
          <w:bCs w:val="1"/>
          <w:color w:val="auto"/>
        </w:rPr>
        <w:t>Net Sales</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5"/>
          </w:tcPr>
          <w:p>
            <w:pPr>
              <w:jc w:val="center"/>
              <w:ind w:left="596"/>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4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42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81"/>
              <w:spacing w:after="0"/>
              <w:rPr>
                <w:sz w:val="20"/>
                <w:szCs w:val="20"/>
                <w:color w:val="auto"/>
              </w:rPr>
            </w:pPr>
            <w:r>
              <w:rPr>
                <w:rFonts w:ascii="Arial" w:cs="Arial" w:eastAsia="Arial" w:hAnsi="Arial"/>
                <w:sz w:val="18"/>
                <w:szCs w:val="18"/>
                <w:color w:val="auto"/>
              </w:rPr>
              <w:t>10,078</w:t>
            </w:r>
          </w:p>
        </w:tc>
        <w:tc>
          <w:tcPr>
            <w:tcW w:w="3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9,991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19,570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19,513</w:t>
            </w:r>
          </w:p>
        </w:tc>
        <w:tc>
          <w:tcPr>
            <w:tcW w:w="0" w:type="dxa"/>
            <w:vAlign w:val="bottom"/>
          </w:tcPr>
          <w:p>
            <w:pPr>
              <w:spacing w:after="0"/>
              <w:rPr>
                <w:sz w:val="1"/>
                <w:szCs w:val="1"/>
                <w:color w:val="auto"/>
              </w:rPr>
            </w:pPr>
          </w:p>
        </w:tc>
      </w:tr>
      <w:tr>
        <w:trPr>
          <w:trHeight w:val="217"/>
        </w:trPr>
        <w:tc>
          <w:tcPr>
            <w:tcW w:w="426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880" w:type="dxa"/>
            <w:vAlign w:val="bottom"/>
            <w:gridSpan w:val="9"/>
          </w:tcPr>
          <w:p>
            <w:pPr>
              <w:jc w:val="right"/>
              <w:ind w:right="420"/>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to Date</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7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4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gridSpan w:val="2"/>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26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480"/>
              <w:spacing w:after="0"/>
              <w:rPr>
                <w:sz w:val="20"/>
                <w:szCs w:val="20"/>
                <w:color w:val="auto"/>
              </w:rPr>
            </w:pPr>
            <w:r>
              <w:rPr>
                <w:rFonts w:ascii="Arial" w:cs="Arial" w:eastAsia="Arial" w:hAnsi="Arial"/>
                <w:sz w:val="18"/>
                <w:szCs w:val="18"/>
                <w:color w:val="auto"/>
              </w:rPr>
              <w:t>Foreign Currency Translation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780" w:type="dxa"/>
            <w:vAlign w:val="bottom"/>
            <w:shd w:val="clear" w:color="auto" w:fill="E5FFFF"/>
          </w:tcPr>
          <w:p>
            <w:pPr>
              <w:spacing w:after="0"/>
              <w:rPr>
                <w:sz w:val="20"/>
                <w:szCs w:val="20"/>
                <w:color w:val="auto"/>
              </w:rPr>
            </w:pPr>
            <w:r>
              <w:rPr>
                <w:rFonts w:ascii="Arial" w:cs="Arial" w:eastAsia="Arial" w:hAnsi="Arial"/>
                <w:sz w:val="18"/>
                <w:szCs w:val="18"/>
                <w:color w:val="auto"/>
              </w:rPr>
              <w:t>Acquisitions/Divestitures</w:t>
            </w:r>
          </w:p>
        </w:tc>
        <w:tc>
          <w:tcPr>
            <w:tcW w:w="4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12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MD&amp;A. The foreign currency translation impact in the quarter and six months is primarily driven by the weakening of the British Pound and Euro against the U.S. Dollar.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90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E5FF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6,850</w:t>
            </w:r>
          </w:p>
        </w:tc>
        <w:tc>
          <w:tcPr>
            <w:tcW w:w="1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6,821</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ind w:right="159"/>
              <w:spacing w:after="0" w:line="196" w:lineRule="exact"/>
              <w:rPr>
                <w:sz w:val="20"/>
                <w:szCs w:val="20"/>
                <w:color w:val="auto"/>
              </w:rPr>
            </w:pPr>
            <w:r>
              <w:rPr>
                <w:rFonts w:ascii="Arial" w:cs="Arial" w:eastAsia="Arial" w:hAnsi="Arial"/>
                <w:sz w:val="18"/>
                <w:szCs w:val="18"/>
                <w:color w:val="auto"/>
              </w:rPr>
              <w:t>13,206</w:t>
            </w:r>
          </w:p>
        </w:tc>
        <w:tc>
          <w:tcPr>
            <w:tcW w:w="320" w:type="dxa"/>
            <w:vAlign w:val="bottom"/>
            <w:shd w:val="clear" w:color="auto" w:fill="E5FFFF"/>
          </w:tcPr>
          <w:p>
            <w:pPr>
              <w:spacing w:after="0"/>
              <w:rPr>
                <w:sz w:val="17"/>
                <w:szCs w:val="17"/>
                <w:color w:val="auto"/>
              </w:rPr>
            </w:pPr>
          </w:p>
        </w:tc>
        <w:tc>
          <w:tcPr>
            <w:tcW w:w="440" w:type="dxa"/>
            <w:vAlign w:val="bottom"/>
            <w:shd w:val="clear" w:color="auto" w:fill="E5FF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13,368</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3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32.0%</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31.7%</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32.5%</w:t>
            </w:r>
          </w:p>
        </w:tc>
        <w:tc>
          <w:tcPr>
            <w:tcW w:w="3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Cost of products and services sold were flat in the quarter primarily due to lower labor costs of approximately $140 million (driven primarily by divestitures, net of acquisitions, and productivity, net of inflation) and decreased indirect material costs of approximately $40 million (driven primarily by productivity, net of inflation), partially offset by higher organic sales volumes that also drove increased direct materials of approximately $140 million (partially offset by productivity, net of inflation) and higher repositioning and other charges of approximately $95 million.</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Cost of products and services sold decreased in the six months primarily due to lower labor costs of approximately $280 million (driven primarily by divestitures, net of acquisitions, and productivity, net of inflation) and decreased indirect material costs of approximately $90 million (driven primarily by productivity, net of inflation), partially offset by higher organic sales volumes that also drove increased direct materials of approximately $130 million (partially offset by productivity, net of inflation) and higher repositioning and other charges of approximately $125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2" w:name="page23"/>
    <w:bookmarkEnd w:id="22"/>
    <w:p>
      <w:pPr>
        <w:jc w:val="both"/>
        <w:ind w:firstLine="648"/>
        <w:spacing w:after="0" w:line="239" w:lineRule="auto"/>
        <w:rPr>
          <w:sz w:val="20"/>
          <w:szCs w:val="20"/>
          <w:color w:val="auto"/>
        </w:rPr>
      </w:pPr>
      <w:r>
        <w:rPr>
          <w:rFonts w:ascii="Arial" w:cs="Arial" w:eastAsia="Arial" w:hAnsi="Arial"/>
          <w:sz w:val="18"/>
          <w:szCs w:val="18"/>
          <w:color w:val="auto"/>
        </w:rPr>
        <w:t>Gross margin percentage increased in the quarter primarily due to higher gross margin in Aerospace and Performance Materials and Technologies (approximately 1.7 percentage point impact collectively), partially offset by higher repositioning and other charges allocated to cost of products and services sold (approximately 0.9 percentage point impact) and lower gross margin in Home and Building Technologies and Safety and Productivity Solutions (approximately 0.5 percentage point impact collectively).</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Gross margin percentage increased in the six months primarily due to higher gross margin in Aerospace and Performance Materials and Technologies (approximately 1.8 percentage point impact collectively), partially offset by higher repositioning and other charges allocated to cost of products and services sold (approximately 0.6 percentage point impact) and lower gross margin in Home and Building Technologies and Safety and Productivity Solutions (approximately 0.3 percentage point impact collectively).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81"/>
              <w:spacing w:after="0" w:line="195" w:lineRule="exact"/>
              <w:rPr>
                <w:sz w:val="20"/>
                <w:szCs w:val="20"/>
                <w:color w:val="auto"/>
              </w:rPr>
            </w:pPr>
            <w:r>
              <w:rPr>
                <w:rFonts w:ascii="Arial" w:cs="Arial" w:eastAsia="Arial" w:hAnsi="Arial"/>
                <w:sz w:val="18"/>
                <w:szCs w:val="18"/>
                <w:color w:val="auto"/>
              </w:rPr>
              <w:t>1,381</w:t>
            </w:r>
          </w:p>
        </w:tc>
        <w:tc>
          <w:tcPr>
            <w:tcW w:w="340" w:type="dxa"/>
            <w:vAlign w:val="bottom"/>
          </w:tcPr>
          <w:p>
            <w:pPr>
              <w:spacing w:after="0"/>
              <w:rPr>
                <w:sz w:val="16"/>
                <w:szCs w:val="16"/>
                <w:color w:val="auto"/>
              </w:rPr>
            </w:pPr>
          </w:p>
        </w:tc>
        <w:tc>
          <w:tcPr>
            <w:tcW w:w="5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76"/>
              <w:spacing w:after="0" w:line="195" w:lineRule="exact"/>
              <w:rPr>
                <w:sz w:val="20"/>
                <w:szCs w:val="20"/>
                <w:color w:val="auto"/>
              </w:rPr>
            </w:pPr>
            <w:r>
              <w:rPr>
                <w:rFonts w:ascii="Arial" w:cs="Arial" w:eastAsia="Arial" w:hAnsi="Arial"/>
                <w:sz w:val="18"/>
                <w:szCs w:val="18"/>
                <w:color w:val="auto"/>
              </w:rPr>
              <w:t>1,329</w:t>
            </w:r>
          </w:p>
        </w:tc>
        <w:tc>
          <w:tcPr>
            <w:tcW w:w="34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81"/>
              <w:spacing w:after="0" w:line="195" w:lineRule="exact"/>
              <w:rPr>
                <w:sz w:val="20"/>
                <w:szCs w:val="20"/>
                <w:color w:val="auto"/>
              </w:rPr>
            </w:pPr>
            <w:r>
              <w:rPr>
                <w:rFonts w:ascii="Arial" w:cs="Arial" w:eastAsia="Arial" w:hAnsi="Arial"/>
                <w:sz w:val="18"/>
                <w:szCs w:val="18"/>
                <w:color w:val="auto"/>
              </w:rPr>
              <w:t>2,730</w:t>
            </w:r>
          </w:p>
        </w:tc>
        <w:tc>
          <w:tcPr>
            <w:tcW w:w="340" w:type="dxa"/>
            <w:vAlign w:val="bottom"/>
          </w:tcPr>
          <w:p>
            <w:pPr>
              <w:spacing w:after="0"/>
              <w:rPr>
                <w:sz w:val="16"/>
                <w:szCs w:val="16"/>
                <w:color w:val="auto"/>
              </w:rPr>
            </w:pPr>
          </w:p>
        </w:tc>
        <w:tc>
          <w:tcPr>
            <w:tcW w:w="460" w:type="dxa"/>
            <w:vAlign w:val="bottom"/>
          </w:tcPr>
          <w:p>
            <w:pPr>
              <w:jc w:val="right"/>
              <w:ind w:right="27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76"/>
              <w:spacing w:after="0" w:line="195"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Percent of sales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Selling, general and administrative expenses increased in the quarter and six months primarily driven by an increase in labor costs (primarily attributed to acquisitions, net of divestitures, investment for growth and merit increases), partially offset by benefits from restructuring and lower allocations to selling, general and administrative expenses of repositioning and other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6"/>
                <w:szCs w:val="16"/>
                <w:color w:val="auto"/>
              </w:rPr>
            </w:pPr>
          </w:p>
        </w:tc>
      </w:tr>
      <w:tr>
        <w:trPr>
          <w:trHeight w:val="201"/>
        </w:trPr>
        <w:tc>
          <w:tcPr>
            <w:tcW w:w="3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6"/>
        </w:trPr>
        <w:tc>
          <w:tcPr>
            <w:tcW w:w="3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411"/>
        </w:trPr>
        <w:tc>
          <w:tcPr>
            <w:tcW w:w="3080" w:type="dxa"/>
            <w:vAlign w:val="bottom"/>
          </w:tcPr>
          <w:p>
            <w:pPr>
              <w:spacing w:after="0"/>
              <w:rPr>
                <w:sz w:val="20"/>
                <w:szCs w:val="20"/>
                <w:color w:val="auto"/>
              </w:rPr>
            </w:pPr>
            <w:r>
              <w:rPr>
                <w:rFonts w:ascii="Arial" w:cs="Arial" w:eastAsia="Arial" w:hAnsi="Arial"/>
                <w:sz w:val="18"/>
                <w:szCs w:val="18"/>
                <w:color w:val="auto"/>
              </w:rPr>
              <w:t>Tax expense</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1"/>
              <w:spacing w:after="0"/>
              <w:rPr>
                <w:sz w:val="20"/>
                <w:szCs w:val="20"/>
                <w:color w:val="auto"/>
              </w:rPr>
            </w:pPr>
            <w:r>
              <w:rPr>
                <w:rFonts w:ascii="Arial" w:cs="Arial" w:eastAsia="Arial" w:hAnsi="Arial"/>
                <w:sz w:val="18"/>
                <w:szCs w:val="18"/>
                <w:color w:val="auto"/>
              </w:rPr>
              <w:t>378</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24"/>
                <w:szCs w:val="24"/>
                <w:color w:val="auto"/>
              </w:rPr>
            </w:pP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79"/>
              <w:spacing w:after="0"/>
              <w:rPr>
                <w:sz w:val="20"/>
                <w:szCs w:val="20"/>
                <w:color w:val="auto"/>
              </w:rPr>
            </w:pPr>
            <w:r>
              <w:rPr>
                <w:rFonts w:ascii="Arial" w:cs="Arial" w:eastAsia="Arial" w:hAnsi="Arial"/>
                <w:sz w:val="18"/>
                <w:szCs w:val="18"/>
                <w:color w:val="auto"/>
              </w:rPr>
              <w:t>770</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830</w:t>
            </w:r>
          </w:p>
        </w:tc>
      </w:tr>
      <w:tr>
        <w:trPr>
          <w:trHeight w:val="217"/>
        </w:trPr>
        <w:tc>
          <w:tcPr>
            <w:tcW w:w="3080" w:type="dxa"/>
            <w:vAlign w:val="bottom"/>
          </w:tcPr>
          <w:p>
            <w:pPr>
              <w:spacing w:after="0"/>
              <w:rPr>
                <w:sz w:val="20"/>
                <w:szCs w:val="20"/>
                <w:color w:val="auto"/>
              </w:rPr>
            </w:pPr>
            <w:r>
              <w:rPr>
                <w:rFonts w:ascii="Arial" w:cs="Arial" w:eastAsia="Arial" w:hAnsi="Arial"/>
                <w:sz w:val="18"/>
                <w:szCs w:val="18"/>
                <w:color w:val="auto"/>
              </w:rPr>
              <w:t>Effective tax rate</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r>
    </w:tbl>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 decreased in the quarter primarily driven by increased tax benefits for employee share-based payments and the resolution of various U.S. tax matters, partially offset by increased expense for reserves.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decreased for the six months primarily driven by increased tax benefits for employee share-based payments and the resolution of tax matters with certain jurisdictions, partially offset by increased expense for reserves and taxes on the unremitted earnings of certain foreign affiliates that are not deemed permanently reinvested.</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rates for the quarter and six months ended June 30, 2017 and 2016 were lower than the U.S. federal statutory rate of 35% resulting in part from non-U.S. earnings taxed at lower rates, the vast majority of which we intend to permanently reinvest outside the United States, and from benefits from manufacturing incentives.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currently expects the effective tax rate for 2017 to be approximately 24%. The effective tax rate can vary from quarter to quarter for unusual or infrequently occurring items, the resolution of income tax audits, changes in tax laws or other items such as pension mark-to-market adjustments and the tax impact from employee share-based payments.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r>
      <w:tr>
        <w:trPr>
          <w:trHeight w:val="188"/>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r>
      <w:tr>
        <w:trPr>
          <w:trHeight w:val="399"/>
        </w:trPr>
        <w:tc>
          <w:tcPr>
            <w:tcW w:w="4740" w:type="dxa"/>
            <w:vAlign w:val="bottom"/>
          </w:tcPr>
          <w:p>
            <w:pPr>
              <w:spacing w:after="0"/>
              <w:rPr>
                <w:sz w:val="20"/>
                <w:szCs w:val="20"/>
                <w:color w:val="auto"/>
              </w:rPr>
            </w:pPr>
            <w:r>
              <w:rPr>
                <w:rFonts w:ascii="Arial" w:cs="Arial" w:eastAsia="Arial" w:hAnsi="Arial"/>
                <w:sz w:val="18"/>
                <w:szCs w:val="18"/>
                <w:color w:val="auto"/>
              </w:rPr>
              <w:t>Net income attributable to Honeywell</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1,392</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1,319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2,718</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2,535</w:t>
            </w:r>
          </w:p>
        </w:tc>
      </w:tr>
      <w:tr>
        <w:trPr>
          <w:trHeight w:val="405"/>
        </w:trPr>
        <w:tc>
          <w:tcPr>
            <w:tcW w:w="4740" w:type="dxa"/>
            <w:vAlign w:val="bottom"/>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1.80</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1.70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3.51</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3.26</w:t>
            </w:r>
          </w:p>
        </w:tc>
      </w:tr>
    </w:tbl>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Earnings per share of common stock – assuming dilution increased in the quarter and six months primarily driven by increased segment profit in each of our business segments, a lower effective tax rate and higher pension income, partially offset by higher repositioning and other charges.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Review of Business Segments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7"/>
          </w:tcPr>
          <w:p>
            <w:pPr>
              <w:jc w:val="center"/>
              <w:ind w:left="470"/>
              <w:spacing w:after="0"/>
              <w:rPr>
                <w:sz w:val="20"/>
                <w:szCs w:val="20"/>
                <w:color w:val="auto"/>
              </w:rPr>
            </w:pPr>
            <w:r>
              <w:rPr>
                <w:rFonts w:ascii="Arial" w:cs="Arial" w:eastAsia="Arial" w:hAnsi="Arial"/>
                <w:sz w:val="18"/>
                <w:szCs w:val="18"/>
                <w:b w:val="1"/>
                <w:bCs w:val="1"/>
                <w:color w:val="auto"/>
                <w:w w:val="99"/>
              </w:rPr>
              <w:t>Three Months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99"/>
              </w:rPr>
              <w:t>Six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8"/>
                <w:szCs w:val="18"/>
                <w:b w:val="1"/>
                <w:bCs w:val="1"/>
                <w:color w:val="auto"/>
                <w:w w:val="99"/>
              </w:rPr>
              <w:t>June 30,</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jc w:val="right"/>
              <w:ind w:right="210"/>
              <w:spacing w:after="0" w:line="187"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30"/>
              <w:spacing w:after="0" w:line="187"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5"/>
            <w:shd w:val="clear" w:color="auto" w:fill="E5FFFF"/>
          </w:tcPr>
          <w:p>
            <w:pPr>
              <w:spacing w:after="0" w:line="176" w:lineRule="exact"/>
              <w:rPr>
                <w:sz w:val="20"/>
                <w:szCs w:val="20"/>
                <w:color w:val="auto"/>
              </w:rPr>
            </w:pPr>
            <w:r>
              <w:rPr>
                <w:rFonts w:ascii="Arial" w:cs="Arial" w:eastAsia="Arial" w:hAnsi="Arial"/>
                <w:sz w:val="18"/>
                <w:szCs w:val="18"/>
                <w:color w:val="auto"/>
              </w:rPr>
              <w:t>Aerospace Sales</w:t>
            </w:r>
          </w:p>
        </w:tc>
        <w:tc>
          <w:tcPr>
            <w:tcW w:w="22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84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76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c>
          <w:tcPr>
            <w:tcW w:w="82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760" w:type="dxa"/>
            <w:vAlign w:val="bottom"/>
            <w:shd w:val="clear" w:color="auto" w:fill="E5FFFF"/>
          </w:tcPr>
          <w:p>
            <w:pPr>
              <w:spacing w:after="0"/>
              <w:rPr>
                <w:sz w:val="2"/>
                <w:szCs w:val="2"/>
                <w:color w:val="auto"/>
              </w:rPr>
            </w:pPr>
          </w:p>
        </w:tc>
        <w:tc>
          <w:tcPr>
            <w:tcW w:w="8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840" w:type="dxa"/>
            <w:vAlign w:val="bottom"/>
            <w:shd w:val="clear" w:color="auto" w:fill="E5FFFF"/>
          </w:tcPr>
          <w:p>
            <w:pPr>
              <w:spacing w:after="0"/>
              <w:rPr>
                <w:sz w:val="2"/>
                <w:szCs w:val="2"/>
                <w:color w:val="auto"/>
              </w:rPr>
            </w:pPr>
          </w:p>
        </w:tc>
        <w:tc>
          <w:tcPr>
            <w:tcW w:w="24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76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82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Commercial Aviation Original Equipment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641</w:t>
            </w:r>
          </w:p>
        </w:tc>
        <w:tc>
          <w:tcPr>
            <w:tcW w:w="52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1,252</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1,377</w:t>
            </w:r>
          </w:p>
        </w:tc>
        <w:tc>
          <w:tcPr>
            <w:tcW w:w="2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5"/>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Aviation Aftermarket</w:t>
            </w: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1,262</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1,207</w:t>
            </w:r>
          </w:p>
        </w:tc>
        <w:tc>
          <w:tcPr>
            <w:tcW w:w="2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7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5%</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2,463</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2,355</w:t>
            </w: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Defense and Space</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1,096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center"/>
              <w:spacing w:after="0" w:line="202" w:lineRule="exact"/>
              <w:rPr>
                <w:sz w:val="20"/>
                <w:szCs w:val="20"/>
                <w:color w:val="auto"/>
              </w:rPr>
            </w:pPr>
            <w:r>
              <w:rPr>
                <w:rFonts w:ascii="Arial" w:cs="Arial" w:eastAsia="Arial" w:hAnsi="Arial"/>
                <w:sz w:val="18"/>
                <w:szCs w:val="18"/>
                <w:color w:val="auto"/>
                <w:w w:val="99"/>
              </w:rPr>
              <w:t>(10)%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1,933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2,165</w:t>
            </w:r>
          </w:p>
        </w:tc>
        <w:tc>
          <w:tcPr>
            <w:tcW w:w="2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5"/>
            <w:shd w:val="clear" w:color="auto" w:fill="E5FFFF"/>
          </w:tcPr>
          <w:p>
            <w:pPr>
              <w:ind w:left="160"/>
              <w:spacing w:after="0"/>
              <w:rPr>
                <w:sz w:val="20"/>
                <w:szCs w:val="20"/>
                <w:color w:val="auto"/>
              </w:rPr>
            </w:pPr>
            <w:r>
              <w:rPr>
                <w:rFonts w:ascii="Arial" w:cs="Arial" w:eastAsia="Arial" w:hAnsi="Arial"/>
                <w:sz w:val="18"/>
                <w:szCs w:val="18"/>
                <w:color w:val="auto"/>
              </w:rPr>
              <w:t>Transportation Systems</w:t>
            </w:r>
          </w:p>
        </w:tc>
        <w:tc>
          <w:tcPr>
            <w:tcW w:w="2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788</w:t>
            </w:r>
          </w:p>
        </w:tc>
        <w:tc>
          <w:tcPr>
            <w:tcW w:w="8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7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1,572</w:t>
            </w:r>
          </w:p>
        </w:tc>
        <w:tc>
          <w:tcPr>
            <w:tcW w:w="2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1,587</w:t>
            </w: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5"/>
          </w:tcPr>
          <w:p>
            <w:pPr>
              <w:ind w:left="340"/>
              <w:spacing w:after="0"/>
              <w:rPr>
                <w:sz w:val="20"/>
                <w:szCs w:val="20"/>
                <w:color w:val="auto"/>
              </w:rPr>
            </w:pPr>
            <w:r>
              <w:rPr>
                <w:rFonts w:ascii="Arial" w:cs="Arial" w:eastAsia="Arial" w:hAnsi="Arial"/>
                <w:sz w:val="18"/>
                <w:szCs w:val="18"/>
                <w:color w:val="auto"/>
              </w:rPr>
              <w:t>Total Aerospace Sales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3,779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7,220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7,484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560" w:type="dxa"/>
            <w:vAlign w:val="bottom"/>
            <w:gridSpan w:val="5"/>
            <w:shd w:val="clear" w:color="auto" w:fill="E5FFFF"/>
          </w:tcPr>
          <w:p>
            <w:pPr>
              <w:spacing w:after="0" w:line="176" w:lineRule="exact"/>
              <w:rPr>
                <w:sz w:val="20"/>
                <w:szCs w:val="20"/>
                <w:color w:val="auto"/>
              </w:rPr>
            </w:pPr>
            <w:r>
              <w:rPr>
                <w:rFonts w:ascii="Arial" w:cs="Arial" w:eastAsia="Arial" w:hAnsi="Arial"/>
                <w:sz w:val="18"/>
                <w:szCs w:val="18"/>
                <w:color w:val="auto"/>
              </w:rPr>
              <w:t>Home and Building Technologies Sales</w:t>
            </w:r>
          </w:p>
        </w:tc>
        <w:tc>
          <w:tcPr>
            <w:tcW w:w="22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84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Borders>
              <w:top w:val="single" w:sz="8" w:color="auto"/>
            </w:tcBorders>
            <w:gridSpan w:val="2"/>
          </w:tcPr>
          <w:p>
            <w:pPr>
              <w:ind w:left="160"/>
              <w:spacing w:after="0" w:line="202" w:lineRule="exact"/>
              <w:rPr>
                <w:sz w:val="20"/>
                <w:szCs w:val="20"/>
                <w:color w:val="auto"/>
              </w:rPr>
            </w:pPr>
            <w:r>
              <w:rPr>
                <w:rFonts w:ascii="Arial" w:cs="Arial" w:eastAsia="Arial" w:hAnsi="Arial"/>
                <w:sz w:val="18"/>
                <w:szCs w:val="18"/>
                <w:color w:val="auto"/>
              </w:rPr>
              <w:t>Home and Building Products</w:t>
            </w:r>
          </w:p>
        </w:tc>
        <w:tc>
          <w:tcPr>
            <w:tcW w:w="1460" w:type="dxa"/>
            <w:vAlign w:val="bottom"/>
            <w:tcBorders>
              <w:top w:val="single" w:sz="8" w:color="E5FFFF"/>
            </w:tcBorders>
            <w:gridSpan w:val="3"/>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76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1,527</w:t>
            </w:r>
          </w:p>
        </w:tc>
        <w:tc>
          <w:tcPr>
            <w:tcW w:w="8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840" w:type="dxa"/>
            <w:vAlign w:val="bottom"/>
            <w:tcBorders>
              <w:top w:val="single" w:sz="8" w:color="E5FFFF"/>
            </w:tcBorders>
          </w:tcPr>
          <w:p>
            <w:pPr>
              <w:jc w:val="right"/>
              <w:ind w:right="30"/>
              <w:spacing w:after="0" w:line="202" w:lineRule="exact"/>
              <w:rPr>
                <w:sz w:val="20"/>
                <w:szCs w:val="20"/>
                <w:color w:val="auto"/>
              </w:rPr>
            </w:pPr>
            <w:r>
              <w:rPr>
                <w:rFonts w:ascii="Arial" w:cs="Arial" w:eastAsia="Arial" w:hAnsi="Arial"/>
                <w:sz w:val="18"/>
                <w:szCs w:val="18"/>
                <w:color w:val="auto"/>
              </w:rPr>
              <w:t>1,499</w:t>
            </w:r>
          </w:p>
        </w:tc>
        <w:tc>
          <w:tcPr>
            <w:tcW w:w="240" w:type="dxa"/>
            <w:vAlign w:val="bottom"/>
            <w:tcBorders>
              <w:top w:val="single" w:sz="8" w:color="E5FFFF"/>
            </w:tcBorders>
          </w:tcPr>
          <w:p>
            <w:pPr>
              <w:spacing w:after="0"/>
              <w:rPr>
                <w:sz w:val="17"/>
                <w:szCs w:val="17"/>
                <w:color w:val="auto"/>
              </w:rPr>
            </w:pPr>
          </w:p>
        </w:tc>
        <w:tc>
          <w:tcPr>
            <w:tcW w:w="20" w:type="dxa"/>
            <w:vAlign w:val="bottom"/>
            <w:tcBorders>
              <w:top w:val="single" w:sz="8" w:color="E5FFFF"/>
            </w:tcBorders>
          </w:tcPr>
          <w:p>
            <w:pPr>
              <w:spacing w:after="0"/>
              <w:rPr>
                <w:sz w:val="17"/>
                <w:szCs w:val="17"/>
                <w:color w:val="auto"/>
              </w:rPr>
            </w:pPr>
          </w:p>
        </w:tc>
        <w:tc>
          <w:tcPr>
            <w:tcW w:w="760" w:type="dxa"/>
            <w:vAlign w:val="bottom"/>
            <w:tcBorders>
              <w:top w:val="single" w:sz="8" w:color="E5FFFF"/>
            </w:tcBorders>
          </w:tcPr>
          <w:p>
            <w:pPr>
              <w:jc w:val="center"/>
              <w:spacing w:after="0" w:line="202" w:lineRule="exact"/>
              <w:rPr>
                <w:sz w:val="20"/>
                <w:szCs w:val="20"/>
                <w:color w:val="auto"/>
              </w:rPr>
            </w:pPr>
            <w:r>
              <w:rPr>
                <w:rFonts w:ascii="Arial" w:cs="Arial" w:eastAsia="Arial" w:hAnsi="Arial"/>
                <w:sz w:val="18"/>
                <w:szCs w:val="18"/>
                <w:color w:val="auto"/>
                <w:w w:val="99"/>
              </w:rPr>
              <w:t>2%</w:t>
            </w:r>
          </w:p>
        </w:tc>
        <w:tc>
          <w:tcPr>
            <w:tcW w:w="220" w:type="dxa"/>
            <w:vAlign w:val="bottom"/>
            <w:tcBorders>
              <w:top w:val="single" w:sz="8" w:color="E5FFFF"/>
            </w:tcBorders>
          </w:tcPr>
          <w:p>
            <w:pPr>
              <w:spacing w:after="0"/>
              <w:rPr>
                <w:sz w:val="17"/>
                <w:szCs w:val="17"/>
                <w:color w:val="auto"/>
              </w:rPr>
            </w:pPr>
          </w:p>
        </w:tc>
        <w:tc>
          <w:tcPr>
            <w:tcW w:w="200" w:type="dxa"/>
            <w:vAlign w:val="bottom"/>
            <w:tcBorders>
              <w:top w:val="single" w:sz="8" w:color="E5FFFF"/>
            </w:tcBorders>
          </w:tcPr>
          <w:p>
            <w:pPr>
              <w:spacing w:after="0"/>
              <w:rPr>
                <w:sz w:val="17"/>
                <w:szCs w:val="17"/>
                <w:color w:val="auto"/>
              </w:rPr>
            </w:pPr>
          </w:p>
        </w:tc>
        <w:tc>
          <w:tcPr>
            <w:tcW w:w="820" w:type="dxa"/>
            <w:vAlign w:val="bottom"/>
            <w:tcBorders>
              <w:top w:val="single" w:sz="8" w:color="E5FFFF"/>
            </w:tcBorders>
          </w:tcPr>
          <w:p>
            <w:pPr>
              <w:jc w:val="right"/>
              <w:ind w:right="10"/>
              <w:spacing w:after="0" w:line="202" w:lineRule="exact"/>
              <w:rPr>
                <w:sz w:val="20"/>
                <w:szCs w:val="20"/>
                <w:color w:val="auto"/>
              </w:rPr>
            </w:pPr>
            <w:r>
              <w:rPr>
                <w:rFonts w:ascii="Arial" w:cs="Arial" w:eastAsia="Arial" w:hAnsi="Arial"/>
                <w:sz w:val="18"/>
                <w:szCs w:val="18"/>
                <w:color w:val="auto"/>
              </w:rPr>
              <w:t>2,968</w:t>
            </w:r>
          </w:p>
        </w:tc>
        <w:tc>
          <w:tcPr>
            <w:tcW w:w="220" w:type="dxa"/>
            <w:vAlign w:val="bottom"/>
            <w:tcBorders>
              <w:top w:val="single" w:sz="8" w:color="E5FFFF"/>
            </w:tcBorders>
          </w:tcPr>
          <w:p>
            <w:pPr>
              <w:spacing w:after="0"/>
              <w:rPr>
                <w:sz w:val="17"/>
                <w:szCs w:val="17"/>
                <w:color w:val="auto"/>
              </w:rPr>
            </w:pPr>
          </w:p>
        </w:tc>
        <w:tc>
          <w:tcPr>
            <w:tcW w:w="200" w:type="dxa"/>
            <w:vAlign w:val="bottom"/>
            <w:tcBorders>
              <w:top w:val="single" w:sz="8" w:color="E5FFFF"/>
            </w:tcBorders>
          </w:tcPr>
          <w:p>
            <w:pPr>
              <w:spacing w:after="0"/>
              <w:rPr>
                <w:sz w:val="17"/>
                <w:szCs w:val="17"/>
                <w:color w:val="auto"/>
              </w:rPr>
            </w:pPr>
          </w:p>
        </w:tc>
        <w:tc>
          <w:tcPr>
            <w:tcW w:w="800" w:type="dxa"/>
            <w:vAlign w:val="bottom"/>
            <w:tcBorders>
              <w:top w:val="single" w:sz="8" w:color="E5FFFF"/>
            </w:tcBorders>
          </w:tcPr>
          <w:p>
            <w:pPr>
              <w:jc w:val="right"/>
              <w:ind w:right="10"/>
              <w:spacing w:after="0" w:line="202" w:lineRule="exact"/>
              <w:rPr>
                <w:sz w:val="20"/>
                <w:szCs w:val="20"/>
                <w:color w:val="auto"/>
              </w:rPr>
            </w:pPr>
            <w:r>
              <w:rPr>
                <w:rFonts w:ascii="Arial" w:cs="Arial" w:eastAsia="Arial" w:hAnsi="Arial"/>
                <w:sz w:val="18"/>
                <w:szCs w:val="18"/>
                <w:color w:val="auto"/>
              </w:rPr>
              <w:t>2,897</w:t>
            </w:r>
          </w:p>
        </w:tc>
        <w:tc>
          <w:tcPr>
            <w:tcW w:w="220" w:type="dxa"/>
            <w:vAlign w:val="bottom"/>
            <w:tcBorders>
              <w:top w:val="single" w:sz="8" w:color="E5FFFF"/>
            </w:tcBorders>
          </w:tcPr>
          <w:p>
            <w:pPr>
              <w:spacing w:after="0"/>
              <w:rPr>
                <w:sz w:val="17"/>
                <w:szCs w:val="17"/>
                <w:color w:val="auto"/>
              </w:rPr>
            </w:pPr>
          </w:p>
        </w:tc>
        <w:tc>
          <w:tcPr>
            <w:tcW w:w="800" w:type="dxa"/>
            <w:vAlign w:val="bottom"/>
            <w:tcBorders>
              <w:top w:val="single" w:sz="8" w:color="E5FFFF"/>
            </w:tcBorders>
          </w:tcPr>
          <w:p>
            <w:pPr>
              <w:jc w:val="center"/>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5"/>
            <w:shd w:val="clear" w:color="auto" w:fill="E5FFFF"/>
          </w:tcPr>
          <w:p>
            <w:pPr>
              <w:ind w:left="160"/>
              <w:spacing w:after="0"/>
              <w:rPr>
                <w:sz w:val="20"/>
                <w:szCs w:val="20"/>
                <w:color w:val="auto"/>
              </w:rPr>
            </w:pPr>
            <w:r>
              <w:rPr>
                <w:rFonts w:ascii="Arial" w:cs="Arial" w:eastAsia="Arial" w:hAnsi="Arial"/>
                <w:sz w:val="18"/>
                <w:szCs w:val="18"/>
                <w:color w:val="auto"/>
              </w:rPr>
              <w:t>Home and Building Distribution</w:t>
            </w:r>
          </w:p>
        </w:tc>
        <w:tc>
          <w:tcPr>
            <w:tcW w:w="2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1,209</w:t>
            </w:r>
          </w:p>
        </w:tc>
        <w:tc>
          <w:tcPr>
            <w:tcW w:w="8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1,177</w:t>
            </w:r>
          </w:p>
        </w:tc>
        <w:tc>
          <w:tcPr>
            <w:tcW w:w="2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7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2,321</w:t>
            </w:r>
          </w:p>
        </w:tc>
        <w:tc>
          <w:tcPr>
            <w:tcW w:w="2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2,256</w:t>
            </w: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5"/>
          </w:tcPr>
          <w:p>
            <w:pPr>
              <w:ind w:left="340"/>
              <w:spacing w:after="0"/>
              <w:rPr>
                <w:sz w:val="20"/>
                <w:szCs w:val="20"/>
                <w:color w:val="auto"/>
              </w:rPr>
            </w:pPr>
            <w:r>
              <w:rPr>
                <w:rFonts w:ascii="Arial" w:cs="Arial" w:eastAsia="Arial" w:hAnsi="Arial"/>
                <w:sz w:val="18"/>
                <w:szCs w:val="18"/>
                <w:color w:val="auto"/>
              </w:rPr>
              <w:t>Total Home and Building Technologies Sales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2,676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5,153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560" w:type="dxa"/>
            <w:vAlign w:val="bottom"/>
            <w:gridSpan w:val="5"/>
            <w:shd w:val="clear" w:color="auto" w:fill="E5FFFF"/>
          </w:tcPr>
          <w:p>
            <w:pPr>
              <w:spacing w:after="0" w:line="176" w:lineRule="exact"/>
              <w:rPr>
                <w:sz w:val="20"/>
                <w:szCs w:val="20"/>
                <w:color w:val="auto"/>
              </w:rPr>
            </w:pPr>
            <w:r>
              <w:rPr>
                <w:rFonts w:ascii="Arial" w:cs="Arial" w:eastAsia="Arial" w:hAnsi="Arial"/>
                <w:sz w:val="18"/>
                <w:szCs w:val="18"/>
                <w:color w:val="auto"/>
              </w:rPr>
              <w:t>Performance Materials and Technologies Sales</w:t>
            </w:r>
          </w:p>
        </w:tc>
        <w:tc>
          <w:tcPr>
            <w:tcW w:w="22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84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Borders>
              <w:top w:val="single" w:sz="8" w:color="auto"/>
            </w:tcBorders>
            <w:gridSpan w:val="4"/>
          </w:tcPr>
          <w:p>
            <w:pPr>
              <w:ind w:left="160"/>
              <w:spacing w:after="0" w:line="202" w:lineRule="exact"/>
              <w:rPr>
                <w:sz w:val="20"/>
                <w:szCs w:val="20"/>
                <w:color w:val="auto"/>
              </w:rPr>
            </w:pPr>
            <w:r>
              <w:rPr>
                <w:rFonts w:ascii="Arial" w:cs="Arial" w:eastAsia="Arial" w:hAnsi="Arial"/>
                <w:sz w:val="18"/>
                <w:szCs w:val="18"/>
                <w:color w:val="auto"/>
              </w:rPr>
              <w:t>UOP</w:t>
            </w:r>
          </w:p>
        </w:tc>
        <w:tc>
          <w:tcPr>
            <w:tcW w:w="82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76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641</w:t>
            </w:r>
          </w:p>
        </w:tc>
        <w:tc>
          <w:tcPr>
            <w:tcW w:w="8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840" w:type="dxa"/>
            <w:vAlign w:val="bottom"/>
            <w:tcBorders>
              <w:top w:val="single" w:sz="8" w:color="E5FFFF"/>
            </w:tcBorders>
          </w:tcPr>
          <w:p>
            <w:pPr>
              <w:jc w:val="right"/>
              <w:ind w:right="30"/>
              <w:spacing w:after="0" w:line="202" w:lineRule="exact"/>
              <w:rPr>
                <w:sz w:val="20"/>
                <w:szCs w:val="20"/>
                <w:color w:val="auto"/>
              </w:rPr>
            </w:pPr>
            <w:r>
              <w:rPr>
                <w:rFonts w:ascii="Arial" w:cs="Arial" w:eastAsia="Arial" w:hAnsi="Arial"/>
                <w:sz w:val="18"/>
                <w:szCs w:val="18"/>
                <w:color w:val="auto"/>
              </w:rPr>
              <w:t>614</w:t>
            </w:r>
          </w:p>
        </w:tc>
        <w:tc>
          <w:tcPr>
            <w:tcW w:w="240" w:type="dxa"/>
            <w:vAlign w:val="bottom"/>
            <w:tcBorders>
              <w:top w:val="single" w:sz="8" w:color="E5FFFF"/>
            </w:tcBorders>
          </w:tcPr>
          <w:p>
            <w:pPr>
              <w:spacing w:after="0"/>
              <w:rPr>
                <w:sz w:val="17"/>
                <w:szCs w:val="17"/>
                <w:color w:val="auto"/>
              </w:rPr>
            </w:pPr>
          </w:p>
        </w:tc>
        <w:tc>
          <w:tcPr>
            <w:tcW w:w="20" w:type="dxa"/>
            <w:vAlign w:val="bottom"/>
            <w:tcBorders>
              <w:top w:val="single" w:sz="8" w:color="E5FFFF"/>
            </w:tcBorders>
          </w:tcPr>
          <w:p>
            <w:pPr>
              <w:spacing w:after="0"/>
              <w:rPr>
                <w:sz w:val="17"/>
                <w:szCs w:val="17"/>
                <w:color w:val="auto"/>
              </w:rPr>
            </w:pPr>
          </w:p>
        </w:tc>
        <w:tc>
          <w:tcPr>
            <w:tcW w:w="760" w:type="dxa"/>
            <w:vAlign w:val="bottom"/>
            <w:tcBorders>
              <w:top w:val="single" w:sz="8" w:color="E5FFFF"/>
            </w:tcBorders>
          </w:tcPr>
          <w:p>
            <w:pPr>
              <w:jc w:val="center"/>
              <w:spacing w:after="0" w:line="202" w:lineRule="exact"/>
              <w:rPr>
                <w:sz w:val="20"/>
                <w:szCs w:val="20"/>
                <w:color w:val="auto"/>
              </w:rPr>
            </w:pPr>
            <w:r>
              <w:rPr>
                <w:rFonts w:ascii="Arial" w:cs="Arial" w:eastAsia="Arial" w:hAnsi="Arial"/>
                <w:sz w:val="18"/>
                <w:szCs w:val="18"/>
                <w:color w:val="auto"/>
                <w:w w:val="99"/>
              </w:rPr>
              <w:t>4%</w:t>
            </w:r>
          </w:p>
        </w:tc>
        <w:tc>
          <w:tcPr>
            <w:tcW w:w="220" w:type="dxa"/>
            <w:vAlign w:val="bottom"/>
            <w:tcBorders>
              <w:top w:val="single" w:sz="8" w:color="E5FFFF"/>
            </w:tcBorders>
          </w:tcPr>
          <w:p>
            <w:pPr>
              <w:spacing w:after="0"/>
              <w:rPr>
                <w:sz w:val="17"/>
                <w:szCs w:val="17"/>
                <w:color w:val="auto"/>
              </w:rPr>
            </w:pPr>
          </w:p>
        </w:tc>
        <w:tc>
          <w:tcPr>
            <w:tcW w:w="200" w:type="dxa"/>
            <w:vAlign w:val="bottom"/>
            <w:tcBorders>
              <w:top w:val="single" w:sz="8" w:color="E5FFFF"/>
            </w:tcBorders>
          </w:tcPr>
          <w:p>
            <w:pPr>
              <w:spacing w:after="0"/>
              <w:rPr>
                <w:sz w:val="17"/>
                <w:szCs w:val="17"/>
                <w:color w:val="auto"/>
              </w:rPr>
            </w:pPr>
          </w:p>
        </w:tc>
        <w:tc>
          <w:tcPr>
            <w:tcW w:w="820" w:type="dxa"/>
            <w:vAlign w:val="bottom"/>
            <w:tcBorders>
              <w:top w:val="single" w:sz="8" w:color="E5FFFF"/>
            </w:tcBorders>
          </w:tcPr>
          <w:p>
            <w:pPr>
              <w:jc w:val="right"/>
              <w:ind w:right="10"/>
              <w:spacing w:after="0" w:line="202" w:lineRule="exact"/>
              <w:rPr>
                <w:sz w:val="20"/>
                <w:szCs w:val="20"/>
                <w:color w:val="auto"/>
              </w:rPr>
            </w:pPr>
            <w:r>
              <w:rPr>
                <w:rFonts w:ascii="Arial" w:cs="Arial" w:eastAsia="Arial" w:hAnsi="Arial"/>
                <w:sz w:val="18"/>
                <w:szCs w:val="18"/>
                <w:color w:val="auto"/>
              </w:rPr>
              <w:t>1,218</w:t>
            </w:r>
          </w:p>
        </w:tc>
        <w:tc>
          <w:tcPr>
            <w:tcW w:w="220" w:type="dxa"/>
            <w:vAlign w:val="bottom"/>
            <w:tcBorders>
              <w:top w:val="single" w:sz="8" w:color="E5FFFF"/>
            </w:tcBorders>
          </w:tcPr>
          <w:p>
            <w:pPr>
              <w:spacing w:after="0"/>
              <w:rPr>
                <w:sz w:val="17"/>
                <w:szCs w:val="17"/>
                <w:color w:val="auto"/>
              </w:rPr>
            </w:pPr>
          </w:p>
        </w:tc>
        <w:tc>
          <w:tcPr>
            <w:tcW w:w="200" w:type="dxa"/>
            <w:vAlign w:val="bottom"/>
            <w:tcBorders>
              <w:top w:val="single" w:sz="8" w:color="E5FFFF"/>
            </w:tcBorders>
          </w:tcPr>
          <w:p>
            <w:pPr>
              <w:spacing w:after="0"/>
              <w:rPr>
                <w:sz w:val="17"/>
                <w:szCs w:val="17"/>
                <w:color w:val="auto"/>
              </w:rPr>
            </w:pPr>
          </w:p>
        </w:tc>
        <w:tc>
          <w:tcPr>
            <w:tcW w:w="800" w:type="dxa"/>
            <w:vAlign w:val="bottom"/>
            <w:tcBorders>
              <w:top w:val="single" w:sz="8" w:color="E5FFFF"/>
            </w:tcBorders>
          </w:tcPr>
          <w:p>
            <w:pPr>
              <w:jc w:val="right"/>
              <w:ind w:right="10"/>
              <w:spacing w:after="0" w:line="202" w:lineRule="exact"/>
              <w:rPr>
                <w:sz w:val="20"/>
                <w:szCs w:val="20"/>
                <w:color w:val="auto"/>
              </w:rPr>
            </w:pPr>
            <w:r>
              <w:rPr>
                <w:rFonts w:ascii="Arial" w:cs="Arial" w:eastAsia="Arial" w:hAnsi="Arial"/>
                <w:sz w:val="18"/>
                <w:szCs w:val="18"/>
                <w:color w:val="auto"/>
              </w:rPr>
              <w:t>1,182</w:t>
            </w:r>
          </w:p>
        </w:tc>
        <w:tc>
          <w:tcPr>
            <w:tcW w:w="220" w:type="dxa"/>
            <w:vAlign w:val="bottom"/>
            <w:tcBorders>
              <w:top w:val="single" w:sz="8" w:color="E5FFFF"/>
            </w:tcBorders>
          </w:tcPr>
          <w:p>
            <w:pPr>
              <w:spacing w:after="0"/>
              <w:rPr>
                <w:sz w:val="17"/>
                <w:szCs w:val="17"/>
                <w:color w:val="auto"/>
              </w:rPr>
            </w:pPr>
          </w:p>
        </w:tc>
        <w:tc>
          <w:tcPr>
            <w:tcW w:w="800" w:type="dxa"/>
            <w:vAlign w:val="bottom"/>
            <w:tcBorders>
              <w:top w:val="single" w:sz="8" w:color="E5FFFF"/>
            </w:tcBorders>
          </w:tcPr>
          <w:p>
            <w:pPr>
              <w:jc w:val="center"/>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5"/>
            <w:shd w:val="clear" w:color="auto" w:fill="E5FFFF"/>
          </w:tcPr>
          <w:p>
            <w:pPr>
              <w:ind w:left="160"/>
              <w:spacing w:after="0" w:line="202" w:lineRule="exact"/>
              <w:rPr>
                <w:sz w:val="20"/>
                <w:szCs w:val="20"/>
                <w:color w:val="auto"/>
              </w:rPr>
            </w:pPr>
            <w:r>
              <w:rPr>
                <w:rFonts w:ascii="Arial" w:cs="Arial" w:eastAsia="Arial" w:hAnsi="Arial"/>
                <w:sz w:val="18"/>
                <w:szCs w:val="18"/>
                <w:color w:val="auto"/>
              </w:rPr>
              <w:t>Process Solutions</w:t>
            </w: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867</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886</w:t>
            </w:r>
          </w:p>
        </w:tc>
        <w:tc>
          <w:tcPr>
            <w:tcW w:w="2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7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1,692</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1,723</w:t>
            </w: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E5FFFF"/>
            </w:tcBorders>
            <w:gridSpan w:val="5"/>
          </w:tcPr>
          <w:p>
            <w:pPr>
              <w:ind w:left="160"/>
              <w:spacing w:after="0"/>
              <w:rPr>
                <w:sz w:val="20"/>
                <w:szCs w:val="20"/>
                <w:color w:val="auto"/>
              </w:rPr>
            </w:pPr>
            <w:r>
              <w:rPr>
                <w:rFonts w:ascii="Arial" w:cs="Arial" w:eastAsia="Arial" w:hAnsi="Arial"/>
                <w:sz w:val="18"/>
                <w:szCs w:val="18"/>
                <w:color w:val="auto"/>
              </w:rPr>
              <w:t>Advanced Materials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934</w:t>
            </w:r>
          </w:p>
        </w:tc>
        <w:tc>
          <w:tcPr>
            <w:tcW w:w="2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760" w:type="dxa"/>
            <w:vAlign w:val="bottom"/>
            <w:tcBorders>
              <w:bottom w:val="single" w:sz="8" w:color="E5FFFF"/>
            </w:tcBorders>
          </w:tcPr>
          <w:p>
            <w:pPr>
              <w:jc w:val="center"/>
              <w:spacing w:after="0"/>
              <w:rPr>
                <w:sz w:val="20"/>
                <w:szCs w:val="20"/>
                <w:color w:val="auto"/>
              </w:rPr>
            </w:pPr>
            <w:r>
              <w:rPr>
                <w:rFonts w:ascii="Arial" w:cs="Arial" w:eastAsia="Arial" w:hAnsi="Arial"/>
                <w:sz w:val="18"/>
                <w:szCs w:val="18"/>
                <w:color w:val="auto"/>
                <w:w w:val="99"/>
              </w:rPr>
              <w:t>(22)%</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1,398</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1,810</w:t>
            </w:r>
          </w:p>
        </w:tc>
        <w:tc>
          <w:tcPr>
            <w:tcW w:w="220" w:type="dxa"/>
            <w:vAlign w:val="bottom"/>
            <w:tcBorders>
              <w:bottom w:val="single" w:sz="8" w:color="E5FFFF"/>
            </w:tcBorders>
          </w:tcPr>
          <w:p>
            <w:pPr>
              <w:spacing w:after="0"/>
              <w:rPr>
                <w:sz w:val="18"/>
                <w:szCs w:val="18"/>
                <w:color w:val="auto"/>
              </w:rPr>
            </w:pPr>
          </w:p>
        </w:tc>
        <w:tc>
          <w:tcPr>
            <w:tcW w:w="800" w:type="dxa"/>
            <w:vAlign w:val="bottom"/>
            <w:tcBorders>
              <w:bottom w:val="single" w:sz="8" w:color="E5FFFF"/>
            </w:tcBorders>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5"/>
            <w:shd w:val="clear" w:color="auto" w:fill="E5FFFF"/>
          </w:tcPr>
          <w:p>
            <w:pPr>
              <w:ind w:left="340"/>
              <w:spacing w:after="0" w:line="182" w:lineRule="exact"/>
              <w:rPr>
                <w:sz w:val="20"/>
                <w:szCs w:val="20"/>
                <w:color w:val="auto"/>
              </w:rPr>
            </w:pPr>
            <w:r>
              <w:rPr>
                <w:rFonts w:ascii="Arial" w:cs="Arial" w:eastAsia="Arial" w:hAnsi="Arial"/>
                <w:sz w:val="18"/>
                <w:szCs w:val="18"/>
                <w:color w:val="auto"/>
              </w:rPr>
              <w:t>Total Performance Materials and Technologies</w:t>
            </w:r>
          </w:p>
        </w:tc>
        <w:tc>
          <w:tcPr>
            <w:tcW w:w="22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84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5"/>
            <w:shd w:val="clear" w:color="auto" w:fill="E5FFFF"/>
          </w:tcPr>
          <w:p>
            <w:pPr>
              <w:ind w:left="520"/>
              <w:spacing w:after="0" w:line="203" w:lineRule="exact"/>
              <w:rPr>
                <w:sz w:val="20"/>
                <w:szCs w:val="20"/>
                <w:color w:val="auto"/>
              </w:rPr>
            </w:pPr>
            <w:r>
              <w:rPr>
                <w:rFonts w:ascii="Arial" w:cs="Arial" w:eastAsia="Arial" w:hAnsi="Arial"/>
                <w:sz w:val="18"/>
                <w:szCs w:val="18"/>
                <w:color w:val="auto"/>
              </w:rPr>
              <w:t>Sales</w:t>
            </w: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2,239</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0"/>
              <w:spacing w:after="0" w:line="203" w:lineRule="exact"/>
              <w:rPr>
                <w:sz w:val="20"/>
                <w:szCs w:val="20"/>
                <w:color w:val="auto"/>
              </w:rPr>
            </w:pPr>
            <w:r>
              <w:rPr>
                <w:rFonts w:ascii="Arial" w:cs="Arial" w:eastAsia="Arial" w:hAnsi="Arial"/>
                <w:sz w:val="18"/>
                <w:szCs w:val="18"/>
                <w:color w:val="auto"/>
              </w:rPr>
              <w:t>2,434</w:t>
            </w:r>
          </w:p>
        </w:tc>
        <w:tc>
          <w:tcPr>
            <w:tcW w:w="2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4,308</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4,715</w:t>
            </w: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580" w:type="dxa"/>
            <w:vAlign w:val="bottom"/>
            <w:gridSpan w:val="6"/>
          </w:tcPr>
          <w:p>
            <w:pPr>
              <w:spacing w:after="0"/>
              <w:rPr>
                <w:sz w:val="20"/>
                <w:szCs w:val="20"/>
                <w:color w:val="auto"/>
              </w:rPr>
            </w:pPr>
            <w:r>
              <w:rPr>
                <w:rFonts w:ascii="Arial" w:cs="Arial" w:eastAsia="Arial" w:hAnsi="Arial"/>
                <w:sz w:val="18"/>
                <w:szCs w:val="18"/>
                <w:color w:val="auto"/>
              </w:rPr>
              <w:t>Safety and Productivity Solutions Sales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Borders>
              <w:top w:val="single" w:sz="8" w:color="auto"/>
            </w:tcBorders>
            <w:gridSpan w:val="3"/>
            <w:shd w:val="clear" w:color="auto" w:fill="E5FFFF"/>
          </w:tcPr>
          <w:p>
            <w:pPr>
              <w:ind w:left="160"/>
              <w:spacing w:after="0" w:line="202" w:lineRule="exact"/>
              <w:rPr>
                <w:sz w:val="20"/>
                <w:szCs w:val="20"/>
                <w:color w:val="auto"/>
              </w:rPr>
            </w:pPr>
            <w:r>
              <w:rPr>
                <w:rFonts w:ascii="Arial" w:cs="Arial" w:eastAsia="Arial" w:hAnsi="Arial"/>
                <w:sz w:val="18"/>
                <w:szCs w:val="18"/>
                <w:color w:val="auto"/>
              </w:rPr>
              <w:t>Safety</w:t>
            </w:r>
          </w:p>
        </w:tc>
        <w:tc>
          <w:tcPr>
            <w:tcW w:w="1440" w:type="dxa"/>
            <w:vAlign w:val="bottom"/>
            <w:gridSpan w:val="2"/>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529</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524</w:t>
            </w:r>
          </w:p>
        </w:tc>
        <w:tc>
          <w:tcPr>
            <w:tcW w:w="2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7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1,050</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1,032</w:t>
            </w: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E5FFFF"/>
            </w:tcBorders>
            <w:gridSpan w:val="5"/>
          </w:tcPr>
          <w:p>
            <w:pPr>
              <w:ind w:left="160"/>
              <w:spacing w:after="0"/>
              <w:rPr>
                <w:sz w:val="20"/>
                <w:szCs w:val="20"/>
                <w:color w:val="auto"/>
              </w:rPr>
            </w:pPr>
            <w:r>
              <w:rPr>
                <w:rFonts w:ascii="Arial" w:cs="Arial" w:eastAsia="Arial" w:hAnsi="Arial"/>
                <w:sz w:val="18"/>
                <w:szCs w:val="18"/>
                <w:color w:val="auto"/>
              </w:rPr>
              <w:t>Productivity Solutions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578</w:t>
            </w:r>
          </w:p>
        </w:tc>
        <w:tc>
          <w:tcPr>
            <w:tcW w:w="2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760" w:type="dxa"/>
            <w:vAlign w:val="bottom"/>
            <w:tcBorders>
              <w:bottom w:val="single" w:sz="8" w:color="E5FFFF"/>
            </w:tcBorders>
          </w:tcPr>
          <w:p>
            <w:pPr>
              <w:jc w:val="center"/>
              <w:spacing w:after="0"/>
              <w:rPr>
                <w:sz w:val="20"/>
                <w:szCs w:val="20"/>
                <w:color w:val="auto"/>
              </w:rPr>
            </w:pPr>
            <w:r>
              <w:rPr>
                <w:rFonts w:ascii="Arial" w:cs="Arial" w:eastAsia="Arial" w:hAnsi="Arial"/>
                <w:sz w:val="18"/>
                <w:szCs w:val="18"/>
                <w:color w:val="auto"/>
                <w:w w:val="99"/>
              </w:rPr>
              <w:t>56%</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1,703</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1,129</w:t>
            </w:r>
          </w:p>
        </w:tc>
        <w:tc>
          <w:tcPr>
            <w:tcW w:w="220" w:type="dxa"/>
            <w:vAlign w:val="bottom"/>
            <w:tcBorders>
              <w:bottom w:val="single" w:sz="8" w:color="E5FFFF"/>
            </w:tcBorders>
          </w:tcPr>
          <w:p>
            <w:pPr>
              <w:spacing w:after="0"/>
              <w:rPr>
                <w:sz w:val="18"/>
                <w:szCs w:val="18"/>
                <w:color w:val="auto"/>
              </w:rPr>
            </w:pPr>
          </w:p>
        </w:tc>
        <w:tc>
          <w:tcPr>
            <w:tcW w:w="800" w:type="dxa"/>
            <w:vAlign w:val="bottom"/>
            <w:tcBorders>
              <w:bottom w:val="single" w:sz="8" w:color="E5FFFF"/>
            </w:tcBorders>
          </w:tcPr>
          <w:p>
            <w:pPr>
              <w:jc w:val="center"/>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5"/>
            <w:shd w:val="clear" w:color="auto" w:fill="E5FFFF"/>
          </w:tcPr>
          <w:p>
            <w:pPr>
              <w:ind w:left="340"/>
              <w:spacing w:after="0" w:line="196" w:lineRule="exact"/>
              <w:rPr>
                <w:sz w:val="20"/>
                <w:szCs w:val="20"/>
                <w:color w:val="auto"/>
              </w:rPr>
            </w:pPr>
            <w:r>
              <w:rPr>
                <w:rFonts w:ascii="Arial" w:cs="Arial" w:eastAsia="Arial" w:hAnsi="Arial"/>
                <w:sz w:val="18"/>
                <w:szCs w:val="18"/>
                <w:color w:val="auto"/>
              </w:rPr>
              <w:t>Total Safety and Productivity Solutions Sales</w:t>
            </w: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1,429</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1,102</w:t>
            </w:r>
          </w:p>
        </w:tc>
        <w:tc>
          <w:tcPr>
            <w:tcW w:w="2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2,753</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2,161</w:t>
            </w: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6"/>
            <w:vMerge w:val="restart"/>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gridSpan w:val="6"/>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10,078</w:t>
            </w: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9,991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19,570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19,513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C0C0C0"/>
            </w:tcBorders>
          </w:tcPr>
          <w:p>
            <w:pPr>
              <w:spacing w:after="0"/>
              <w:rPr>
                <w:sz w:val="20"/>
                <w:szCs w:val="20"/>
                <w:color w:val="auto"/>
              </w:rPr>
            </w:pPr>
          </w:p>
        </w:tc>
        <w:tc>
          <w:tcPr>
            <w:tcW w:w="176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Aerospace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8"/>
              <w:spacing w:after="0" w:line="143"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128"/>
              <w:spacing w:after="0" w:line="14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4"/>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3,674</w:t>
            </w:r>
          </w:p>
        </w:tc>
        <w:tc>
          <w:tcPr>
            <w:tcW w:w="44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3,779</w:t>
            </w: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40" w:type="dxa"/>
            <w:vAlign w:val="bottom"/>
            <w:gridSpan w:val="4"/>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7,220</w:t>
            </w:r>
          </w:p>
        </w:tc>
        <w:tc>
          <w:tcPr>
            <w:tcW w:w="34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7,484</w:t>
            </w: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980" w:type="dxa"/>
            <w:vAlign w:val="bottom"/>
            <w:gridSpan w:val="4"/>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5,439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E5FFFF"/>
          </w:tcPr>
          <w:p>
            <w:pPr>
              <w:ind w:left="160"/>
              <w:spacing w:after="0" w:line="201" w:lineRule="exact"/>
              <w:rPr>
                <w:sz w:val="20"/>
                <w:szCs w:val="20"/>
                <w:color w:val="auto"/>
              </w:rPr>
            </w:pPr>
            <w:r>
              <w:rPr>
                <w:rFonts w:ascii="Arial" w:cs="Arial" w:eastAsia="Arial" w:hAnsi="Arial"/>
                <w:sz w:val="18"/>
                <w:szCs w:val="18"/>
                <w:color w:val="auto"/>
              </w:rPr>
              <w:t>Selling, general and administrative and other</w:t>
            </w:r>
          </w:p>
        </w:tc>
        <w:tc>
          <w:tcPr>
            <w:tcW w:w="2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gridSpan w:val="2"/>
            <w:shd w:val="clear" w:color="auto" w:fill="E5FFFF"/>
          </w:tcPr>
          <w:p>
            <w:pPr>
              <w:ind w:left="34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558</w:t>
            </w:r>
          </w:p>
        </w:tc>
        <w:tc>
          <w:tcPr>
            <w:tcW w:w="2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456</w:t>
            </w:r>
          </w:p>
        </w:tc>
        <w:tc>
          <w:tcPr>
            <w:tcW w:w="80" w:type="dxa"/>
            <w:vAlign w:val="bottom"/>
            <w:tcBorders>
              <w:bottom w:val="single" w:sz="8" w:color="auto"/>
            </w:tcBorders>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819</w:t>
            </w:r>
          </w:p>
        </w:tc>
        <w:tc>
          <w:tcPr>
            <w:tcW w:w="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791</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1,615</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1,589</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2017 vs. 2016</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9"/>
          </w:tcPr>
          <w:p>
            <w:pPr>
              <w:jc w:val="center"/>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5"/>
          </w:tcPr>
          <w:p>
            <w:pPr>
              <w:jc w:val="center"/>
              <w:ind w:left="248"/>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9"/>
          </w:tcPr>
          <w:p>
            <w:pPr>
              <w:jc w:val="center"/>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68"/>
              <w:spacing w:after="0" w:line="143" w:lineRule="exact"/>
              <w:rPr>
                <w:sz w:val="20"/>
                <w:szCs w:val="20"/>
                <w:color w:val="auto"/>
              </w:rPr>
            </w:pPr>
            <w:r>
              <w:rPr>
                <w:rFonts w:ascii="Arial" w:cs="Arial" w:eastAsia="Arial" w:hAnsi="Arial"/>
                <w:sz w:val="14"/>
                <w:szCs w:val="14"/>
                <w:b w:val="1"/>
                <w:bCs w:val="1"/>
                <w:color w:val="auto"/>
              </w:rPr>
              <w:t>Segment</w:t>
            </w:r>
          </w:p>
        </w:tc>
        <w:tc>
          <w:tcPr>
            <w:tcW w:w="1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8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Factors Contributing to Year-Over-Year Change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5"/>
          </w:tcPr>
          <w:p>
            <w:pPr>
              <w:ind w:left="6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Profit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Sales</w:t>
            </w:r>
          </w:p>
        </w:tc>
        <w:tc>
          <w:tcPr>
            <w:tcW w:w="1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2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00" w:type="dxa"/>
            <w:vAlign w:val="bottom"/>
            <w:tcBorders>
              <w:top w:val="single" w:sz="8" w:color="auto"/>
            </w:tcBorders>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6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74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w:t>
            </w:r>
          </w:p>
        </w:tc>
        <w:tc>
          <w:tcPr>
            <w:tcW w:w="2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6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64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20" w:type="dxa"/>
            <w:vAlign w:val="bottom"/>
            <w:shd w:val="clear" w:color="auto" w:fill="E5FFFF"/>
          </w:tcPr>
          <w:p>
            <w:pPr>
              <w:spacing w:after="0"/>
              <w:rPr>
                <w:sz w:val="20"/>
                <w:szCs w:val="20"/>
                <w:color w:val="auto"/>
              </w:rPr>
            </w:pPr>
            <w:r>
              <w:rPr>
                <w:rFonts w:ascii="Arial" w:cs="Arial" w:eastAsia="Arial" w:hAnsi="Arial"/>
                <w:sz w:val="18"/>
                <w:szCs w:val="18"/>
                <w:color w:val="auto"/>
              </w:rPr>
              <w:t>Acquisitions, divestitures and other, net</w:t>
            </w:r>
          </w:p>
        </w:tc>
        <w:tc>
          <w:tcPr>
            <w:tcW w:w="2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(4)%</w:t>
            </w: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Total % Change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Aerospace sales decreased in the quarter and six months ended June 30, 2017 primarily due to the government services business divestiture and the unfavorable impact of foreign currency translation, partially offset by organic sales growth.</w:t>
      </w:r>
    </w:p>
    <w:p>
      <w:pPr>
        <w:spacing w:after="0" w:line="170" w:lineRule="exact"/>
        <w:rPr>
          <w:sz w:val="20"/>
          <w:szCs w:val="20"/>
          <w:color w:val="auto"/>
        </w:rPr>
      </w:pPr>
    </w:p>
    <w:p>
      <w:pPr>
        <w:jc w:val="both"/>
        <w:ind w:left="980" w:hanging="324"/>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Original Equipment sales decreased 5% (decreased 5% organic) in the quarter and decreased 9% (decreased 8% organic) in the six months primarily due to continued weakness in the business aviation market, which drove lower shipments to business jet original equipment manufacturers (OEMs), as expected, and higher incentives to original equipment manufacturers (OEM incentives).</w:t>
      </w:r>
    </w:p>
    <w:p>
      <w:pPr>
        <w:spacing w:after="0" w:line="161" w:lineRule="exact"/>
        <w:rPr>
          <w:rFonts w:ascii="Arial" w:cs="Arial" w:eastAsia="Arial" w:hAnsi="Arial"/>
          <w:sz w:val="18"/>
          <w:szCs w:val="18"/>
          <w:color w:val="auto"/>
        </w:rPr>
      </w:pPr>
    </w:p>
    <w:p>
      <w:pPr>
        <w:jc w:val="both"/>
        <w:ind w:left="980" w:right="2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Aftermarket sales increased 5% (increased 5% organic) in the quarter and increased 5% (increased 4% organic) in the six months driven primarily by higher repair and overhaul activities and increased spares shipments to air transport and regional customers.</w:t>
      </w:r>
    </w:p>
    <w:p>
      <w:pPr>
        <w:spacing w:after="0" w:line="162" w:lineRule="exact"/>
        <w:rPr>
          <w:rFonts w:ascii="Arial" w:cs="Arial" w:eastAsia="Arial" w:hAnsi="Arial"/>
          <w:sz w:val="18"/>
          <w:szCs w:val="18"/>
          <w:color w:val="auto"/>
        </w:rPr>
      </w:pPr>
    </w:p>
    <w:p>
      <w:pPr>
        <w:jc w:val="both"/>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Defense and Space sales decreased 10% (increased 2% organic) in the quarter and decreased 11% (increased 1% organic) in the six months primarily due to the government services business divestiture. Organic sales increased in the quarter and six months primarily due to growth in our U.S. defense business, offset by lower sales in our commercial helicopter and space businesses.</w:t>
      </w:r>
    </w:p>
    <w:p>
      <w:pPr>
        <w:spacing w:after="0" w:line="175" w:lineRule="exact"/>
        <w:rPr>
          <w:rFonts w:ascii="Arial" w:cs="Arial" w:eastAsia="Arial" w:hAnsi="Arial"/>
          <w:sz w:val="18"/>
          <w:szCs w:val="18"/>
          <w:color w:val="auto"/>
        </w:rPr>
      </w:pPr>
    </w:p>
    <w:p>
      <w:pPr>
        <w:jc w:val="both"/>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Transportation Systems sales decreased 2% (increased 1% organic) in the quarter and decreased 1% (increased 1% organic) in the six months primarily due to lower diesel turbo volumes and the unfavorable impact of foreign currency translation, partially offset by higher commercial vehicle volumes and gas turbo penetration.</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Aerospace segment profit increased in the quarter and six months driven primarily by an increase in operational segment profit, offset by the government services business divestiture and the unfavorable impact of foreign currency translation. The increase in operational segment profit is driven primarily by restructuring benefits, higher organic sales volume, partially offset by inflation. Cost of products and services sold decreased primarily due to the government services business divestiture, restructuring benefits and productivity, net of inflation.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Home and Building Technologies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6"/>
          </w:tcPr>
          <w:p>
            <w:pPr>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5"/>
                <w:szCs w:val="15"/>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8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58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2,736</w:t>
            </w:r>
          </w:p>
        </w:tc>
        <w:tc>
          <w:tcPr>
            <w:tcW w:w="1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E5FFFF"/>
          </w:tcPr>
          <w:p>
            <w:pPr>
              <w:jc w:val="right"/>
              <w:ind w:right="20"/>
              <w:spacing w:after="0" w:line="196" w:lineRule="exact"/>
              <w:rPr>
                <w:sz w:val="20"/>
                <w:szCs w:val="20"/>
                <w:color w:val="auto"/>
              </w:rPr>
            </w:pPr>
            <w:r>
              <w:rPr>
                <w:rFonts w:ascii="Arial" w:cs="Arial" w:eastAsia="Arial" w:hAnsi="Arial"/>
                <w:sz w:val="18"/>
                <w:szCs w:val="18"/>
                <w:color w:val="auto"/>
              </w:rPr>
              <w:t>2,676</w:t>
            </w:r>
          </w:p>
        </w:tc>
        <w:tc>
          <w:tcPr>
            <w:tcW w:w="10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tcBorders>
            <w:gridSpan w:val="2"/>
            <w:shd w:val="clear" w:color="auto" w:fill="E5FFFF"/>
          </w:tcPr>
          <w:p>
            <w:pPr>
              <w:ind w:left="520"/>
              <w:spacing w:after="0" w:line="196" w:lineRule="exact"/>
              <w:rPr>
                <w:sz w:val="20"/>
                <w:szCs w:val="20"/>
                <w:color w:val="auto"/>
              </w:rPr>
            </w:pPr>
            <w:r>
              <w:rPr>
                <w:rFonts w:ascii="Arial" w:cs="Arial" w:eastAsia="Arial" w:hAnsi="Arial"/>
                <w:sz w:val="18"/>
                <w:szCs w:val="18"/>
                <w:color w:val="auto"/>
                <w:w w:val="92"/>
              </w:rPr>
              <w:t>2%</w:t>
            </w:r>
          </w:p>
        </w:tc>
        <w:tc>
          <w:tcPr>
            <w:tcW w:w="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right w:val="single" w:sz="8" w:color="E5FFFF"/>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5,289</w:t>
            </w:r>
          </w:p>
        </w:tc>
        <w:tc>
          <w:tcPr>
            <w:tcW w:w="2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E5FFFF"/>
          </w:tcPr>
          <w:p>
            <w:pPr>
              <w:ind w:left="340"/>
              <w:spacing w:after="0" w:line="196" w:lineRule="exact"/>
              <w:rPr>
                <w:sz w:val="20"/>
                <w:szCs w:val="20"/>
                <w:color w:val="auto"/>
              </w:rPr>
            </w:pPr>
            <w:r>
              <w:rPr>
                <w:rFonts w:ascii="Arial" w:cs="Arial" w:eastAsia="Arial" w:hAnsi="Arial"/>
                <w:sz w:val="18"/>
                <w:szCs w:val="18"/>
                <w:color w:val="auto"/>
              </w:rPr>
              <w:t>5,153</w:t>
            </w:r>
          </w:p>
        </w:tc>
        <w:tc>
          <w:tcPr>
            <w:tcW w:w="80" w:type="dxa"/>
            <w:vAlign w:val="bottom"/>
            <w:tcBorders>
              <w:top w:val="single" w:sz="8" w:color="auto"/>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tcBorders>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3,442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gridSpan w:val="2"/>
            <w:shd w:val="clear" w:color="auto" w:fill="E5FFFF"/>
          </w:tcPr>
          <w:p>
            <w:pPr>
              <w:ind w:left="180"/>
              <w:spacing w:after="0" w:line="201" w:lineRule="exact"/>
              <w:rPr>
                <w:sz w:val="20"/>
                <w:szCs w:val="20"/>
                <w:color w:val="auto"/>
              </w:rPr>
            </w:pPr>
            <w:r>
              <w:rPr>
                <w:rFonts w:ascii="Arial" w:cs="Arial" w:eastAsia="Arial" w:hAnsi="Arial"/>
                <w:sz w:val="18"/>
                <w:szCs w:val="18"/>
                <w:color w:val="auto"/>
              </w:rPr>
              <w:t>Selling, general and administrative and other</w:t>
            </w:r>
          </w:p>
        </w:tc>
        <w:tc>
          <w:tcPr>
            <w:tcW w:w="2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40" w:type="dxa"/>
            <w:vAlign w:val="bottom"/>
            <w:tcBorders>
              <w:right w:val="single" w:sz="8" w:color="E5FFFF"/>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80" w:type="dxa"/>
            <w:vAlign w:val="bottom"/>
            <w:gridSpan w:val="2"/>
            <w:shd w:val="clear" w:color="auto" w:fill="E5FFFF"/>
          </w:tcPr>
          <w:p>
            <w:pPr>
              <w:ind w:left="36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right w:val="single" w:sz="8" w:color="E5FFFF"/>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gridSpan w:val="2"/>
            <w:shd w:val="clear" w:color="auto" w:fill="E5FFFF"/>
          </w:tcPr>
          <w:p>
            <w:pPr>
              <w:ind w:left="500"/>
              <w:spacing w:after="0"/>
              <w:rPr>
                <w:sz w:val="20"/>
                <w:szCs w:val="20"/>
                <w:color w:val="auto"/>
              </w:rPr>
            </w:pPr>
            <w:r>
              <w:rPr>
                <w:rFonts w:ascii="Arial" w:cs="Arial" w:eastAsia="Arial" w:hAnsi="Arial"/>
                <w:sz w:val="18"/>
                <w:szCs w:val="18"/>
                <w:color w:val="auto"/>
                <w:w w:val="99"/>
              </w:rPr>
              <w:t>939</w:t>
            </w:r>
          </w:p>
        </w:tc>
        <w:tc>
          <w:tcPr>
            <w:tcW w:w="80" w:type="dxa"/>
            <w:vAlign w:val="bottom"/>
            <w:tcBorders>
              <w:bottom w:val="single" w:sz="8" w:color="auto"/>
            </w:tcBorders>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ind w:left="6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w w:val="99"/>
              </w:rPr>
              <w:t>772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 vs. 2016</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8"/>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5"/>
          </w:tcPr>
          <w:p>
            <w:pPr>
              <w:jc w:val="center"/>
              <w:ind w:left="241"/>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8"/>
          </w:tcPr>
          <w:p>
            <w:pPr>
              <w:ind w:left="4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9"/>
              <w:spacing w:after="0" w:line="143" w:lineRule="exact"/>
              <w:rPr>
                <w:sz w:val="20"/>
                <w:szCs w:val="20"/>
                <w:color w:val="auto"/>
              </w:rPr>
            </w:pPr>
            <w:r>
              <w:rPr>
                <w:rFonts w:ascii="Arial" w:cs="Arial" w:eastAsia="Arial" w:hAnsi="Arial"/>
                <w:sz w:val="14"/>
                <w:szCs w:val="14"/>
                <w:b w:val="1"/>
                <w:bCs w:val="1"/>
                <w:color w:val="auto"/>
              </w:rPr>
              <w:t>Segment</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488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Factors Contributing to Year-Over-Year Change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5"/>
          </w:tcPr>
          <w:p>
            <w:pPr>
              <w:ind w:left="6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Profit</w:t>
            </w:r>
          </w:p>
        </w:tc>
        <w:tc>
          <w:tcPr>
            <w:tcW w:w="220" w:type="dxa"/>
            <w:vAlign w:val="bottom"/>
          </w:tcPr>
          <w:p>
            <w:pPr>
              <w:spacing w:after="0"/>
              <w:rPr>
                <w:sz w:val="15"/>
                <w:szCs w:val="15"/>
                <w:color w:val="auto"/>
              </w:rPr>
            </w:pPr>
          </w:p>
        </w:tc>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Sales</w:t>
            </w:r>
          </w:p>
        </w:tc>
        <w:tc>
          <w:tcPr>
            <w:tcW w:w="9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92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00" w:type="dxa"/>
            <w:vAlign w:val="bottom"/>
            <w:tcBorders>
              <w:top w:val="single" w:sz="8" w:color="auto"/>
            </w:tcBorders>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6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74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240" w:type="dxa"/>
            <w:vAlign w:val="bottom"/>
            <w:tcBorders>
              <w:top w:val="single" w:sz="8" w:color="E5FFFF"/>
              <w:right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600" w:type="dxa"/>
            <w:vAlign w:val="bottom"/>
            <w:tcBorders>
              <w:top w:val="single" w:sz="8" w:color="auto"/>
            </w:tcBorders>
            <w:shd w:val="clear" w:color="auto" w:fill="E5FFFF"/>
          </w:tcPr>
          <w:p>
            <w:pPr>
              <w:ind w:left="360"/>
              <w:spacing w:after="0" w:line="196" w:lineRule="exact"/>
              <w:rPr>
                <w:sz w:val="20"/>
                <w:szCs w:val="20"/>
                <w:color w:val="auto"/>
              </w:rPr>
            </w:pPr>
            <w:r>
              <w:rPr>
                <w:rFonts w:ascii="Arial" w:cs="Arial" w:eastAsia="Arial" w:hAnsi="Arial"/>
                <w:sz w:val="18"/>
                <w:szCs w:val="18"/>
                <w:color w:val="auto"/>
                <w:w w:val="84"/>
              </w:rPr>
              <w:t>4%</w:t>
            </w:r>
          </w:p>
        </w:tc>
        <w:tc>
          <w:tcPr>
            <w:tcW w:w="2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66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920" w:type="dxa"/>
            <w:vAlign w:val="bottom"/>
            <w:shd w:val="clear" w:color="auto" w:fill="E5FFFF"/>
          </w:tcPr>
          <w:p>
            <w:pPr>
              <w:spacing w:after="0"/>
              <w:rPr>
                <w:sz w:val="20"/>
                <w:szCs w:val="20"/>
                <w:color w:val="auto"/>
              </w:rPr>
            </w:pPr>
            <w:r>
              <w:rPr>
                <w:rFonts w:ascii="Arial" w:cs="Arial" w:eastAsia="Arial" w:hAnsi="Arial"/>
                <w:sz w:val="18"/>
                <w:szCs w:val="18"/>
                <w:color w:val="auto"/>
              </w:rPr>
              <w:t>Acquisitions and divestitures, net</w:t>
            </w:r>
          </w:p>
        </w:tc>
        <w:tc>
          <w:tcPr>
            <w:tcW w:w="20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6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900" w:type="dxa"/>
            <w:vAlign w:val="bottom"/>
            <w:tcBorders>
              <w:right w:val="single" w:sz="8" w:color="E5FFFF"/>
            </w:tcBorders>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20" w:type="dxa"/>
            <w:vAlign w:val="bottom"/>
            <w:gridSpan w:val="2"/>
            <w:shd w:val="clear" w:color="auto" w:fill="E5FFFF"/>
          </w:tcPr>
          <w:p>
            <w:pPr>
              <w:ind w:left="360"/>
              <w:spacing w:after="0"/>
              <w:rPr>
                <w:sz w:val="20"/>
                <w:szCs w:val="20"/>
                <w:color w:val="auto"/>
              </w:rPr>
            </w:pPr>
            <w:r>
              <w:rPr>
                <w:rFonts w:ascii="Arial" w:cs="Arial" w:eastAsia="Arial" w:hAnsi="Arial"/>
                <w:sz w:val="18"/>
                <w:szCs w:val="18"/>
                <w:color w:val="auto"/>
              </w:rPr>
              <w:t>1%</w:t>
            </w:r>
          </w:p>
        </w:tc>
        <w:tc>
          <w:tcPr>
            <w:tcW w:w="8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660"/>
              <w:spacing w:after="0"/>
              <w:rPr>
                <w:sz w:val="20"/>
                <w:szCs w:val="20"/>
                <w:color w:val="auto"/>
              </w:rPr>
            </w:pPr>
            <w:r>
              <w:rPr>
                <w:rFonts w:ascii="Arial" w:cs="Arial" w:eastAsia="Arial" w:hAnsi="Arial"/>
                <w:sz w:val="18"/>
                <w:szCs w:val="18"/>
                <w:color w:val="auto"/>
              </w:rPr>
              <w:t>Total % Change</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Home and Building Technologies sales increased in the quarter and six months ended June 30, 2017 primarily driven by organic growth partially offset by the unfavorable impact of foreign currency translation.</w:t>
      </w:r>
    </w:p>
    <w:p>
      <w:pPr>
        <w:spacing w:after="0" w:line="170" w:lineRule="exact"/>
        <w:rPr>
          <w:sz w:val="20"/>
          <w:szCs w:val="20"/>
          <w:color w:val="auto"/>
        </w:rPr>
      </w:pPr>
    </w:p>
    <w:p>
      <w:pPr>
        <w:jc w:val="both"/>
        <w:ind w:left="980" w:hanging="324"/>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in Home and Building Products increased 2% (increased 4% organic) in the quarter and increased 2% (increased 3% organic) in the six months primarily due to organic sales growth partially offset by the unfavorable impact of foreign currency translation. Organic sales growth in the quarter and in the six months was driven by sales growth in Security and Fire, Environmental and Energy Solutions, and Smart Energy.</w:t>
      </w:r>
    </w:p>
    <w:p>
      <w:pPr>
        <w:spacing w:after="0" w:line="161" w:lineRule="exact"/>
        <w:rPr>
          <w:rFonts w:ascii="Arial" w:cs="Arial" w:eastAsia="Arial" w:hAnsi="Arial"/>
          <w:sz w:val="18"/>
          <w:szCs w:val="18"/>
          <w:color w:val="auto"/>
        </w:rPr>
      </w:pPr>
    </w:p>
    <w:p>
      <w:pPr>
        <w:jc w:val="both"/>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in Home and Building Distribution increased 3% (increased 4% organic) in the quarter and increased 3% (increased 4% organic) in the six months primarily due to organic sales growth partially offset by the unfavorable impact of foreign currency translation. Organic sales growth in the quarter and six months was driven by increased growth in the global distribution business.</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Home and Building Technologies segment profit increased in the quarter and six months due to higher operational segment profit partially offset by the unfavorable impact of foreign currency translation. The increase in operational segment profit is primarily due to the positive impact of productivity, net of inflation, offset by the unfavorable impact of product mix. Cost of products and services sold increased in the quarter and six months primarily due to higher organic sales volumes partially offset by the impact of foreign currency translation.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60" w:type="dxa"/>
            <w:vAlign w:val="bottom"/>
            <w:gridSpan w:val="11"/>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10"/>
          </w:tcPr>
          <w:p>
            <w:pPr>
              <w:jc w:val="right"/>
              <w:ind w:right="100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tcPr>
          <w:p>
            <w:pPr>
              <w:jc w:val="right"/>
              <w:ind w:right="200"/>
              <w:spacing w:after="0" w:line="14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75"/>
        </w:trPr>
        <w:tc>
          <w:tcPr>
            <w:tcW w:w="3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58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2,239</w:t>
            </w:r>
          </w:p>
        </w:tc>
        <w:tc>
          <w:tcPr>
            <w:tcW w:w="1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3"/>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2,434</w:t>
            </w:r>
          </w:p>
        </w:tc>
        <w:tc>
          <w:tcPr>
            <w:tcW w:w="24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tcBorders>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c>
          <w:tcPr>
            <w:tcW w:w="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4,308</w:t>
            </w:r>
          </w:p>
        </w:tc>
        <w:tc>
          <w:tcPr>
            <w:tcW w:w="6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4,715</w:t>
            </w:r>
          </w:p>
        </w:tc>
        <w:tc>
          <w:tcPr>
            <w:tcW w:w="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r>
      <w:tr>
        <w:trPr>
          <w:trHeight w:val="216"/>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1,613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2,736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3,141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2"/>
        </w:trPr>
        <w:tc>
          <w:tcPr>
            <w:tcW w:w="4580" w:type="dxa"/>
            <w:vAlign w:val="bottom"/>
            <w:gridSpan w:val="2"/>
            <w:shd w:val="clear" w:color="auto" w:fill="E5FFFF"/>
          </w:tcPr>
          <w:p>
            <w:pPr>
              <w:ind w:left="180"/>
              <w:spacing w:after="0" w:line="201" w:lineRule="exact"/>
              <w:rPr>
                <w:sz w:val="20"/>
                <w:szCs w:val="20"/>
                <w:color w:val="auto"/>
              </w:rPr>
            </w:pPr>
            <w:r>
              <w:rPr>
                <w:rFonts w:ascii="Arial" w:cs="Arial" w:eastAsia="Arial" w:hAnsi="Arial"/>
                <w:sz w:val="18"/>
                <w:szCs w:val="18"/>
                <w:color w:val="auto"/>
              </w:rPr>
              <w:t>Selling, general and administrative and other</w:t>
            </w:r>
          </w:p>
        </w:tc>
        <w:tc>
          <w:tcPr>
            <w:tcW w:w="2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r>
      <w:tr>
        <w:trPr>
          <w:trHeight w:val="217"/>
        </w:trPr>
        <w:tc>
          <w:tcPr>
            <w:tcW w:w="340" w:type="dxa"/>
            <w:vAlign w:val="bottom"/>
            <w:shd w:val="clear" w:color="auto" w:fill="E5FFFF"/>
          </w:tcPr>
          <w:p>
            <w:pPr>
              <w:spacing w:after="0"/>
              <w:rPr>
                <w:sz w:val="18"/>
                <w:szCs w:val="18"/>
                <w:color w:val="auto"/>
              </w:rPr>
            </w:pPr>
          </w:p>
        </w:tc>
        <w:tc>
          <w:tcPr>
            <w:tcW w:w="4240" w:type="dxa"/>
            <w:vAlign w:val="bottom"/>
            <w:shd w:val="clear" w:color="auto" w:fill="E5FF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577</w:t>
            </w:r>
          </w:p>
        </w:tc>
        <w:tc>
          <w:tcPr>
            <w:tcW w:w="6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593</w:t>
            </w:r>
          </w:p>
        </w:tc>
        <w:tc>
          <w:tcPr>
            <w:tcW w:w="2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r>
      <w:tr>
        <w:trPr>
          <w:trHeight w:val="196"/>
        </w:trPr>
        <w:tc>
          <w:tcPr>
            <w:tcW w:w="4580" w:type="dxa"/>
            <w:vAlign w:val="bottom"/>
            <w:gridSpan w:val="2"/>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524</w:t>
            </w:r>
          </w:p>
        </w:tc>
        <w:tc>
          <w:tcPr>
            <w:tcW w:w="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tcPr>
          <w:p>
            <w:pPr>
              <w:jc w:val="right"/>
              <w:ind w:right="120"/>
              <w:spacing w:after="0" w:line="196" w:lineRule="exact"/>
              <w:rPr>
                <w:sz w:val="20"/>
                <w:szCs w:val="20"/>
                <w:color w:val="auto"/>
              </w:rPr>
            </w:pPr>
            <w:r>
              <w:rPr>
                <w:rFonts w:ascii="Arial" w:cs="Arial" w:eastAsia="Arial" w:hAnsi="Arial"/>
                <w:sz w:val="18"/>
                <w:szCs w:val="18"/>
                <w:color w:val="auto"/>
              </w:rPr>
              <w:t>520</w:t>
            </w:r>
          </w:p>
        </w:tc>
        <w:tc>
          <w:tcPr>
            <w:tcW w:w="1080" w:type="dxa"/>
            <w:vAlign w:val="bottom"/>
            <w:gridSpan w:val="5"/>
          </w:tcPr>
          <w:p>
            <w:pPr>
              <w:jc w:val="right"/>
              <w:ind w:right="60"/>
              <w:spacing w:after="0" w:line="196"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color w:val="auto"/>
              </w:rPr>
              <w:t>995</w:t>
            </w:r>
          </w:p>
        </w:tc>
        <w:tc>
          <w:tcPr>
            <w:tcW w:w="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tcPr>
          <w:p>
            <w:pPr>
              <w:jc w:val="right"/>
              <w:ind w:right="80"/>
              <w:spacing w:after="0" w:line="196" w:lineRule="exact"/>
              <w:rPr>
                <w:sz w:val="20"/>
                <w:szCs w:val="20"/>
                <w:color w:val="auto"/>
              </w:rPr>
            </w:pPr>
            <w:r>
              <w:rPr>
                <w:rFonts w:ascii="Arial" w:cs="Arial" w:eastAsia="Arial" w:hAnsi="Arial"/>
                <w:sz w:val="18"/>
                <w:szCs w:val="18"/>
                <w:color w:val="auto"/>
              </w:rPr>
              <w:t>981</w:t>
            </w:r>
          </w:p>
        </w:tc>
        <w:tc>
          <w:tcPr>
            <w:tcW w:w="20" w:type="dxa"/>
            <w:vAlign w:val="bottom"/>
            <w:tcBorders>
              <w:bottom w:val="single" w:sz="8" w:color="auto"/>
            </w:tcBorders>
          </w:tcPr>
          <w:p>
            <w:pPr>
              <w:spacing w:after="0"/>
              <w:rPr>
                <w:sz w:val="17"/>
                <w:szCs w:val="17"/>
                <w:color w:val="auto"/>
              </w:rPr>
            </w:pP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w:t>
            </w:r>
          </w:p>
        </w:tc>
      </w:tr>
      <w:tr>
        <w:trPr>
          <w:trHeight w:val="399"/>
        </w:trPr>
        <w:tc>
          <w:tcPr>
            <w:tcW w:w="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2017 vs. 2016</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98"/>
        </w:trPr>
        <w:tc>
          <w:tcPr>
            <w:tcW w:w="3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7"/>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3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42"/>
        </w:trPr>
        <w:tc>
          <w:tcPr>
            <w:tcW w:w="3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96"/>
              <w:spacing w:after="0" w:line="143"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ind w:right="99"/>
              <w:spacing w:after="0" w:line="143" w:lineRule="exact"/>
              <w:rPr>
                <w:sz w:val="20"/>
                <w:szCs w:val="20"/>
                <w:color w:val="auto"/>
              </w:rPr>
            </w:pPr>
            <w:r>
              <w:rPr>
                <w:rFonts w:ascii="Arial" w:cs="Arial" w:eastAsia="Arial" w:hAnsi="Arial"/>
                <w:sz w:val="14"/>
                <w:szCs w:val="14"/>
                <w:b w:val="1"/>
                <w:bCs w:val="1"/>
                <w:color w:val="auto"/>
                <w:w w:val="98"/>
              </w:rPr>
              <w:t>Segment</w:t>
            </w:r>
          </w:p>
        </w:tc>
        <w:tc>
          <w:tcPr>
            <w:tcW w:w="260" w:type="dxa"/>
            <w:vAlign w:val="bottom"/>
          </w:tcPr>
          <w:p>
            <w:pPr>
              <w:spacing w:after="0"/>
              <w:rPr>
                <w:sz w:val="12"/>
                <w:szCs w:val="12"/>
                <w:color w:val="auto"/>
              </w:rPr>
            </w:pPr>
          </w:p>
        </w:tc>
      </w:tr>
      <w:tr>
        <w:trPr>
          <w:trHeight w:val="175"/>
        </w:trPr>
        <w:tc>
          <w:tcPr>
            <w:tcW w:w="340" w:type="dxa"/>
            <w:vAlign w:val="bottom"/>
          </w:tcPr>
          <w:p>
            <w:pPr>
              <w:spacing w:after="0"/>
              <w:rPr>
                <w:sz w:val="15"/>
                <w:szCs w:val="15"/>
                <w:color w:val="auto"/>
              </w:rPr>
            </w:pPr>
          </w:p>
        </w:tc>
        <w:tc>
          <w:tcPr>
            <w:tcW w:w="52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Factors Contributing to Year-Over-Year Change</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5"/>
                <w:szCs w:val="15"/>
                <w:color w:val="auto"/>
              </w:rPr>
            </w:pPr>
          </w:p>
        </w:tc>
        <w:tc>
          <w:tcPr>
            <w:tcW w:w="180" w:type="dxa"/>
            <w:vAlign w:val="bottom"/>
            <w:tcBorders>
              <w:bottom w:val="single" w:sz="8" w:color="auto"/>
            </w:tcBorders>
            <w:gridSpan w:val="2"/>
          </w:tcPr>
          <w:p>
            <w:pPr>
              <w:spacing w:after="0"/>
              <w:rPr>
                <w:sz w:val="15"/>
                <w:szCs w:val="15"/>
                <w:color w:val="auto"/>
              </w:rPr>
            </w:pPr>
          </w:p>
        </w:tc>
        <w:tc>
          <w:tcPr>
            <w:tcW w:w="78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4"/>
                <w:szCs w:val="14"/>
                <w:b w:val="1"/>
                <w:bCs w:val="1"/>
                <w:color w:val="auto"/>
                <w:w w:val="98"/>
              </w:rPr>
              <w:t>Profit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Profit</w:t>
            </w:r>
          </w:p>
        </w:tc>
        <w:tc>
          <w:tcPr>
            <w:tcW w:w="260" w:type="dxa"/>
            <w:vAlign w:val="bottom"/>
          </w:tcPr>
          <w:p>
            <w:pPr>
              <w:spacing w:after="0"/>
              <w:rPr>
                <w:sz w:val="15"/>
                <w:szCs w:val="15"/>
                <w:color w:val="auto"/>
              </w:rPr>
            </w:pPr>
          </w:p>
        </w:tc>
      </w:tr>
    </w:tbl>
    <w:p>
      <w:pPr>
        <w:spacing w:after="0" w:line="197"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Organic growth/ Operational segment profit</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w:t>
      </w:r>
    </w:p>
    <w:p>
      <w:pPr>
        <w:ind w:left="34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r>
      <w:tr>
        <w:trPr>
          <w:trHeight w:val="210"/>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-565150</wp:posOffset>
            </wp:positionV>
            <wp:extent cx="687768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7685" cy="12890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-307975</wp:posOffset>
            </wp:positionV>
            <wp:extent cx="68776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800"/>
          </w:cols>
          <w:pgMar w:left="240" w:top="400" w:right="239" w:bottom="1440" w:gutter="0" w:footer="0" w:header="0"/>
          <w:type w:val="continuous"/>
        </w:sectPr>
      </w:pPr>
    </w:p>
    <w:p>
      <w:pPr>
        <w:spacing w:after="0" w:line="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Performance Materials and Technologies sales decreased in the quarter and six months ended June 30, 2017 due to divestitures and the unfavorable impact of foreign currency translation, partially offset by growth in organic sales volumes.</w:t>
      </w:r>
    </w:p>
    <w:p>
      <w:pPr>
        <w:spacing w:after="0" w:line="183" w:lineRule="exact"/>
        <w:rPr>
          <w:sz w:val="20"/>
          <w:szCs w:val="20"/>
          <w:color w:val="auto"/>
        </w:rPr>
      </w:pPr>
    </w:p>
    <w:p>
      <w:pPr>
        <w:jc w:val="both"/>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UOP sales increased 4% (increased 6% organic) in the quarter and increased 3% (increased 5% organic) in the six months driven primarily by higher gas processing project revenues and higher equipment revenues in the quarter, partially offset by decreased licensing revenue.</w:t>
      </w:r>
    </w:p>
    <w:p>
      <w:pPr>
        <w:spacing w:after="0" w:line="189"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Process Solutions sales decreased 2% (decreased 1% organic) in the quarter and decreased 2% (flat organic) in the six months driven primarily by decreased revenues in projects and lower field product sales, partially offset by higher revenue in services and software.</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Materials sales decreased 22% (increased 12% organic) in the quarter and decreased 23% (increased 12% organic) in the six months driven primarily by the spin-off of the former resins and chemicals business, partially offset by increased fluorine products volumes.</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Performance Materials and Technologies segment profit increased in the quarter and six months due to an increase in operational segment profit, partially offset by divestitures and the unfavorable impact of foreign currency translation. The increase in operational segment profit is primarily due to productivity, net of inflation, higher organic sales volume and pricing, partially offset by unfavorable product mix and continued investments for growth. Cost of products and services sold decreased in the quarter and six months primarily due to divestitures and productivity, net of inflation, partially offset by higher organic sales volumes.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4"/>
                <w:szCs w:val="14"/>
                <w:b w:val="1"/>
                <w:bCs w:val="1"/>
                <w:color w:val="auto"/>
                <w:w w:val="99"/>
              </w:rPr>
              <w:t>June 30,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258"/>
              <w:spacing w:after="0" w:line="143"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297"/>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5"/>
                <w:szCs w:val="15"/>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1,429</w:t>
            </w:r>
          </w:p>
        </w:tc>
        <w:tc>
          <w:tcPr>
            <w:tcW w:w="5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1,102</w:t>
            </w:r>
          </w:p>
        </w:tc>
        <w:tc>
          <w:tcPr>
            <w:tcW w:w="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58"/>
              <w:spacing w:after="0" w:line="202" w:lineRule="exact"/>
              <w:rPr>
                <w:sz w:val="20"/>
                <w:szCs w:val="20"/>
                <w:color w:val="auto"/>
              </w:rPr>
            </w:pPr>
            <w:r>
              <w:rPr>
                <w:rFonts w:ascii="Arial" w:cs="Arial" w:eastAsia="Arial" w:hAnsi="Arial"/>
                <w:sz w:val="18"/>
                <w:szCs w:val="18"/>
                <w:color w:val="auto"/>
              </w:rPr>
              <w:t>30%</w:t>
            </w: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2,753</w:t>
            </w:r>
          </w:p>
        </w:tc>
        <w:tc>
          <w:tcPr>
            <w:tcW w:w="20" w:type="dxa"/>
            <w:vAlign w:val="bottom"/>
            <w:shd w:val="clear" w:color="auto" w:fill="E5FFFF"/>
          </w:tcPr>
          <w:p>
            <w:pPr>
              <w:spacing w:after="0"/>
              <w:rPr>
                <w:sz w:val="17"/>
                <w:szCs w:val="17"/>
                <w:color w:val="auto"/>
              </w:rPr>
            </w:pPr>
          </w:p>
        </w:tc>
        <w:tc>
          <w:tcPr>
            <w:tcW w:w="46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2,161</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97"/>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942</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1,806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1,397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E5FFFF"/>
          </w:tcPr>
          <w:p>
            <w:pPr>
              <w:ind w:left="160"/>
              <w:spacing w:after="0" w:line="201" w:lineRule="exact"/>
              <w:rPr>
                <w:sz w:val="20"/>
                <w:szCs w:val="20"/>
                <w:color w:val="auto"/>
              </w:rPr>
            </w:pPr>
            <w:r>
              <w:rPr>
                <w:rFonts w:ascii="Arial" w:cs="Arial" w:eastAsia="Arial" w:hAnsi="Arial"/>
                <w:sz w:val="18"/>
                <w:szCs w:val="18"/>
                <w:color w:val="auto"/>
              </w:rPr>
              <w:t>Selling, general and administrative and other</w:t>
            </w: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gridSpan w:val="2"/>
            <w:shd w:val="clear" w:color="auto" w:fill="E5FFFF"/>
          </w:tcPr>
          <w:p>
            <w:pPr>
              <w:ind w:left="3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273</w:t>
            </w:r>
          </w:p>
        </w:tc>
        <w:tc>
          <w:tcPr>
            <w:tcW w:w="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222</w:t>
            </w:r>
          </w:p>
        </w:tc>
        <w:tc>
          <w:tcPr>
            <w:tcW w:w="60" w:type="dxa"/>
            <w:vAlign w:val="bottom"/>
            <w:tcBorders>
              <w:bottom w:val="single" w:sz="8" w:color="auto"/>
            </w:tcBorders>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8"/>
                <w:szCs w:val="18"/>
                <w:color w:val="auto"/>
              </w:rPr>
              <w:t>539</w:t>
            </w:r>
          </w:p>
        </w:tc>
        <w:tc>
          <w:tcPr>
            <w:tcW w:w="20" w:type="dxa"/>
            <w:vAlign w:val="bottom"/>
            <w:tcBorders>
              <w:bottom w:val="single" w:sz="8" w:color="auto"/>
            </w:tcBorders>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37"/>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tcPr>
          <w:p>
            <w:pPr>
              <w:spacing w:after="0" w:line="196" w:lineRule="exact"/>
              <w:rPr>
                <w:sz w:val="20"/>
                <w:szCs w:val="20"/>
                <w:color w:val="auto"/>
              </w:rPr>
            </w:pPr>
            <w:r>
              <w:rPr>
                <w:rFonts w:ascii="Arial" w:cs="Arial" w:eastAsia="Arial" w:hAnsi="Arial"/>
                <w:sz w:val="18"/>
                <w:szCs w:val="18"/>
                <w:color w:val="auto"/>
              </w:rPr>
              <w:t>Segment profit</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214</w:t>
            </w:r>
          </w:p>
        </w:tc>
        <w:tc>
          <w:tcPr>
            <w:tcW w:w="3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w:t>
            </w: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8"/>
              <w:spacing w:after="0" w:line="196" w:lineRule="exact"/>
              <w:rPr>
                <w:sz w:val="20"/>
                <w:szCs w:val="20"/>
                <w:color w:val="auto"/>
              </w:rPr>
            </w:pPr>
            <w:r>
              <w:rPr>
                <w:rFonts w:ascii="Arial" w:cs="Arial" w:eastAsia="Arial" w:hAnsi="Arial"/>
                <w:sz w:val="18"/>
                <w:szCs w:val="18"/>
                <w:color w:val="auto"/>
              </w:rPr>
              <w:t>24%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408</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rPr>
              <w:t>323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ind w:right="97"/>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ind w:left="360"/>
              <w:spacing w:after="0"/>
              <w:rPr>
                <w:sz w:val="20"/>
                <w:szCs w:val="20"/>
                <w:color w:val="auto"/>
              </w:rPr>
            </w:pPr>
            <w:r>
              <w:rPr>
                <w:rFonts w:ascii="Arial" w:cs="Arial" w:eastAsia="Arial" w:hAnsi="Arial"/>
                <w:sz w:val="14"/>
                <w:szCs w:val="14"/>
                <w:b w:val="1"/>
                <w:bCs w:val="1"/>
                <w:color w:val="auto"/>
              </w:rPr>
              <w:t>2017 vs. 2016</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7"/>
          </w:tcPr>
          <w:p>
            <w:pPr>
              <w:ind w:left="260"/>
              <w:spacing w:after="0" w:line="143" w:lineRule="exact"/>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5"/>
          </w:tcPr>
          <w:p>
            <w:pPr>
              <w:jc w:val="center"/>
              <w:ind w:right="197"/>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36"/>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left="49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75"/>
              <w:spacing w:after="0" w:line="143" w:lineRule="exact"/>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117"/>
              <w:spacing w:after="0" w:line="143"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0" w:type="dxa"/>
            <w:vAlign w:val="bottom"/>
            <w:gridSpan w:val="3"/>
          </w:tcPr>
          <w:p>
            <w:pPr>
              <w:jc w:val="right"/>
              <w:spacing w:after="0"/>
              <w:rPr>
                <w:sz w:val="20"/>
                <w:szCs w:val="20"/>
                <w:color w:val="auto"/>
              </w:rPr>
            </w:pPr>
            <w:r>
              <w:rPr>
                <w:rFonts w:ascii="Arial" w:cs="Arial" w:eastAsia="Arial" w:hAnsi="Arial"/>
                <w:sz w:val="14"/>
                <w:szCs w:val="14"/>
                <w:b w:val="1"/>
                <w:bCs w:val="1"/>
                <w:color w:val="auto"/>
              </w:rPr>
              <w:t>Factors Contributing to Year-Over-Year Change</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5"/>
                <w:szCs w:val="15"/>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Profit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Sales</w:t>
            </w: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E5FFFF"/>
            </w:tcBorders>
            <w:shd w:val="clear" w:color="auto" w:fill="E5FFFF"/>
          </w:tcPr>
          <w:p>
            <w:pPr>
              <w:spacing w:after="0"/>
              <w:rPr>
                <w:sz w:val="17"/>
                <w:szCs w:val="17"/>
                <w:color w:val="auto"/>
              </w:rPr>
            </w:pPr>
          </w:p>
        </w:tc>
        <w:tc>
          <w:tcPr>
            <w:tcW w:w="3660" w:type="dxa"/>
            <w:vAlign w:val="bottom"/>
            <w:tcBorders>
              <w:top w:val="single" w:sz="8" w:color="auto"/>
            </w:tcBorders>
            <w:shd w:val="clear" w:color="auto" w:fill="E5FFFF"/>
          </w:tcPr>
          <w:p>
            <w:pPr>
              <w:ind w:left="40"/>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20" w:type="dxa"/>
            <w:vAlign w:val="bottom"/>
            <w:tcBorders>
              <w:top w:val="single" w:sz="8" w:color="auto"/>
            </w:tcBorders>
            <w:shd w:val="clear" w:color="auto" w:fill="E5FFFF"/>
          </w:tcPr>
          <w:p>
            <w:pPr>
              <w:spacing w:after="0"/>
              <w:rPr>
                <w:sz w:val="17"/>
                <w:szCs w:val="17"/>
                <w:color w:val="auto"/>
              </w:rPr>
            </w:pPr>
          </w:p>
        </w:tc>
        <w:tc>
          <w:tcPr>
            <w:tcW w:w="72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720" w:type="dxa"/>
            <w:vAlign w:val="bottom"/>
            <w:tcBorders>
              <w:top w:val="single" w:sz="8" w:color="auto"/>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w:t>
            </w:r>
          </w:p>
        </w:tc>
        <w:tc>
          <w:tcPr>
            <w:tcW w:w="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c>
          <w:tcPr>
            <w:tcW w:w="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60" w:type="dxa"/>
            <w:vAlign w:val="bottom"/>
            <w:tcBorders>
              <w:top w:val="single" w:sz="8" w:color="auto"/>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60" w:type="dxa"/>
            <w:vAlign w:val="bottom"/>
          </w:tcPr>
          <w:p>
            <w:pPr>
              <w:ind w:left="40"/>
              <w:spacing w:after="0" w:line="202" w:lineRule="exact"/>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3660" w:type="dxa"/>
            <w:vAlign w:val="bottom"/>
            <w:shd w:val="clear" w:color="auto" w:fill="E5FFFF"/>
          </w:tcPr>
          <w:p>
            <w:pPr>
              <w:ind w:left="40"/>
              <w:spacing w:after="0"/>
              <w:rPr>
                <w:sz w:val="20"/>
                <w:szCs w:val="20"/>
                <w:color w:val="auto"/>
              </w:rPr>
            </w:pPr>
            <w:r>
              <w:rPr>
                <w:rFonts w:ascii="Arial" w:cs="Arial" w:eastAsia="Arial" w:hAnsi="Arial"/>
                <w:sz w:val="18"/>
                <w:szCs w:val="18"/>
                <w:color w:val="auto"/>
              </w:rPr>
              <w:t>Acquisitions and divestitures, net</w:t>
            </w:r>
          </w:p>
        </w:tc>
        <w:tc>
          <w:tcPr>
            <w:tcW w:w="2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6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60" w:type="dxa"/>
            <w:vAlign w:val="bottom"/>
          </w:tcPr>
          <w:p>
            <w:pPr>
              <w:ind w:left="40"/>
              <w:spacing w:after="0" w:line="197" w:lineRule="exact"/>
              <w:rPr>
                <w:sz w:val="20"/>
                <w:szCs w:val="20"/>
                <w:color w:val="auto"/>
              </w:rPr>
            </w:pPr>
            <w:r>
              <w:rPr>
                <w:rFonts w:ascii="Arial" w:cs="Arial" w:eastAsia="Arial" w:hAnsi="Arial"/>
                <w:sz w:val="18"/>
                <w:szCs w:val="18"/>
                <w:color w:val="auto"/>
              </w:rPr>
              <w:t>Total % Change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-1122680</wp:posOffset>
            </wp:positionV>
            <wp:extent cx="368935" cy="11061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8935" cy="1106170"/>
                    </a:xfrm>
                    <a:prstGeom prst="rect">
                      <a:avLst/>
                    </a:prstGeom>
                    <a:noFill/>
                  </pic:spPr>
                </pic:pic>
              </a:graphicData>
            </a:graphic>
          </wp:anchor>
        </w:drawing>
      </w:r>
    </w:p>
    <w:p>
      <w:pPr>
        <w:spacing w:after="0" w:line="18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Safety and Productivity Solutions sales increased in the quarter and six months ended June 30, 2017 primarily due to growth from acquisitions and increased organic sales volume partially offset by the unfavorable impact of foreign currency exchange.</w:t>
      </w:r>
    </w:p>
    <w:p>
      <w:pPr>
        <w:spacing w:after="0" w:line="183" w:lineRule="exact"/>
        <w:rPr>
          <w:sz w:val="20"/>
          <w:szCs w:val="20"/>
          <w:color w:val="auto"/>
        </w:rPr>
      </w:pPr>
    </w:p>
    <w:p>
      <w:pPr>
        <w:jc w:val="both"/>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Safety increased 1% (increased 2% organic) in the quarter and increased 2% (increased 3% organic) in the six months due to increased sales volume in the Industrial Safety business, partially offset by lower volume in Retail, and the unfavorable impact of foreign currency translation.</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Productivity Solutions increased 56% (decreased 1% organic) in the quarter and increased 51% (increased 1% organic) in the six months primarily due to growth from acquisitions (Intelligrated).</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Safety and Productivity Solutions segment profit increased in the quarter and six months primarily due to increase from acquisitions and operational segment profit. The increase in operational segment profit for the quarter and six month is driven by higher productivity, net of inflation, and sales volume. Cost of products and services sold increased primarily due to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repositioning actions are expected to generate incremental pretax savings of $250 million to $350 million in 2017 compared with 2016 primarily from planned workforce reductions. Cash spending related to our repositioning actions was $94 million in the six months ended June 30, 2017 and was funded through operating cash flows. We expect cash spending for repositioning actions to be approximately $225 million in 2017 and to be funded through operating cash flows.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8" w:name="page29"/>
    <w:bookmarkEnd w:id="28"/>
    <w:p>
      <w:pPr>
        <w:spacing w:after="0"/>
        <w:tabs>
          <w:tab w:leader="none" w:pos="3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7"/>
          <w:szCs w:val="17"/>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188"/>
        </w:trPr>
        <w:tc>
          <w:tcPr>
            <w:tcW w:w="5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5400" w:type="dxa"/>
            <w:vAlign w:val="bottom"/>
            <w:tcBorders>
              <w:bottom w:val="single" w:sz="8" w:color="E5FFFF"/>
            </w:tcBorders>
          </w:tcPr>
          <w:p>
            <w:pPr>
              <w:spacing w:after="0"/>
              <w:rPr>
                <w:sz w:val="17"/>
                <w:szCs w:val="17"/>
                <w:color w:val="auto"/>
              </w:rPr>
            </w:pPr>
          </w:p>
        </w:tc>
        <w:tc>
          <w:tcPr>
            <w:tcW w:w="108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E5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196"/>
        </w:trPr>
        <w:tc>
          <w:tcPr>
            <w:tcW w:w="5400" w:type="dxa"/>
            <w:vAlign w:val="bottom"/>
            <w:shd w:val="clear" w:color="auto" w:fill="E5FFFF"/>
          </w:tcPr>
          <w:p>
            <w:pPr>
              <w:ind w:left="20"/>
              <w:spacing w:after="0" w:line="196" w:lineRule="exact"/>
              <w:rPr>
                <w:sz w:val="20"/>
                <w:szCs w:val="20"/>
                <w:color w:val="auto"/>
              </w:rPr>
            </w:pPr>
            <w:r>
              <w:rPr>
                <w:rFonts w:ascii="Arial" w:cs="Arial" w:eastAsia="Arial" w:hAnsi="Arial"/>
                <w:sz w:val="18"/>
                <w:szCs w:val="18"/>
                <w:color w:val="auto"/>
              </w:rPr>
              <w:t>Cash provided by (used for):</w:t>
            </w: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r>
      <w:tr>
        <w:trPr>
          <w:trHeight w:val="203"/>
        </w:trPr>
        <w:tc>
          <w:tcPr>
            <w:tcW w:w="5400" w:type="dxa"/>
            <w:vAlign w:val="bottom"/>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2,387</w:t>
            </w:r>
          </w:p>
        </w:tc>
        <w:tc>
          <w:tcPr>
            <w:tcW w:w="46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1,902</w:t>
            </w:r>
          </w:p>
        </w:tc>
      </w:tr>
      <w:tr>
        <w:trPr>
          <w:trHeight w:val="203"/>
        </w:trPr>
        <w:tc>
          <w:tcPr>
            <w:tcW w:w="54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(992)</w:t>
            </w:r>
          </w:p>
        </w:tc>
        <w:tc>
          <w:tcPr>
            <w:tcW w:w="4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(1,542)</w:t>
            </w:r>
          </w:p>
        </w:tc>
      </w:tr>
      <w:tr>
        <w:trPr>
          <w:trHeight w:val="203"/>
        </w:trPr>
        <w:tc>
          <w:tcPr>
            <w:tcW w:w="5400" w:type="dxa"/>
            <w:vAlign w:val="bottom"/>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(1,583)</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(821)</w:t>
            </w:r>
          </w:p>
        </w:tc>
      </w:tr>
      <w:tr>
        <w:trPr>
          <w:trHeight w:val="216"/>
        </w:trPr>
        <w:tc>
          <w:tcPr>
            <w:tcW w:w="54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08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222</w:t>
            </w:r>
          </w:p>
        </w:tc>
        <w:tc>
          <w:tcPr>
            <w:tcW w:w="46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51</w:t>
            </w:r>
          </w:p>
        </w:tc>
      </w:tr>
      <w:tr>
        <w:trPr>
          <w:trHeight w:val="210"/>
        </w:trPr>
        <w:tc>
          <w:tcPr>
            <w:tcW w:w="5400" w:type="dxa"/>
            <w:vAlign w:val="bottom"/>
          </w:tcPr>
          <w:p>
            <w:pPr>
              <w:ind w:left="20"/>
              <w:spacing w:after="0" w:line="197" w:lineRule="exact"/>
              <w:rPr>
                <w:sz w:val="20"/>
                <w:szCs w:val="20"/>
                <w:color w:val="auto"/>
              </w:rPr>
            </w:pPr>
            <w:r>
              <w:rPr>
                <w:rFonts w:ascii="Arial" w:cs="Arial" w:eastAsia="Arial" w:hAnsi="Arial"/>
                <w:sz w:val="18"/>
                <w:szCs w:val="18"/>
                <w:color w:val="auto"/>
              </w:rPr>
              <w:t>Net increase (decrease) in cash and cash equivalents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0"/>
        </w:trPr>
        <w:tc>
          <w:tcPr>
            <w:tcW w:w="5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operating activities increased by $485 million primarily due to (i) a $309 million favorable impact from working capital,</w:t>
      </w:r>
    </w:p>
    <w:p>
      <w:pPr>
        <w:ind w:right="20" w:firstLine="8"/>
        <w:spacing w:after="0" w:line="246" w:lineRule="auto"/>
        <w:tabs>
          <w:tab w:leader="none" w:pos="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net income of $179 million and (iii) a $73 million improvement in customer advances and deferred income, partially offset by increased cash tax payments of $252 million.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Cash used for investing activities decreased by $550 million primarily due to a decrease in cash paid for acquisitions of $1,069 million, partially offset by a net $452 million increase in investments, primarily short term marketable securities, and an increase of $ 165 million in settlement payments of foreign currency exchange contracts used as economic hedges on certain non-functional currency denominated monetary assets and liabilities.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used for financing activities increased by $762 million primarily due to a decrease in the net proceeds from debt issuances of $1,592 million and an increase in cash dividends paid of $92 million, partially offset by a decrease in net repurchases of common stock of $774 million and the acquisition in 2016 of the remaining 30% noncontrolling interest of UOP Russell LLC of $238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2017, we are not required to make contributions to our U.S. pension plans. We plan to make contributions of cash and/or marketable securities of approximately $130 million ($ 89 million of marketable securities were contributed in January 2017) to our non-U.S. plans in 2017 to satisfy regulatory funding requirements. The timing and amount of contributions to both our U.S. and non-U.S. plans may be impacted by a number of factors, including the funded status of the plans.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three months ended June 30, 2017, the Company repurchased $682 million of outstanding shares. Under the Company’s previously approved $5 billion share repurchase program, $3.1 billion remained available as of June 30, 2017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9" w:name="page30"/>
    <w:bookmarkEnd w:id="29"/>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7"/>
          <w:szCs w:val="17"/>
          <w:b w:val="1"/>
          <w:bCs w:val="1"/>
          <w:color w:val="auto"/>
        </w:rPr>
        <w:t>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12 Commitments and Contingencies of Notes to Consolidated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June 30, 2017 should be read in conjunction with the consolidated financial statements for the year ended December 31, 2016 contained in our 2016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2016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2 Recent Accounting Pronouncements of Notes to Consolidated Financial Statements for a discussion of 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2016 Annual Report on Form 10-K. As of June 30, 2017, there has been no material change in this information</w:t>
      </w: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12 Commitments and Contingencies of Notes to Consolidated Financial Statements for a discussion of environmental, asbestos and other litigation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9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Honeywell purchased 5,150,000 shares of its common stock, par value $ 1 per share, in the quarter ended June 30, 2017. Under the Company’s previously approved $5 billion share repurchase program, $3.1 billion remained available as of June 30, 2017 for additional share repurchases. The following table summarizes Honeywell’s purchase of its common stock for the quarter ended June 30, 2017:</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80" w:type="dxa"/>
            <w:vAlign w:val="bottom"/>
            <w:gridSpan w:val="4"/>
          </w:tcPr>
          <w:p>
            <w:pPr>
              <w:ind w:left="300"/>
              <w:spacing w:after="0"/>
              <w:rPr>
                <w:sz w:val="20"/>
                <w:szCs w:val="20"/>
                <w:color w:val="auto"/>
              </w:rPr>
            </w:pPr>
            <w:r>
              <w:rPr>
                <w:rFonts w:ascii="Arial" w:cs="Arial" w:eastAsia="Arial" w:hAnsi="Arial"/>
                <w:sz w:val="14"/>
                <w:szCs w:val="14"/>
                <w:b w:val="1"/>
                <w:bCs w:val="1"/>
                <w:color w:val="auto"/>
              </w:rPr>
              <w:t>Issuer Purchases of Equity Securities</w:t>
            </w:r>
          </w:p>
        </w:tc>
        <w:tc>
          <w:tcPr>
            <w:tcW w:w="296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 )</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 Number</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Shares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Purchased as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Part of Publicly</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 Paid</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Announced Plans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2080" w:type="dxa"/>
            <w:vAlign w:val="bottom"/>
            <w:gridSpan w:val="2"/>
          </w:tcPr>
          <w:p>
            <w:pPr>
              <w:ind w:left="700"/>
              <w:spacing w:after="0"/>
              <w:rPr>
                <w:sz w:val="20"/>
                <w:szCs w:val="20"/>
                <w:color w:val="auto"/>
              </w:rPr>
            </w:pPr>
            <w:r>
              <w:rPr>
                <w:rFonts w:ascii="Arial" w:cs="Arial" w:eastAsia="Arial" w:hAnsi="Arial"/>
                <w:sz w:val="14"/>
                <w:szCs w:val="14"/>
                <w:b w:val="1"/>
                <w:bCs w:val="1"/>
                <w:color w:val="auto"/>
              </w:rPr>
              <w:t>Period</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Purchased</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or Programs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195"/>
        </w:trPr>
        <w:tc>
          <w:tcPr>
            <w:tcW w:w="18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May 2017</w:t>
            </w:r>
          </w:p>
        </w:tc>
        <w:tc>
          <w:tcPr>
            <w:tcW w:w="24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2,600,000</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$131.25</w:t>
            </w:r>
          </w:p>
        </w:tc>
        <w:tc>
          <w:tcPr>
            <w:tcW w:w="220" w:type="dxa"/>
            <w:vAlign w:val="bottom"/>
          </w:tcPr>
          <w:p>
            <w:pPr>
              <w:spacing w:after="0"/>
              <w:rPr>
                <w:sz w:val="16"/>
                <w:szCs w:val="16"/>
                <w:color w:val="auto"/>
              </w:rPr>
            </w:pPr>
          </w:p>
        </w:tc>
        <w:tc>
          <w:tcPr>
            <w:tcW w:w="2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2,600,000</w:t>
            </w:r>
          </w:p>
        </w:tc>
        <w:tc>
          <w:tcPr>
            <w:tcW w:w="22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$3,426</w:t>
            </w:r>
          </w:p>
        </w:tc>
      </w:tr>
      <w:tr>
        <w:trPr>
          <w:trHeight w:val="217"/>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June 2017</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2,550,000</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$133.51</w:t>
            </w: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2,550,000</w:t>
            </w:r>
          </w:p>
        </w:tc>
        <w:tc>
          <w:tcPr>
            <w:tcW w:w="2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$3,085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Other Information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Iran Threat Reduction and Syrian Human Rights Act of 2012</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All of our activities in Iran during the three months ended June 30, 2017, including the activities disclosed below, were conducted by our non-U.S. subsidiaries under General License H, (ii) under General License I, or (iii) under a specific license issued by U.S. Treasury’s Office of Foreign Assets Control (OFAC), and otherwise in compliance with all applicable laws, including sanctions regulations administered by OFAC.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three months ended June 30, 2017, the non-U.S. subsidiaries of our UOP business, part of Performance Materials and</w:t>
      </w:r>
    </w:p>
    <w:p>
      <w:pPr>
        <w:spacing w:after="0"/>
        <w:rPr>
          <w:sz w:val="20"/>
          <w:szCs w:val="20"/>
          <w:color w:val="auto"/>
        </w:rPr>
      </w:pPr>
      <w:r>
        <w:rPr>
          <w:rFonts w:ascii="Arial" w:cs="Arial" w:eastAsia="Arial" w:hAnsi="Arial"/>
          <w:sz w:val="18"/>
          <w:szCs w:val="18"/>
          <w:color w:val="auto"/>
        </w:rPr>
        <w:t>Technologies, engaged in the following activities related to Iran’s oil, gas and/or petrochemical sectors:</w:t>
      </w:r>
    </w:p>
    <w:p>
      <w:pPr>
        <w:spacing w:after="0" w:line="198" w:lineRule="exact"/>
        <w:rPr>
          <w:sz w:val="20"/>
          <w:szCs w:val="20"/>
          <w:color w:val="auto"/>
        </w:rPr>
      </w:pPr>
    </w:p>
    <w:p>
      <w:pPr>
        <w:ind w:left="660" w:right="2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Delivered services to Iranian counterparties pursuant to new and existing contracts, which resulted in revenue of approximately $8.8 million (expected total value of these contracts is approximately $66.2 million).</w:t>
      </w:r>
    </w:p>
    <w:p>
      <w:pPr>
        <w:spacing w:after="0" w:line="18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Sold non-U.S. origin products to non-U.S. third-parties for end-use in Iran pursuant to new and existing contracts, which resulted in revenue of approximately $1.4 million (expected total value of these contracts is approximately $1.9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1" w:name="page32"/>
    <w:bookmarkEnd w:id="31"/>
    <w:p>
      <w:pPr>
        <w:jc w:val="both"/>
        <w:ind w:firstLine="648"/>
        <w:spacing w:after="0"/>
        <w:rPr>
          <w:sz w:val="20"/>
          <w:szCs w:val="20"/>
          <w:color w:val="auto"/>
        </w:rPr>
      </w:pPr>
      <w:r>
        <w:rPr>
          <w:rFonts w:ascii="Arial" w:cs="Arial" w:eastAsia="Arial" w:hAnsi="Arial"/>
          <w:sz w:val="18"/>
          <w:szCs w:val="18"/>
          <w:color w:val="auto"/>
        </w:rPr>
        <w:t>In the three months ended June 30, 2017, the Process Solutions business, part of Performance Materials and Technologies, sold approximately $0.1 million of non-U.S. origin products to distributors (including an Iranian distributor) for use in the gas distribution sector in Iran.</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intend to continue doing business in Iran under General Licenses H and I or under a specific license issued by OFAC, and otherwise in compliance with all applicable laws. Such activities may require additional disclosure pursuant to Section 13(r) of the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98" w:lineRule="exact"/>
        <w:rPr>
          <w:sz w:val="20"/>
          <w:szCs w:val="20"/>
          <w:color w:val="auto"/>
        </w:rPr>
      </w:pPr>
    </w:p>
    <w:p>
      <w:pPr>
        <w:ind w:left="5620" w:right="4340" w:hanging="4964"/>
        <w:spacing w:after="0" w:line="481" w:lineRule="auto"/>
        <w:tabs>
          <w:tab w:leader="none" w:pos="13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the Exhibit Index on page 34 of this Quarterly Report on Form 10-Q.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7800" w:type="dxa"/>
            <w:vAlign w:val="bottom"/>
            <w:gridSpan w:val="3"/>
          </w:tcPr>
          <w:p>
            <w:pPr>
              <w:ind w:left="2840"/>
              <w:spacing w:after="0"/>
              <w:rPr>
                <w:sz w:val="20"/>
                <w:szCs w:val="20"/>
                <w:color w:val="auto"/>
              </w:rPr>
            </w:pPr>
            <w:r>
              <w:rPr>
                <w:rFonts w:ascii="Arial" w:cs="Arial" w:eastAsia="Arial" w:hAnsi="Arial"/>
                <w:sz w:val="18"/>
                <w:szCs w:val="18"/>
                <w:color w:val="auto"/>
              </w:rPr>
              <w:t>Honeywell International Inc.</w:t>
            </w:r>
          </w:p>
        </w:tc>
      </w:tr>
      <w:tr>
        <w:trPr>
          <w:trHeight w:val="365"/>
        </w:trPr>
        <w:tc>
          <w:tcPr>
            <w:tcW w:w="3620" w:type="dxa"/>
            <w:vAlign w:val="bottom"/>
          </w:tcPr>
          <w:p>
            <w:pPr>
              <w:spacing w:after="0"/>
              <w:rPr>
                <w:sz w:val="20"/>
                <w:szCs w:val="20"/>
                <w:color w:val="auto"/>
              </w:rPr>
            </w:pPr>
            <w:r>
              <w:rPr>
                <w:rFonts w:ascii="Arial" w:cs="Arial" w:eastAsia="Arial" w:hAnsi="Arial"/>
                <w:sz w:val="18"/>
                <w:szCs w:val="18"/>
                <w:color w:val="auto"/>
              </w:rPr>
              <w:t>Date: July 21, 2017</w:t>
            </w:r>
          </w:p>
        </w:tc>
        <w:tc>
          <w:tcPr>
            <w:tcW w:w="7800" w:type="dxa"/>
            <w:vAlign w:val="bottom"/>
            <w:gridSpan w:val="3"/>
          </w:tcPr>
          <w:p>
            <w:pPr>
              <w:ind w:left="2660"/>
              <w:spacing w:after="0"/>
              <w:rPr>
                <w:sz w:val="20"/>
                <w:szCs w:val="20"/>
                <w:color w:val="auto"/>
              </w:rPr>
            </w:pPr>
            <w:r>
              <w:rPr>
                <w:rFonts w:ascii="Arial" w:cs="Arial" w:eastAsia="Arial" w:hAnsi="Arial"/>
                <w:sz w:val="18"/>
                <w:szCs w:val="18"/>
                <w:color w:val="auto"/>
              </w:rPr>
              <w:t>By:  /s/ Jennifer H. Mak</w:t>
            </w:r>
          </w:p>
        </w:tc>
      </w:tr>
      <w:tr>
        <w:trPr>
          <w:trHeight w:val="209"/>
        </w:trPr>
        <w:tc>
          <w:tcPr>
            <w:tcW w:w="3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Jennifer H. Mak</w:t>
            </w:r>
          </w:p>
        </w:tc>
        <w:tc>
          <w:tcPr>
            <w:tcW w:w="3180" w:type="dxa"/>
            <w:vAlign w:val="bottom"/>
          </w:tcPr>
          <w:p>
            <w:pPr>
              <w:spacing w:after="0"/>
              <w:rPr>
                <w:sz w:val="18"/>
                <w:szCs w:val="18"/>
                <w:color w:val="auto"/>
              </w:rPr>
            </w:pPr>
          </w:p>
        </w:tc>
      </w:tr>
      <w:tr>
        <w:trPr>
          <w:trHeight w:val="203"/>
        </w:trPr>
        <w:tc>
          <w:tcPr>
            <w:tcW w:w="3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and Controller</w:t>
            </w:r>
          </w:p>
        </w:tc>
      </w:tr>
      <w:tr>
        <w:trPr>
          <w:trHeight w:val="203"/>
        </w:trPr>
        <w:tc>
          <w:tcPr>
            <w:tcW w:w="3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(on behalf of the Registrant</w:t>
            </w:r>
          </w:p>
        </w:tc>
      </w:tr>
      <w:tr>
        <w:trPr>
          <w:trHeight w:val="203"/>
        </w:trPr>
        <w:tc>
          <w:tcPr>
            <w:tcW w:w="3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and as the Registrant’s</w:t>
            </w:r>
          </w:p>
        </w:tc>
      </w:tr>
      <w:tr>
        <w:trPr>
          <w:trHeight w:val="217"/>
        </w:trPr>
        <w:tc>
          <w:tcPr>
            <w:tcW w:w="3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392"/>
        </w:trPr>
        <w:tc>
          <w:tcPr>
            <w:tcW w:w="3620" w:type="dxa"/>
            <w:vAlign w:val="bottom"/>
          </w:tcPr>
          <w:p>
            <w:pPr>
              <w:spacing w:after="0"/>
              <w:rPr>
                <w:sz w:val="24"/>
                <w:szCs w:val="24"/>
                <w:color w:val="auto"/>
              </w:rPr>
            </w:pPr>
          </w:p>
        </w:tc>
        <w:tc>
          <w:tcPr>
            <w:tcW w:w="3120" w:type="dxa"/>
            <w:vAlign w:val="bottom"/>
          </w:tcPr>
          <w:p>
            <w:pPr>
              <w:jc w:val="right"/>
              <w:ind w:right="830"/>
              <w:spacing w:after="0"/>
              <w:rPr>
                <w:sz w:val="20"/>
                <w:szCs w:val="20"/>
                <w:color w:val="auto"/>
              </w:rPr>
            </w:pPr>
            <w:r>
              <w:rPr>
                <w:rFonts w:ascii="Arial" w:cs="Arial" w:eastAsia="Arial" w:hAnsi="Arial"/>
                <w:sz w:val="18"/>
                <w:szCs w:val="18"/>
                <w:color w:val="auto"/>
              </w:rPr>
              <w:t>33</w:t>
            </w:r>
          </w:p>
        </w:tc>
        <w:tc>
          <w:tcPr>
            <w:tcW w:w="15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7"/>
        </w:trPr>
        <w:tc>
          <w:tcPr>
            <w:tcW w:w="3620" w:type="dxa"/>
            <w:vAlign w:val="bottom"/>
            <w:tcBorders>
              <w:bottom w:val="single" w:sz="8" w:color="C0C0C0"/>
            </w:tcBorders>
          </w:tcPr>
          <w:p>
            <w:pPr>
              <w:spacing w:after="0"/>
              <w:rPr>
                <w:sz w:val="20"/>
                <w:szCs w:val="20"/>
                <w:color w:val="auto"/>
              </w:rPr>
            </w:pPr>
          </w:p>
        </w:tc>
        <w:tc>
          <w:tcPr>
            <w:tcW w:w="3120" w:type="dxa"/>
            <w:vAlign w:val="bottom"/>
            <w:tcBorders>
              <w:bottom w:val="single" w:sz="8" w:color="C0C0C0"/>
            </w:tcBorders>
          </w:tcPr>
          <w:p>
            <w:pPr>
              <w:spacing w:after="0"/>
              <w:rPr>
                <w:sz w:val="20"/>
                <w:szCs w:val="20"/>
                <w:color w:val="auto"/>
              </w:rPr>
            </w:pPr>
          </w:p>
        </w:tc>
        <w:tc>
          <w:tcPr>
            <w:tcW w:w="1500" w:type="dxa"/>
            <w:vAlign w:val="bottom"/>
            <w:tcBorders>
              <w:bottom w:val="single" w:sz="8" w:color="C0C0C0"/>
            </w:tcBorders>
          </w:tcPr>
          <w:p>
            <w:pPr>
              <w:spacing w:after="0"/>
              <w:rPr>
                <w:sz w:val="20"/>
                <w:szCs w:val="20"/>
                <w:color w:val="auto"/>
              </w:rPr>
            </w:pPr>
          </w:p>
        </w:tc>
        <w:tc>
          <w:tcPr>
            <w:tcW w:w="31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Exhibit</w:t>
            </w:r>
          </w:p>
        </w:tc>
        <w:tc>
          <w:tcPr>
            <w:tcW w:w="36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25"/>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No.</w:t>
            </w:r>
          </w:p>
        </w:tc>
        <w:tc>
          <w:tcPr>
            <w:tcW w:w="3680" w:type="dxa"/>
            <w:vAlign w:val="bottom"/>
          </w:tcPr>
          <w:p>
            <w:pPr>
              <w:spacing w:after="0"/>
              <w:rPr>
                <w:sz w:val="19"/>
                <w:szCs w:val="19"/>
                <w:color w:val="auto"/>
              </w:rPr>
            </w:pPr>
          </w:p>
        </w:tc>
        <w:tc>
          <w:tcPr>
            <w:tcW w:w="6360" w:type="dxa"/>
            <w:vAlign w:val="bottom"/>
            <w:gridSpan w:val="2"/>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398"/>
        </w:trPr>
        <w:tc>
          <w:tcPr>
            <w:tcW w:w="11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5"/>
              </w:rPr>
              <w:t>10.1*</w:t>
            </w:r>
          </w:p>
        </w:tc>
        <w:tc>
          <w:tcPr>
            <w:tcW w:w="220" w:type="dxa"/>
            <w:vAlign w:val="bottom"/>
          </w:tcPr>
          <w:p>
            <w:pPr>
              <w:spacing w:after="0"/>
              <w:rPr>
                <w:sz w:val="24"/>
                <w:szCs w:val="24"/>
                <w:color w:val="auto"/>
              </w:rPr>
            </w:pPr>
          </w:p>
        </w:tc>
        <w:tc>
          <w:tcPr>
            <w:tcW w:w="10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364-Day Credit Agreement, dated as of April 28, 2017, among Honeywell International Inc., the banks, financial institutions</w:t>
            </w: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3"/>
          </w:tcPr>
          <w:p>
            <w:pPr>
              <w:spacing w:after="0" w:line="202" w:lineRule="exact"/>
              <w:rPr>
                <w:sz w:val="20"/>
                <w:szCs w:val="20"/>
                <w:color w:val="auto"/>
              </w:rPr>
            </w:pPr>
            <w:r>
              <w:rPr>
                <w:rFonts w:ascii="Arial" w:cs="Arial" w:eastAsia="Arial" w:hAnsi="Arial"/>
                <w:sz w:val="18"/>
                <w:szCs w:val="18"/>
                <w:color w:val="auto"/>
              </w:rPr>
              <w:t>and other institutional lenders parties thereto, Citibank, N.A., as administrative agent, JPMorgan Chase Bank, N.A., as</w:t>
            </w: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3"/>
          </w:tcPr>
          <w:p>
            <w:pPr>
              <w:spacing w:after="0" w:line="202" w:lineRule="exact"/>
              <w:rPr>
                <w:sz w:val="20"/>
                <w:szCs w:val="20"/>
                <w:color w:val="auto"/>
              </w:rPr>
            </w:pPr>
            <w:r>
              <w:rPr>
                <w:rFonts w:ascii="Arial" w:cs="Arial" w:eastAsia="Arial" w:hAnsi="Arial"/>
                <w:sz w:val="18"/>
                <w:szCs w:val="18"/>
                <w:color w:val="auto"/>
              </w:rPr>
              <w:t>syndication agent, Bank of America, N.A., Barclays Bank PLC, Deutsche Bank Securities Inc., Goldman Sachs Bank USA,</w:t>
            </w: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3"/>
          </w:tcPr>
          <w:p>
            <w:pPr>
              <w:spacing w:after="0" w:line="202" w:lineRule="exact"/>
              <w:rPr>
                <w:sz w:val="20"/>
                <w:szCs w:val="20"/>
                <w:color w:val="auto"/>
              </w:rPr>
            </w:pPr>
            <w:r>
              <w:rPr>
                <w:rFonts w:ascii="Arial" w:cs="Arial" w:eastAsia="Arial" w:hAnsi="Arial"/>
                <w:sz w:val="18"/>
                <w:szCs w:val="18"/>
                <w:color w:val="auto"/>
              </w:rPr>
              <w:t>Morgan Stanley MUFG Loan Partners, LLC and Wells Fargo Bank, National Association, as documentation agents, and</w:t>
            </w: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3"/>
          </w:tcPr>
          <w:p>
            <w:pPr>
              <w:spacing w:after="0" w:line="202" w:lineRule="exact"/>
              <w:rPr>
                <w:sz w:val="20"/>
                <w:szCs w:val="20"/>
                <w:color w:val="auto"/>
              </w:rPr>
            </w:pPr>
            <w:r>
              <w:rPr>
                <w:rFonts w:ascii="Arial" w:cs="Arial" w:eastAsia="Arial" w:hAnsi="Arial"/>
                <w:sz w:val="18"/>
                <w:szCs w:val="18"/>
                <w:color w:val="auto"/>
              </w:rPr>
              <w:t>Citigroup Global Markets Inc. and JPMorgan Chase Bank, N.A., as joint lead arrangers and co-book managers (incorporated</w:t>
            </w:r>
          </w:p>
        </w:tc>
      </w:tr>
      <w:tr>
        <w:trPr>
          <w:trHeight w:val="217"/>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by reference to Exhibit 10.1 to Honeywell’s Form 8-K filed April 28, 2017)</w:t>
            </w:r>
          </w:p>
        </w:tc>
      </w:tr>
      <w:tr>
        <w:trPr>
          <w:trHeight w:val="35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10.2*</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Amendment No. 3, dated as of April 28, 2017, to the Amended and Restated Five Year Credit Agreement dated as of July 10,</w:t>
            </w: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3"/>
          </w:tcPr>
          <w:p>
            <w:pPr>
              <w:spacing w:after="0" w:line="202" w:lineRule="exact"/>
              <w:rPr>
                <w:sz w:val="20"/>
                <w:szCs w:val="20"/>
                <w:color w:val="auto"/>
              </w:rPr>
            </w:pPr>
            <w:r>
              <w:rPr>
                <w:rFonts w:ascii="Arial" w:cs="Arial" w:eastAsia="Arial" w:hAnsi="Arial"/>
                <w:sz w:val="18"/>
                <w:szCs w:val="18"/>
                <w:color w:val="auto"/>
              </w:rPr>
              <w:t>2015, as amended by Amendment No. 1 dated as of September 30, 2015 and that certain Amendment No. 2 dated as of April</w:t>
            </w: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3"/>
          </w:tcPr>
          <w:p>
            <w:pPr>
              <w:spacing w:after="0" w:line="202" w:lineRule="exact"/>
              <w:rPr>
                <w:sz w:val="20"/>
                <w:szCs w:val="20"/>
                <w:color w:val="auto"/>
              </w:rPr>
            </w:pPr>
            <w:r>
              <w:rPr>
                <w:rFonts w:ascii="Arial" w:cs="Arial" w:eastAsia="Arial" w:hAnsi="Arial"/>
                <w:sz w:val="18"/>
                <w:szCs w:val="18"/>
                <w:color w:val="auto"/>
              </w:rPr>
              <w:t>29, 2016, among Honeywell International Inc., the banks, financial institutions and other institutional lenders parties thereto,</w:t>
            </w: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3"/>
          </w:tcPr>
          <w:p>
            <w:pPr>
              <w:spacing w:after="0" w:line="202" w:lineRule="exact"/>
              <w:rPr>
                <w:sz w:val="20"/>
                <w:szCs w:val="20"/>
                <w:color w:val="auto"/>
              </w:rPr>
            </w:pPr>
            <w:r>
              <w:rPr>
                <w:rFonts w:ascii="Arial" w:cs="Arial" w:eastAsia="Arial" w:hAnsi="Arial"/>
                <w:sz w:val="18"/>
                <w:szCs w:val="18"/>
                <w:color w:val="auto"/>
              </w:rPr>
              <w:t>Citibank, N.A., as administrative agent, Citibank International Limited, as swing line agent, JPMorgan Chase Bank, N.A., as</w:t>
            </w: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3"/>
          </w:tcPr>
          <w:p>
            <w:pPr>
              <w:spacing w:after="0" w:line="202" w:lineRule="exact"/>
              <w:rPr>
                <w:sz w:val="20"/>
                <w:szCs w:val="20"/>
                <w:color w:val="auto"/>
              </w:rPr>
            </w:pPr>
            <w:r>
              <w:rPr>
                <w:rFonts w:ascii="Arial" w:cs="Arial" w:eastAsia="Arial" w:hAnsi="Arial"/>
                <w:sz w:val="18"/>
                <w:szCs w:val="18"/>
                <w:color w:val="auto"/>
              </w:rPr>
              <w:t>syndication agent, Bank of America, N.A., Barclays Bank PLC, Deutsche Bank Securities Inc., Goldman Sachs Bank USA,</w:t>
            </w: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3"/>
          </w:tcPr>
          <w:p>
            <w:pPr>
              <w:spacing w:after="0" w:line="202" w:lineRule="exact"/>
              <w:rPr>
                <w:sz w:val="20"/>
                <w:szCs w:val="20"/>
                <w:color w:val="auto"/>
              </w:rPr>
            </w:pPr>
            <w:r>
              <w:rPr>
                <w:rFonts w:ascii="Arial" w:cs="Arial" w:eastAsia="Arial" w:hAnsi="Arial"/>
                <w:sz w:val="18"/>
                <w:szCs w:val="18"/>
                <w:color w:val="auto"/>
              </w:rPr>
              <w:t>Morgan Stanley MUFG Loan Partners, LLC and Wells Fargo Bank, National Association, as documentation agents, and</w:t>
            </w: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3"/>
          </w:tcPr>
          <w:p>
            <w:pPr>
              <w:spacing w:after="0" w:line="202" w:lineRule="exact"/>
              <w:rPr>
                <w:sz w:val="20"/>
                <w:szCs w:val="20"/>
                <w:color w:val="auto"/>
              </w:rPr>
            </w:pPr>
            <w:r>
              <w:rPr>
                <w:rFonts w:ascii="Arial" w:cs="Arial" w:eastAsia="Arial" w:hAnsi="Arial"/>
                <w:sz w:val="18"/>
                <w:szCs w:val="18"/>
                <w:color w:val="auto"/>
                <w:w w:val="99"/>
              </w:rPr>
              <w:t>Citigroup Global Markets Inc. and J.P. Morgan Securities LLC, as joint lead arrangers and co-book managers (incorporated by</w:t>
            </w:r>
          </w:p>
        </w:tc>
      </w:tr>
      <w:tr>
        <w:trPr>
          <w:trHeight w:val="217"/>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reference to Exhibit 10.2 to Honeywell’s Form 8-K filed April 28, 2017)</w:t>
            </w:r>
          </w:p>
        </w:tc>
      </w:tr>
    </w:tbl>
    <w:p>
      <w:pPr>
        <w:spacing w:after="0" w:line="117" w:lineRule="exact"/>
        <w:rPr>
          <w:sz w:val="20"/>
          <w:szCs w:val="20"/>
          <w:color w:val="auto"/>
        </w:rPr>
      </w:pPr>
    </w:p>
    <w:p>
      <w:pPr>
        <w:ind w:left="1380" w:hanging="1372"/>
        <w:spacing w:after="0"/>
        <w:tabs>
          <w:tab w:leader="none" w:pos="138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Computation of Per Share Earnings</w:t>
      </w:r>
      <w:r>
        <w:rPr>
          <w:rFonts w:ascii="Arial" w:cs="Arial" w:eastAsia="Arial" w:hAnsi="Arial"/>
          <w:sz w:val="30"/>
          <w:szCs w:val="30"/>
          <w:color w:val="auto"/>
          <w:vertAlign w:val="superscript"/>
        </w:rPr>
        <w:t>(1)</w:t>
      </w:r>
    </w:p>
    <w:p>
      <w:pPr>
        <w:spacing w:after="0" w:line="21" w:lineRule="exact"/>
        <w:rPr>
          <w:rFonts w:ascii="Arial" w:cs="Arial" w:eastAsia="Arial" w:hAnsi="Arial"/>
          <w:sz w:val="36"/>
          <w:szCs w:val="36"/>
          <w:color w:val="auto"/>
          <w:vertAlign w:val="superscript"/>
        </w:rPr>
      </w:pPr>
    </w:p>
    <w:p>
      <w:pPr>
        <w:ind w:left="1380" w:hanging="1372"/>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Computation of Ratio of Earnings to Fixed Charges (filed herewith)</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tcPr>
          <w:p>
            <w:pPr>
              <w:ind w:left="32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365"/>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tcPr>
          <w:p>
            <w:pPr>
              <w:ind w:left="32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tcPr>
          <w:p>
            <w:pPr>
              <w:ind w:left="320"/>
              <w:spacing w:after="0"/>
              <w:rPr>
                <w:sz w:val="20"/>
                <w:szCs w:val="20"/>
                <w:color w:val="auto"/>
              </w:rPr>
            </w:pPr>
            <w:r>
              <w:rPr>
                <w:rFonts w:ascii="Arial" w:cs="Arial" w:eastAsia="Arial" w:hAnsi="Arial"/>
                <w:sz w:val="18"/>
                <w:szCs w:val="18"/>
                <w:color w:val="auto"/>
              </w:rPr>
              <w:t>Certification of Principal Executive Officer Pursuant to 18 U.S.C. Section 1350, as Adopted Pursuant to Section 906 of the</w:t>
            </w:r>
          </w:p>
        </w:tc>
      </w:tr>
      <w:tr>
        <w:trPr>
          <w:trHeight w:val="217"/>
        </w:trPr>
        <w:tc>
          <w:tcPr>
            <w:tcW w:w="1060" w:type="dxa"/>
            <w:vAlign w:val="bottom"/>
          </w:tcPr>
          <w:p>
            <w:pPr>
              <w:spacing w:after="0"/>
              <w:rPr>
                <w:sz w:val="18"/>
                <w:szCs w:val="18"/>
                <w:color w:val="auto"/>
              </w:rPr>
            </w:pPr>
          </w:p>
        </w:tc>
        <w:tc>
          <w:tcPr>
            <w:tcW w:w="10360" w:type="dxa"/>
            <w:vAlign w:val="bottom"/>
          </w:tcPr>
          <w:p>
            <w:pPr>
              <w:ind w:left="500"/>
              <w:spacing w:after="0"/>
              <w:rPr>
                <w:sz w:val="20"/>
                <w:szCs w:val="20"/>
                <w:color w:val="auto"/>
              </w:rPr>
            </w:pPr>
            <w:r>
              <w:rPr>
                <w:rFonts w:ascii="Arial" w:cs="Arial" w:eastAsia="Arial" w:hAnsi="Arial"/>
                <w:sz w:val="18"/>
                <w:szCs w:val="18"/>
                <w:color w:val="auto"/>
              </w:rPr>
              <w:t>Sarbanes-Oxley Act of 2002 (filed herewith)</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32.2</w:t>
            </w:r>
          </w:p>
        </w:tc>
        <w:tc>
          <w:tcPr>
            <w:tcW w:w="10360" w:type="dxa"/>
            <w:vAlign w:val="bottom"/>
          </w:tcPr>
          <w:p>
            <w:pPr>
              <w:ind w:left="320"/>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17"/>
        </w:trPr>
        <w:tc>
          <w:tcPr>
            <w:tcW w:w="1060" w:type="dxa"/>
            <w:vAlign w:val="bottom"/>
          </w:tcPr>
          <w:p>
            <w:pPr>
              <w:spacing w:after="0"/>
              <w:rPr>
                <w:sz w:val="18"/>
                <w:szCs w:val="18"/>
                <w:color w:val="auto"/>
              </w:rPr>
            </w:pPr>
          </w:p>
        </w:tc>
        <w:tc>
          <w:tcPr>
            <w:tcW w:w="10360" w:type="dxa"/>
            <w:vAlign w:val="bottom"/>
          </w:tcPr>
          <w:p>
            <w:pPr>
              <w:ind w:left="500"/>
              <w:spacing w:after="0"/>
              <w:rPr>
                <w:sz w:val="20"/>
                <w:szCs w:val="20"/>
                <w:color w:val="auto"/>
              </w:rPr>
            </w:pPr>
            <w:r>
              <w:rPr>
                <w:rFonts w:ascii="Arial" w:cs="Arial" w:eastAsia="Arial" w:hAnsi="Arial"/>
                <w:sz w:val="18"/>
                <w:szCs w:val="18"/>
                <w:color w:val="auto"/>
              </w:rPr>
              <w:t>Sarbanes-Oxley Act of 2002 (filed herewith)</w:t>
            </w:r>
          </w:p>
        </w:tc>
      </w:tr>
      <w:tr>
        <w:trPr>
          <w:trHeight w:val="365"/>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320"/>
              <w:spacing w:after="0"/>
              <w:rPr>
                <w:sz w:val="20"/>
                <w:szCs w:val="20"/>
                <w:color w:val="auto"/>
              </w:rPr>
            </w:pPr>
            <w:r>
              <w:rPr>
                <w:rFonts w:ascii="Arial" w:cs="Arial" w:eastAsia="Arial" w:hAnsi="Arial"/>
                <w:sz w:val="18"/>
                <w:szCs w:val="18"/>
                <w:color w:val="auto"/>
              </w:rPr>
              <w:t>XBRL Instance Document (filed herewith)</w:t>
            </w:r>
          </w:p>
        </w:tc>
      </w:tr>
      <w:tr>
        <w:trPr>
          <w:trHeight w:val="365"/>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320"/>
              <w:spacing w:after="0"/>
              <w:rPr>
                <w:sz w:val="20"/>
                <w:szCs w:val="20"/>
                <w:color w:val="auto"/>
              </w:rPr>
            </w:pPr>
            <w:r>
              <w:rPr>
                <w:rFonts w:ascii="Arial" w:cs="Arial" w:eastAsia="Arial" w:hAnsi="Arial"/>
                <w:sz w:val="18"/>
                <w:szCs w:val="18"/>
                <w:color w:val="auto"/>
              </w:rPr>
              <w:t>XBRL Taxonomy Extension Schema (filed herewith)</w:t>
            </w:r>
          </w:p>
        </w:tc>
      </w:tr>
      <w:tr>
        <w:trPr>
          <w:trHeight w:val="365"/>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65"/>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32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365"/>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65"/>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160" w:hanging="115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required is provided in Note 4 Earnings Per Share of Notes to Consolidated Financial Statements.</w:t>
      </w:r>
    </w:p>
    <w:p>
      <w:pPr>
        <w:spacing w:after="0" w:line="198"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*The Exhibits identified above with an asterisk (*) are management contracts or compensatory plans or arrangements.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12</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ind w:right="1100"/>
        <w:spacing w:after="0" w:line="234" w:lineRule="auto"/>
        <w:rPr>
          <w:sz w:val="20"/>
          <w:szCs w:val="20"/>
          <w:color w:val="auto"/>
        </w:rPr>
      </w:pPr>
      <w:r>
        <w:rPr>
          <w:rFonts w:ascii="Arial" w:cs="Arial" w:eastAsia="Arial" w:hAnsi="Arial"/>
          <w:sz w:val="18"/>
          <w:szCs w:val="18"/>
          <w:b w:val="1"/>
          <w:bCs w:val="1"/>
          <w:color w:val="auto"/>
        </w:rPr>
        <w:t>Six Months Ended</w:t>
      </w:r>
    </w:p>
    <w:p>
      <w:pPr>
        <w:jc w:val="center"/>
        <w:ind w:right="1100"/>
        <w:spacing w:after="0" w:line="235" w:lineRule="auto"/>
        <w:rPr>
          <w:sz w:val="20"/>
          <w:szCs w:val="20"/>
          <w:color w:val="auto"/>
        </w:rPr>
      </w:pPr>
      <w:r>
        <w:rPr>
          <w:rFonts w:ascii="Arial" w:cs="Arial" w:eastAsia="Arial" w:hAnsi="Arial"/>
          <w:sz w:val="18"/>
          <w:szCs w:val="18"/>
          <w:b w:val="1"/>
          <w:bCs w:val="1"/>
          <w:color w:val="auto"/>
        </w:rPr>
        <w:t>June 30, 2017</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Determination of Earnings:</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160"/>
              <w:spacing w:after="0" w:line="202" w:lineRule="exact"/>
              <w:rPr>
                <w:sz w:val="20"/>
                <w:szCs w:val="20"/>
                <w:color w:val="auto"/>
              </w:rPr>
            </w:pPr>
            <w:r>
              <w:rPr>
                <w:rFonts w:ascii="Arial" w:cs="Arial" w:eastAsia="Arial" w:hAnsi="Arial"/>
                <w:sz w:val="18"/>
                <w:szCs w:val="18"/>
                <w:color w:val="auto"/>
              </w:rPr>
              <w:t>Income before taxes</w:t>
            </w:r>
          </w:p>
        </w:tc>
        <w:tc>
          <w:tcPr>
            <w:tcW w:w="2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Add (Deduct):</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capitalized interest</w:t>
            </w: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E5FFFF"/>
            </w:tcBorders>
          </w:tcPr>
          <w:p>
            <w:pPr>
              <w:ind w:left="340"/>
              <w:spacing w:after="0"/>
              <w:rPr>
                <w:sz w:val="20"/>
                <w:szCs w:val="20"/>
                <w:color w:val="auto"/>
              </w:rPr>
            </w:pPr>
            <w:r>
              <w:rPr>
                <w:rFonts w:ascii="Arial" w:cs="Arial" w:eastAsia="Arial" w:hAnsi="Arial"/>
                <w:sz w:val="18"/>
                <w:szCs w:val="18"/>
                <w:color w:val="auto"/>
              </w:rPr>
              <w:t>Equity income, net of distributions</w:t>
            </w:r>
          </w:p>
        </w:tc>
        <w:tc>
          <w:tcPr>
            <w:tcW w:w="248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E5FFFF"/>
          </w:tcPr>
          <w:p>
            <w:pPr>
              <w:ind w:left="520"/>
              <w:spacing w:after="0"/>
              <w:rPr>
                <w:sz w:val="20"/>
                <w:szCs w:val="20"/>
                <w:color w:val="auto"/>
              </w:rPr>
            </w:pPr>
            <w:r>
              <w:rPr>
                <w:rFonts w:ascii="Arial" w:cs="Arial" w:eastAsia="Arial" w:hAnsi="Arial"/>
                <w:sz w:val="18"/>
                <w:szCs w:val="18"/>
                <w:b w:val="1"/>
                <w:bCs w:val="1"/>
                <w:color w:val="auto"/>
              </w:rPr>
              <w:t>Total earnings, as defined</w:t>
            </w:r>
          </w:p>
        </w:tc>
        <w:tc>
          <w:tcPr>
            <w:tcW w:w="2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shd w:val="clear" w:color="auto" w:fill="E5FFFF"/>
          </w:tcPr>
          <w:p>
            <w:pPr>
              <w:spacing w:after="0" w:line="20" w:lineRule="exact"/>
              <w:rPr>
                <w:sz w:val="1"/>
                <w:szCs w:val="1"/>
                <w:color w:val="auto"/>
              </w:rPr>
            </w:pPr>
          </w:p>
        </w:tc>
        <w:tc>
          <w:tcPr>
            <w:tcW w:w="2480" w:type="dxa"/>
            <w:vAlign w:val="bottom"/>
            <w:shd w:val="clear" w:color="auto" w:fill="E5FF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80" w:type="dxa"/>
            <w:vAlign w:val="bottom"/>
            <w:gridSpan w:val="2"/>
            <w:vMerge w:val="continue"/>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E5FFFF"/>
          </w:tcPr>
          <w:p>
            <w:pPr>
              <w:ind w:left="16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Borders>
              <w:bottom w:val="single" w:sz="8" w:color="E5FFFF"/>
            </w:tcBorders>
          </w:tcPr>
          <w:p>
            <w:pPr>
              <w:ind w:left="160"/>
              <w:spacing w:after="0" w:line="202" w:lineRule="exact"/>
              <w:rPr>
                <w:sz w:val="20"/>
                <w:szCs w:val="20"/>
                <w:color w:val="auto"/>
              </w:rPr>
            </w:pPr>
            <w:r>
              <w:rPr>
                <w:rFonts w:ascii="Arial" w:cs="Arial" w:eastAsia="Arial" w:hAnsi="Arial"/>
                <w:sz w:val="18"/>
                <w:szCs w:val="18"/>
                <w:color w:val="auto"/>
              </w:rPr>
              <w:t>Interest and other financial charges</w:t>
            </w:r>
          </w:p>
        </w:tc>
        <w:tc>
          <w:tcPr>
            <w:tcW w:w="248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E5FFFF"/>
          </w:tcPr>
          <w:p>
            <w:pPr>
              <w:spacing w:after="0"/>
              <w:rPr>
                <w:sz w:val="17"/>
                <w:szCs w:val="17"/>
                <w:color w:val="auto"/>
              </w:rPr>
            </w:pP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Borders>
              <w:bottom w:val="single" w:sz="8" w:color="E5FFFF"/>
            </w:tcBorders>
          </w:tcPr>
          <w:p>
            <w:pPr>
              <w:ind w:left="160"/>
              <w:spacing w:after="0" w:line="202" w:lineRule="exact"/>
              <w:rPr>
                <w:sz w:val="20"/>
                <w:szCs w:val="20"/>
                <w:color w:val="auto"/>
              </w:rPr>
            </w:pPr>
            <w:r>
              <w:rPr>
                <w:rFonts w:ascii="Arial" w:cs="Arial" w:eastAsia="Arial" w:hAnsi="Arial"/>
                <w:sz w:val="18"/>
                <w:szCs w:val="18"/>
                <w:color w:val="auto"/>
              </w:rPr>
              <w:t>Capitalized interest</w:t>
            </w:r>
          </w:p>
        </w:tc>
        <w:tc>
          <w:tcPr>
            <w:tcW w:w="248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E5FFFF"/>
          </w:tcPr>
          <w:p>
            <w:pPr>
              <w:ind w:left="520"/>
              <w:spacing w:after="0"/>
              <w:rPr>
                <w:sz w:val="20"/>
                <w:szCs w:val="20"/>
                <w:color w:val="auto"/>
              </w:rPr>
            </w:pPr>
            <w:r>
              <w:rPr>
                <w:rFonts w:ascii="Arial" w:cs="Arial" w:eastAsia="Arial" w:hAnsi="Arial"/>
                <w:sz w:val="18"/>
                <w:szCs w:val="18"/>
                <w:b w:val="1"/>
                <w:bCs w:val="1"/>
                <w:color w:val="auto"/>
              </w:rPr>
              <w:t>Total fixed charges</w:t>
            </w:r>
          </w:p>
        </w:tc>
        <w:tc>
          <w:tcPr>
            <w:tcW w:w="2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E5FFFF"/>
            </w:tcBorders>
          </w:tcPr>
          <w:p>
            <w:pPr>
              <w:spacing w:after="0" w:line="20" w:lineRule="exact"/>
              <w:rPr>
                <w:sz w:val="1"/>
                <w:szCs w:val="1"/>
                <w:color w:val="auto"/>
              </w:rPr>
            </w:pPr>
          </w:p>
        </w:tc>
        <w:tc>
          <w:tcPr>
            <w:tcW w:w="248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60" w:right="1300" w:hanging="551"/>
        <w:spacing w:after="0" w:line="246"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365760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40"/>
          </w:cols>
          <w:pgMar w:left="1380" w:top="118" w:right="2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President and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9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40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400"/>
        <w:spacing w:after="0" w:line="24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40" w:right="2800" w:hanging="6968"/>
        <w:spacing w:after="0" w:line="250" w:lineRule="auto"/>
        <w:tabs>
          <w:tab w:leader="none" w:pos="6620" w:val="left"/>
        </w:tabs>
        <w:rPr>
          <w:sz w:val="20"/>
          <w:szCs w:val="20"/>
          <w:color w:val="auto"/>
        </w:rPr>
      </w:pPr>
      <w:r>
        <w:rPr>
          <w:rFonts w:ascii="Arial" w:cs="Arial" w:eastAsia="Arial" w:hAnsi="Arial"/>
          <w:sz w:val="18"/>
          <w:szCs w:val="18"/>
          <w:color w:val="auto"/>
        </w:rPr>
        <w:t>Date: July 21, 2017</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Darius Adamczyk</w:t>
      </w:r>
      <w:r>
        <w:rPr>
          <w:rFonts w:ascii="Arial" w:cs="Arial" w:eastAsia="Arial" w:hAnsi="Arial"/>
          <w:sz w:val="18"/>
          <w:szCs w:val="18"/>
          <w:color w:val="auto"/>
        </w:rPr>
        <w:t xml:space="preserve"> Darius Adamczyk</w:t>
      </w:r>
    </w:p>
    <w:p>
      <w:pPr>
        <w:spacing w:after="0" w:line="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Senior Vice President and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9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40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40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sz w:val="20"/>
          <w:szCs w:val="20"/>
          <w:color w:val="auto"/>
        </w:rPr>
      </w:pPr>
    </w:p>
    <w:p>
      <w:pPr>
        <w:ind w:left="1300" w:hanging="400"/>
        <w:spacing w:after="0" w:line="24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960" w:right="3340" w:hanging="6279"/>
        <w:spacing w:after="0" w:line="250" w:lineRule="auto"/>
        <w:tabs>
          <w:tab w:leader="none" w:pos="5940" w:val="left"/>
        </w:tabs>
        <w:rPr>
          <w:sz w:val="20"/>
          <w:szCs w:val="20"/>
          <w:color w:val="auto"/>
        </w:rPr>
      </w:pPr>
      <w:r>
        <w:rPr>
          <w:rFonts w:ascii="Arial" w:cs="Arial" w:eastAsia="Arial" w:hAnsi="Arial"/>
          <w:sz w:val="18"/>
          <w:szCs w:val="18"/>
          <w:color w:val="auto"/>
        </w:rPr>
        <w:t>Date: July 21, 2017</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A. Szlosek</w:t>
      </w:r>
      <w:r>
        <w:rPr>
          <w:rFonts w:ascii="Arial" w:cs="Arial" w:eastAsia="Arial" w:hAnsi="Arial"/>
          <w:sz w:val="18"/>
          <w:szCs w:val="18"/>
          <w:color w:val="auto"/>
        </w:rPr>
        <w:t xml:space="preserve"> Thomas A. Szlosek</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2017 as filed with the Securities and Exchange Commission on the date hereof (the Report), I, Darius Adamczyk, President and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20"/>
                <w:szCs w:val="20"/>
                <w:color w:val="auto"/>
              </w:rPr>
            </w:pPr>
            <w:r>
              <w:rPr>
                <w:rFonts w:ascii="Arial" w:cs="Arial" w:eastAsia="Arial" w:hAnsi="Arial"/>
                <w:sz w:val="18"/>
                <w:szCs w:val="18"/>
                <w:color w:val="auto"/>
              </w:rPr>
              <w:t>Date: July 21, 2017</w:t>
            </w:r>
          </w:p>
        </w:tc>
        <w:tc>
          <w:tcPr>
            <w:tcW w:w="7760" w:type="dxa"/>
            <w:vAlign w:val="bottom"/>
            <w:gridSpan w:val="3"/>
          </w:tcPr>
          <w:p>
            <w:pPr>
              <w:ind w:left="2060"/>
              <w:spacing w:after="0"/>
              <w:rPr>
                <w:sz w:val="20"/>
                <w:szCs w:val="20"/>
                <w:color w:val="auto"/>
              </w:rPr>
            </w:pPr>
            <w:r>
              <w:rPr>
                <w:rFonts w:ascii="Arial" w:cs="Arial" w:eastAsia="Arial" w:hAnsi="Arial"/>
                <w:sz w:val="18"/>
                <w:szCs w:val="18"/>
                <w:color w:val="auto"/>
              </w:rPr>
              <w:t>By: /s/ Darius Adamczyk</w:t>
            </w:r>
          </w:p>
        </w:tc>
      </w:tr>
      <w:tr>
        <w:trPr>
          <w:trHeight w:val="209"/>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Darius Adamczyk</w:t>
            </w:r>
          </w:p>
        </w:tc>
        <w:tc>
          <w:tcPr>
            <w:tcW w:w="3720" w:type="dxa"/>
            <w:vAlign w:val="bottom"/>
          </w:tcPr>
          <w:p>
            <w:pPr>
              <w:spacing w:after="0"/>
              <w:rPr>
                <w:sz w:val="18"/>
                <w:szCs w:val="18"/>
                <w:color w:val="auto"/>
              </w:rPr>
            </w:pPr>
          </w:p>
        </w:tc>
      </w:tr>
      <w:tr>
        <w:trPr>
          <w:trHeight w:val="217"/>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615"/>
        </w:trPr>
        <w:tc>
          <w:tcPr>
            <w:tcW w:w="3660" w:type="dxa"/>
            <w:vAlign w:val="bottom"/>
            <w:tcBorders>
              <w:bottom w:val="single" w:sz="8" w:color="C0C0C0"/>
            </w:tcBorders>
          </w:tcPr>
          <w:p>
            <w:pPr>
              <w:spacing w:after="0"/>
              <w:rPr>
                <w:sz w:val="24"/>
                <w:szCs w:val="24"/>
                <w:color w:val="auto"/>
              </w:rPr>
            </w:pPr>
          </w:p>
        </w:tc>
        <w:tc>
          <w:tcPr>
            <w:tcW w:w="2400" w:type="dxa"/>
            <w:vAlign w:val="bottom"/>
            <w:tcBorders>
              <w:bottom w:val="single" w:sz="8" w:color="C0C0C0"/>
            </w:tcBorders>
          </w:tcPr>
          <w:p>
            <w:pPr>
              <w:spacing w:after="0"/>
              <w:rPr>
                <w:sz w:val="24"/>
                <w:szCs w:val="24"/>
                <w:color w:val="auto"/>
              </w:rPr>
            </w:pPr>
          </w:p>
        </w:tc>
        <w:tc>
          <w:tcPr>
            <w:tcW w:w="1640" w:type="dxa"/>
            <w:vAlign w:val="bottom"/>
            <w:tcBorders>
              <w:bottom w:val="single" w:sz="8" w:color="C0C0C0"/>
            </w:tcBorders>
          </w:tcPr>
          <w:p>
            <w:pPr>
              <w:spacing w:after="0"/>
              <w:rPr>
                <w:sz w:val="24"/>
                <w:szCs w:val="24"/>
                <w:color w:val="auto"/>
              </w:rPr>
            </w:pPr>
          </w:p>
        </w:tc>
        <w:tc>
          <w:tcPr>
            <w:tcW w:w="37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2017 as filed with the Securities and Exchange Commission on the date hereof (the Report), I, Thomas A. Szlosek, Senior Vice President and Chief Financial Officer of the Company, certify, pursuant to 18 U.S.C. Section 1350, as adopted pursuant to Section 906 of the Sarbanes-Oxley Act of 2002, that:</w:t>
      </w:r>
    </w:p>
    <w:p>
      <w:pPr>
        <w:spacing w:after="0" w:line="188"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5960" w:right="3340" w:hanging="6279"/>
        <w:spacing w:after="0" w:line="250" w:lineRule="auto"/>
        <w:tabs>
          <w:tab w:leader="none" w:pos="5940" w:val="left"/>
        </w:tabs>
        <w:rPr>
          <w:sz w:val="20"/>
          <w:szCs w:val="20"/>
          <w:color w:val="auto"/>
        </w:rPr>
      </w:pPr>
      <w:r>
        <w:rPr>
          <w:rFonts w:ascii="Arial" w:cs="Arial" w:eastAsia="Arial" w:hAnsi="Arial"/>
          <w:sz w:val="18"/>
          <w:szCs w:val="18"/>
          <w:color w:val="auto"/>
        </w:rPr>
        <w:t>Date: July 21, 2017</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A. Szlosek</w:t>
      </w:r>
      <w:r>
        <w:rPr>
          <w:rFonts w:ascii="Arial" w:cs="Arial" w:eastAsia="Arial" w:hAnsi="Arial"/>
          <w:sz w:val="18"/>
          <w:szCs w:val="18"/>
          <w:color w:val="auto"/>
        </w:rPr>
        <w:t xml:space="preserve"> Thomas A. Szlosek</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2020-01-17T19:10:52Z</dcterms:created>
  <dcterms:modified xsi:type="dcterms:W3CDTF">2020-01-17T19:10:52Z</dcterms:modified>
</cp:coreProperties>
</file>