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jc w:val="both"/>
        <w:ind w:left="3580" w:right="3560" w:firstLine="46"/>
        <w:spacing w:after="0" w:line="424" w:lineRule="auto"/>
        <w:rPr>
          <w:rFonts w:ascii="MS PGothic" w:cs="MS PGothic" w:eastAsia="MS PGothic" w:hAnsi="MS PGothic"/>
          <w:sz w:val="18"/>
          <w:szCs w:val="18"/>
          <w:color w:val="auto"/>
        </w:rPr>
      </w:pPr>
      <w:r>
        <w:rPr>
          <w:rFonts w:ascii="Arial" w:cs="Arial" w:eastAsia="Arial" w:hAnsi="Arial"/>
          <w:sz w:val="17"/>
          <w:szCs w:val="17"/>
          <w:color w:val="auto"/>
        </w:rPr>
        <w:t xml:space="preserve">OF THE SECURITIES EXCHANGE ACT OF 1934 For the quarterly period ended </w:t>
      </w:r>
      <w:r>
        <w:rPr>
          <w:rFonts w:ascii="Arial" w:cs="Arial" w:eastAsia="Arial" w:hAnsi="Arial"/>
          <w:sz w:val="17"/>
          <w:szCs w:val="17"/>
          <w:u w:val="single" w:color="auto"/>
          <w:color w:val="auto"/>
        </w:rPr>
        <w:t>September 30, 2020</w:t>
      </w:r>
    </w:p>
    <w:p>
      <w:pPr>
        <w:spacing w:after="0" w:line="281"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760" w:right="362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0" w:lineRule="exact"/>
        <w:rPr>
          <w:sz w:val="24"/>
          <w:szCs w:val="24"/>
          <w:color w:val="auto"/>
        </w:rPr>
      </w:pPr>
    </w:p>
    <w:tbl>
      <w:tblPr>
        <w:tblLayout w:type="fixed"/>
        <w:tblInd w:w="1200" w:type="dxa"/>
        <w:tblCellMar>
          <w:top w:w="0" w:type="dxa"/>
          <w:left w:w="0" w:type="dxa"/>
          <w:bottom w:w="0" w:type="dxa"/>
          <w:right w:w="0" w:type="dxa"/>
        </w:tblCellMar>
      </w:tblPr>
      <w:tr>
        <w:trPr>
          <w:trHeight w:val="217"/>
        </w:trPr>
        <w:tc>
          <w:tcPr>
            <w:tcW w:w="436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4500" w:type="dxa"/>
            <w:vAlign w:val="bottom"/>
            <w:gridSpan w:val="2"/>
          </w:tcPr>
          <w:p>
            <w:pPr>
              <w:jc w:val="right"/>
              <w:ind w:right="1630"/>
              <w:spacing w:after="0"/>
              <w:rPr>
                <w:sz w:val="20"/>
                <w:szCs w:val="20"/>
                <w:color w:val="auto"/>
              </w:rPr>
            </w:pPr>
            <w:r>
              <w:rPr>
                <w:rFonts w:ascii="Arial" w:cs="Arial" w:eastAsia="Arial" w:hAnsi="Arial"/>
                <w:sz w:val="18"/>
                <w:szCs w:val="18"/>
                <w:color w:val="auto"/>
              </w:rPr>
              <w:t>22-2640650</w:t>
            </w:r>
          </w:p>
        </w:tc>
      </w:tr>
      <w:tr>
        <w:trPr>
          <w:trHeight w:val="182"/>
        </w:trPr>
        <w:tc>
          <w:tcPr>
            <w:tcW w:w="4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(State or other jurisdiction of</w:t>
            </w:r>
          </w:p>
        </w:tc>
        <w:tc>
          <w:tcPr>
            <w:tcW w:w="120" w:type="dxa"/>
            <w:vAlign w:val="bottom"/>
          </w:tcPr>
          <w:p>
            <w:pPr>
              <w:spacing w:after="0"/>
              <w:rPr>
                <w:sz w:val="15"/>
                <w:szCs w:val="15"/>
                <w:color w:val="auto"/>
              </w:rPr>
            </w:pPr>
          </w:p>
        </w:tc>
        <w:tc>
          <w:tcPr>
            <w:tcW w:w="43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(I.R.S. Employer</w:t>
            </w:r>
          </w:p>
        </w:tc>
      </w:tr>
      <w:tr>
        <w:trPr>
          <w:trHeight w:val="217"/>
        </w:trPr>
        <w:tc>
          <w:tcPr>
            <w:tcW w:w="436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2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11"/>
        </w:trPr>
        <w:tc>
          <w:tcPr>
            <w:tcW w:w="4360" w:type="dxa"/>
            <w:vAlign w:val="bottom"/>
          </w:tcPr>
          <w:p>
            <w:pPr>
              <w:jc w:val="center"/>
              <w:spacing w:after="0"/>
              <w:rPr>
                <w:sz w:val="20"/>
                <w:szCs w:val="20"/>
                <w:color w:val="auto"/>
              </w:rPr>
            </w:pPr>
            <w:r>
              <w:rPr>
                <w:rFonts w:ascii="Arial" w:cs="Arial" w:eastAsia="Arial" w:hAnsi="Arial"/>
                <w:sz w:val="18"/>
                <w:szCs w:val="18"/>
                <w:color w:val="auto"/>
                <w:w w:val="98"/>
              </w:rPr>
              <w:t>300 South Tryon Street</w:t>
            </w: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56"/>
        </w:trPr>
        <w:tc>
          <w:tcPr>
            <w:tcW w:w="4360" w:type="dxa"/>
            <w:vAlign w:val="bottom"/>
          </w:tcPr>
          <w:p>
            <w:pPr>
              <w:ind w:left="1600"/>
              <w:spacing w:after="0"/>
              <w:rPr>
                <w:sz w:val="20"/>
                <w:szCs w:val="20"/>
                <w:color w:val="auto"/>
              </w:rPr>
            </w:pPr>
            <w:r>
              <w:rPr>
                <w:rFonts w:ascii="Arial" w:cs="Arial" w:eastAsia="Arial" w:hAnsi="Arial"/>
                <w:sz w:val="18"/>
                <w:szCs w:val="18"/>
                <w:color w:val="auto"/>
              </w:rPr>
              <w:t>Charlotte, NC</w:t>
            </w:r>
          </w:p>
        </w:tc>
        <w:tc>
          <w:tcPr>
            <w:tcW w:w="4500" w:type="dxa"/>
            <w:vAlign w:val="bottom"/>
            <w:gridSpan w:val="2"/>
          </w:tcPr>
          <w:p>
            <w:pPr>
              <w:jc w:val="right"/>
              <w:ind w:right="1870"/>
              <w:spacing w:after="0"/>
              <w:rPr>
                <w:sz w:val="20"/>
                <w:szCs w:val="20"/>
                <w:color w:val="auto"/>
              </w:rPr>
            </w:pPr>
            <w:r>
              <w:rPr>
                <w:rFonts w:ascii="Arial" w:cs="Arial" w:eastAsia="Arial" w:hAnsi="Arial"/>
                <w:sz w:val="18"/>
                <w:szCs w:val="18"/>
                <w:color w:val="auto"/>
              </w:rPr>
              <w:t>28202</w:t>
            </w:r>
          </w:p>
        </w:tc>
      </w:tr>
      <w:tr>
        <w:trPr>
          <w:trHeight w:val="223"/>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48"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1127760</wp:posOffset>
            </wp:positionH>
            <wp:positionV relativeFrom="paragraph">
              <wp:posOffset>6350</wp:posOffset>
            </wp:positionV>
            <wp:extent cx="4852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6"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(Registrant’s telephone number, including area code)</w:t>
      </w:r>
    </w:p>
    <w:p>
      <w:pPr>
        <w:spacing w:after="0" w:line="77"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1127760</wp:posOffset>
            </wp:positionH>
            <wp:positionV relativeFrom="paragraph">
              <wp:posOffset>6350</wp:posOffset>
            </wp:positionV>
            <wp:extent cx="4852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8"/>
          <w:szCs w:val="18"/>
          <w:color w:val="auto"/>
        </w:rPr>
        <w:t>(Former name, former address and former fiscal year,</w:t>
      </w:r>
    </w:p>
    <w:p>
      <w:pPr>
        <w:ind w:left="4500"/>
        <w:spacing w:after="0"/>
        <w:rPr>
          <w:sz w:val="20"/>
          <w:szCs w:val="20"/>
          <w:color w:val="auto"/>
        </w:rPr>
      </w:pPr>
      <w:r>
        <w:rPr>
          <w:rFonts w:ascii="Arial" w:cs="Arial" w:eastAsia="Arial" w:hAnsi="Arial"/>
          <w:sz w:val="18"/>
          <w:szCs w:val="18"/>
          <w:color w:val="auto"/>
        </w:rPr>
        <w:t>if changed since last report)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tcPr>
          <w:p>
            <w:pPr>
              <w:spacing w:after="0"/>
              <w:rPr>
                <w:sz w:val="18"/>
                <w:szCs w:val="18"/>
                <w:color w:val="auto"/>
              </w:rPr>
            </w:pPr>
          </w:p>
        </w:tc>
      </w:tr>
      <w:tr>
        <w:trPr>
          <w:trHeight w:val="21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Symbol(s)</w:t>
            </w:r>
          </w:p>
        </w:tc>
        <w:tc>
          <w:tcPr>
            <w:tcW w:w="120" w:type="dxa"/>
            <w:vAlign w:val="bottom"/>
          </w:tcPr>
          <w:p>
            <w:pPr>
              <w:spacing w:after="0"/>
              <w:rPr>
                <w:sz w:val="18"/>
                <w:szCs w:val="18"/>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par value $1 per share*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HON</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2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1.300% Senior Notes due 2023</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23A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0.000% Senior Notes due 2024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24A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2.250% Senior Notes due 2028</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28A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260"/>
              <w:spacing w:after="0"/>
              <w:rPr>
                <w:sz w:val="20"/>
                <w:szCs w:val="20"/>
                <w:color w:val="auto"/>
              </w:rPr>
            </w:pPr>
            <w:r>
              <w:rPr>
                <w:rFonts w:ascii="Arial" w:cs="Arial" w:eastAsia="Arial" w:hAnsi="Arial"/>
                <w:sz w:val="18"/>
                <w:szCs w:val="18"/>
                <w:color w:val="auto"/>
              </w:rPr>
              <w:t>x</w:t>
            </w:r>
          </w:p>
        </w:tc>
        <w:tc>
          <w:tcPr>
            <w:tcW w:w="388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701,685,768 shares of Common Stock outstanding at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80" w:type="dxa"/>
            <w:vAlign w:val="bottom"/>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560" w:type="dxa"/>
            <w:vAlign w:val="bottom"/>
            <w:gridSpan w:val="13"/>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920" w:type="dxa"/>
            <w:vAlign w:val="bottom"/>
            <w:gridSpan w:val="3"/>
          </w:tcPr>
          <w:p>
            <w:pPr>
              <w:ind w:left="140"/>
              <w:spacing w:after="0"/>
              <w:rPr>
                <w:sz w:val="20"/>
                <w:szCs w:val="20"/>
                <w:color w:val="auto"/>
              </w:rPr>
            </w:pPr>
            <w:r>
              <w:rPr>
                <w:rFonts w:ascii="Arial" w:cs="Arial" w:eastAsia="Arial" w:hAnsi="Arial"/>
                <w:sz w:val="18"/>
                <w:szCs w:val="18"/>
                <w:b w:val="1"/>
                <w:bCs w:val="1"/>
                <w:color w:val="auto"/>
                <w:w w:val="98"/>
              </w:rPr>
              <w:t>Page No.</w:t>
            </w:r>
          </w:p>
        </w:tc>
      </w:tr>
      <w:tr>
        <w:trPr>
          <w:trHeight w:val="250"/>
        </w:trPr>
        <w:tc>
          <w:tcPr>
            <w:tcW w:w="2480" w:type="dxa"/>
            <w:vAlign w:val="bottom"/>
          </w:tcPr>
          <w:p>
            <w:pPr>
              <w:ind w:left="1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4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2480" w:type="dxa"/>
            <w:vAlign w:val="bottom"/>
          </w:tcPr>
          <w:p>
            <w:pPr>
              <w:spacing w:after="0"/>
              <w:rPr>
                <w:sz w:val="21"/>
                <w:szCs w:val="21"/>
                <w:color w:val="auto"/>
              </w:rPr>
            </w:pPr>
          </w:p>
        </w:tc>
        <w:tc>
          <w:tcPr>
            <w:tcW w:w="7560" w:type="dxa"/>
            <w:vAlign w:val="bottom"/>
            <w:gridSpan w:val="13"/>
          </w:tcPr>
          <w:p>
            <w:pPr>
              <w:ind w:left="2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Statement of Operations (unaudited) – Three and</w:t>
              </w:r>
              <w:r>
                <w:rPr>
                  <w:rFonts w:ascii="Arial" w:cs="Arial" w:eastAsia="Arial" w:hAnsi="Arial"/>
                  <w:sz w:val="18"/>
                  <w:szCs w:val="18"/>
                  <w:color w:val="0000FF"/>
                </w:rPr>
                <w:t xml:space="preserve"> Nine Months Ended</w:t>
              </w:r>
            </w:hyperlink>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2480" w:type="dxa"/>
            <w:vAlign w:val="bottom"/>
          </w:tcPr>
          <w:p>
            <w:pPr>
              <w:spacing w:after="0"/>
              <w:rPr>
                <w:sz w:val="17"/>
                <w:szCs w:val="17"/>
                <w:color w:val="auto"/>
              </w:rPr>
            </w:pPr>
          </w:p>
        </w:tc>
        <w:tc>
          <w:tcPr>
            <w:tcW w:w="5100" w:type="dxa"/>
            <w:vAlign w:val="bottom"/>
            <w:gridSpan w:val="4"/>
          </w:tcPr>
          <w:p>
            <w:pPr>
              <w:ind w:left="20"/>
              <w:spacing w:after="0" w:line="197"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September 30, 2020 and 2019</w:t>
              </w:r>
            </w:hyperlink>
          </w:p>
        </w:tc>
        <w:tc>
          <w:tcPr>
            <w:tcW w:w="7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left="70"/>
              <w:spacing w:after="0" w:line="197"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c>
          <w:tcPr>
            <w:tcW w:w="20" w:type="dxa"/>
            <w:vAlign w:val="bottom"/>
          </w:tcPr>
          <w:p>
            <w:pPr>
              <w:spacing w:after="0"/>
              <w:rPr>
                <w:sz w:val="17"/>
                <w:szCs w:val="17"/>
                <w:color w:val="auto"/>
              </w:rPr>
            </w:pPr>
          </w:p>
        </w:tc>
      </w:tr>
      <w:tr>
        <w:trPr>
          <w:trHeight w:val="242"/>
        </w:trPr>
        <w:tc>
          <w:tcPr>
            <w:tcW w:w="2480" w:type="dxa"/>
            <w:vAlign w:val="bottom"/>
          </w:tcPr>
          <w:p>
            <w:pPr>
              <w:spacing w:after="0"/>
              <w:rPr>
                <w:sz w:val="21"/>
                <w:szCs w:val="21"/>
                <w:color w:val="auto"/>
              </w:rPr>
            </w:pPr>
          </w:p>
        </w:tc>
        <w:tc>
          <w:tcPr>
            <w:tcW w:w="7560" w:type="dxa"/>
            <w:vAlign w:val="bottom"/>
            <w:gridSpan w:val="13"/>
          </w:tcPr>
          <w:p>
            <w:pPr>
              <w:ind w:left="2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Statement of Comprehensive Income (unaudited) – Three and</w:t>
              </w:r>
              <w:r>
                <w:rPr>
                  <w:rFonts w:ascii="Arial" w:cs="Arial" w:eastAsia="Arial" w:hAnsi="Arial"/>
                  <w:sz w:val="18"/>
                  <w:szCs w:val="18"/>
                  <w:color w:val="0000FF"/>
                </w:rPr>
                <w:t xml:space="preserve"> Nine Months</w:t>
              </w:r>
            </w:hyperlink>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2480" w:type="dxa"/>
            <w:vAlign w:val="bottom"/>
          </w:tcPr>
          <w:p>
            <w:pPr>
              <w:spacing w:after="0"/>
              <w:rPr>
                <w:sz w:val="13"/>
                <w:szCs w:val="13"/>
                <w:color w:val="auto"/>
              </w:rPr>
            </w:pPr>
          </w:p>
        </w:tc>
        <w:tc>
          <w:tcPr>
            <w:tcW w:w="6120" w:type="dxa"/>
            <w:vAlign w:val="bottom"/>
            <w:gridSpan w:val="7"/>
          </w:tcPr>
          <w:p>
            <w:pPr>
              <w:ind w:left="20"/>
              <w:spacing w:after="0" w:line="157"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Ended </w:t>
              </w:r>
              <w:r>
                <w:rPr>
                  <w:rFonts w:ascii="Arial" w:cs="Arial" w:eastAsia="Arial" w:hAnsi="Arial"/>
                  <w:sz w:val="18"/>
                  <w:szCs w:val="18"/>
                  <w:u w:val="single" w:color="auto"/>
                  <w:color w:val="0000FF"/>
                </w:rPr>
                <w:t>September 30, 2020 and 2019</w:t>
              </w:r>
            </w:hyperlink>
          </w:p>
        </w:tc>
        <w:tc>
          <w:tcPr>
            <w:tcW w:w="68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left="70"/>
              <w:spacing w:after="0" w:line="157"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c>
          <w:tcPr>
            <w:tcW w:w="2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480" w:type="dxa"/>
            <w:vAlign w:val="bottom"/>
          </w:tcPr>
          <w:p>
            <w:pPr>
              <w:spacing w:after="0"/>
              <w:rPr>
                <w:sz w:val="24"/>
                <w:szCs w:val="24"/>
                <w:color w:val="auto"/>
              </w:rPr>
            </w:pPr>
          </w:p>
        </w:tc>
        <w:tc>
          <w:tcPr>
            <w:tcW w:w="7560" w:type="dxa"/>
            <w:vAlign w:val="bottom"/>
            <w:gridSpan w:val="13"/>
          </w:tcPr>
          <w:p>
            <w:pPr>
              <w:ind w:left="2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Consolidated Balance Sheet (unaudited) – September</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December 31, 2019</w:t>
              </w:r>
            </w:hyperlink>
          </w:p>
        </w:tc>
        <w:tc>
          <w:tcPr>
            <w:tcW w:w="900" w:type="dxa"/>
            <w:vAlign w:val="bottom"/>
            <w:gridSpan w:val="2"/>
          </w:tcPr>
          <w:p>
            <w:pPr>
              <w:jc w:val="center"/>
              <w:ind w:left="7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c>
          <w:tcPr>
            <w:tcW w:w="20" w:type="dxa"/>
            <w:vAlign w:val="bottom"/>
          </w:tcPr>
          <w:p>
            <w:pPr>
              <w:spacing w:after="0"/>
              <w:rPr>
                <w:sz w:val="24"/>
                <w:szCs w:val="24"/>
                <w:color w:val="auto"/>
              </w:rPr>
            </w:pPr>
          </w:p>
        </w:tc>
      </w:tr>
      <w:tr>
        <w:trPr>
          <w:trHeight w:val="242"/>
        </w:trPr>
        <w:tc>
          <w:tcPr>
            <w:tcW w:w="2480" w:type="dxa"/>
            <w:vAlign w:val="bottom"/>
          </w:tcPr>
          <w:p>
            <w:pPr>
              <w:spacing w:after="0"/>
              <w:rPr>
                <w:sz w:val="21"/>
                <w:szCs w:val="21"/>
                <w:color w:val="auto"/>
              </w:rPr>
            </w:pPr>
          </w:p>
        </w:tc>
        <w:tc>
          <w:tcPr>
            <w:tcW w:w="7560" w:type="dxa"/>
            <w:vAlign w:val="bottom"/>
            <w:gridSpan w:val="13"/>
          </w:tcPr>
          <w:p>
            <w:pPr>
              <w:ind w:left="2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Consolidated Statement of Cash Flows (unaudited) –</w:t>
              </w:r>
              <w:r>
                <w:rPr>
                  <w:rFonts w:ascii="Arial" w:cs="Arial" w:eastAsia="Arial" w:hAnsi="Arial"/>
                  <w:sz w:val="18"/>
                  <w:szCs w:val="18"/>
                  <w:color w:val="0000FF"/>
                </w:rPr>
                <w:t xml:space="preserve"> Nine Months Ended </w:t>
              </w:r>
              <w:r>
                <w:rPr>
                  <w:rFonts w:ascii="Arial" w:cs="Arial" w:eastAsia="Arial" w:hAnsi="Arial"/>
                  <w:sz w:val="18"/>
                  <w:szCs w:val="18"/>
                  <w:u w:val="single" w:color="auto"/>
                  <w:color w:val="0000FF"/>
                </w:rPr>
                <w:t>September</w:t>
              </w:r>
              <w:r>
                <w:rPr>
                  <w:rFonts w:ascii="Arial" w:cs="Arial" w:eastAsia="Arial" w:hAnsi="Arial"/>
                  <w:sz w:val="18"/>
                  <w:szCs w:val="18"/>
                  <w:color w:val="0000FF"/>
                </w:rPr>
                <w:t xml:space="preserve"> 30,</w:t>
              </w:r>
            </w:hyperlink>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2480" w:type="dxa"/>
            <w:vAlign w:val="bottom"/>
          </w:tcPr>
          <w:p>
            <w:pPr>
              <w:spacing w:after="0"/>
              <w:rPr>
                <w:sz w:val="13"/>
                <w:szCs w:val="13"/>
                <w:color w:val="auto"/>
              </w:rPr>
            </w:pPr>
          </w:p>
        </w:tc>
        <w:tc>
          <w:tcPr>
            <w:tcW w:w="1220" w:type="dxa"/>
            <w:vAlign w:val="bottom"/>
            <w:tcBorders>
              <w:bottom w:val="single" w:sz="8" w:color="0000FF"/>
            </w:tcBorders>
            <w:gridSpan w:val="2"/>
          </w:tcPr>
          <w:p>
            <w:pPr>
              <w:ind w:left="20"/>
              <w:spacing w:after="0" w:line="157"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2020 and 2019</w:t>
              </w:r>
            </w:hyperlink>
          </w:p>
        </w:tc>
        <w:tc>
          <w:tcPr>
            <w:tcW w:w="3060" w:type="dxa"/>
            <w:vAlign w:val="bottom"/>
          </w:tcPr>
          <w:p>
            <w:pPr>
              <w:spacing w:after="0"/>
              <w:rPr>
                <w:sz w:val="13"/>
                <w:szCs w:val="13"/>
                <w:color w:val="auto"/>
              </w:rPr>
            </w:pPr>
          </w:p>
        </w:tc>
        <w:tc>
          <w:tcPr>
            <w:tcW w:w="15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gridSpan w:val="3"/>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left="70"/>
              <w:spacing w:after="0" w:line="157"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20" w:type="dxa"/>
            <w:vAlign w:val="bottom"/>
          </w:tcPr>
          <w:p>
            <w:pPr>
              <w:spacing w:after="0"/>
              <w:rPr>
                <w:sz w:val="13"/>
                <w:szCs w:val="13"/>
                <w:color w:val="auto"/>
              </w:rPr>
            </w:pPr>
          </w:p>
        </w:tc>
      </w:tr>
      <w:tr>
        <w:trPr>
          <w:trHeight w:val="263"/>
        </w:trPr>
        <w:tc>
          <w:tcPr>
            <w:tcW w:w="2480" w:type="dxa"/>
            <w:vAlign w:val="bottom"/>
          </w:tcPr>
          <w:p>
            <w:pPr>
              <w:spacing w:after="0"/>
              <w:rPr>
                <w:sz w:val="22"/>
                <w:szCs w:val="22"/>
                <w:color w:val="auto"/>
              </w:rPr>
            </w:pPr>
          </w:p>
        </w:tc>
        <w:tc>
          <w:tcPr>
            <w:tcW w:w="7560" w:type="dxa"/>
            <w:vAlign w:val="bottom"/>
            <w:gridSpan w:val="13"/>
          </w:tcPr>
          <w:p>
            <w:pPr>
              <w:ind w:left="20"/>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Statement of Shareowners' Equity (unaudited) – Three and</w:t>
              </w:r>
              <w:r>
                <w:rPr>
                  <w:rFonts w:ascii="Arial" w:cs="Arial" w:eastAsia="Arial" w:hAnsi="Arial"/>
                  <w:sz w:val="18"/>
                  <w:szCs w:val="18"/>
                  <w:color w:val="0000FF"/>
                </w:rPr>
                <w:t xml:space="preserve"> Nine Months Ended</w:t>
              </w:r>
            </w:hyperlink>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7"/>
        </w:trPr>
        <w:tc>
          <w:tcPr>
            <w:tcW w:w="2480" w:type="dxa"/>
            <w:vAlign w:val="bottom"/>
          </w:tcPr>
          <w:p>
            <w:pPr>
              <w:spacing w:after="0"/>
              <w:rPr>
                <w:sz w:val="17"/>
                <w:szCs w:val="17"/>
                <w:color w:val="auto"/>
              </w:rPr>
            </w:pPr>
          </w:p>
        </w:tc>
        <w:tc>
          <w:tcPr>
            <w:tcW w:w="5860" w:type="dxa"/>
            <w:vAlign w:val="bottom"/>
            <w:gridSpan w:val="5"/>
          </w:tcPr>
          <w:p>
            <w:pPr>
              <w:ind w:left="20"/>
              <w:spacing w:after="0" w:line="197"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September 30, 2020 and 2019</w:t>
              </w:r>
            </w:hyperlink>
          </w:p>
        </w:tc>
        <w:tc>
          <w:tcPr>
            <w:tcW w:w="1580" w:type="dxa"/>
            <w:vAlign w:val="bottom"/>
            <w:tcBorders>
              <w:top w:val="single" w:sz="8" w:color="0000FF"/>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left="70"/>
              <w:spacing w:after="0" w:line="197"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c>
          <w:tcPr>
            <w:tcW w:w="20" w:type="dxa"/>
            <w:vAlign w:val="bottom"/>
          </w:tcPr>
          <w:p>
            <w:pPr>
              <w:spacing w:after="0"/>
              <w:rPr>
                <w:sz w:val="17"/>
                <w:szCs w:val="17"/>
                <w:color w:val="auto"/>
              </w:rPr>
            </w:pPr>
          </w:p>
        </w:tc>
      </w:tr>
      <w:tr>
        <w:trPr>
          <w:trHeight w:val="283"/>
        </w:trPr>
        <w:tc>
          <w:tcPr>
            <w:tcW w:w="2480" w:type="dxa"/>
            <w:vAlign w:val="bottom"/>
          </w:tcPr>
          <w:p>
            <w:pPr>
              <w:spacing w:after="0"/>
              <w:rPr>
                <w:sz w:val="24"/>
                <w:szCs w:val="24"/>
                <w:color w:val="auto"/>
              </w:rPr>
            </w:pPr>
          </w:p>
        </w:tc>
        <w:tc>
          <w:tcPr>
            <w:tcW w:w="7560" w:type="dxa"/>
            <w:vAlign w:val="bottom"/>
            <w:gridSpan w:val="13"/>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Consolidated Financial Statements (unaudited)</w:t>
              </w:r>
            </w:hyperlink>
          </w:p>
        </w:tc>
        <w:tc>
          <w:tcPr>
            <w:tcW w:w="900" w:type="dxa"/>
            <w:vAlign w:val="bottom"/>
            <w:gridSpan w:val="2"/>
          </w:tcPr>
          <w:p>
            <w:pPr>
              <w:jc w:val="center"/>
              <w:ind w:left="70"/>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20" w:type="dxa"/>
            <w:vAlign w:val="bottom"/>
          </w:tcPr>
          <w:p>
            <w:pPr>
              <w:spacing w:after="0"/>
              <w:rPr>
                <w:sz w:val="24"/>
                <w:szCs w:val="24"/>
                <w:color w:val="auto"/>
              </w:rPr>
            </w:pPr>
          </w:p>
        </w:tc>
      </w:tr>
      <w:tr>
        <w:trPr>
          <w:trHeight w:val="284"/>
        </w:trPr>
        <w:tc>
          <w:tcPr>
            <w:tcW w:w="2480" w:type="dxa"/>
            <w:vAlign w:val="bottom"/>
          </w:tcPr>
          <w:p>
            <w:pPr>
              <w:ind w:left="12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35">
              <w:r>
                <w:rPr>
                  <w:rFonts w:ascii="Arial" w:cs="Arial" w:eastAsia="Arial" w:hAnsi="Arial"/>
                  <w:sz w:val="18"/>
                  <w:szCs w:val="18"/>
                  <w:color w:val="auto"/>
                  <w:w w:val="99"/>
                </w:rPr>
                <w:t>36</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3.</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Quantitative and Qualitative Disclosures About Market Risks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51</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51</w:t>
              </w:r>
            </w:hyperlink>
          </w:p>
        </w:tc>
        <w:tc>
          <w:tcPr>
            <w:tcW w:w="20" w:type="dxa"/>
            <w:vAlign w:val="bottom"/>
          </w:tcPr>
          <w:p>
            <w:pPr>
              <w:spacing w:after="0"/>
              <w:rPr>
                <w:sz w:val="24"/>
                <w:szCs w:val="24"/>
                <w:color w:val="auto"/>
              </w:rPr>
            </w:pPr>
          </w:p>
        </w:tc>
      </w:tr>
      <w:tr>
        <w:trPr>
          <w:trHeight w:val="283"/>
        </w:trPr>
        <w:tc>
          <w:tcPr>
            <w:tcW w:w="2480" w:type="dxa"/>
            <w:vAlign w:val="bottom"/>
          </w:tcPr>
          <w:p>
            <w:pPr>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Part II.</w:t>
              </w:r>
            </w:hyperlink>
          </w:p>
        </w:tc>
        <w:tc>
          <w:tcPr>
            <w:tcW w:w="7560" w:type="dxa"/>
            <w:vAlign w:val="bottom"/>
            <w:gridSpan w:val="13"/>
          </w:tcPr>
          <w:p>
            <w:pPr>
              <w:ind w:left="20"/>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Other Information</w:t>
              </w:r>
            </w:hyperlink>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2">
              <w:r>
                <w:rPr>
                  <w:rFonts w:ascii="Arial" w:cs="Arial" w:eastAsia="Arial" w:hAnsi="Arial"/>
                  <w:sz w:val="18"/>
                  <w:szCs w:val="18"/>
                  <w:color w:val="auto"/>
                  <w:w w:val="99"/>
                </w:rPr>
                <w:t>52</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1A.</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Risk Factors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2">
              <w:r>
                <w:rPr>
                  <w:rFonts w:ascii="Arial" w:cs="Arial" w:eastAsia="Arial" w:hAnsi="Arial"/>
                  <w:sz w:val="18"/>
                  <w:szCs w:val="18"/>
                  <w:color w:val="auto"/>
                  <w:w w:val="99"/>
                </w:rPr>
                <w:t>52</w:t>
              </w:r>
            </w:hyperlink>
          </w:p>
        </w:tc>
        <w:tc>
          <w:tcPr>
            <w:tcW w:w="20" w:type="dxa"/>
            <w:vAlign w:val="bottom"/>
          </w:tcPr>
          <w:p>
            <w:pPr>
              <w:spacing w:after="0"/>
              <w:rPr>
                <w:sz w:val="24"/>
                <w:szCs w:val="24"/>
                <w:color w:val="auto"/>
              </w:rPr>
            </w:pPr>
          </w:p>
        </w:tc>
      </w:tr>
      <w:tr>
        <w:trPr>
          <w:trHeight w:val="284"/>
        </w:trPr>
        <w:tc>
          <w:tcPr>
            <w:tcW w:w="2480" w:type="dxa"/>
            <w:vAlign w:val="bottom"/>
          </w:tcPr>
          <w:p>
            <w:pPr>
              <w:ind w:left="12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2.</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Unregistered Sales of Equity Securities and Use of Proceeds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4">
              <w:r>
                <w:rPr>
                  <w:rFonts w:ascii="Arial" w:cs="Arial" w:eastAsia="Arial" w:hAnsi="Arial"/>
                  <w:sz w:val="18"/>
                  <w:szCs w:val="18"/>
                  <w:color w:val="auto"/>
                  <w:w w:val="99"/>
                </w:rPr>
                <w:t>55</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4.</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Mine Safety Disclosures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55</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Other Information</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55</w:t>
              </w:r>
            </w:hyperlink>
          </w:p>
        </w:tc>
        <w:tc>
          <w:tcPr>
            <w:tcW w:w="20" w:type="dxa"/>
            <w:vAlign w:val="bottom"/>
          </w:tcPr>
          <w:p>
            <w:pPr>
              <w:spacing w:after="0"/>
              <w:rPr>
                <w:sz w:val="24"/>
                <w:szCs w:val="24"/>
                <w:color w:val="auto"/>
              </w:rPr>
            </w:pPr>
          </w:p>
        </w:tc>
      </w:tr>
      <w:tr>
        <w:trPr>
          <w:trHeight w:val="283"/>
        </w:trPr>
        <w:tc>
          <w:tcPr>
            <w:tcW w:w="2480" w:type="dxa"/>
            <w:vAlign w:val="bottom"/>
          </w:tcPr>
          <w:p>
            <w:pPr>
              <w:ind w:left="1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6.</w:t>
              </w:r>
            </w:hyperlink>
          </w:p>
        </w:tc>
        <w:tc>
          <w:tcPr>
            <w:tcW w:w="7560" w:type="dxa"/>
            <w:vAlign w:val="bottom"/>
            <w:gridSpan w:val="13"/>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Exhibits</w:t>
              </w:r>
            </w:hyperlink>
          </w:p>
        </w:tc>
        <w:tc>
          <w:tcPr>
            <w:tcW w:w="900" w:type="dxa"/>
            <w:vAlign w:val="bottom"/>
            <w:gridSpan w:val="2"/>
          </w:tcPr>
          <w:p>
            <w:pPr>
              <w:jc w:val="center"/>
              <w:ind w:left="50"/>
              <w:spacing w:after="0"/>
              <w:rPr>
                <w:rFonts w:ascii="Arial" w:cs="Arial" w:eastAsia="Arial" w:hAnsi="Arial"/>
                <w:sz w:val="18"/>
                <w:szCs w:val="18"/>
                <w:color w:val="auto"/>
                <w:w w:val="99"/>
              </w:rPr>
            </w:pPr>
            <w:hyperlink w:anchor="page55">
              <w:r>
                <w:rPr>
                  <w:rFonts w:ascii="Arial" w:cs="Arial" w:eastAsia="Arial" w:hAnsi="Arial"/>
                  <w:sz w:val="18"/>
                  <w:szCs w:val="18"/>
                  <w:color w:val="auto"/>
                  <w:w w:val="99"/>
                </w:rPr>
                <w:t>56</w:t>
              </w:r>
            </w:hyperlink>
          </w:p>
        </w:tc>
        <w:tc>
          <w:tcPr>
            <w:tcW w:w="20" w:type="dxa"/>
            <w:vAlign w:val="bottom"/>
          </w:tcPr>
          <w:p>
            <w:pPr>
              <w:spacing w:after="0"/>
              <w:rPr>
                <w:sz w:val="24"/>
                <w:szCs w:val="24"/>
                <w:color w:val="auto"/>
              </w:rPr>
            </w:pPr>
          </w:p>
        </w:tc>
      </w:tr>
      <w:tr>
        <w:trPr>
          <w:trHeight w:val="284"/>
        </w:trPr>
        <w:tc>
          <w:tcPr>
            <w:tcW w:w="248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left="50"/>
              <w:spacing w:after="0"/>
              <w:rPr>
                <w:rFonts w:ascii="Arial" w:cs="Arial" w:eastAsia="Arial" w:hAnsi="Arial"/>
                <w:sz w:val="18"/>
                <w:szCs w:val="18"/>
                <w:color w:val="auto"/>
                <w:w w:val="99"/>
              </w:rPr>
            </w:pPr>
            <w:hyperlink w:anchor="page56">
              <w:r>
                <w:rPr>
                  <w:rFonts w:ascii="Arial" w:cs="Arial" w:eastAsia="Arial" w:hAnsi="Arial"/>
                  <w:sz w:val="18"/>
                  <w:szCs w:val="18"/>
                  <w:color w:val="auto"/>
                  <w:w w:val="99"/>
                </w:rPr>
                <w:t>57</w:t>
              </w:r>
            </w:hyperlink>
          </w:p>
        </w:tc>
        <w:tc>
          <w:tcPr>
            <w:tcW w:w="20" w:type="dxa"/>
            <w:vAlign w:val="bottom"/>
          </w:tcPr>
          <w:p>
            <w:pPr>
              <w:spacing w:after="0"/>
              <w:rPr>
                <w:sz w:val="24"/>
                <w:szCs w:val="24"/>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 guarantees of future performance, and actual results, developments and business decisions may differ from those envisaged by our forward-looking statements. Our forward-looking statements are also subject to risks and uncertainties, including the impact of the coronavirus pandemic (COVID-19), which can affect our performance and financial results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2019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financial statements and related footnotes as of September 30, 2020 should be read in conjunction with the financial statements for the year ended December 31, 2019 contained in our 2019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83"/>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spacing w:after="0"/>
              <w:rPr>
                <w:sz w:val="15"/>
                <w:szCs w:val="15"/>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6,717</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27,213</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of services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r>
      <w:tr>
        <w:trPr>
          <w:trHeight w:val="223"/>
        </w:trPr>
        <w:tc>
          <w:tcPr>
            <w:tcW w:w="5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5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Earnings per share of common stock - assuming dilution</w:t>
            </w: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83"/>
        </w:trPr>
        <w:tc>
          <w:tcPr>
            <w:tcW w:w="5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exchange translation adjustment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8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Prior service (credit) cost recognized</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 adjustments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188"/>
        </w:trPr>
        <w:tc>
          <w:tcPr>
            <w:tcW w:w="5840" w:type="dxa"/>
            <w:vAlign w:val="bottom"/>
          </w:tcPr>
          <w:p>
            <w:pPr>
              <w:ind w:left="720"/>
              <w:spacing w:after="0" w:line="189" w:lineRule="exact"/>
              <w:rPr>
                <w:sz w:val="20"/>
                <w:szCs w:val="20"/>
                <w:color w:val="auto"/>
              </w:rPr>
            </w:pPr>
            <w:r>
              <w:rPr>
                <w:rFonts w:ascii="Arial" w:cs="Arial" w:eastAsia="Arial" w:hAnsi="Arial"/>
                <w:sz w:val="18"/>
                <w:szCs w:val="18"/>
                <w:color w:val="auto"/>
              </w:rPr>
              <w:t>Cash flow hedges recognized in other comprehensive income</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840" w:type="dxa"/>
            <w:vAlign w:val="bottom"/>
          </w:tcPr>
          <w:p>
            <w:pPr>
              <w:ind w:left="720"/>
              <w:spacing w:after="0"/>
              <w:rPr>
                <w:sz w:val="20"/>
                <w:szCs w:val="20"/>
                <w:color w:val="auto"/>
              </w:rPr>
            </w:pPr>
            <w:r>
              <w:rPr>
                <w:rFonts w:ascii="Arial" w:cs="Arial" w:eastAsia="Arial" w:hAnsi="Arial"/>
                <w:sz w:val="18"/>
                <w:szCs w:val="18"/>
                <w:color w:val="auto"/>
              </w:rPr>
              <w:t>(loss)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88"/>
        </w:trPr>
        <w:tc>
          <w:tcPr>
            <w:tcW w:w="5840" w:type="dxa"/>
            <w:vAlign w:val="bottom"/>
            <w:shd w:val="clear" w:color="auto" w:fill="CCEEFF"/>
          </w:tcPr>
          <w:p>
            <w:pPr>
              <w:ind w:left="720"/>
              <w:spacing w:after="0" w:line="189" w:lineRule="exact"/>
              <w:rPr>
                <w:sz w:val="20"/>
                <w:szCs w:val="20"/>
                <w:color w:val="auto"/>
              </w:rPr>
            </w:pPr>
            <w:r>
              <w:rPr>
                <w:rFonts w:ascii="Arial" w:cs="Arial" w:eastAsia="Arial" w:hAnsi="Arial"/>
                <w:sz w:val="18"/>
                <w:szCs w:val="18"/>
                <w:color w:val="auto"/>
              </w:rPr>
              <w:t>Less: Reclassification adjustment for gains (losses) included in</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7"/>
        </w:trPr>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Changes in fair value of effective cash flow hedges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4,782</w:t>
            </w:r>
          </w:p>
        </w:tc>
      </w:tr>
      <w:tr>
        <w:trPr>
          <w:trHeight w:val="188"/>
        </w:trPr>
        <w:tc>
          <w:tcPr>
            <w:tcW w:w="5840" w:type="dxa"/>
            <w:vAlign w:val="bottom"/>
            <w:shd w:val="clear" w:color="auto" w:fill="CCEEFF"/>
          </w:tcPr>
          <w:p>
            <w:pPr>
              <w:ind w:left="620"/>
              <w:spacing w:after="0" w:line="189" w:lineRule="exact"/>
              <w:rPr>
                <w:sz w:val="20"/>
                <w:szCs w:val="20"/>
                <w:color w:val="auto"/>
              </w:rPr>
            </w:pPr>
            <w:r>
              <w:rPr>
                <w:rFonts w:ascii="Arial" w:cs="Arial" w:eastAsia="Arial" w:hAnsi="Arial"/>
                <w:sz w:val="18"/>
                <w:szCs w:val="18"/>
                <w:color w:val="auto"/>
              </w:rPr>
              <w:t>Less: Comprehensive income attributable to the noncontrolling</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7"/>
        </w:trPr>
        <w:tc>
          <w:tcPr>
            <w:tcW w:w="58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 attributable to Honeywell</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r>
      <w:tr>
        <w:trPr>
          <w:trHeight w:val="21"/>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4,421</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23"/>
        </w:trPr>
        <w:tc>
          <w:tcPr>
            <w:tcW w:w="75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24,303</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and long-term receivables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5,325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intangible assets -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3,734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23"/>
        </w:trPr>
        <w:tc>
          <w:tcPr>
            <w:tcW w:w="75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Commercial paper and other short-term borrowings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3,516</w:t>
            </w: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r>
      <w:tr>
        <w:trPr>
          <w:trHeight w:val="223"/>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11,110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Postretirement benefit obligations other than pensions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 common stock issued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29"/>
        </w:trPr>
        <w:tc>
          <w:tcPr>
            <w:tcW w:w="7580" w:type="dxa"/>
            <w:vAlign w:val="bottom"/>
          </w:tcPr>
          <w:p>
            <w:pPr>
              <w:ind w:left="660"/>
              <w:spacing w:after="0"/>
              <w:rPr>
                <w:sz w:val="20"/>
                <w:szCs w:val="20"/>
                <w:color w:val="auto"/>
              </w:rPr>
            </w:pPr>
            <w:r>
              <w:rPr>
                <w:rFonts w:ascii="Arial" w:cs="Arial" w:eastAsia="Arial" w:hAnsi="Arial"/>
                <w:sz w:val="18"/>
                <w:szCs w:val="18"/>
                <w:color w:val="auto"/>
              </w:rPr>
              <w:t>- 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held in treasury, at cost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Honeywell shareowners’ equity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18,494</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shareowners’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83"/>
        </w:trPr>
        <w:tc>
          <w:tcPr>
            <w:tcW w:w="8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the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Net income attributable to Honeywell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188"/>
        </w:trPr>
        <w:tc>
          <w:tcPr>
            <w:tcW w:w="81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8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6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160" w:type="dxa"/>
            <w:vAlign w:val="bottom"/>
          </w:tcPr>
          <w:p>
            <w:pPr>
              <w:ind w:left="460"/>
              <w:spacing w:after="0"/>
              <w:rPr>
                <w:sz w:val="20"/>
                <w:szCs w:val="20"/>
                <w:color w:val="auto"/>
              </w:rPr>
            </w:pPr>
            <w:r>
              <w:rPr>
                <w:rFonts w:ascii="Arial" w:cs="Arial" w:eastAsia="Arial" w:hAnsi="Arial"/>
                <w:sz w:val="18"/>
                <w:szCs w:val="18"/>
                <w:color w:val="auto"/>
              </w:rPr>
              <w:t>Repositioning and other charges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payments for repositioning and other charges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160" w:type="dxa"/>
            <w:vAlign w:val="bottom"/>
          </w:tcPr>
          <w:p>
            <w:pPr>
              <w:ind w:left="460"/>
              <w:spacing w:after="0"/>
              <w:rPr>
                <w:sz w:val="20"/>
                <w:szCs w:val="20"/>
                <w:color w:val="auto"/>
              </w:rPr>
            </w:pPr>
            <w:r>
              <w:rPr>
                <w:rFonts w:ascii="Arial" w:cs="Arial" w:eastAsia="Arial" w:hAnsi="Arial"/>
                <w:sz w:val="18"/>
                <w:szCs w:val="18"/>
                <w:color w:val="auto"/>
              </w:rPr>
              <w:t>Pension and other postretirement income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and other postretirement benefit payments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160" w:type="dxa"/>
            <w:vAlign w:val="bottom"/>
          </w:tcPr>
          <w:p>
            <w:pPr>
              <w:ind w:left="460"/>
              <w:spacing w:after="0"/>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8160" w:type="dxa"/>
            <w:vAlign w:val="bottom"/>
          </w:tcPr>
          <w:p>
            <w:pPr>
              <w:ind w:left="460"/>
              <w:spacing w:after="0"/>
              <w:rPr>
                <w:sz w:val="20"/>
                <w:szCs w:val="20"/>
                <w:color w:val="auto"/>
              </w:rPr>
            </w:pPr>
            <w:r>
              <w:rPr>
                <w:rFonts w:ascii="Arial" w:cs="Arial" w:eastAsia="Arial" w:hAnsi="Arial"/>
                <w:sz w:val="18"/>
                <w:szCs w:val="18"/>
                <w:color w:val="auto"/>
              </w:rPr>
              <w:t>Reimbursement receivables charge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160" w:type="dxa"/>
            <w:vAlign w:val="bottom"/>
          </w:tcPr>
          <w:p>
            <w:pPr>
              <w:ind w:left="48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16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81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(used for) operating activities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disposals of property, plant and equipment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Increase in investments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(3,218)</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investments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Receipts (payments) from settlements of derivative contracts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1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commercial paper and other short-term borrowings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81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240"/>
          </w:cols>
          <w:pgMar w:left="320" w:top="89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33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22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9"/>
          </w:tcPr>
          <w:p>
            <w:pPr>
              <w:jc w:val="right"/>
              <w:ind w:right="311"/>
              <w:spacing w:after="0"/>
              <w:rPr>
                <w:sz w:val="20"/>
                <w:szCs w:val="20"/>
                <w:color w:val="auto"/>
              </w:rPr>
            </w:pPr>
            <w:r>
              <w:rPr>
                <w:rFonts w:ascii="Arial" w:cs="Arial" w:eastAsia="Arial" w:hAnsi="Arial"/>
                <w:sz w:val="14"/>
                <w:szCs w:val="14"/>
                <w:b w:val="1"/>
                <w:bCs w:val="1"/>
                <w:color w:val="auto"/>
              </w:rPr>
              <w:t>(Dollars in millions, except per share amounts)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par value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957.6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line="189" w:lineRule="exact"/>
              <w:rPr>
                <w:sz w:val="20"/>
                <w:szCs w:val="20"/>
                <w:color w:val="auto"/>
              </w:rPr>
            </w:pPr>
            <w:r>
              <w:rPr>
                <w:rFonts w:ascii="Arial" w:cs="Arial" w:eastAsia="Arial" w:hAnsi="Arial"/>
                <w:sz w:val="18"/>
                <w:szCs w:val="18"/>
                <w:color w:val="auto"/>
              </w:rPr>
              <w:t>Issued for employee savings and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8"/>
                <w:szCs w:val="18"/>
                <w:color w:val="auto"/>
              </w:rPr>
              <w:t>option plans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Reacquired stock or repurchases</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line="189" w:lineRule="exact"/>
              <w:rPr>
                <w:sz w:val="20"/>
                <w:szCs w:val="20"/>
                <w:color w:val="auto"/>
              </w:rPr>
            </w:pPr>
            <w:r>
              <w:rPr>
                <w:rFonts w:ascii="Arial" w:cs="Arial" w:eastAsia="Arial" w:hAnsi="Arial"/>
                <w:sz w:val="18"/>
                <w:szCs w:val="18"/>
                <w:color w:val="auto"/>
              </w:rPr>
              <w:t>Issued for employee savings and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 plans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line="189" w:lineRule="exact"/>
              <w:rPr>
                <w:sz w:val="20"/>
                <w:szCs w:val="20"/>
                <w:color w:val="auto"/>
              </w:rPr>
            </w:pPr>
            <w:r>
              <w:rPr>
                <w:rFonts w:ascii="Arial" w:cs="Arial" w:eastAsia="Arial" w:hAnsi="Arial"/>
                <w:sz w:val="18"/>
                <w:szCs w:val="18"/>
                <w:color w:val="auto"/>
              </w:rPr>
              <w:t>Net income attributable to</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8"/>
                <w:szCs w:val="18"/>
                <w:color w:val="auto"/>
              </w:rPr>
              <w:t>Honeywell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39,203</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36,775</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39,203</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36,775</w:t>
            </w: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Accumulated other</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(3,197)</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Foreign exchange translation</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line="189" w:lineRule="exact"/>
              <w:rPr>
                <w:sz w:val="20"/>
                <w:szCs w:val="20"/>
                <w:color w:val="auto"/>
              </w:rPr>
            </w:pPr>
            <w:r>
              <w:rPr>
                <w:rFonts w:ascii="Arial" w:cs="Arial" w:eastAsia="Arial" w:hAnsi="Arial"/>
                <w:sz w:val="18"/>
                <w:szCs w:val="18"/>
                <w:color w:val="auto"/>
              </w:rPr>
              <w:t>Pension and other postretirement</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8"/>
                <w:szCs w:val="18"/>
                <w:color w:val="auto"/>
              </w:rPr>
              <w:t>benefit adjustments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Changes in fair value of effective</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flow hedges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Acquisitions, divestitures, and</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3000" w:type="dxa"/>
            <w:vAlign w:val="bottom"/>
          </w:tcPr>
          <w:p>
            <w:pPr>
              <w:ind w:left="280"/>
              <w:spacing w:after="0" w:line="189" w:lineRule="exact"/>
              <w:rPr>
                <w:sz w:val="20"/>
                <w:szCs w:val="20"/>
                <w:color w:val="auto"/>
              </w:rPr>
            </w:pPr>
            <w:r>
              <w:rPr>
                <w:rFonts w:ascii="Arial" w:cs="Arial" w:eastAsia="Arial" w:hAnsi="Arial"/>
                <w:sz w:val="18"/>
                <w:szCs w:val="18"/>
                <w:color w:val="auto"/>
              </w:rPr>
              <w:t>Net income attributable to</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Foreign exchange translation</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Dividends paid</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shareowners' equity</w:t>
            </w:r>
          </w:p>
        </w:tc>
        <w:tc>
          <w:tcPr>
            <w:tcW w:w="900" w:type="dxa"/>
            <w:vAlign w:val="bottom"/>
          </w:tcPr>
          <w:p>
            <w:pPr>
              <w:jc w:val="right"/>
              <w:spacing w:after="0"/>
              <w:rPr>
                <w:sz w:val="20"/>
                <w:szCs w:val="20"/>
                <w:color w:val="auto"/>
              </w:rPr>
            </w:pPr>
            <w:r>
              <w:rPr>
                <w:rFonts w:ascii="Arial" w:cs="Arial" w:eastAsia="Arial" w:hAnsi="Arial"/>
                <w:sz w:val="18"/>
                <w:szCs w:val="18"/>
                <w:color w:val="auto"/>
              </w:rPr>
              <w:t>701.7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18,313</w:t>
            </w: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Cash dividends per share of</w:t>
            </w:r>
          </w:p>
        </w:tc>
        <w:tc>
          <w:tcPr>
            <w:tcW w:w="1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0.900</w:t>
            </w:r>
          </w:p>
        </w:tc>
        <w:tc>
          <w:tcPr>
            <w:tcW w:w="138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0.820</w:t>
            </w:r>
          </w:p>
        </w:tc>
        <w:tc>
          <w:tcPr>
            <w:tcW w:w="13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3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common stock</w:t>
            </w:r>
          </w:p>
        </w:tc>
        <w:tc>
          <w:tcPr>
            <w:tcW w:w="122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380" w:type="dxa"/>
            <w:vAlign w:val="bottom"/>
            <w:gridSpan w:val="4"/>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300" w:type="dxa"/>
            <w:vAlign w:val="bottom"/>
            <w:gridSpan w:val="4"/>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380" w:type="dxa"/>
            <w:vAlign w:val="bottom"/>
            <w:gridSpan w:val="4"/>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are an integral part of this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2020 and December 31, 2019, the cash flows for the nine months ended September 30, 2020 and September 30, 2019 and the results of operations for the three and nine months ended September 30, 2020 and September 30, 2019. The results of operations for the three and nine months ended September 30, 2020 and cash flows for the nine months ended September 30, 2020 should not necessarily be taken as indicative of the entire year.</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Honeywell reports its quarterly financial information using a calendar convention; the first, second and third quarters are consistently reported as ending on March 31, June 30 and September 30. It has been Honeywell's practice to establish actual quarterly closing dates using a predetermined fiscal calendar, which requires Honeywell's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Honeywell will provide appropriate disclosures. Honeywell's actual closing dates for the three and nine months ended September 30, 2020 and September 30, 2019 were September 26, 2020 and September 28,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accounting policies of the Company are set forth in Note 1 to the Company's Consolidated Financial Statements contained in the Company’s 2019 Annual Report on Form 10-K. The Company includes herein certain updates to those policies.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12529"/>
        </w:rPr>
        <w:t>Reclassifications</w:t>
      </w:r>
      <w:r>
        <w:rPr>
          <w:rFonts w:ascii="Arial" w:cs="Arial" w:eastAsia="Arial" w:hAnsi="Arial"/>
          <w:sz w:val="18"/>
          <w:szCs w:val="18"/>
          <w:color w:val="212529"/>
        </w:rPr>
        <w:t>—Certain prior year amounts have been reclassified to conform to the current year presentation.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—The Company considers the applicability and impact of all Accounting Standards Updates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(ASUs) 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December 2019, the FASB issued an accounting standard update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The guidance is effective for fiscal years beginning after December 15, 2020 with early adoption permitted, including the interim periods within those years. The Company is currently evaluating impacts of these amendments on the Company's Consolidated Financial Statements, and related notes to the Financial Statements. The Company does not expect the adoption of this standard to have a material impact on the Company's Consolidated Financial Statements.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an accounting standard that requires companies to utilize an impairment model (current expected credit loss, or CECL) for most financial assets measured at amortized cost and certain other financial instruments, which include, but are not limited to, trade and other receivables. This accounting standard replaced the incurred loss model with a model that reflects expected credit losses and requires consideration of a broader range of reasonable and supportable information to estimate those losses. Effective January 1, 2020, the Company adopted this standard. The adoption of this standard did not have a material impact on the Company's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Exit costs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Reserve adjustments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repositioning charge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168"/>
        </w:trPr>
        <w:tc>
          <w:tcPr>
            <w:tcW w:w="5840" w:type="dxa"/>
            <w:vAlign w:val="bottom"/>
          </w:tcPr>
          <w:p>
            <w:pPr>
              <w:ind w:left="20"/>
              <w:spacing w:after="0" w:line="168" w:lineRule="exact"/>
              <w:rPr>
                <w:sz w:val="20"/>
                <w:szCs w:val="20"/>
                <w:color w:val="auto"/>
              </w:rPr>
            </w:pPr>
            <w:r>
              <w:rPr>
                <w:rFonts w:ascii="Arial" w:cs="Arial" w:eastAsia="Arial" w:hAnsi="Arial"/>
                <w:sz w:val="18"/>
                <w:szCs w:val="18"/>
                <w:color w:val="auto"/>
              </w:rPr>
              <w:t>Asbestos related litigation charges, net of insurance and</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88"/>
        </w:trPr>
        <w:tc>
          <w:tcPr>
            <w:tcW w:w="58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Probable and reasonably estimable environmental liabilities, net of</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repositioning and other charges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5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Materials and Technologies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584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three months ended September 30, 2020, the Company recognized gross repositioning charges totaling $135 million including severance costs of $113 million related to workforce reductions of 3,113 manufacturing and administrative positions across all of the Company's segments, with a majority of the workforce reductions in Aerospace and Performance Materials and Technologies. The workforce reductions primarily related to the Company aligning its cost structure with the current slowdown in demand for many of the Company's products and services due to the global recession.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three months ended September 30, 2019, the Company recognized gross repositioning charges totaling $89 million including severance costs of $41 million related to workforce reductions of 1,123 manufacturing and administrative positions across the Company's segments. The workforce reductions primarily related to cost savings actions taken in connection with our productivity and ongoing functional transformation initiatives. The repositioning charges included exit costs of $33 million primarily related to termination fees associated with the early cancellation of supply agreements for certain raw materials in Performance Materials and Technologies and Honeywell Building Technologies and current period exit costs incurred for previously approved repositioning projects.</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2020, the Company recognized gross repositioning charges totaling $491 million including severance costs of $433 million related to workforce reductions of 13,042 manufacturing and administrative positions across the Company's segments, with a majority of the workforce reductions in Aerospace and Performance Materials and Technologies. The workforce reductions primarily related to the Company aligning its cost structure with the current slowdown in demand for many of the Company's products and services due to the global recession, and the Company's productivity and ongoing functional transformation initiatives. The repositioning charges included exit costs of $47 million primarily related to current period exit costs incurred for previously approved repositioning projects. Also, $42 million of previously established reserves, primarily for severance, were returned to income mainly as a result of higher attrition than anticipated in prior severance actions resulting in lower severance payments.</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2019, the Company recognized gross repositioning charges totaling $235 million including severance costs of $147 million related to workforce reductions of 3,436 manufacturing and administrative positions across the Company's segments. The workforce reductions primarily related to cost savings actions taken in connection with the Company's productivity and functional transformation initiatives and to site transitions in Aerospace to more cost-effective locations. The repositioning charges included exit costs of $62 million primarily related to current period exit costs incurred for previously approved repositioning projects, termination fees associated with the early cancellation of supply agreements for certain raw materials in Performance Materials and Technologies and Honeywell Building Technologies and closure obligations associated with site transitions.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the Company's total repositioning reserves: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Usage - cash</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Usage - noncash</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nine months ended September 30, 2020 and 2019 were $32 million and $21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Pension ongoing income – non-service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postretirement income – non-service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Equity income of affiliated companies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non-strategic business and assets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receivables charge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5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more information on the reimbursement receivables related to Garrett Motion Inc. (Garrett), see Note 16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 was lower than the U.S. federal statutory rate of 21% and decreased during 2020 compared to 2019 primarily due to the favorable resolution of a foreign tax matter related to the previously completed spin-off transactions, tax law changes in India, and the resolution of certain U.S. tax matters offset by a non-cash charge related to the reduction of the aggregate carrying value of certain receivables with no corresponding tax benefit.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58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Basic</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r>
      <w:tr>
        <w:trPr>
          <w:trHeight w:val="230"/>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723.5</w:t>
            </w: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5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25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58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Assuming Dilution</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r>
      <w:tr>
        <w:trPr>
          <w:trHeight w:val="162"/>
        </w:trPr>
        <w:tc>
          <w:tcPr>
            <w:tcW w:w="20" w:type="dxa"/>
            <w:vAlign w:val="bottom"/>
          </w:tcPr>
          <w:p>
            <w:pPr>
              <w:spacing w:after="0"/>
              <w:rPr>
                <w:sz w:val="14"/>
                <w:szCs w:val="1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4"/>
          </w:tcPr>
          <w:p>
            <w:pPr>
              <w:spacing w:after="0" w:line="203" w:lineRule="exact"/>
              <w:rPr>
                <w:sz w:val="20"/>
                <w:szCs w:val="20"/>
                <w:color w:val="auto"/>
              </w:rPr>
            </w:pPr>
            <w:r>
              <w:rPr>
                <w:rFonts w:ascii="Arial" w:cs="Arial" w:eastAsia="Arial" w:hAnsi="Arial"/>
                <w:sz w:val="18"/>
                <w:szCs w:val="18"/>
                <w:color w:val="auto"/>
              </w:rPr>
              <w:t>Earnings per share of common stock</w:t>
            </w:r>
          </w:p>
        </w:tc>
        <w:tc>
          <w:tcPr>
            <w:tcW w:w="280" w:type="dxa"/>
            <w:vAlign w:val="bottom"/>
          </w:tcPr>
          <w:p>
            <w:pPr>
              <w:jc w:val="right"/>
              <w:ind w:right="76"/>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6.25</w:t>
            </w:r>
          </w:p>
        </w:tc>
      </w:tr>
    </w:tbl>
    <w:p>
      <w:pPr>
        <w:spacing w:after="0" w:line="3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diluted earnings per share calculations exclude the effect of stock options when the options’ exercise price exceed the average market price of the common shares during the period. For the three and nine months ended September 30, 2020, the weighted average number of stock options excluded from the computations were 7.1 million and 6.4 million. For the three and nine months ended September 30, 2019, the weighted average number of stock options excluded from the computations were 2.9 million and 3.2 million. These stock options were outstanding at the end of each of the respective periods.</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2020 and 2019, total shares outstanding were 701.7 million and 714.5 million and as of September 30, 2020 and 2019, total shares issued were 957.6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Honeywell generates revenue from a comprehensive offering of products and services, including software and technologies, that are sold to a variety of customers in multiple end markets. See the following table and related discussions by operating segment for details.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69"/>
        </w:trPr>
        <w:tc>
          <w:tcPr>
            <w:tcW w:w="20" w:type="dxa"/>
            <w:vAlign w:val="bottom"/>
            <w:shd w:val="clear" w:color="auto" w:fill="CCEEFF"/>
          </w:tcPr>
          <w:p>
            <w:pPr>
              <w:spacing w:after="0"/>
              <w:rPr>
                <w:sz w:val="14"/>
                <w:szCs w:val="14"/>
                <w:color w:val="auto"/>
              </w:rPr>
            </w:pPr>
          </w:p>
        </w:tc>
        <w:tc>
          <w:tcPr>
            <w:tcW w:w="580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Aerospace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Commercial Aviation Original Equipment</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Commercial Aviation Aftermarket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Defense and Space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r>
      <w:tr>
        <w:trPr>
          <w:trHeight w:val="169"/>
        </w:trPr>
        <w:tc>
          <w:tcPr>
            <w:tcW w:w="20" w:type="dxa"/>
            <w:vAlign w:val="bottom"/>
          </w:tcPr>
          <w:p>
            <w:pPr>
              <w:spacing w:after="0"/>
              <w:rPr>
                <w:sz w:val="14"/>
                <w:szCs w:val="14"/>
                <w:color w:val="auto"/>
              </w:rPr>
            </w:pPr>
          </w:p>
        </w:tc>
        <w:tc>
          <w:tcPr>
            <w:tcW w:w="5800" w:type="dxa"/>
            <w:vAlign w:val="bottom"/>
            <w:gridSpan w:val="5"/>
          </w:tcPr>
          <w:p>
            <w:pPr>
              <w:spacing w:after="0" w:line="169" w:lineRule="exact"/>
              <w:rPr>
                <w:sz w:val="20"/>
                <w:szCs w:val="20"/>
                <w:color w:val="auto"/>
              </w:rPr>
            </w:pPr>
            <w:r>
              <w:rPr>
                <w:rFonts w:ascii="Arial" w:cs="Arial" w:eastAsia="Arial" w:hAnsi="Arial"/>
                <w:sz w:val="18"/>
                <w:szCs w:val="18"/>
                <w:color w:val="auto"/>
              </w:rPr>
              <w:t>Honeywell Building Technologies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Products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r>
      <w:tr>
        <w:trPr>
          <w:trHeight w:val="230"/>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Building 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169"/>
        </w:trPr>
        <w:tc>
          <w:tcPr>
            <w:tcW w:w="20" w:type="dxa"/>
            <w:vAlign w:val="bottom"/>
          </w:tcPr>
          <w:p>
            <w:pPr>
              <w:spacing w:after="0"/>
              <w:rPr>
                <w:sz w:val="14"/>
                <w:szCs w:val="14"/>
                <w:color w:val="auto"/>
              </w:rPr>
            </w:pPr>
          </w:p>
        </w:tc>
        <w:tc>
          <w:tcPr>
            <w:tcW w:w="5800" w:type="dxa"/>
            <w:vAlign w:val="bottom"/>
            <w:gridSpan w:val="5"/>
          </w:tcPr>
          <w:p>
            <w:pPr>
              <w:spacing w:after="0" w:line="169" w:lineRule="exact"/>
              <w:rPr>
                <w:sz w:val="20"/>
                <w:szCs w:val="20"/>
                <w:color w:val="auto"/>
              </w:rPr>
            </w:pPr>
            <w:r>
              <w:rPr>
                <w:rFonts w:ascii="Arial" w:cs="Arial" w:eastAsia="Arial" w:hAnsi="Arial"/>
                <w:sz w:val="18"/>
                <w:szCs w:val="18"/>
                <w:color w:val="auto"/>
              </w:rPr>
              <w:t>Performance Materials and Technologies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UOP</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2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Process Solutions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3,818</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Specialty Products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Fluorine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r>
      <w:tr>
        <w:trPr>
          <w:trHeight w:val="169"/>
        </w:trPr>
        <w:tc>
          <w:tcPr>
            <w:tcW w:w="20" w:type="dxa"/>
            <w:vAlign w:val="bottom"/>
          </w:tcPr>
          <w:p>
            <w:pPr>
              <w:spacing w:after="0"/>
              <w:rPr>
                <w:sz w:val="14"/>
                <w:szCs w:val="14"/>
                <w:color w:val="auto"/>
              </w:rPr>
            </w:pPr>
          </w:p>
        </w:tc>
        <w:tc>
          <w:tcPr>
            <w:tcW w:w="5800" w:type="dxa"/>
            <w:vAlign w:val="bottom"/>
            <w:gridSpan w:val="5"/>
          </w:tcPr>
          <w:p>
            <w:pPr>
              <w:spacing w:after="0" w:line="169" w:lineRule="exact"/>
              <w:rPr>
                <w:sz w:val="20"/>
                <w:szCs w:val="20"/>
                <w:color w:val="auto"/>
              </w:rPr>
            </w:pPr>
            <w:r>
              <w:rPr>
                <w:rFonts w:ascii="Arial" w:cs="Arial" w:eastAsia="Arial" w:hAnsi="Arial"/>
                <w:sz w:val="18"/>
                <w:szCs w:val="18"/>
                <w:color w:val="auto"/>
              </w:rPr>
              <w:t>Safety and Productivity Solutions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Safety and Retail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2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Productivity Solutions and Services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Warehouse and Workflow Solutions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Sensing &amp; Internet-of-Things (IoT)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23"/>
        </w:trPr>
        <w:tc>
          <w:tcPr>
            <w:tcW w:w="20" w:type="dxa"/>
            <w:vAlign w:val="bottom"/>
          </w:tcPr>
          <w:p>
            <w:pPr>
              <w:spacing w:after="0"/>
              <w:rPr>
                <w:sz w:val="19"/>
                <w:szCs w:val="19"/>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aircrafts that it sells to original equipment manufacturers (OEM)</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designed to identify and resolve problems faster, making fleet management and flight operations more efficient.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are designed to digitally manage buildings to use space intelligently, cut operating expenses and reduce maintenance.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and materials, process technologies and automation solutions, including Honeywell Forge connected solutions. The segment comprises UOP, Process Solutions and Advanced Materials.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Advanced Materials manufactures a wide variety of high-performance products, including materials used to manufacture end products such as bullet-resistant armor, nylon, computer chips and pharmaceutical packaging, and provides reduced and low global-warming-potential (GWP)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asset performance to customers around the globe. Safety products include personal protection equipment,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a summary by disaggregated product and services sales for each segment, refer to Note 14 </w:t>
      </w:r>
      <w:r>
        <w:rPr>
          <w:rFonts w:ascii="Arial" w:cs="Arial" w:eastAsia="Arial" w:hAnsi="Arial"/>
          <w:sz w:val="18"/>
          <w:szCs w:val="18"/>
          <w:i w:val="1"/>
          <w:iCs w:val="1"/>
          <w:color w:val="auto"/>
        </w:rPr>
        <w:t>Segment Financial Data</w:t>
      </w:r>
      <w:r>
        <w:rPr>
          <w:rFonts w:ascii="Arial" w:cs="Arial" w:eastAsia="Arial" w:hAnsi="Arial"/>
          <w:sz w:val="18"/>
          <w:szCs w:val="18"/>
          <w:color w:val="auto"/>
        </w:rPr>
        <w:t xml:space="preserve"> of Notes to Consolidated Financial Statements.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performance obligations to customers that are satisfied at a point in time and over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disaggregation of the Company's revenue based off timing of recognition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2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point in time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Services, transferred point in time</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9</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1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service sales</w:t>
            </w: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increases when customers remit contractual cash payments in advance of the Company satisfying performance obligations under contractual arrangements, including those with performance obligations to be satisfied over a period of time. Contract liabilities decreases when revenue is recorded, either when a milestone is met triggering the contractual right to bill or when the performance obligation is satisfied.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23495</wp:posOffset>
            </wp:positionV>
            <wp:extent cx="1817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September 30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 - September 30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liabilities - decrease (increase)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net change for the nine months ended September 30, 2020 and September 30, 2019 was primarily driven by the recognition of revenue associated with respective contracts prior to billing.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and nine months ended September 30, 2020, the Company recognized revenue of $ 351 million and $1,554 million that was previously included in the beginning balance of contract liabilities. For the three and nine months ended September 30, 2019, the Company recognized revenue of $215 million and $1,195 million that was previously included in the beginning balance of contract liabilities.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September 30,</w:t>
            </w:r>
          </w:p>
        </w:tc>
      </w:tr>
      <w:tr>
        <w:trPr>
          <w:trHeight w:val="176"/>
        </w:trPr>
        <w:tc>
          <w:tcPr>
            <w:tcW w:w="9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recognized as of September 30, 2020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54% and 46%, respectively.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we may be entitled to receive an advance payment.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52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Allowance for doubtful accounts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Trade receivables include $1,779 million and $1,586 million of unbilled balances under long-term contracts as of September 30, 2020 and December 31, 2019. These amounts are billed in accordance with the terms of the customer contracts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520" w:type="dxa"/>
            <w:vAlign w:val="bottom"/>
          </w:tcPr>
          <w:p>
            <w:pPr>
              <w:jc w:val="right"/>
              <w:ind w:right="93"/>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r>
      <w:tr>
        <w:trPr>
          <w:trHeight w:val="223"/>
        </w:trPr>
        <w:tc>
          <w:tcPr>
            <w:tcW w:w="7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4,466</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LIFO cost basis</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w:t>
            </w:r>
          </w:p>
        </w:tc>
      </w:tr>
      <w:tr>
        <w:trPr>
          <w:trHeight w:val="21"/>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third quarter of 2020, the Company changed the method of valuing inventory from the last-in, first-out (LIFO) method to the first-in, first-out (FIFO) method for inventories within our Performance Materials and Technologies segment not previously valued using FIFO. The Company believes the FIFO method is preferable and better reflects the current value of inventory reported in the Consolidated Balance Sheet. The cumulative effect of this change in accounting principle was $7 million and was recorded as a reduction to Cost of products sold for the three months ended September 30, 2020. The inventories subject to this change totaled approximately 6 percent of consolidated inventories. This change was not material to the Consolidated Financial Statements, therefore prior periods were not adjusted retrospectively.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56" w:lineRule="exact"/>
        <w:rPr>
          <w:sz w:val="20"/>
          <w:szCs w:val="20"/>
          <w:color w:val="auto"/>
        </w:rPr>
      </w:pPr>
    </w:p>
    <w:p>
      <w:pPr>
        <w:ind w:firstLine="359"/>
        <w:spacing w:after="0" w:line="282" w:lineRule="auto"/>
        <w:rPr>
          <w:sz w:val="20"/>
          <w:szCs w:val="20"/>
          <w:color w:val="auto"/>
        </w:rPr>
      </w:pPr>
      <w:r>
        <w:rPr>
          <w:rFonts w:ascii="Arial" w:cs="Arial" w:eastAsia="Arial" w:hAnsi="Arial"/>
          <w:sz w:val="18"/>
          <w:szCs w:val="18"/>
          <w:color w:val="auto"/>
        </w:rPr>
        <w:t xml:space="preserve">The Company's operating and finance lease portfolio is described in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its Consolidated Financial Statements in our 2019 Annual Report on Form 10-K.</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b w:val="1"/>
                <w:bCs w:val="1"/>
                <w:color w:val="auto"/>
              </w:rPr>
              <w:t>Net right-of-use assets obtained in exchange for lease obligations: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shd w:val="clear" w:color="auto" w:fill="CCEEFF"/>
          </w:tcPr>
          <w:p>
            <w:pPr>
              <w:spacing w:after="0"/>
              <w:rPr>
                <w:sz w:val="24"/>
                <w:szCs w:val="24"/>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00" w:type="dxa"/>
            <w:vAlign w:val="bottom"/>
          </w:tcPr>
          <w:p>
            <w:pPr>
              <w:ind w:left="64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Financing leases</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Arial" w:cs="Arial" w:eastAsia="Arial" w:hAnsi="Arial"/>
                <w:sz w:val="18"/>
                <w:szCs w:val="18"/>
                <w:color w:val="auto"/>
              </w:rPr>
              <w:t>Total financing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8420" w:type="dxa"/>
            <w:vAlign w:val="bottom"/>
            <w:gridSpan w:val="2"/>
          </w:tcPr>
          <w:p>
            <w:pPr>
              <w:jc w:val="right"/>
              <w:ind w:right="261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 and Credit Agreements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0.65% Euro notes due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4.25% notes due 2021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1.85% notes due 2021</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0.483% notes due 2022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2.15% notes due 2022</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Floating rate notes due 2022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 Euro notes due 2023</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3.35% notes due 2023</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0.00% Euro notes due 2024</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2.30% notes due 2024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1.35% notes due 2025</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2.50% notes due 2026</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2.25% Euro notes due 2028</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2.70% notes due 2029</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1.95% notes due 2030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0.75% Euro notes due 2032</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5.70% notes due 2036</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5.70% notes due 2037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due 2041</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3.812% notes due 2047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 notes due 2050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6.625% debentures due 2028</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9.065% debentures due 2033</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88"/>
        </w:trPr>
        <w:tc>
          <w:tcPr>
            <w:tcW w:w="7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(including capitalized leases and debt issuance costs), 8.0% weighted average maturing</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various dates through 2025</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18,672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12,486</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3"/>
        </w:trPr>
        <w:tc>
          <w:tcPr>
            <w:tcW w:w="7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r>
      <w:tr>
        <w:trPr>
          <w:trHeight w:val="21"/>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August 19, 2020, the Company issued $2.5 billion 0.483% Senior Notes due 2022 and $500 million Floating Rate Senior Notes due 2022 (collectively, the “2022 Callable Notes”). The $ 500 million Floating Rate Senior Notes due 2022 were issued at a variable interest rate equal to the three-month LIBOR plus the applicable margin of 0.23%. The Company may redeem the 2022 fixed rate notes at any time and from time to time at our option in whole or in part, and the Company may redeem the 2022 floating rate notes at any time and from time to time on or after August 19, 2021 in whole or in part. The 2022 Callable Notes are senior unsecured and unsubordinated obligations of the Company and rank equally with all of the Company's existing and future senior unsecured debt and senior to all of the Company's subordinated debt. The 2022 Callable Notes resulted in gross proceeds of $3.0 billion, offset by $10 million in discount and closing costs related to the offering. The Company used the proceeds of the offering to repay $3.0 billion of borrowings under the delayed draw term loan facility, referenced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18, 2020, the Company issued $1.25 billion 1.35% Senior Notes due 2025, $1.0 billion 1.95% Senior Notes due 2030, and $750 million 2.80% Senior Notes due 2050 (collectively, the "2020 Notes") to replace $3.0 billion of undrawn commitments under the $6.0 billion delayed draw term loan facility, referenced below. The 2020 Notes are senior unsecured and unsubordinated obligations of the Company and rank equally with all of the Company's existing and future senior unsecured debt and senior to the Company's subordinated debt. The offering provided gross proceeds of $3.0 billion, offset by $27 million in discount and closing costs related to the offering.</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10, 2020, the Company issued €500 million 0.00% Senior Notes due 2024 and €500 million 0.75% Senior Notes due 2032 (collectively, the "2020 Euro Notes"). The 2020 Euro Notes are senior unsecured and unsubordinated obligations of Honeywell and rank equally with all of Honeywell's existing and future senior unsecured debt and senior to all of Honeywell's subordinated debt. The offering provided gross proceeds of $1.1 billion, offset by $9 million in discount and closing costs related to the offering.</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issuances described above, unless otherwise noted, all debt issuance costs are deferred and recognized as a direct deduction to the related debt liability and are amortized to interest expense over the debt term.</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March 26, 2020, the Company entered into a Delayed Draw Term Loan Agreement (the “Term Loan Agreement”) with a syndicate of banks. The Term Loan Agreement provided for a two-year, delayed draw term loan facility in the aggregate principal amount of $6.0 billion. Effective May 22, 2020, the Company permanently reduced the undrawn commitments under the Term Loan Agreement by an aggregate amount of $3.0 billion. On June 24, 2020, the Company drew on the remaining $ 3.0 billion of commitments under the Term Loan Agreement at a variable interest rate equal to the one-month LIBOR plus the applicable margin of 1.25%. The draw provided gross proceeds of $3.0 billion offset by $7 million in closing costs related to the borrowing. On August 20, 2020 the Company prepaid the outstanding principal amount of $3.0 billion. As of September 30, 2020, there are no outstanding borrowings or commitments remaining under the Term Loan Agreement.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21, 2020, the Company paid its 0.65% Euro notes due 2020.</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10, 2020, the Company entered into a $1.5 billion 364-Day Credit Agreement (the "364-Day Credit Agreement") with a syndicate of banks. This 364-Day Credit Agreement is maintained for general corporate purposes. The 364-Day Credit Agreement replaces the previously reported 364-day credit agreement dated as of April 26, 2019, which was terminated on April 10, 2020. As of September 30, 2020, there are no outstanding borrowings under the 364-Day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15,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2019 Annual Report on Form 10-K.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accounted for at fair value on a recurring basis: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8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for sale investments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 currency swap agreements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(of which $694 million and $3,513 million was Euro denominated as of September 30, 2020 and December 31, 2019, respectively) and short-term borrowings approximates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1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60" w:type="dxa"/>
            <w:vAlign w:val="bottom"/>
          </w:tcPr>
          <w:p>
            <w:pPr>
              <w:jc w:val="right"/>
              <w:ind w:right="477"/>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Long-term receivables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Long-term debt and related current maturities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
              <w:spacing w:after="0"/>
              <w:rPr>
                <w:sz w:val="20"/>
                <w:szCs w:val="20"/>
                <w:color w:val="auto"/>
              </w:rPr>
            </w:pPr>
            <w:r>
              <w:rPr>
                <w:rFonts w:ascii="Arial" w:cs="Arial" w:eastAsia="Arial" w:hAnsi="Arial"/>
                <w:sz w:val="18"/>
                <w:szCs w:val="18"/>
                <w:color w:val="auto"/>
              </w:rPr>
              <w:t>18,672</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13,578</w:t>
            </w:r>
          </w:p>
        </w:tc>
        <w:tc>
          <w:tcPr>
            <w:tcW w:w="0" w:type="dxa"/>
            <w:vAlign w:val="bottom"/>
          </w:tcPr>
          <w:p>
            <w:pPr>
              <w:spacing w:after="0"/>
              <w:rPr>
                <w:sz w:val="1"/>
                <w:szCs w:val="1"/>
                <w:color w:val="auto"/>
              </w:rPr>
            </w:pPr>
          </w:p>
        </w:tc>
      </w:tr>
      <w:tr>
        <w:trPr>
          <w:trHeight w:val="539"/>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rPr>
              <w:t>The following table sets forth the amounts on the Consolidated Balance Sheet related to cumulative basis adjustments for fair value</w:t>
            </w:r>
          </w:p>
        </w:tc>
        <w:tc>
          <w:tcPr>
            <w:tcW w:w="0" w:type="dxa"/>
            <w:vAlign w:val="bottom"/>
          </w:tcPr>
          <w:p>
            <w:pPr>
              <w:spacing w:after="0"/>
              <w:rPr>
                <w:sz w:val="1"/>
                <w:szCs w:val="1"/>
                <w:color w:val="auto"/>
              </w:rPr>
            </w:pP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hedges: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rPr>
              <w:t>Carrying Amount of the Hedged Item</w:t>
            </w:r>
          </w:p>
        </w:tc>
        <w:tc>
          <w:tcPr>
            <w:tcW w:w="160" w:type="dxa"/>
            <w:vAlign w:val="bottom"/>
          </w:tcPr>
          <w:p>
            <w:pPr>
              <w:spacing w:after="0"/>
              <w:rPr>
                <w:sz w:val="11"/>
                <w:szCs w:val="11"/>
                <w:color w:val="auto"/>
              </w:rPr>
            </w:pPr>
          </w:p>
        </w:tc>
        <w:tc>
          <w:tcPr>
            <w:tcW w:w="2700" w:type="dxa"/>
            <w:vAlign w:val="bottom"/>
            <w:gridSpan w:val="4"/>
          </w:tcPr>
          <w:p>
            <w:pPr>
              <w:jc w:val="center"/>
              <w:ind w:right="77"/>
              <w:spacing w:after="0" w:line="135"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Carrying Amount of the Hedged Item</w:t>
            </w:r>
          </w:p>
        </w:tc>
        <w:tc>
          <w:tcPr>
            <w:tcW w:w="0" w:type="dxa"/>
            <w:vAlign w:val="bottom"/>
          </w:tcPr>
          <w:p>
            <w:pPr>
              <w:spacing w:after="0"/>
              <w:rPr>
                <w:sz w:val="1"/>
                <w:szCs w:val="1"/>
                <w:color w:val="auto"/>
              </w:rPr>
            </w:pPr>
          </w:p>
        </w:tc>
      </w:tr>
      <w:tr>
        <w:trPr>
          <w:trHeight w:val="169"/>
        </w:trPr>
        <w:tc>
          <w:tcPr>
            <w:tcW w:w="54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54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2020, we recognized $13 million of expense and $206 million of gains in earnings on interest rate swap agreements. For the three and nine months ended September 30, 2019, the Company recognized $55 million and $118 million of gains in earnings on interest rate swap agreements. Gains and losses are fully offset by losses and gains on the underlying debt being hedged.</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economically hedges its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For the three and nine months ended September 30, 2020, we recognized $136 million and $69 million of expense in Other (income) expense. For the three and nine months ended September 30, 2019, the Company recognized $182 million and $231 million of income in Other (income) expense. As of September 30, 2020, cash collateral received that has not been offset against our derivatives of $323 million was recorded in Accrued liabilities and Other assets.</w:t>
      </w:r>
    </w:p>
    <w:p>
      <w:pPr>
        <w:spacing w:after="0" w:line="23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10"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Cost of Products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Selling, General</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(Income)</w:t>
            </w:r>
          </w:p>
        </w:tc>
        <w:tc>
          <w:tcPr>
            <w:tcW w:w="13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and Administrative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440" w:type="dxa"/>
            <w:vAlign w:val="bottom"/>
            <w:gridSpan w:val="4"/>
            <w:shd w:val="clear" w:color="auto" w:fill="CCEEFF"/>
          </w:tcPr>
          <w:p>
            <w:pPr>
              <w:jc w:val="center"/>
              <w:ind w:right="28"/>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8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3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approach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jc w:val="center"/>
              <w:ind w:right="1340"/>
              <w:spacing w:after="0"/>
              <w:rPr>
                <w:sz w:val="20"/>
                <w:szCs w:val="20"/>
                <w:color w:val="auto"/>
              </w:rPr>
            </w:pPr>
            <w:r>
              <w:rPr>
                <w:rFonts w:ascii="Arial" w:cs="Arial" w:eastAsia="Arial" w:hAnsi="Arial"/>
                <w:sz w:val="18"/>
                <w:szCs w:val="18"/>
                <w:color w:val="auto"/>
                <w:w w:val="99"/>
              </w:rPr>
              <w:t>Interest Rate Swap Agreements:</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Hedged items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Derivatives designated as hedges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4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0"/>
          </w:tcPr>
          <w:p>
            <w:pPr>
              <w:jc w:val="center"/>
              <w:ind w:right="400"/>
              <w:spacing w:after="0"/>
              <w:rPr>
                <w:sz w:val="20"/>
                <w:szCs w:val="20"/>
                <w:color w:val="auto"/>
              </w:rPr>
            </w:pPr>
            <w:r>
              <w:rPr>
                <w:rFonts w:ascii="Arial" w:cs="Arial" w:eastAsia="Arial" w:hAnsi="Arial"/>
                <w:sz w:val="14"/>
                <w:szCs w:val="14"/>
                <w:b w:val="1"/>
                <w:bCs w:val="1"/>
                <w:color w:val="auto"/>
              </w:rPr>
              <w:t>Three Months Ended September 30, 2019</w:t>
            </w: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Cost of Products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Selling, General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(Income)</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and Administrative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Sold</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4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38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9"/>
              </w:rPr>
              <w:t>Gain or (loss) on cash flow hedges: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8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3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approach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jc w:val="center"/>
              <w:ind w:right="1340"/>
              <w:spacing w:after="0"/>
              <w:rPr>
                <w:sz w:val="20"/>
                <w:szCs w:val="20"/>
                <w:color w:val="auto"/>
              </w:rPr>
            </w:pPr>
            <w:r>
              <w:rPr>
                <w:rFonts w:ascii="Arial" w:cs="Arial" w:eastAsia="Arial" w:hAnsi="Arial"/>
                <w:sz w:val="18"/>
                <w:szCs w:val="18"/>
                <w:color w:val="auto"/>
                <w:w w:val="99"/>
              </w:rPr>
              <w:t>Interest Rate Swap Agreements:</w:t>
            </w: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Hedged items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Derivatives designated as hedges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675"/>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4"/>
          </w:tcPr>
          <w:p>
            <w:pPr>
              <w:jc w:val="center"/>
              <w:ind w:right="48"/>
              <w:spacing w:after="0"/>
              <w:rPr>
                <w:sz w:val="20"/>
                <w:szCs w:val="20"/>
                <w:color w:val="auto"/>
              </w:rPr>
            </w:pPr>
            <w:r>
              <w:rPr>
                <w:rFonts w:ascii="Arial" w:cs="Arial" w:eastAsia="Arial" w:hAnsi="Arial"/>
                <w:sz w:val="18"/>
                <w:szCs w:val="18"/>
                <w:color w:val="auto"/>
                <w:w w:val="99"/>
              </w:rPr>
              <w:t>21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Cost of Products</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rPr>
              <w:t>Selling, General</w:t>
            </w: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(Income)</w:t>
            </w:r>
          </w:p>
        </w:tc>
        <w:tc>
          <w:tcPr>
            <w:tcW w:w="13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4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rPr>
              <w:t>and Administrative</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Sold</w:t>
            </w:r>
          </w:p>
        </w:tc>
        <w:tc>
          <w:tcPr>
            <w:tcW w:w="1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Expenses</w:t>
            </w:r>
          </w:p>
        </w:tc>
        <w:tc>
          <w:tcPr>
            <w:tcW w:w="1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8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3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agreements: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Hedged items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right="400"/>
              <w:spacing w:after="0"/>
              <w:rPr>
                <w:sz w:val="20"/>
                <w:szCs w:val="20"/>
                <w:color w:val="auto"/>
              </w:rPr>
            </w:pPr>
            <w:r>
              <w:rPr>
                <w:rFonts w:ascii="Arial" w:cs="Arial" w:eastAsia="Arial" w:hAnsi="Arial"/>
                <w:sz w:val="14"/>
                <w:szCs w:val="14"/>
                <w:b w:val="1"/>
                <w:bCs w:val="1"/>
                <w:color w:val="auto"/>
              </w:rPr>
              <w:t>Nine Months Ended September 30, 2019</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Cost of Products</w:t>
            </w:r>
          </w:p>
        </w:tc>
        <w:tc>
          <w:tcPr>
            <w:tcW w:w="120" w:type="dxa"/>
            <w:vAlign w:val="bottom"/>
          </w:tcPr>
          <w:p>
            <w:pPr>
              <w:spacing w:after="0"/>
              <w:rPr>
                <w:sz w:val="12"/>
                <w:szCs w:val="12"/>
                <w:color w:val="auto"/>
              </w:rPr>
            </w:pPr>
          </w:p>
        </w:tc>
        <w:tc>
          <w:tcPr>
            <w:tcW w:w="13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Selling, General</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(Income)</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46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rPr>
              <w:t>and Administrative</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8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3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agreements: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Hedged items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134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Euro-denominated long-term debt</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636"/>
              <w:spacing w:after="0"/>
              <w:rPr>
                <w:sz w:val="20"/>
                <w:szCs w:val="20"/>
                <w:color w:val="auto"/>
              </w:rPr>
            </w:pPr>
            <w:r>
              <w:rPr>
                <w:rFonts w:ascii="Arial" w:cs="Arial" w:eastAsia="Arial" w:hAnsi="Arial"/>
                <w:sz w:val="18"/>
                <w:szCs w:val="18"/>
                <w:color w:val="auto"/>
                <w:w w:val="99"/>
              </w:rPr>
              <w:t>(64)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Euro-denominated commercial paper</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99"/>
              </w:rPr>
              <w:t>30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Cross currency swap</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left="636"/>
              <w:spacing w:after="0"/>
              <w:rPr>
                <w:sz w:val="20"/>
                <w:szCs w:val="20"/>
                <w:color w:val="auto"/>
              </w:rPr>
            </w:pPr>
            <w:r>
              <w:rPr>
                <w:rFonts w:ascii="Arial" w:cs="Arial" w:eastAsia="Arial" w:hAnsi="Arial"/>
                <w:sz w:val="18"/>
                <w:szCs w:val="18"/>
                <w:color w:val="auto"/>
                <w:w w:val="99"/>
              </w:rPr>
              <w:t>(61)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99"/>
              </w:rPr>
              <w:t>(46)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675"/>
        </w:trPr>
        <w:tc>
          <w:tcPr>
            <w:tcW w:w="45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8"/>
        </w:trPr>
        <w:tc>
          <w:tcPr>
            <w:tcW w:w="4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Exchange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24"/>
                <w:szCs w:val="2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Exchange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Benefits</w:t>
            </w: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98"/>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globally manages our business operations through four reportable operating segments. Segment information is consistent with how management reviews the businesses, makes investing and resource allocation decisions and assesses operating performance.</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Net sales</w:t>
            </w:r>
          </w:p>
        </w:tc>
        <w:tc>
          <w:tcPr>
            <w:tcW w:w="504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r>
      <w:tr>
        <w:trPr>
          <w:trHeight w:val="230"/>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Honeywell Building Technologies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Safety and Productivity Solutions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r>
      <w:tr>
        <w:trPr>
          <w:trHeight w:val="230"/>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9"/>
              </w:rPr>
              <w:t>Segment profit</w:t>
            </w:r>
          </w:p>
        </w:tc>
        <w:tc>
          <w:tcPr>
            <w:tcW w:w="46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Honeywell Building Technologies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 and Productivity Solutions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segment profit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4"/>
                <w:szCs w:val="14"/>
                <w:color w:val="auto"/>
              </w:rPr>
              <w:t>(a)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14"/>
                <w:szCs w:val="14"/>
                <w:color w:val="auto"/>
              </w:rPr>
              <w:t>(b)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14"/>
                <w:szCs w:val="14"/>
                <w:color w:val="auto"/>
              </w:rPr>
              <w:t>(b)</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14"/>
                <w:szCs w:val="14"/>
                <w:color w:val="auto"/>
              </w:rPr>
              <w:t>(c)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4"/>
                <w:szCs w:val="14"/>
                <w:color w:val="auto"/>
              </w:rPr>
              <w:t>(d)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260" w:right="20" w:hanging="252"/>
        <w:spacing w:after="0" w:line="261" w:lineRule="auto"/>
        <w:tabs>
          <w:tab w:leader="none" w:pos="313"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left="260" w:hanging="252"/>
        <w:spacing w:after="0" w:line="261"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Benefits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the Company's significant defined benefit plans include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58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5"/>
                <w:szCs w:val="15"/>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September 30, 2020, the Company did not purchase any Honeywell shares from the Honeywell U.S. Pension Plan Master Trust. During the nine months ended September 30, 2020, the Company repurchased $100 million of outstanding Honeywell shares from the Honeywell U.S. Pension Plan Master Trust. During the three and nine months ended September 30, 2019, the Company repurchased $100 million and $300 million of outstanding Honeywell shares from the Honeywell U.S. Pension Plan Master Trust.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environmental matters are described in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2019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40" w:type="dxa"/>
            <w:vAlign w:val="bottom"/>
          </w:tcPr>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84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40" w:type="dxa"/>
            <w:vAlign w:val="bottom"/>
          </w:tcPr>
          <w:p>
            <w:pPr>
              <w:ind w:left="120"/>
              <w:spacing w:after="0"/>
              <w:rPr>
                <w:sz w:val="20"/>
                <w:szCs w:val="20"/>
                <w:color w:val="auto"/>
              </w:rPr>
            </w:pPr>
            <w:r>
              <w:rPr>
                <w:rFonts w:ascii="Arial" w:cs="Arial" w:eastAsia="Arial" w:hAnsi="Arial"/>
                <w:sz w:val="18"/>
                <w:szCs w:val="18"/>
                <w:color w:val="auto"/>
              </w:rPr>
              <w:t>Environmental liability payments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ind w:left="552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98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the Company does not expect that environmental matters will have a material adverse effect on its consolidated financial position.</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percent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Reimbursements associated with this agreement are collected from Resideo quarterly and were $70 million in the nine months ended September 30, 2020. On July 28, 2020, the Company and Resideo agreed to a second amendment of the indemnification and reimbursement agreement to extend the payment due date to October 30, 2020 for the reimbursement amount of $35 million (originally due on April 30, 2020). The Company had previously agreed to extend the payment date for such amount to July 30, 2020. As the Company incurs costs for environmental matters deemed probable and reasonably estimable related to the sites covered by the indemnification and reimbursement agreement, a corresponding receivable from Resideo for 90 percent of such costs is also recorded. This receivable amount recorded in the nine months ended September 30, 2020 was $107 million. As of September 30, 2020, Other Current Assets and Other Assets include $140 million and $482 million, respectively for the short-term and long-term portion of the receivable amount due from Resideo under the indemnification and reimbursement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is named in asbestos related personal injury claims related to North American Refractories Company (NARCO), which was sold in 1986, and Bendix Friction Materials (Bendix) business, which was sold in 2014.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Asbestos-Related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Bendix</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NARCO</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Accrual for update to estimated liability</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Asbestos related liability payments</w:t>
            </w:r>
          </w:p>
        </w:tc>
        <w:tc>
          <w:tcPr>
            <w:tcW w:w="25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September 30, 2020</w:t>
            </w:r>
          </w:p>
        </w:tc>
        <w:tc>
          <w:tcPr>
            <w:tcW w:w="2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20" w:type="dxa"/>
            <w:vAlign w:val="bottom"/>
            <w:vMerge w:val="restart"/>
          </w:tcPr>
          <w:p>
            <w:pPr>
              <w:jc w:val="right"/>
              <w:ind w:right="111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79"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Insurance Recoveries for Asbestos-Related Liabilities</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Bendix</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6860" w:type="dxa"/>
            <w:vAlign w:val="bottom"/>
          </w:tcPr>
          <w:p>
            <w:pPr>
              <w:ind w:left="120"/>
              <w:spacing w:after="0"/>
              <w:rPr>
                <w:sz w:val="20"/>
                <w:szCs w:val="20"/>
                <w:color w:val="auto"/>
              </w:rPr>
            </w:pPr>
            <w:r>
              <w:rPr>
                <w:rFonts w:ascii="Arial" w:cs="Arial" w:eastAsia="Arial" w:hAnsi="Arial"/>
                <w:sz w:val="18"/>
                <w:szCs w:val="18"/>
                <w:color w:val="auto"/>
              </w:rPr>
              <w:t>Probable insurance recoveries related to estimated liability</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receipts for asbestos-related liabilities</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860" w:type="dxa"/>
            <w:vAlign w:val="bottom"/>
          </w:tcPr>
          <w:p>
            <w:pPr>
              <w:ind w:left="120"/>
              <w:spacing w:after="0"/>
              <w:rPr>
                <w:sz w:val="20"/>
                <w:szCs w:val="20"/>
                <w:color w:val="auto"/>
              </w:rPr>
            </w:pPr>
            <w:r>
              <w:rPr>
                <w:rFonts w:ascii="Arial" w:cs="Arial" w:eastAsia="Arial" w:hAnsi="Arial"/>
                <w:sz w:val="18"/>
                <w:szCs w:val="18"/>
                <w:color w:val="auto"/>
              </w:rPr>
              <w:t>Insurance receivables settlements</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asbestos-related balances are included in the following balance sheet accounts: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8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for asbestos-related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Asbestos-related liabilities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w:t>
      </w:r>
    </w:p>
    <w:p>
      <w:pPr>
        <w:spacing w:after="0" w:line="1" w:lineRule="exact"/>
        <w:rPr>
          <w:sz w:val="20"/>
          <w:szCs w:val="20"/>
          <w:color w:val="auto"/>
        </w:rPr>
      </w:pPr>
    </w:p>
    <w:p>
      <w:pPr>
        <w:jc w:val="both"/>
        <w:ind w:firstLine="8"/>
        <w:spacing w:after="0" w:line="252" w:lineRule="auto"/>
        <w:tabs>
          <w:tab w:leader="none" w:pos="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2002, when the Company first established its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The Company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the Company believed that a 15-year time period was the appropriate horizon for establishing a probable and reasonably estimable liability for then unasserted NARCO claims as it represented its best estimate of the time period it would take for the NARCO Trust to be approved by the Bankruptcy Court, become fully operational and generate sufficiently reliable claims data (i.e., a data set which is statistically representative) to enable the Company to update its NARCO Trust Liability.</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the Company believed that no amount within this range was a better estimate than any other amount. In accordance with ASC 450 – Contingencies (ASC 450), the Company recorded the low end of the range of $743 million (the "2006 NARCO Trust Liability Estimate") which resulted in a reduction of $207 million in our NARCO Trust Liability.</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asbestos-related claims based on exposure to NARCO asbestos-containing products to be made against the NARCO Trust.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the Company began to assert our on-going audit rights to review and monitor the claims processor’s adherence to the established requirements of the NARCO Trust Distribution Procedures. While doing so, the Company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the right to seek judicial intervention should negotiations fail.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225"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know the number of claims filed with the NARCO Trust each year, the Company is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continues to maintain the 2006 NARCO Trust Liability Estimate (the $743 million accrual less payments made by Honeywell to the NARCO Trust for Annual Contribution Claims since the beginning of the fourth quarter of 2019), as there has not been sufficiently reliable claims data history to enable the Company to update that liability.</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As of December 31, 2019, all cash dividends paid to the NARCO Trust by HWI had been used to pay Annual Contribution Claims. In the nine months ended September 30, 2020, Honeywell funded $54 million to the NARCO Trust for the payment of Annual Contribution Claims.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of September 30, 2020, the Company's total NARCO asbestos liability of $805 million reflects Pre-bankruptcy NARCO Liability of $145 million and NARCO Trust Liability of $660 million (the $743 million accrual for the 2006 NARCO Trust Liability Estimate was reduced by $83 million of payments by Honeywell to the NARCO Trust for Annual Contribution Claims since HWI cash dividend funding was fully exhausted in the fourth quarter of 2019 and there have been no further dividends from HWI). Through September 30, 2020,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related obligations were paid in 2013 and no further liability is recorded.</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continues to evaluate the appropriateness of the 2006 NARCO Trust Liability Estimate.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Honeywell has not been able to further update the NARCO Trust Liability aside from deducting Honeywell payments to the NARCO Trust for Annual Contribution Claims. The 2006 NARCO Trust Liability Estimate continues to be appropriate because of the unresolved pending claims in the Trust, some portion of which will result in payouts in the future, and because new claims continue to be filed with the NARCO Trust. When sufficiently reliable claims data exists, the Company will update its estimate of the NARCO Trust Liability and it is possible that a material change may need to be recognized.</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of $273 million as of September 30, 2020,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Honeywell conducts analyses to estimate the probable amount of insurance that is recoverable for asbestos claims. While the substantial majority of our insurance carriers are solvent, some of our individual carriers are insolvent, which has been considered in our analysis of probable recoveries. Honeywell made judgments concerning insurance coverage that Honeywell believes are reasonable and consistent with Honeywell's historical dealings and Honeywell's knowledge of any pertinent solvency issues surrounding insurers.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Claims Activity</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ind w:left="463"/>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unresolved at the beginning of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Claims filed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resolved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center"/>
              <w:ind w:left="723"/>
              <w:spacing w:after="0"/>
              <w:rPr>
                <w:sz w:val="20"/>
                <w:szCs w:val="20"/>
                <w:color w:val="auto"/>
              </w:rPr>
            </w:pPr>
            <w:r>
              <w:rPr>
                <w:rFonts w:ascii="Arial" w:cs="Arial" w:eastAsia="Arial" w:hAnsi="Arial"/>
                <w:sz w:val="18"/>
                <w:szCs w:val="18"/>
                <w:color w:val="auto"/>
                <w:w w:val="98"/>
              </w:rPr>
              <w:t>(1,680)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Claims unresolved at the end of period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6,480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ind w:left="46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Mesothelioma and other cancer claims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Nonmalignant claims</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claims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6,421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gridSpan w:val="3"/>
          </w:tcPr>
          <w:p>
            <w:pPr>
              <w:spacing w:after="0" w:line="20" w:lineRule="exact"/>
              <w:rPr>
                <w:sz w:val="1"/>
                <w:szCs w:val="1"/>
                <w:color w:val="auto"/>
              </w:rPr>
            </w:pPr>
          </w:p>
        </w:tc>
        <w:tc>
          <w:tcPr>
            <w:tcW w:w="3040" w:type="dxa"/>
            <w:vAlign w:val="bottom"/>
            <w:tcBorders>
              <w:top w:val="single" w:sz="8" w:color="CCEEFF"/>
            </w:tcBorders>
            <w:gridSpan w:val="4"/>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140" w:type="dxa"/>
            <w:vAlign w:val="bottom"/>
            <w:gridSpan w:val="9"/>
          </w:tcPr>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center"/>
              <w:ind w:left="52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gridSpan w:val="3"/>
          </w:tcPr>
          <w:p>
            <w:pPr>
              <w:jc w:val="center"/>
              <w:ind w:left="1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4"/>
          </w:tcPr>
          <w:p>
            <w:pPr>
              <w:jc w:val="center"/>
              <w:ind w:right="197"/>
              <w:spacing w:after="0"/>
              <w:rPr>
                <w:sz w:val="20"/>
                <w:szCs w:val="20"/>
                <w:color w:val="auto"/>
              </w:rPr>
            </w:pPr>
            <w:r>
              <w:rPr>
                <w:rFonts w:ascii="Arial" w:cs="Arial" w:eastAsia="Arial" w:hAnsi="Arial"/>
                <w:sz w:val="14"/>
                <w:szCs w:val="14"/>
                <w:b w:val="1"/>
                <w:bCs w:val="1"/>
                <w:color w:val="auto"/>
              </w:rPr>
              <w:t>(in whole dollars)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Malignant claims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50,200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55,300</w:t>
            </w:r>
          </w:p>
        </w:tc>
        <w:tc>
          <w:tcPr>
            <w:tcW w:w="5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56,000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Nonmalignant claims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3,900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4,700</w:t>
            </w:r>
          </w:p>
        </w:tc>
        <w:tc>
          <w:tcPr>
            <w:tcW w:w="5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4,485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Consolidated Financial Statements reflect an estimated liability for resolution of asserted (claims filed as of the financial statement date) and unasserted Bendix-related asbestos claims and excludes the Company’s ongoing legal fees to defend such asbestos claims which will continue to be expensed as they are incurred.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the Company's historical experience with our insurers, the Company's ongoing review of the solvency of its insurers, judicial determinations relevant to our insurance programs, and the Company's consideration of the impacts of any settlements reached with its insurers.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Garrett Matter</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conjunction with the Garrett spin-off, the Company entered into a binding indemnification and reimbursement agreement (“Garrett Indemnity”) with a Garrett subsidiary, pursuant to which Garrett’s subsidiary has an ongoing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is subject to a cap of approximately Euro 150 million (equivalent to $175 million at the time the Garrett Indemnity was entered into). The obligation under the terms of the Garrett Indemnity continues until the earlier of December 31, 2048, or December 31 of the third consecutive year during which the annual obligation is less than the Euro equivalent, at the fixed exchange rate at the time the indemnification and reimbursement agreement was entered into, of $25 million.</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Prior to the Garrett filing described below, on June 12, 2020, the Company and Garrett entered into an amendment of the Garrett Indemnity in connection with Garrett’s amendment of its 2018 credit agreement. These amendments provided Garrett with temporary financial covenant relief with respect to the total leverage and interest coverage ratios, for a period that could extend to as late as June 30, 2022. Garrett’s payments to the Company under the Garrett Indemnity were deferred to the extent Garrett is (or to the extent such payments would cause Garrett to be) out of compliance with the original financial covenants and resume to the extent Garrett is in compliance with such original financial covenants. Any deferred amounts were to be paid to the extent Garrett was in compliance with such original financial covenants and had available capacity to make such payments pursuant to the terms of the indemnification and reimbursement agreement and its current credit agreement.</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receivable amount recorded in connection with the Garrett Indemnity in the nine months ended September 30, 2020 was $38 million. Amounts associated with the Garrett Indemnity are scheduled under the agreement to be collected from Garrett quarterly, and because of the extension referenced above and below, such amounts were $36 million in the nine months ended September 30, 2020.</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conjunction with the spin-off, Honeywell also entered into a binding tax matters agreement with Garrett and a Garrett subsidiary (the “Tax Matters Agreement”). The Tax Matters Agreement generally provides that Garrett is responsible and must indemnify Honeywell for all ordinary operating taxes, including income taxes, sales taxes, value-added taxes ("VAT") and payroll taxes, relating to Garrett for all periods, including periods prior to the spin-off, to the extent not paid prior to the spin-off date. In addition, among other items, as a result of the mandatory transition tax imposed by the Tax Cuts and Jobs Act, Garrett is required to make payments to Honeywell in the amount representing the net tax liability of Honeywell under the mandatory transition tax attributable to Garrett.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2020, the Company’s receivables prior to the adjustments described herein from Garrett and/or certain of its subsidiaries were collectively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Garrett Indemnification and Reimbursement</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Tax Matters Agreement</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 net</w:t>
            </w: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460" w:type="dxa"/>
            <w:vAlign w:val="bottom"/>
          </w:tcPr>
          <w:p>
            <w:pPr>
              <w:ind w:left="80"/>
              <w:spacing w:after="0"/>
              <w:rPr>
                <w:sz w:val="20"/>
                <w:szCs w:val="20"/>
                <w:color w:val="auto"/>
              </w:rPr>
            </w:pPr>
            <w:r>
              <w:rPr>
                <w:rFonts w:ascii="Arial" w:cs="Arial" w:eastAsia="Arial" w:hAnsi="Arial"/>
                <w:sz w:val="18"/>
                <w:szCs w:val="18"/>
                <w:color w:val="auto"/>
              </w:rPr>
              <w:t>Total Reimbursement Receivables</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0"/>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Garrett Litigation and Bankruptcy Proceedings</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December 2, 2019, Garrett Motion Inc. and Garrett ASASCO Inc. filed a Summons with Notice and commenced a lawsuit in the Commercial Division of the Supreme Court of the State of New York, County of New York (the “State Court”), seeking to invalidate the Garrett Indemnity. Garrett seeks damages and a declaratory judgment based on various claims set forth in the Summons with Notice. On January 15, 2020, Garrett filed its complaint in the action, which asserted the same claims, and on March 5, 2020, we filed a Motion to Dismiss. To date, Garrett has not filed a response to the Motion to Dismiss. On June 12, 2020, given the challenges of operating in the COVID-19 environment, Honeywell and Garrett entered into a litigation status agreement pursuant to which (i) the parties agreed to make good faith efforts to limit near-term litigation spend on this matter, and (ii) the Company agreed to extend both the $2 million payment owed by Garrett to the Company on May 1, 2020 under the Garrett Indemnity and the $18 million payment owed by Garrett to the Company on April 1, 2020 under the Tax Matters Agreement until December 31, 2020 (which amounts, as previously disclosed, had been deferred to May 31, 2020). On July 17, 2020, the Company received a notice from Garrett asserting that Honeywell has caused material breaches of the Tax Matters Agreement and that the Tax Matters Agreement is unenforceable. On September 23, 2020, Garrett removed the existing State Court litigation against Honeywell to the Bankruptcy Court (as defined below). Honeywell moved to dismiss all of Garrett’s claims on October 13, 2020. Honeywell’s motion to dismiss is currently set for a hearing on November 18, 2020, subject to further direction from the Bankruptcy Court. Honeywell strongly believes that Garrett's allegations have no merit, nor are they material to Honeywell. We believe we have fully complied with our obligations under the indemnification and reimbursement agreement and the Tax Matters Agreement and that both agreements are valid and enforceable.</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20, 2020, Garrett and 36 of its affiliates filed voluntary petitions for relief under Chapter 11 of the United States Bankruptcy Code in the United States Bankruptcy Court for the Southern District of New York (the “Bankruptcy Court”). Based on its bankruptcy filings, Garrett is proposing to sell its business while in bankruptcy, and Garrett entered into a Share and Asset Purchase Agreement, dated as of September 20, 2020 (the “Proposed Stalking Horse Bid”), with KPS Capital Partners, LP (“KPS”) and filed proposed bidding procedures for an auction and other procedures related to the proposed sale. As most recently amended, the Proposed Stalking Horse Bid contemplates a proposed purchase of Garrett’s business for $2.6 billion and includes as part of the sale certain claims and causes of action against Honeywell and others arising out of the spin-off, with details related to this aspect of its proposed sale structure to be forthcoming. Garrett also entered into a restructuring support agreement (“RSA”) with holders of approximately 61% of its outstanding senior secured debt which contemplates that Garrett will file and seek approval of a restructuring plan that implements the sale of Garrett’s business, pays Garrett’s secured creditors in full and pays at least 90% of Garrett's unsecured notes obligations from the cash from the sale, provides Garrett’s current stockholders an opportunity to co-invest up to $350 million in the purchase of common stock of a new company organized by KPS to purchase Garrett’s business on same terms as KPS, and includes as part of the sale certain claims and causes of action against Honeywell and others arising out of the spin-off, with details related to this aspect of its proposed sale structure to be forthcoming. On October 23, 2020, the Bankruptcy Court approved “stalking horse” bidding protections for KPS, including a $63 million termination fee and expense reimbursement (subject to a limit of $21 million). The Proposed Stalking Horse Bid and restructuring plan remain subject to Bankruptcy Court approval. KPS’s purchase of Garrett's business remains subject to competing bids and Bankruptcy Court approval, as well as customary regulatory approvals and other customary conditions. Garrett’s operations are expected to proceed, without interruption, during the bankruptcy proceedings.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October 2020, Honeywell signed a coordination agreement with Oaktree Capital Management, L.P. ("Oaktree") and Centerbridge Partners, L.P. ("Centerbridge"), which since has also been signed by equity holders representing approximately 50% of Garrett’s outstanding common stock. The coordination agreement supports a proposed plan of reorganization (the “Plan”) that would allow Honeywell to recover over time a significant portion of the receivable amounts owed to Honeywell (the “Alternative Proposal”). As currently contemplated, the Alternative Proposal provides that, if the Plan is approved, Honeywell would receive an initial payment of $275 million in cash and new series B preferred stock of reorganized Garrett. In total, the Alternative Proposal would provide for cash payments totaling $1.45 billion comprising the initial cash payment of $275 million and $1.175 billion paid over a twelve-year period ending December 31, 2034 (unless a discounted amount is paid earlier pursuant to certain put, call or acceleration provisions). These cash payments would be paid in full and final satisfaction of Garrett’s obligations to Honeywell under the indemnification and reimbursement agreement and tax matters agreement. Under the Alternative Proposal, both agreements would be terminated in connection with Bankruptcy Court confirmation of the Alternative Proposal. In addition, under the Alternative Proposal, Garrett’s secured creditors and unsecured notes obligations would be paid in full, and equity would be reinstated. The Alternative Proposal remains subject to various conditions and milestones, as well as Bankruptcy Court approval, and Garrett has not accepted the Alternative Proposal to date. There can be no assurance that a plan of reorganization incorporating the terms contemplated by the Alternative Proposal will be approved and confirmed by the Bankruptcy Court.</w:t>
      </w:r>
    </w:p>
    <w:p>
      <w:pPr>
        <w:spacing w:after="0" w:line="2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Garrett is early in the bankruptcy proceedings and the ultimate outcome of such proceedings is uncertain. We regularly review the aggregate carrying value of the receivable amounts due in connection with the Garrett Indemnity and the Tax Matters Agreement. Following Garrett’s bankruptcy filing, Honeywell's review has taken into account, among other things, the potential enterprise value of the Garrett business based on publicly available information, Garrett’s implied enterprise value under the Alternative Proposal (which supports our independent assessment), the possibility that there will be additional bids and/or other plan proposals that Honeywell believes should reflect the enterprise value of Garrett’s business, and the significant uncertainties associated with the potential outcomes of the Garrett bankruptcy proceedings. Based on such review, we currently believe that we will be able to recover a significant portion, but potentially not all, of the receivable amounts owed to us under the agreements with Garrett. As such, and based on the assumption that the Bankruptcy Court will approve a plan that reflects an enterprise value for Garrett that meets or exceeds Honeywell's best estimate, Honeywell has recorded an adjustment of $350 million to lower the aggregate carrying balance of the receivable amounts due in connection with the Garrett Indemnity and the Tax Matters Agreement. Honeywell recorded a corresponding, non-cash charge in our statement of operations in the third quarter of 2020 in the amount of $350 million. This amount represents the difference between the approximately $1.4 billion carrying value of the undiscounted receivables owed to Honeywell by Garrett under these agreements and the present value of amounts owed to us over the full term of these existing agreements.</w:t>
      </w:r>
    </w:p>
    <w:p>
      <w:pPr>
        <w:spacing w:after="0" w:line="2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ultimate outcome of the bankruptcy process is uncertain. Depending on the transaction and/or plan of reorganization ultimately approved and confirmed by the Bankruptcy Court, the amount collected could be more or less than such reduced amount of the remaining receivable amounts recorded in our financial statements. There are currently two competing proposals, the Proposed Stalking Horse Bid and the Alternative Proposal (the "Competing Proposals") which both remain subject to modification, and it is possible that there will be additional bids and alternative proposals for plans of reorganization for Garrett. If either of the Competing Proposals is accepted and approved by the Bankruptcy Court in its current form, then there would be an additional write-down of the remaining receivables due from Garrett, with a corresponding charge to our statement of operations in the same amount. In the case of the current Proposed Stalking Horse Bid, such additional adjustment would be a significant portion of the remaining receivables due from Garrett. In the case of the Alternative Proposal, we would not expect such additional adjustment to be material. There can be no assurance that recording an additional adjustment (positive or negative) against the remaining receivable amounts in whole or in part (together with a related statement of operations charge) will not be necessary in a future period or periods. The ultimate outcome of the bankruptcy process is uncertain. Depending on the transaction and/or plan of reorganization ultimately approved and confirmed by the Bankruptcy Court, the amount collected could be more or less than such reduced amount of the remaining receivable amounts recorded in our financial statements. Honeywell will continue to monitor the Bankruptcy Court proceedings in order to appropriately assess and enforce our rights in this matter. Honeywell intends to vigorously defend its rights to collect amounts due under the Garrett Indemnity and Tax Matters Agreement with Garrett.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 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appealed this decision to the Sixth Circuit Court of Appeals.</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2017 MCBA expired, and Honeywell would have no ongoing obligation to continue funding healthcare coverage for subsequent periods. Honeywell appealed the District Court’s ruling on this “full premium” damages issue.</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3, 2020, the Sixth Circuit Court of Appeals issued an opinion ruling for Honeywell in all respects. The Court of Appeals affirmed the District Court's ruling that the MCBAs do not promise retirees vested, lifetime benefits that survive expiration of the MCBAs. In addition, the Court of Appeals reversed the District Court's ruling that Honeywell was obligated under the MCBAs to pay the "full premium" for retiree healthcare, rather than the capped amount. As a result of these rulings, Honeywell is not required to pay any monetary damages to the Plaintiffs.</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Plaintiffs sought rehearing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from the Sixth Circuit Court of Appeals, which petition was denied. Plaintiffs failed to timely appeal the Sixth Circuit's ruling to the Supreme Court of the United States. Accordingly, as of October 8, 2020, the case has now been fully resolved.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(DOJ), the SEC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58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200" w:type="dxa"/>
            <w:vAlign w:val="bottom"/>
          </w:tcPr>
          <w:p>
            <w:pPr>
              <w:spacing w:after="0"/>
              <w:rPr>
                <w:sz w:val="17"/>
                <w:szCs w:val="17"/>
                <w:color w:val="auto"/>
              </w:rPr>
            </w:pPr>
          </w:p>
        </w:tc>
        <w:tc>
          <w:tcPr>
            <w:tcW w:w="6440" w:type="dxa"/>
            <w:vAlign w:val="bottom"/>
            <w:gridSpan w:val="2"/>
          </w:tcPr>
          <w:p>
            <w:pPr>
              <w:jc w:val="center"/>
              <w:ind w:left="1490"/>
              <w:spacing w:after="0" w:line="198" w:lineRule="exact"/>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250"/>
        </w:trPr>
        <w:tc>
          <w:tcPr>
            <w:tcW w:w="2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months (quarter) and nine months ended September 30, 2020. The financial information as of September 30, 2020 should be read in conjunction with the Consolidated Financial Statements for the year ended December 31, 2019 contained in our 2019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UPDATE</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December 2019, a novel strain of coronavirus (COVID-19) was identified in Asia. Over the next several months, COVID-19 quickly spread across the world. In March 2020, the World Health Organization declared COVID-19 a worldwide pandemic. As of September 30, 2020, the virus continues to spread, infecting more than 10 million people worldwide. No vaccine is currently available.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Governments took unprecedented actions to contain the spread of COVID-19, temporarily shutting down non-essential businesses, issuing stay at home or “shelter in place” orders and asking citizens to avoid all non-essential travel. In certain situations, governments closed borders and issued mandatory quarantines. Companies were asked, in many cases were required, to allow non-essential employees to work remotely. Consumer spending declined, global travel demand declined significantly, and the world entered a global recession.</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events impacted our business operations in multiple ways. In the first quarter of 2020, we quickly responded to the changing environment. In January 2020, we implemented policies in select countries within Asia to restrict travel and require employees to work from home for all roles that allow for remote work. In March 2020, we expanded this work from home policy to include our employees worldwide. We introduced appropriate safety and hygiene protocols to enable our manufacturing employees to operate safely through the pandemic. We actively monitored the changing government rules and regulations for each of our locations worldwide.</w:t>
      </w:r>
    </w:p>
    <w:p>
      <w:pPr>
        <w:spacing w:after="0" w:line="23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We remain cautious as many factors remain unpredictable, including COVID-19 infection rates and vaccine availability timeline. We are monitoring COVID-19 infection rates globally and acknowledge the risk of new surges in COVID-19 infections.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prepared procedures for the phased return of our employees to office sites and trained our local site leaders in the appropriate safety and hygiene protocols. As of September 30, 2020, all of our manufacturing sites continue to operate and, outside of India, most of our employees in Asia have returned to the workplace in some capacity. We also returned workers to select office sites within Europe and North America. In many countries, including the U.S., most of our non-manufacturing employees continue to work from home (for all roles that allow for remote work).</w:t>
      </w:r>
    </w:p>
    <w:p>
      <w:pPr>
        <w:spacing w:after="0" w:line="23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global recession resulted in a slow-down in demand for many of the products and services that we offer. The impact on each of our businesses is outlined below:</w:t>
      </w:r>
    </w:p>
    <w:p>
      <w:pPr>
        <w:spacing w:after="0" w:line="225" w:lineRule="exact"/>
        <w:rPr>
          <w:sz w:val="20"/>
          <w:szCs w:val="20"/>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Aerospace – The decline in global travel negatively impacted many of our customers, resulting in lower demand for our products from original equipment manufacturers (OEMs) and negatively impacted demand for our aftermarket businesses. As a result, this segment's sales and profits declined in the three months ended September 30, 2020, compared to the three months ended September 30, 2019.</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Materials and Technologies – Many of our customers operate in the oil and gas industry. The decline in global travel, coupled with excessive oil and gas supply, negatively impacted many of our customers and resulted in lower demand for our products. As a result, this segment's sales and profits declined in the three months ended September 30, 2020, compared to the three months ended September 30, 2019.</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jc w:val="both"/>
        <w:ind w:left="660" w:hanging="328"/>
        <w:spacing w:after="0"/>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Honeywell Building Technologies – Our customers own or manage buildings in a variety of industries including commercial real estate, hospitality, government, healthcare, banking and education. The global recession impacted many of these industries, resulting in a reduction of discretionary spending. As a result, this segment experienced lower demand for our products, and segment sales and profits declined in the three months ended September 30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2020, compared to the three months ended September 30, </w:t>
      </w:r>
      <w:r>
        <w:rPr>
          <w:rFonts w:ascii="Arial" w:cs="Arial" w:eastAsia="Arial" w:hAnsi="Arial"/>
          <w:sz w:val="23"/>
          <w:szCs w:val="23"/>
          <w:color w:val="auto"/>
          <w:vertAlign w:val="superscript"/>
        </w:rPr>
        <w:t>,</w:t>
      </w:r>
      <w:r>
        <w:rPr>
          <w:rFonts w:ascii="Arial" w:cs="Arial" w:eastAsia="Arial" w:hAnsi="Arial"/>
          <w:sz w:val="18"/>
          <w:szCs w:val="18"/>
          <w:color w:val="auto"/>
        </w:rPr>
        <w:t>2019.</w:t>
      </w:r>
    </w:p>
    <w:p>
      <w:pPr>
        <w:spacing w:after="0" w:line="17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Productivity Solutions – The global pandemic created significant demand for our respiratory personal protective equipment (PPE) driving increases in sales and profits in the three months ended September 30, 2020, compared to the three months ended September 30, 2019.</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 result of the slowdown in demand for our products, we implemented several cost reduction programs across our enterprise. We canceled our 2020 merit increases and reduced executive and Board of Director compensation. We initiated reduced work schedules across the company and implemented permanent census reductions.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took several steps to secure additional liquidity. In May 2020, we completed a public Senior Notes offering, which provided $3 billion of available liquidity. In August 2020, we completed a public Senior Notes offering, which provided $3 billion of available liquidity which was used to repay the outstanding principal amount of $3.0 billion under the Term Loan Agreement. As of September 30, 2020, there are no outstanding borrowings or commitments remaining under the Term Loan Agreement. As of September 30, 2020, we held $15.0 billion of available cash and short-term investments.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monitor and respond to the changing conditions created by the pandemic.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Safety, and Economic Wellness</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monitor the COVID-19 situation and its impacts globally. We are prioritizing the health and safety of our employees. Out of an abundance of caution for the health of our employees and to support local government initiatives to stem the spread of the virus, we implemented several precautions at various sites around the world at all times in compliance with local government requirements and Centers for Disease Control and Prevention (CDC) guidelines. These include, but are not limited to:</w:t>
      </w:r>
    </w:p>
    <w:p>
      <w:pPr>
        <w:spacing w:after="0" w:line="2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visitor site access to business-essential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screening checks at certain sites where permissible or mandated;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Enabling employees to work from home wherever and whenever required or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Continuously updating travel guidance, according to latest developments; and</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Complying with all local health authority guidance or regulations and our own protocols, including requesting employees to comply with self-quarantine requirements whenever advisable.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taken a number of measures to support our employees during these difficult times. We extended medical benefits globally to cover out-of-pocket costs associated with testing for coronavirus, and for those on our U.S. company medical plans, we are also covering treatment costs. In Mexico, we introduced a medical benefit for employees at lower compensation levels to ensure access to private medical treatment. In the U.S., we changed our sick leave plan for non-exempt employees to make more sick time available earlier in the year if it is needed. We established a $10 million company-funded relief fund targeting employees worldwide at lower compensation levels, especially those on reduced work hours who didn’t receive high levels of income replacement from unemployment or other government assistance.</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date, Honeywell has made substantial mask donations to frontline workers across multiple regions. Honeywell funded a $ 2 million Small Business Innovation Fund in Charlotte to help storefront businesses with 50 or fewer employees make investments in new technologies and business models to adjust to the realities of operating in the COVID-19 environment; businesses owned by women, minorities and veterans will be prioritized. In addition, Honeywell funded the provision of approximately nine million meals and a month’s supply of hygiene kits to more than 12,500 families in India suffering hardships due to the crisis.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Our Commitment to Public Health</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produce critical worker safety gear such as face masks, gloves, goggles, safety suits, and protective footwear. We play an essential role in the health and well-being of people and economies, and our customers and communities are depending on us more than ever to deliver for them. We are committed to supporting the safety of our employees, customers and fellow citizens around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investing in new production facilities and continue to expand existing facilities to increase production of essential PPE products. We will bring these products to market as quickly as possible. We are committed to healthcare professionals, first responders, distributors and other stakeholders in an effort to ensure our PPE products are being placed quickly and cost-effectively in the hands of those most in need.</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announced our new capacity in the U.S. to make N95 masks, with production lines added in Rhode Island and Arizona that will collectively produce 40 million masks each month to support health, safety, and response workers globally. In addition, we are expanding our non-U.S. capacity with a new mask manufacturing line in the U.K that is expected to produce 4.5 million masks each month, and a new line in India that is expected to produce 2 million masks each month. Separately, we are collaborating with Mubadala Investment Company's subsidiary, Strata Manufacturing, in the UAE to produce 30 million masks annually.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communicated the following principles to our authorized distributor network:</w:t>
      </w:r>
    </w:p>
    <w:p>
      <w:pPr>
        <w:spacing w:after="0" w:line="252" w:lineRule="exact"/>
        <w:rPr>
          <w:sz w:val="20"/>
          <w:szCs w:val="20"/>
          <w:color w:val="auto"/>
        </w:rPr>
      </w:pPr>
    </w:p>
    <w:p>
      <w:pPr>
        <w:jc w:val="both"/>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that, at a minimum, all of our partners will comply with all applicable laws prohibiting price gouging and apply appropriate diligence to the greatest extent possible to understand how our products are being purchased so that they are placed quickly and cost-effectively in the hands of those most in need - including first responders and medical professionals.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While we do not control the prices that third parties set, we expect our partners to fairly price PPE used in the COVID-19 response effort.</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find that one of our partners is not upholding the letter or spirit of these principles, we reserve the right not to fulfill that partner’s orders and terminate our relationship with that party.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also investing in developing and bringing to market a wide array of new COVID-related products, including but not limited to Healthy Buildings solutions, remote operations offerings, automation technologies to help speed vaccine development, vaccine packaging solutions, an ultraviolet cleaning system for aircraft, and innovative dual-layer face covers and safety packs.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Plant Productivity and Safety</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situations where our businesses were deemed essential, we worked with local officials to determine how to safely operate our manufacturing facilities. We successfully operated these manufacturing facilities with minimal disruption in our productivity. In the second quarter of 2020, we repurposed certain manufacturing facilities to produce PPE that was in short supply around the world. As of September 30, 2020, more than 95% of our manufacturing sites were operating at normal production levels.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provide essential services and produce essential goods around the world. We employ standards such as screening checks, use of masks, face coverings and other safety equipment and social distancing practices along production lines in many of our production facilities at all times in compliance with local government requirements and CDC guidelines. We take appropriate actions including disinfecting and quarantine procedures when a suspected COVID-19 case is identified.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Customers and Suppliers</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 global economic conditions due to COVID-19 have adversely affected and may continue to adversely affect our customers’ or suppliers’ ability to operate or obtain financing, particularly in our airline, oil &amp; gas, and automotive end markets. Customer or supplier bankruptcies, delays in their ability to obtain financing, or the unavailability of financing could adversely affect our cash flow or results of operations. We continue to actively monitor both supplier and customer financial health and take measures to manage our supply chain disruptions and limit our exposure.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discussion of risks associated to the COVID-19 pandemic.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Garrett Bankruptcy</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September 20, 2020, Garrett Motion Inc. (“Garrett”) and certain of its affiliates filed voluntary petitions for relief under Chapter 11 of the United States Bankruptcy Code in the United States Bankruptcy Court for the Southern District of New York (the “Bankruptcy Court”).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Garrett is still in the early stages of its bankruptcy process, and any further impacts on our financial statements remain subject to the various relief ultimately granted to Garrett and its affiliates by the Bankruptcy Court and the plan of reorganization ultimately confirmed in their bankruptcy proceedings, among other things.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Two competing proposals have been publicly disclosed to date (the “Competing Proposals”):</w:t>
      </w:r>
    </w:p>
    <w:p>
      <w:pPr>
        <w:spacing w:after="0" w:line="252" w:lineRule="exact"/>
        <w:rPr>
          <w:sz w:val="20"/>
          <w:szCs w:val="20"/>
          <w:color w:val="auto"/>
        </w:rPr>
      </w:pPr>
    </w:p>
    <w:p>
      <w:pPr>
        <w:jc w:val="both"/>
        <w:ind w:left="660" w:hanging="328"/>
        <w:spacing w:after="0" w:line="252"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Garrett entered into a Share and Asset Purchase Agreement, dated as of September 20, 2020 (the “Proposed Stalking Horse Bid”), with KPS Capital Partners, LP (“KPS”). As most recently amended, the Proposed Stalking Horse Bid contemplates a proposed purchase of Garrett’s business for $2.6 billion and a Chapter 11 plan that implements the sale of Garrett’s business, pays Garrett’s secured creditors in full and pays 90% of Garrett’s unsecured notes obligations from the cash from the sale, provides Garrett’s current stockholders an opportunity to co-invest up to $350 million in the purchase of common stock of the a new company organized by KPS to purchase Garrett’s business on same terms as KPS, and includes as part of the sale certain claims and causes of action against Honeywell and others arising out of the spin-off, with details related to this aspect of its proposed sale structure to be forthcoming.</w:t>
      </w:r>
    </w:p>
    <w:p>
      <w:pPr>
        <w:spacing w:after="0" w:line="232" w:lineRule="exact"/>
        <w:rPr>
          <w:rFonts w:ascii="Arial" w:cs="Arial" w:eastAsia="Arial" w:hAnsi="Arial"/>
          <w:sz w:val="18"/>
          <w:szCs w:val="18"/>
          <w:color w:val="auto"/>
        </w:rPr>
      </w:pPr>
    </w:p>
    <w:p>
      <w:pPr>
        <w:jc w:val="both"/>
        <w:ind w:left="660" w:hanging="328"/>
        <w:spacing w:after="0" w:line="252"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Honeywell signed a coordination agreement with Oaktree Capital Management, L.P. (“Oaktree”) and Centerbridge Partners, L.P. (“Centerbridge”), which has since been signed by equity holders representing approximately 50% of Garrett’s outstanding common stock (the "Alternative Proposal"). The coordination agreement supports a proposed plan of reorganization under which Honeywell would receive cash payments totaling $1.45 billion comprising an initial payment of $275 million and $1.175 billion paid over a twelve-year period ending December 31, 2034. These cash payments would be paid in full and final satisfaction of Garrett’s obligations under the Garrett Indemnity and Tax Matters Agreement. Under the Alternative Proposal, Garrett’s secured creditors and unsecured notes obligations would be paid in full, and equity would be reinstated.</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Both of the Competing Proposals remain subject to various conditions and milestones, as well as Bankruptcy Court approval and confirmation. It is also possible that there will be additional bids and alternative proposed plans of reorganization for Garrett. There can be no assurance that either the Proposed Stalking Horse Bid (including the plan of reorganization contemplated thereby) or the Alternative Proposal will be accepted by the requisite parties and approved and confirmed by the Bankruptcy Court.</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understand based on Garrett’s public disclosures that the business fundamentals of Garrett remain strong and, in the quarter ended June 30, 2020, Garrett continued to generate positive earnings before interest, taxes, depreciation, and amortization. We believe such disclosures by Garrett management demonstrate Garrett’s ability to meet its financial obligations despite temporary adverse business conditions resulting from COVID-19, particularly in light of the financial covenant relief provided by the Credit Agreement and IRA Amendments.</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ultimate outcome of the bankruptcy process is uncertain. Depending on the transaction and/or plan of reorganization ultimately approved and confirmed by the Bankruptcy Court, the amount collected could be more or less than such reduced amount of the remaining net receivable amounts recorded in our financial statements.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jc w:val="both"/>
        <w:ind w:right="20" w:firstLine="648"/>
        <w:spacing w:after="0" w:line="253" w:lineRule="auto"/>
        <w:rPr>
          <w:sz w:val="20"/>
          <w:szCs w:val="20"/>
          <w:color w:val="auto"/>
        </w:rPr>
      </w:pPr>
      <w:r>
        <w:rPr>
          <w:rFonts w:ascii="Arial" w:cs="Arial" w:eastAsia="Arial" w:hAnsi="Arial"/>
          <w:sz w:val="18"/>
          <w:szCs w:val="18"/>
          <w:color w:val="auto"/>
        </w:rPr>
        <w:t>We will continue to monitor the Bankruptcy Court proceedings in order to appropriately assess and enforce our rights in this matter. We intend to vigorously defend our rights to collect amounts due under the Indemnity Agreement and Tax Matters Agreement with Garrett. We continue to strongly believe that Garrett's attempts to challenge the enforceability of these agreements have no merit, that we have fully complied with our obligations thereunder, and that both agreements are valid and enforceable. The accounting adjustment and related charge described above does not impact or change our view of the strength and merits of these positions.</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additional information, see “Risk Factors – Garrett is currently subject to bankruptcy proceedings in the United States Bankruptcy Court for the Southern District of New York. The outcome of the bankruptcy proceedings is unknown and may adversely affect our results of operations and financial condition” and Note 16 to Commitments and Contingencies of Notes to Consolidated Interim Financial Statements.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0" w:name="page41"/>
    <w:bookmarkEnd w:id="40"/>
    <w:p>
      <w:pPr>
        <w:ind w:left="400" w:right="320" w:hanging="374"/>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nine months ended September 30, 2020 compared with the three and nine months ended September 30, 2019</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Sales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620" w:type="dxa"/>
            <w:vAlign w:val="bottom"/>
            <w:gridSpan w:val="6"/>
          </w:tcPr>
          <w:p>
            <w:pPr>
              <w:jc w:val="right"/>
              <w:ind w:right="11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6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 change compared with prior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567"/>
        </w:trPr>
        <w:tc>
          <w:tcPr>
            <w:tcW w:w="7100" w:type="dxa"/>
            <w:vAlign w:val="bottom"/>
            <w:gridSpan w:val="4"/>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Year to Date</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Price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unfavorable volume impact in the quarter and nine months is driven by lower sales in certain products across our businesses due to the global recession attributable to COVID-19 and volatility in the oil and gas industry, partially offset by the strength in respiratory PPE products, warehouse automation projects, and defense and space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unfavorable impact of foreign currency translation in the nine months is driven by the strengthening of the U.S. Dollar against the currencies of the majority of our international markets, primarily the Chinese Renminbi, Indian Rupee, Canadian Dollar, Russian Ruble, and Australian Dollar.</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Cost of Products and Services Sold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7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16,193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18,011</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 change compared with prior period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w:t>
            </w:r>
          </w:p>
        </w:tc>
      </w:tr>
    </w:tbl>
    <w:p>
      <w:pPr>
        <w:spacing w:after="0" w:line="3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Cost of products and services sold decreased in the quarter primarily due to lower direct and indirect material costs of approximately $220 million and $110 million and lower labor costs of approximately $370 million (both driven by lower sales volumes and other cost actions to improve productivity), partially offset by higher repositioning and other charges of approximately $20 million.</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Cost of products and services sold decreased in the nine months primarily due to lower direct and indirect material costs of approximately $1,170 million and $240 million and lower labor costs of approximately $530 million (both driven by lower sales volumes and other cost actions to improve productivity), partially offset by higher repositioning and other charges of approximately $80 million.</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Gross margin percentage decreased in the quarter and nine months primarily due to lower sales volumes across each of our businesses.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6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4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4,046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14.9 %</w:t>
            </w: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decreased $193 million in the quarter and $522 million in the nine months primarily due to productivity and lower sales volume, partially offset by higher repositioning and other charges.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 Expense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bl>
    <w:p>
      <w:pPr>
        <w:spacing w:after="0" w:line="3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expense increased for the quarter primarily due to the non-cash charge associated with the reduction in carrying value to present value of reimbursement receivables due from Garrett Motion Inc. (Garrett), lower interest income and lower foreign exchange income, partially offset by higher pension income.</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income decreased for the nine months primarily due to the non-cash charge associated with the reduction in carrying value to present value of reimbursement receivables due from Garrett, lower interest income and lower foreign exchange income, partially offset by higher pension income.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 (Benefit)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4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1,151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19.9 %</w:t>
            </w:r>
          </w:p>
        </w:tc>
      </w:tr>
    </w:tbl>
    <w:p>
      <w:pPr>
        <w:spacing w:after="0" w:line="3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529"/>
        </w:rPr>
        <w:t xml:space="preserve">The effective tax rate increased for the quarter ended September 30, 2020 compared to the quarter ended September 30, 2019 primarily from a </w:t>
      </w:r>
      <w:r>
        <w:rPr>
          <w:rFonts w:ascii="Arial" w:cs="Arial" w:eastAsia="Arial" w:hAnsi="Arial"/>
          <w:sz w:val="18"/>
          <w:szCs w:val="18"/>
          <w:color w:val="000000"/>
        </w:rPr>
        <w:t>non-cash charge related to the reduction of the aggregate carrying value of certain receivables with no corresponding tax</w:t>
      </w:r>
      <w:r>
        <w:rPr>
          <w:rFonts w:ascii="Arial" w:cs="Arial" w:eastAsia="Arial" w:hAnsi="Arial"/>
          <w:sz w:val="18"/>
          <w:szCs w:val="18"/>
          <w:color w:val="212529"/>
        </w:rPr>
        <w:t xml:space="preserve"> </w:t>
      </w:r>
      <w:r>
        <w:rPr>
          <w:rFonts w:ascii="Arial" w:cs="Arial" w:eastAsia="Arial" w:hAnsi="Arial"/>
          <w:sz w:val="18"/>
          <w:szCs w:val="18"/>
          <w:color w:val="000000"/>
        </w:rPr>
        <w:t xml:space="preserve">benefit, </w:t>
      </w:r>
      <w:r>
        <w:rPr>
          <w:rFonts w:ascii="Arial" w:cs="Arial" w:eastAsia="Arial" w:hAnsi="Arial"/>
          <w:sz w:val="18"/>
          <w:szCs w:val="18"/>
          <w:color w:val="212529"/>
        </w:rPr>
        <w:t>the absence of tax benefits related to the reduction of accrued withholding taxes on unremitted foreign earnings and decreased tax</w:t>
      </w:r>
      <w:r>
        <w:rPr>
          <w:rFonts w:ascii="Arial" w:cs="Arial" w:eastAsia="Arial" w:hAnsi="Arial"/>
          <w:sz w:val="18"/>
          <w:szCs w:val="18"/>
          <w:color w:val="000000"/>
        </w:rPr>
        <w:t xml:space="preserve"> </w:t>
      </w:r>
      <w:r>
        <w:rPr>
          <w:rFonts w:ascii="Arial" w:cs="Arial" w:eastAsia="Arial" w:hAnsi="Arial"/>
          <w:sz w:val="18"/>
          <w:szCs w:val="18"/>
          <w:color w:val="212529"/>
        </w:rPr>
        <w:t xml:space="preserve">benefits for employee share based compensation. The effective tax rate decreased for the nine months ended September 30, 2020 compared to the nine months ended September 30, 2019 primarily from the favorable resolution of a foreign tax matter related to the spin-off transactions, tax law changes in India, and the resolution of certain U.S. tax matters offset by </w:t>
      </w:r>
      <w:r>
        <w:rPr>
          <w:rFonts w:ascii="Arial" w:cs="Arial" w:eastAsia="Arial" w:hAnsi="Arial"/>
          <w:sz w:val="18"/>
          <w:szCs w:val="18"/>
          <w:color w:val="000000"/>
        </w:rPr>
        <w:t>a non-cash charge related to the reduction of</w:t>
      </w:r>
      <w:r>
        <w:rPr>
          <w:rFonts w:ascii="Arial" w:cs="Arial" w:eastAsia="Arial" w:hAnsi="Arial"/>
          <w:sz w:val="18"/>
          <w:szCs w:val="18"/>
          <w:color w:val="212529"/>
        </w:rPr>
        <w:t xml:space="preserve"> </w:t>
      </w:r>
      <w:r>
        <w:rPr>
          <w:rFonts w:ascii="Arial" w:cs="Arial" w:eastAsia="Arial" w:hAnsi="Arial"/>
          <w:sz w:val="18"/>
          <w:szCs w:val="18"/>
          <w:color w:val="000000"/>
        </w:rPr>
        <w:t xml:space="preserve">the aggregate carrying value of certain receivables with no corresponding tax benefit, </w:t>
      </w:r>
      <w:r>
        <w:rPr>
          <w:rFonts w:ascii="Arial" w:cs="Arial" w:eastAsia="Arial" w:hAnsi="Arial"/>
          <w:sz w:val="18"/>
          <w:szCs w:val="18"/>
          <w:color w:val="212529"/>
        </w:rPr>
        <w:t>the absence of tax benefits related to the reduction of</w:t>
      </w:r>
      <w:r>
        <w:rPr>
          <w:rFonts w:ascii="Arial" w:cs="Arial" w:eastAsia="Arial" w:hAnsi="Arial"/>
          <w:sz w:val="18"/>
          <w:szCs w:val="18"/>
          <w:color w:val="000000"/>
        </w:rPr>
        <w:t xml:space="preserve"> </w:t>
      </w:r>
      <w:r>
        <w:rPr>
          <w:rFonts w:ascii="Arial" w:cs="Arial" w:eastAsia="Arial" w:hAnsi="Arial"/>
          <w:sz w:val="18"/>
          <w:szCs w:val="18"/>
          <w:color w:val="212529"/>
        </w:rPr>
        <w:t>accrued withholding taxes on unremitted foreign earnings and decreased tax benefits for employee share based compensation.</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529"/>
        </w:rPr>
        <w:t xml:space="preserve">The effective tax rate for the three months ended September 30, 2020 was higher than the U.S. federal statutory rate of 21% primarily from </w:t>
      </w:r>
      <w:r>
        <w:rPr>
          <w:rFonts w:ascii="Arial" w:cs="Arial" w:eastAsia="Arial" w:hAnsi="Arial"/>
          <w:sz w:val="18"/>
          <w:szCs w:val="18"/>
          <w:color w:val="000000"/>
        </w:rPr>
        <w:t>a non-cash charge related to the reduction of the aggregate carrying value of certain receivables with no corresponding tax</w:t>
      </w:r>
      <w:r>
        <w:rPr>
          <w:rFonts w:ascii="Arial" w:cs="Arial" w:eastAsia="Arial" w:hAnsi="Arial"/>
          <w:sz w:val="18"/>
          <w:szCs w:val="18"/>
          <w:color w:val="212529"/>
        </w:rPr>
        <w:t xml:space="preserve"> </w:t>
      </w:r>
      <w:r>
        <w:rPr>
          <w:rFonts w:ascii="Arial" w:cs="Arial" w:eastAsia="Arial" w:hAnsi="Arial"/>
          <w:sz w:val="18"/>
          <w:szCs w:val="18"/>
          <w:color w:val="000000"/>
        </w:rPr>
        <w:t xml:space="preserve">benefit, </w:t>
      </w:r>
      <w:r>
        <w:rPr>
          <w:rFonts w:ascii="Arial" w:cs="Arial" w:eastAsia="Arial" w:hAnsi="Arial"/>
          <w:sz w:val="18"/>
          <w:szCs w:val="18"/>
          <w:color w:val="212529"/>
        </w:rPr>
        <w:t>incremental tax reserves and state taxes partially offset by foreign earnings taxed at lower foreign tax rates. The effective tax rate for</w:t>
      </w:r>
      <w:r>
        <w:rPr>
          <w:rFonts w:ascii="Arial" w:cs="Arial" w:eastAsia="Arial" w:hAnsi="Arial"/>
          <w:sz w:val="18"/>
          <w:szCs w:val="18"/>
          <w:color w:val="000000"/>
        </w:rPr>
        <w:t xml:space="preserve"> </w:t>
      </w:r>
      <w:r>
        <w:rPr>
          <w:rFonts w:ascii="Arial" w:cs="Arial" w:eastAsia="Arial" w:hAnsi="Arial"/>
          <w:sz w:val="18"/>
          <w:szCs w:val="18"/>
          <w:color w:val="212529"/>
        </w:rPr>
        <w:t xml:space="preserve">the nine months ended September 30, 2020 was lower than the U.S. federal statutory rate of 21% primarily from foreign earnings taxed at lower foreign tax rates, the favorable resolution of a foreign tax matter related to the spin-off transactions, tax law changes in India and the resolution of certain U.S. tax matters offset by </w:t>
      </w:r>
      <w:r>
        <w:rPr>
          <w:rFonts w:ascii="Arial" w:cs="Arial" w:eastAsia="Arial" w:hAnsi="Arial"/>
          <w:sz w:val="18"/>
          <w:szCs w:val="18"/>
          <w:color w:val="000000"/>
        </w:rPr>
        <w:t>a non-cash charge related to the reduction of the aggregate carrying value of certain</w:t>
      </w:r>
      <w:r>
        <w:rPr>
          <w:rFonts w:ascii="Arial" w:cs="Arial" w:eastAsia="Arial" w:hAnsi="Arial"/>
          <w:sz w:val="18"/>
          <w:szCs w:val="18"/>
          <w:color w:val="212529"/>
        </w:rPr>
        <w:t xml:space="preserve"> </w:t>
      </w:r>
      <w:r>
        <w:rPr>
          <w:rFonts w:ascii="Arial" w:cs="Arial" w:eastAsia="Arial" w:hAnsi="Arial"/>
          <w:sz w:val="18"/>
          <w:szCs w:val="18"/>
          <w:color w:val="000000"/>
        </w:rPr>
        <w:t xml:space="preserve">receivables with no corresponding tax benefit, </w:t>
      </w:r>
      <w:r>
        <w:rPr>
          <w:rFonts w:ascii="Arial" w:cs="Arial" w:eastAsia="Arial" w:hAnsi="Arial"/>
          <w:sz w:val="18"/>
          <w:szCs w:val="18"/>
          <w:color w:val="212529"/>
        </w:rPr>
        <w:t>incremental tax reserves and state taxes.</w:t>
      </w:r>
    </w:p>
    <w:p>
      <w:pPr>
        <w:spacing w:after="0" w:line="2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212529"/>
        </w:rPr>
        <w:t>The effective tax rate for the quarter and nine months ended September 30, 2019 was lower than the U.S. federal statutory rate of 21% primarily due to the reduction of withholding taxes related to unremitted foreign earnings.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Honeywell</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Earnings per share of common stock – assuming dilution</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r>
    </w:tbl>
    <w:p>
      <w:pPr>
        <w:spacing w:after="0" w:line="3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Earnings per share of common stock – assuming dilution decreased in the quarter primarily driven by lower segment profit, non-cash charge associated with the reduction in carrying value to present value of reimbursement receivables due from Garrett, higher repositioning and other charges and higher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Earnings per share of common stock – assuming dilution decreased in the nine months primarily driven by lower segment profit, non-cash charge associated with the reduction in carrying value to present value of reimbursement receivables due from Garrett, higher repositioning and other charges and lower interest income, partially offset by lower income taxes, higher pension ongoing income and the favorable impact of lower share count.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Review of Business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3080" w:type="dxa"/>
            <w:vAlign w:val="bottom"/>
            <w:gridSpan w:val="6"/>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gridSpan w:val="2"/>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9"/>
              </w:rPr>
              <w:t>Aerospace sales</w:t>
            </w:r>
          </w:p>
        </w:tc>
        <w:tc>
          <w:tcPr>
            <w:tcW w:w="3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4"/>
          </w:tcPr>
          <w:p>
            <w:pPr>
              <w:ind w:left="100"/>
              <w:spacing w:after="0"/>
              <w:rPr>
                <w:sz w:val="20"/>
                <w:szCs w:val="20"/>
                <w:color w:val="auto"/>
              </w:rPr>
            </w:pPr>
            <w:r>
              <w:rPr>
                <w:rFonts w:ascii="Arial" w:cs="Arial" w:eastAsia="Arial" w:hAnsi="Arial"/>
                <w:sz w:val="18"/>
                <w:szCs w:val="18"/>
                <w:color w:val="auto"/>
              </w:rPr>
              <w:t>Commercial Aviation Original Equipment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Commercial Aviation Aftermarket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Defense and Space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Aerospace sales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4"/>
          </w:tcPr>
          <w:p>
            <w:pPr>
              <w:spacing w:after="0" w:line="189" w:lineRule="exact"/>
              <w:rPr>
                <w:sz w:val="20"/>
                <w:szCs w:val="20"/>
                <w:color w:val="auto"/>
              </w:rPr>
            </w:pPr>
            <w:r>
              <w:rPr>
                <w:rFonts w:ascii="Arial" w:cs="Arial" w:eastAsia="Arial" w:hAnsi="Arial"/>
                <w:sz w:val="18"/>
                <w:szCs w:val="18"/>
                <w:color w:val="auto"/>
              </w:rPr>
              <w:t>Honeywell Building Technologies sales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Buildings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4"/>
          </w:tcPr>
          <w:p>
            <w:pPr>
              <w:ind w:left="200"/>
              <w:spacing w:after="0"/>
              <w:rPr>
                <w:sz w:val="20"/>
                <w:szCs w:val="20"/>
                <w:color w:val="auto"/>
              </w:rPr>
            </w:pPr>
            <w:r>
              <w:rPr>
                <w:rFonts w:ascii="Arial" w:cs="Arial" w:eastAsia="Arial" w:hAnsi="Arial"/>
                <w:sz w:val="18"/>
                <w:szCs w:val="18"/>
                <w:color w:val="auto"/>
              </w:rPr>
              <w:t>Total Honeywell Building Technologies sales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9"/>
              </w:rPr>
              <w:t>Performance Materials and Technologies sales</w:t>
            </w: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4"/>
          </w:tcPr>
          <w:p>
            <w:pPr>
              <w:ind w:left="100"/>
              <w:spacing w:after="0"/>
              <w:rPr>
                <w:sz w:val="20"/>
                <w:szCs w:val="20"/>
                <w:color w:val="auto"/>
              </w:rPr>
            </w:pPr>
            <w:r>
              <w:rPr>
                <w:rFonts w:ascii="Arial" w:cs="Arial" w:eastAsia="Arial" w:hAnsi="Arial"/>
                <w:sz w:val="18"/>
                <w:szCs w:val="18"/>
                <w:color w:val="auto"/>
              </w:rPr>
              <w:t>UOP</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Process Solutions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Advanced Materials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Performance Materials and Technologies sales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4"/>
          </w:tcPr>
          <w:p>
            <w:pPr>
              <w:spacing w:after="0" w:line="189" w:lineRule="exact"/>
              <w:rPr>
                <w:sz w:val="20"/>
                <w:szCs w:val="20"/>
                <w:color w:val="auto"/>
              </w:rPr>
            </w:pPr>
            <w:r>
              <w:rPr>
                <w:rFonts w:ascii="Arial" w:cs="Arial" w:eastAsia="Arial" w:hAnsi="Arial"/>
                <w:sz w:val="18"/>
                <w:szCs w:val="18"/>
                <w:color w:val="auto"/>
              </w:rPr>
              <w:t>Safety and Productivity Solutions sales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Safety</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Productivity Solutions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Safety and Productivity Solutions sales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Aerospace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3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2,082</w:t>
            </w:r>
          </w:p>
        </w:tc>
        <w:tc>
          <w:tcPr>
            <w:tcW w:w="3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2020 vs. 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30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36"/>
              <w:spacing w:after="0" w:line="14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line="223" w:lineRule="exact"/>
              <w:rPr>
                <w:sz w:val="20"/>
                <w:szCs w:val="20"/>
                <w:color w:val="auto"/>
              </w:rPr>
            </w:pPr>
            <w:r>
              <w:rPr>
                <w:rFonts w:ascii="Arial" w:cs="Arial" w:eastAsia="Arial" w:hAnsi="Arial"/>
                <w:sz w:val="20"/>
                <w:szCs w:val="20"/>
                <w:color w:val="auto"/>
              </w:rPr>
              <w:t>Total % change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Aerospace sales decreased for the quarter and nine months ended September 30, 2020 due primarily to lower sales volumes as the decline in global travel negatively impacted many of our customers, resulting in lower demand for our products from OEMs and reduced demand for our aftermarket products and services.</w:t>
      </w:r>
    </w:p>
    <w:p>
      <w:pPr>
        <w:spacing w:after="0" w:line="229" w:lineRule="exact"/>
        <w:rPr>
          <w:sz w:val="20"/>
          <w:szCs w:val="20"/>
          <w:color w:val="auto"/>
        </w:rPr>
      </w:pPr>
    </w:p>
    <w:p>
      <w:pPr>
        <w:jc w:val="both"/>
        <w:ind w:left="820" w:hanging="326"/>
        <w:spacing w:after="0" w:line="25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47% (decreased 47% organic) in the quarter and decreased 33% (decreased 32% organic) in the nine months primarily due to lower demand from air transport and regional and business aviation OEMs.</w:t>
      </w:r>
    </w:p>
    <w:p>
      <w:pPr>
        <w:spacing w:after="0" w:line="228"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Aviation Aftermarket sales decreased 47% (decreased 47% organic) in the quarter and decreased 34% (decreased 34% organic) in the nine months primarily due to lower demand in air transport and regional and business aviation.</w:t>
      </w:r>
    </w:p>
    <w:p>
      <w:pPr>
        <w:spacing w:after="0" w:line="224"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and Space sales increased 12% (increased 13% organic) in the quarter and increased 9% (increased 9% organic) in the nine months driven by growth in U.S. and international defense.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Aerospace segment profit decreased in the quarter and nine months primarily driven by lower sales volume, lower sales of higher margin products and services, partially offset by favorable pricing. Cost of products and services sold decreased in the quarter and nine months due to lower volumes.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gridSpan w:val="7"/>
          </w:tcPr>
          <w:p>
            <w:pPr>
              <w:jc w:val="center"/>
              <w:ind w:right="9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3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2020 vs. 2019</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30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36"/>
              <w:spacing w:after="0" w:line="14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Building Technologies sales decreased in the quarter ended September 30, 2020 due to lower organic sales. Sales decreased in the nine months ended September 30, 2020 due to lower organic sales and the unfavorable impact of foreign currency translation. Our customers own or manage buildings in a variety of industries including commercial real estate, hospitality, airports and other government buildings, healthcare and education. The global recession impacted many of these industries, resulting in a reduction of discretionary spending and demand for our products and services.</w:t>
      </w:r>
    </w:p>
    <w:p>
      <w:pPr>
        <w:spacing w:after="0" w:line="205" w:lineRule="exact"/>
        <w:rPr>
          <w:sz w:val="20"/>
          <w:szCs w:val="20"/>
          <w:color w:val="auto"/>
        </w:rPr>
      </w:pPr>
    </w:p>
    <w:p>
      <w:pPr>
        <w:jc w:val="both"/>
        <w:ind w:left="820" w:hanging="326"/>
        <w:spacing w:after="0" w:line="256"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in Building Technologies decreased 8% (decreased 8% organic) in the quarter primarily due to lower sales volumes in both Products and Building Solutions. Sales decreased 12% (decreased 11% organic) in the nine months primarily due to lower sales volumes in both Products and Building Solutions and the unfavorable impact of foreign currency translation.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 Building Technologies segment profit decreased in the quarter primarily due to lower sales volumes, partially offset by favorable pricing and the favorable impact of foreign currency translation. Segment profit decreased in the nine months primarily due to lower sales volumes and the unfavorable impact of foreign currency translation, partially offset by favorable pricing. Cost of products and services sold decreased in the quarter and nine months due to lower sales volumes.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442</w:t>
            </w:r>
          </w:p>
        </w:tc>
        <w:tc>
          <w:tcPr>
            <w:tcW w:w="3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38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2020 vs. 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30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Nine Months Ended September</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Segment</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9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6"/>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260" w:type="dxa"/>
            <w:vAlign w:val="bottom"/>
            <w:gridSpan w:val="3"/>
            <w:vMerge w:val="continue"/>
          </w:tcPr>
          <w:p>
            <w:pPr>
              <w:spacing w:after="0"/>
              <w:rPr>
                <w:sz w:val="15"/>
                <w:szCs w:val="15"/>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Materials and Technologies sales decreased for the quarter ended September 30, 2020 primarily due to lower sales volumes. Sales decreased in the nine month period due to lower sales volumes and the unfavorable impact of foreign currency translation. Many of our customers operate in the oil and gas industry. The decline in global travel, coupled with excessive oil and gas supply, negatively impacted many of our customers resulting in lower demand for our products and services.</w:t>
      </w:r>
    </w:p>
    <w:p>
      <w:pPr>
        <w:spacing w:after="0" w:line="204" w:lineRule="exact"/>
        <w:rPr>
          <w:sz w:val="20"/>
          <w:szCs w:val="20"/>
          <w:color w:val="auto"/>
        </w:rPr>
      </w:pPr>
    </w:p>
    <w:p>
      <w:pPr>
        <w:jc w:val="both"/>
        <w:ind w:left="500" w:hanging="330"/>
        <w:spacing w:after="0" w:line="25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UOP sales decreased 36% (decreased 36% organic) in the quarter primarily due to lower catalyst shipments and decreases in licensing and engineering driven by project delays. UOP sales decreased 23% (decreased 22% organic) in the nine months driven primarily by decreases in catalyst volumes, licensing, and engineering sales volumes and the unfavorable impact of foreign currency translation.</w:t>
      </w:r>
    </w:p>
    <w:p>
      <w:pPr>
        <w:spacing w:after="0" w:line="230" w:lineRule="exact"/>
        <w:rPr>
          <w:rFonts w:ascii="Arial" w:cs="Arial" w:eastAsia="Arial" w:hAnsi="Arial"/>
          <w:sz w:val="18"/>
          <w:szCs w:val="18"/>
          <w:color w:val="auto"/>
        </w:rPr>
      </w:pPr>
    </w:p>
    <w:p>
      <w:pPr>
        <w:jc w:val="both"/>
        <w:ind w:left="500" w:hanging="330"/>
        <w:spacing w:after="0" w:line="25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Solutions sales decreased 12% (decreased 12% organic) in the quarter primarily driven by decreases in products, migration services and automation projects volumes. Process Solutions sales decreased 11% (decreased 10% organic) in the nine months driven primarily by decreases in products businesses, automation projects and migration services volumes and the unfavorable impact of foreign currency translation.</w:t>
      </w:r>
    </w:p>
    <w:p>
      <w:pPr>
        <w:spacing w:after="0" w:line="230" w:lineRule="exact"/>
        <w:rPr>
          <w:rFonts w:ascii="Arial" w:cs="Arial" w:eastAsia="Arial" w:hAnsi="Arial"/>
          <w:sz w:val="18"/>
          <w:szCs w:val="18"/>
          <w:color w:val="auto"/>
        </w:rPr>
      </w:pPr>
    </w:p>
    <w:p>
      <w:pPr>
        <w:jc w:val="both"/>
        <w:ind w:left="500" w:hanging="330"/>
        <w:spacing w:after="0" w:line="254"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Materials sales decreased 2% (decreased 4% organic) in the quarter driven primarily by decreased volumes in foam and stationary products partially offset by increased automotive refrigerants, the favorable impact of foreign currency translation and increased specialty products volumes. Advanced Materials sales decreased 10% (decreased 10% organic) in the nine months driven primarily by decreased volumes in fluorine products due to lower demand in automotive refrigerants.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Materials and Technologies segment profit decreased in the quarter and nine months due to operating leverage on lower sales volumes and lower sales of higher margin products, partially offset by other productivity actions. Cost of products and services sold decreased in the quarter and nine months primarily due to lower sales volumes.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gridSpan w:val="10"/>
          </w:tcPr>
          <w:p>
            <w:pPr>
              <w:jc w:val="center"/>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9"/>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rPr>
              <w:t>2020 vs. 2019</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6"/>
          </w:tcPr>
          <w:p>
            <w:pPr>
              <w:jc w:val="right"/>
              <w:ind w:right="295"/>
              <w:spacing w:after="0" w:line="142"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6"/>
          </w:tcPr>
          <w:p>
            <w:pPr>
              <w:jc w:val="right"/>
              <w:ind w:right="337"/>
              <w:spacing w:after="0" w:line="14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Sales</w:t>
            </w:r>
          </w:p>
        </w:tc>
        <w:tc>
          <w:tcPr>
            <w:tcW w:w="100" w:type="dxa"/>
            <w:vAlign w:val="bottom"/>
            <w:gridSpan w:val="2"/>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860" w:type="dxa"/>
            <w:vAlign w:val="bottom"/>
          </w:tcPr>
          <w:p>
            <w:pPr>
              <w:jc w:val="center"/>
              <w:ind w:right="117"/>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5"/>
        </w:trPr>
        <w:tc>
          <w:tcPr>
            <w:tcW w:w="506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8"/>
              </w:rPr>
              <w:t>Profit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8 %</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35"/>
        <w:spacing w:after="0" w:line="254" w:lineRule="auto"/>
        <w:rPr>
          <w:sz w:val="20"/>
          <w:szCs w:val="20"/>
          <w:color w:val="auto"/>
        </w:rPr>
      </w:pPr>
      <w:r>
        <w:rPr>
          <w:rFonts w:ascii="Arial" w:cs="Arial" w:eastAsia="Arial" w:hAnsi="Arial"/>
          <w:sz w:val="18"/>
          <w:szCs w:val="18"/>
          <w:color w:val="auto"/>
        </w:rPr>
        <w:t>Safety and Productivity Solutions sales increased in the quarter ended September 30, 2020 due to organic growth. The global pandemic has created significant continued demand for our respiratory PPE and additional demand for on-line shopping services, providing continued support for our warehouse automation services. Sales decreased in the nine months ended September 30, 2020 due to flat organic sales and the unfavorable impact of foreign currency translation.</w:t>
      </w:r>
    </w:p>
    <w:p>
      <w:pPr>
        <w:spacing w:after="0" w:line="231" w:lineRule="exact"/>
        <w:rPr>
          <w:sz w:val="20"/>
          <w:szCs w:val="20"/>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Safety increased 7% (increased 6% organic) in the quarter due to organic sales growth and the favorable impact of foreign currency translation. Safety experienced a significant increase in order volume for respiratory PPE in the quarter due to the global pandemic, partially offset by lower demand for gas sensing and detection equipment. Sales decreased 2% (decreased 2% organic) in the nine months primarily due to lower sales in gas sensing and detection equipment, partially offset by higher sales in PPE.</w:t>
      </w:r>
    </w:p>
    <w:p>
      <w:pPr>
        <w:spacing w:after="0" w:line="23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in Productivity Solutions increased 9% (increased 9% organic) in the quarter due to organic growth in Warehouse and Workflow Solutions and Productivity Solutions and Services. Sales were flat (flat organic) in the nine months primarily due to higher sales in Warehouse and Workflow Solutions, offset by lower sales in Sensing and IoT and Productivity Solutions and Services.</w:t>
      </w:r>
    </w:p>
    <w:p>
      <w:pPr>
        <w:spacing w:after="0" w:line="229" w:lineRule="exact"/>
        <w:rPr>
          <w:sz w:val="20"/>
          <w:szCs w:val="20"/>
          <w:color w:val="auto"/>
        </w:rPr>
      </w:pPr>
    </w:p>
    <w:p>
      <w:pPr>
        <w:jc w:val="both"/>
        <w:ind w:firstLine="235"/>
        <w:spacing w:after="0" w:line="238" w:lineRule="auto"/>
        <w:rPr>
          <w:sz w:val="20"/>
          <w:szCs w:val="20"/>
          <w:color w:val="auto"/>
        </w:rPr>
      </w:pPr>
      <w:r>
        <w:rPr>
          <w:rFonts w:ascii="Arial" w:cs="Arial" w:eastAsia="Arial" w:hAnsi="Arial"/>
          <w:sz w:val="18"/>
          <w:szCs w:val="18"/>
          <w:color w:val="auto"/>
        </w:rPr>
        <w:t>Safety and Productivity Solutions segment profit increased in the quarter and the nine months primarily due to improved productivity and favorable pricing, partially offset by higher sales of lower margin products and higher costs associated with ramping up of respiratory PPE production to meet significant increase in order volume. Cost of products and services sold increased in the quarter and the nine months due to higher organic sales volume, partially offset by higher productivity.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Cash spending related to our repositioning actions was $399 million in the nine months ended September 30, 2020 and was funded through operating cash flows.</w:t>
      </w:r>
    </w:p>
    <w:p>
      <w:pPr>
        <w:spacing w:after="0" w:line="243" w:lineRule="exact"/>
        <w:rPr>
          <w:sz w:val="20"/>
          <w:szCs w:val="20"/>
          <w:color w:val="auto"/>
        </w:rPr>
      </w:pPr>
    </w:p>
    <w:p>
      <w:pPr>
        <w:ind w:left="640" w:hanging="61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Liquidity and Capital Resources</w:t>
      </w:r>
    </w:p>
    <w:p>
      <w:pPr>
        <w:spacing w:after="0" w:line="3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In addition to our available cash and operating cash flows, we maintain additional sources of liquidity, including committed credit lines, short-term debt from the commercial paper market, long-term borrowings, access to the public debt and equity markets and the ability to access non-U.S. cash as a result of U.S. Tax Reform. We use cash generated through operations to invest in our existing core businesses, acquisitions, share repurchases and dividends.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3,426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4,283</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operating activities decreased by $857 million primarily due to lower net income of $1,161 million and an unfavorable impact from changes in other assets and liabilities of $10 million, partially offset by a favorable impact from working capital of $314 million.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investing activities increased by $288 million primarily due to a $320 million increase in payments related to settlements of derivative contracts and $111 million increase in capital expenditures, partially offset by a net decrease in investments of $163 million.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financing activities increased by $4,463 million primarily due to an increase in proceeds from the issuance of long-term debt of $7,380 million and decrease in share repurchases of $1,501 million, partially offset by an increase in payments of long-term debt of $4,117 million and decrease in proceeds from issuance of common stock of $262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businesses is focused on increasing operating cash flows through revenue growth, margin expansion and improved working capital turnover.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To date, the Company has not experienced any limitations in our ability to access these sources of liquidity. Also, considering the current economic environment in which each of our businesses operate, our business strategies and our productivity initiatives, we believe that our cash balances and operating cash flows will remain our principal source of liquidity.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jc w:val="both"/>
        <w:ind w:firstLine="648"/>
        <w:spacing w:after="0" w:line="254" w:lineRule="auto"/>
        <w:rPr>
          <w:sz w:val="20"/>
          <w:szCs w:val="20"/>
          <w:color w:val="auto"/>
        </w:rPr>
      </w:pPr>
      <w:r>
        <w:rPr>
          <w:rFonts w:ascii="Arial" w:cs="Arial" w:eastAsia="Arial" w:hAnsi="Arial"/>
          <w:sz w:val="18"/>
          <w:szCs w:val="18"/>
          <w:color w:val="auto"/>
        </w:rPr>
        <w:t>We monitor the third-party depository institutions that hold our cash and cash equivalents. Our emphasis is primarily safety of principal and secondarily maximizing yield of those funds. We diversify our cash and cash equivalents among counterparties to minimize exposure to any one of these entities. As of September 30, 2020, we held $15.0 billion of cash and cash equivalents and short-term investments.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As of September 30, 2020, we had $3.5 billion of commercial paper notes outstanding.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have the following credit agreements:</w:t>
      </w:r>
    </w:p>
    <w:p>
      <w:pPr>
        <w:spacing w:after="0" w:line="252" w:lineRule="exact"/>
        <w:rPr>
          <w:sz w:val="20"/>
          <w:szCs w:val="20"/>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$1.5 billion 364-Day Credit Agreement (the "364-Day Credit Agreement") with a syndicate of banks, dated April 10, 2020. This 364-Day Credit Agreement is maintained for general corporate purposes. The 364-Day Credit Agreement replaces the previously reported 364-day credit agreement dated as of April 26, 2019, which was terminated on April 10, 2020. As of September 30, 2020, there were no outstanding borrowings under our 364-Day Credit Agreement.</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$4.0 billion Five Year Credit Agreement (the "5-Year Credit Agreement") with a syndicate of banks, dated April 26, 2019. This 5-Year Credit Agreement is maintained for general corporate purposes. Commitments under the 5-Year Credit Agreement can be increased pursuant to the terms of the 5-Year Credit Agreement to an aggregate amount not to exceed $4.5 billion. As of September 30, 2020, there were no outstanding borrowings under our 5-Year Credit Agreement.</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2020, the Company repurchased $2,149 million of outstanding shares. In April 2019, the Board of Directors authorized the repurchase of up to a total of $ 10 billion of Honeywell common stock, which included amounts remaining under, and replaced, the previously approved share repurchase program. As of September 30, 2020, $4.8 billion remained available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continue to identify opportunities to improve our liquidity and negotiate payment terms with our vendors to conform to best in class industry standards. In addition, we facilitate supply chain finance ("SCF") programs with multiple third-party financial institutions. These programs enable our suppliers, at their sole discretion, to sell their receivables from the Company to these financial institutions on terms that are negotiated between the supplier and the respective financial institution. Our obligations, including the amounts due and scheduled payment dates, are not impacted by our suppliers’ decision to sell their receivables under these programs. Amounts due to our suppliers that elected to participate in the SCF programs are included in Accounts payable on the Consolidated Balance Sheet.</w:t>
      </w:r>
    </w:p>
    <w:p>
      <w:pPr>
        <w:spacing w:after="0" w:line="23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 See Part II, Item 1A Risk Factors for discussion of risks related to the COVID-19 pandemic.</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increased the quarterly dividend rate by 3% to $0.93 per share of common stock effective with the fourth quarter 2020 dividend. We believe our strong financial position, continued investments for growth, and effective cost management strategies allow us to increase our quarterly dividend rate.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financial information as of September 30, 2020 should be read in conjunction with the Consolidated Financial Statements for the year ended December 31, 2019 contained in our 2019 Annual Report on Form 10-K.</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2019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22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Quantitative and Qualitative Disclosures About Market Risks</w:t>
      </w:r>
    </w:p>
    <w:p>
      <w:pPr>
        <w:spacing w:after="0" w:line="3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2019 Annual Report on Form 10-K. As of September 30, 2020, there has been no material change in this information</w:t>
      </w:r>
      <w:r>
        <w:rPr>
          <w:rFonts w:ascii="Arial" w:cs="Arial" w:eastAsia="Arial" w:hAnsi="Arial"/>
          <w:sz w:val="18"/>
          <w:szCs w:val="18"/>
          <w:b w:val="1"/>
          <w:bCs w:val="1"/>
          <w:color w:val="auto"/>
        </w:rPr>
        <w:t>.</w:t>
      </w:r>
    </w:p>
    <w:p>
      <w:pPr>
        <w:spacing w:after="0" w:line="24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3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materially affected, or are reasonably likely to materially affect, Honeywell’s internal control over financial reporting that have occurred during the period covered by this Quarterly Report on Form 10-Q.</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not experienced any material impact to our internal control over financial reporting during the COVID-19 pandemic. Most of our employees worked remotely during the period in which we prepared these financial statements due to the impact of COVID-19. We enhanced our oversight and monitoring during the close and reporting process, including investments in expanded VPN capabilities and higher scrutiny and monitoring of cybersecurity threats. Other than enhancing our oversight and monitoring processes, we did not alter or compromise our disclosure controls and procedures. We are continually monitoring and assessing the need to modify or enhance our disclosure controls to ensure disclosure controls and procedures continue to be effective.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8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u w:val="single" w:color="auto"/>
          <w:color w:val="auto"/>
        </w:rPr>
        <w:t>Legal Proceedings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General Legal Matters</w:t>
      </w:r>
    </w:p>
    <w:p>
      <w:pPr>
        <w:spacing w:after="0" w:line="3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242" w:lineRule="exact"/>
        <w:rPr>
          <w:sz w:val="20"/>
          <w:szCs w:val="20"/>
          <w:color w:val="auto"/>
        </w:rPr>
      </w:pPr>
    </w:p>
    <w:p>
      <w:pPr>
        <w:ind w:left="660" w:right="3440" w:firstLine="369"/>
        <w:spacing w:after="0" w:line="387" w:lineRule="auto"/>
        <w:rPr>
          <w:sz w:val="20"/>
          <w:szCs w:val="20"/>
          <w:color w:val="auto"/>
        </w:rPr>
      </w:pPr>
      <w:r>
        <w:rPr>
          <w:rFonts w:ascii="Arial" w:cs="Arial" w:eastAsia="Arial" w:hAnsi="Arial"/>
          <w:sz w:val="18"/>
          <w:szCs w:val="18"/>
          <w:u w:val="single" w:color="auto"/>
          <w:color w:val="auto"/>
        </w:rPr>
        <w:t xml:space="preserve">Environmental Matters Involving Potential Monetary Sanctions in Excess of $100,000 </w:t>
      </w:r>
      <w:r>
        <w:rPr>
          <w:rFonts w:ascii="Arial" w:cs="Arial" w:eastAsia="Arial" w:hAnsi="Arial"/>
          <w:sz w:val="18"/>
          <w:szCs w:val="18"/>
          <w:color w:val="auto"/>
        </w:rPr>
        <w:t>None.</w:t>
      </w:r>
    </w:p>
    <w:p>
      <w:pPr>
        <w:spacing w:after="0" w:line="129"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Risk Factors</w:t>
      </w:r>
    </w:p>
    <w:p>
      <w:pPr>
        <w:spacing w:after="0" w:line="3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than as noted below, there have been no material changes to the disclosure presented in our 2019 Annual Report on Form 10-K under Item 1A. Risk Factors. For a further discussion of our Risk Factors, refer to the “Risk Factors” discussion contained in our 2019 Annual Report on Form 10-K.</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global COVID-19 coronavirus pandemic and related impacts have adversely affected and may continue to adversely affect our business, financial condition, results of operations, liquidity, and cash flow.</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global spread of the coronavirus (COVID-19) has created significant volatility, uncertainty and economic disruption that have negatively impacted our business, operations and financial results. The extent to which the COVID-19 pandemic will continue to impact our business, operations and financial results will depend on numerous evolving factors that we may not be able to accurately predict, including: the duration, scope and severity of the pandemic; governmental, business and individual decisions and actions; the impact of the pandemic on economic activity; and the extent to which we or our employees, customers, suppliers, service providers or other business partners may be prevented from conducting normal business activities for an indefinite period of time, including due to shutdowns that may be requested or mandated by governmental authorities. These factors could, among other things, continue to disrupt (i) the purchasing, contracting and payment behaviors of our customers and their end-users; (ii) our operations, including our manufacturing activities, the shipment of our products, and the performance of our suppliers and service providers; and (iii) our liquidity and cash flow.</w:t>
      </w:r>
    </w:p>
    <w:p>
      <w:pPr>
        <w:spacing w:after="0" w:line="2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Risks arising from the COVID-19 pandemic that have impacted and that may continue to impact our business, financial condition, results of operations and prospects include, among other things:</w:t>
      </w:r>
    </w:p>
    <w:p>
      <w:pPr>
        <w:spacing w:after="0" w:line="225" w:lineRule="exact"/>
        <w:rPr>
          <w:sz w:val="20"/>
          <w:szCs w:val="20"/>
          <w:color w:val="auto"/>
        </w:rPr>
      </w:pPr>
    </w:p>
    <w:p>
      <w:pPr>
        <w:jc w:val="both"/>
        <w:ind w:left="660" w:hanging="328"/>
        <w:spacing w:after="0" w:line="25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Risk. Existing and potential customers and their end-users have taken and may continue to take actions to reduce or suspend operations, reduce or delay spending, cancel contracts, or cut costs in a manner that reduces demand for our products and services. In particular, lower demand for air travel may continue to cause our customers to delay or suspend spending in connection with the manufacturing, repair, overhaul or servicing of aircraft, and there may be long-term deterioration in demand for air travel that could impact our business beyond the current COVID-19 health crisis. Customers may also continue to attempt to renegotiate contracts and obtain concessions, face financial constraints on their ability to make payments to us on a timely basis or at all, or discontinue their business operations, and we may be required to discount the pricing of our products. In addition, unfavorable customer site conditions, such as closure of or access restrictions to customer facilities, and disruptions to our customers’ third-party logistics, warehousing, inventory management and distribution services may continue to limit our ability to sell products, meet billing milestones or provide services.</w:t>
      </w:r>
    </w:p>
    <w:p>
      <w:pPr>
        <w:spacing w:after="0" w:line="23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Operations Risk. The closure of our facilities, restrictions inhibiting our employees’ ability to access those facilities, and disruptions to the ability of our suppliers or service providers to deliver goods or services to us (including as a result of supplier facility closures or access restrictions, disruptions to their supply chains, and supplier liquidity or bankruptcy risk) could disrupt our ability to provide our services and solutions and result in, among other things, terminations of customer contracts and losses of revenue. Because the COVID-19 pandemic could adversely affect our near-term and long-term revenues, earnings, liquidity and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2" w:name="page53"/>
    <w:bookmarkEnd w:id="52"/>
    <w:p>
      <w:pPr>
        <w:jc w:val="both"/>
        <w:ind w:left="660"/>
        <w:spacing w:after="0" w:line="251" w:lineRule="auto"/>
        <w:rPr>
          <w:sz w:val="20"/>
          <w:szCs w:val="20"/>
          <w:color w:val="auto"/>
        </w:rPr>
      </w:pPr>
      <w:r>
        <w:rPr>
          <w:rFonts w:ascii="Arial" w:cs="Arial" w:eastAsia="Arial" w:hAnsi="Arial"/>
          <w:sz w:val="18"/>
          <w:szCs w:val="18"/>
          <w:color w:val="auto"/>
        </w:rPr>
        <w:t>cash flows, we have begun to take and may be required to continue taking significant cost actions, including but not limited to reducing discretionary expenses (such as non-essential travel, contractors, and consultants), reducing hiring, canceling annual merit increases; reducing executive and board of director pay, reducing work schedules across the enterprise, shortening or staggering work schedules to match production with demand, and reducing staffing levels as well as increasing supplier-based productivity and enhancing spending-limit controls. However, our costs may not decrease at the same pace as revenue declines as many of our costs are less variable in nature, and we may not be able to or may not chose to significantly reduce them in an effort to remain focused on long-term outlook and growth opportunities. Remote work and increased frequency of cybersecurity attacks, including phishing and malware attempts that utilize COVID-19-related strategies, increase the risk of a material cybersecurity incident that could result in the loss of proprietary or personal data, render us more vulnerable to future cybersecurity attacks, disrupt our operations, or otherwise cause us reputational or financial harm.</w:t>
      </w:r>
    </w:p>
    <w:p>
      <w:pPr>
        <w:spacing w:after="0" w:line="238" w:lineRule="exact"/>
        <w:rPr>
          <w:sz w:val="20"/>
          <w:szCs w:val="20"/>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Cash Flow Risk. Because of the customer and operations risk described above, our business may not continue to generate sufficient cash flow from operations in the future to service our debt and make necessary capital expenditures. If we are unable to generate such cash flow, we may need to use existing cash balances to service our debt, and if such balances are insufficient, then we may be required to adopt one or more alternatives, such as selling assets, restructuring of existing debt, issuing new debt or obtaining additional equity capital on terms that may be onerous or highly dilutive. Our ability to refinance our indebtedness will depend on the capital markets and our financial condition at such time.</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scope and impact of the COVID-19 pandemic is changing rapidly, additional impacts may arise, and resumption of normal business operations may be delayed or constrained by lingering effects on our suppliers, third-party service providers, and/or customers. A sustained or prolonged COVID-19 pandemic would exacerbate the negative impacts described above and below as well as other risks disclosed in our 2019 Annual Report on Form 10-K under Item 1A. Risk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counterparty and market risk may adversely affect our results of operations and financial condition.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long-term contract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economic conditions could also lead to concerns about the creditworthiness of counterparties in the same or similar industry or geography, impacting our ability to renew our long-term contract arrangements or collect amounts due under these arrangements. Among other factors, changes in economic conditions could also result in the credit deterioration or insolvency of a significant counterparty. On September 20, 2020, Garrett and certain of its affiliates filed voluntary petitions for relief under Chapter 11 of the United States Bankruptcy Code in the United States Bankruptcy Court for the Southern District of New York. As a consequence, we have reduced the receivable amounts due in connection with such agreements by $350 million, which has a corresponding pre-tax and after-tax, non-cash charge to our third quarter 2020 statement of operations. We may be required to record an additional adjustment against those receivable amounts in whole or in part (together with a related statement of operations charge) in a future period or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62" w:lineRule="auto"/>
        <w:rPr>
          <w:sz w:val="20"/>
          <w:szCs w:val="20"/>
          <w:color w:val="auto"/>
        </w:rPr>
      </w:pPr>
      <w:r>
        <w:rPr>
          <w:rFonts w:ascii="Arial" w:cs="Arial" w:eastAsia="Arial" w:hAnsi="Arial"/>
          <w:sz w:val="18"/>
          <w:szCs w:val="18"/>
          <w:b w:val="1"/>
          <w:bCs w:val="1"/>
          <w:i w:val="1"/>
          <w:iCs w:val="1"/>
          <w:color w:val="auto"/>
        </w:rPr>
        <w:t>Garrett is currently subject to bankruptcy proceedings in the United States Bankruptcy Court for the Southern District of New York. We have recorded an adjustment against the receivable amounts owed to us under agreements with Garrett, and depending on developments, we may be required to record an additional adjustment in whole or in part (together with a related statement of operations charge) in a future period or periods.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spin-off of Garrett in October 2018, we entered into an indemnification and reimbursement agreement and a tax matters agreement with Garrett and/or certain Garrett subsidiaries. As of September 30, 2020, Honeywell’s receivables due from Garrett prior to the adjustments described herein, primarily under these agreements, were collectively approximately $1.4 billion. On September 20, 2020, Garrett and certain of its affiliates filed voluntary petitions for relief under Chapter 11 of the United States Bankruptcy Code in the United States Bankruptcy Court for the Southern District of New York. Garrett plans to sell its business while in bankruptcy, and entered into a Proposed Stalking Horse Bid with KPS, which currently contemplates a proposed purchase of Garrett’s business for $2.6 billion. Garrett also entered into a RSA which contemplates that Garrett will file and seek approval of a restructuring plan that implements the sale of Garrett’s business, pays Garrett’s secured creditors from the cash from the sale, and includes as part of the sale certain claims and causes of action against Honeywell and others arising out of the spin-off, with details related to this aspect of its proposed sale structure to be forthcoming. The Proposed Stalking Horse Bid and restructuring plan remain subject to Bankruptcy Court approval. KPS’s purchase of Garrett remains subject to competing bids and Bankruptcy Court approval, as well as customary regulatory approvals and other customary conditions.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2020, we signed a coordination agreement with Oaktree and Centerbridge, which has since been signed by equity holders represented approximately 50% of Garrett’s outstanding Common Stock. The coordination agreement supports an Alternative Proposal that would allow Honeywell to recover over time a significant portion of the receivable amounts owed to us. The Alternative Proposal remains subject to various conditions and milestones, as well as Bankruptcy Court approval, and Garrett has not accepted the Alternative Proposal to date. There can be no assurance that the Alternative Proposal will be approved and confirmed by the Bankruptcy Court.</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Garrett is early in the bankruptcy proceedings and the ultimate outcome of such proceedings is uncertain. We regularly review the aggregate carrying value of the receivable amounts due in connection with the indemnification and reimbursement agreement and the tax matters agreement. Following Garrett’s bankruptcy filing, our review has taken into account, among other things, the potential enterprise value of the Garrett business using publicly available information, Garrett’s implied enterprise value under the Alternative Proposal (which supports our independent assessment), the possibility that there will be additional bids and/or other plan proposals that we believe should reflect the enterprise value of Garrett’s business, and the significant uncertainties associated with the potential outcomes of the Garrett bankruptcy proceedings. Based on such review, we currently believe that we will be able to recover a significant portion, but potentially not all, of the receivable amounts owed to us under the agreements with Garrett. As such, and based on the assumption that the Bankruptcy Court will approve a plan that reflects an enterprise value for Garrett that meets or exceeds our best estimate, we have recorded an adjustment of $350 million against the receivable amounts due in connection with the indemnification and reimbursement agreement and the tax matters agreement. We also recorded a corresponding pre-tax and after-tax, non-cash charge to our statement of operations in the third quarter 2020 in the amount of $350 million. The ultimate outcome of the bankruptcy process is uncertain. As more fully described under "Garrett Bankruptcy Proceedings" above, should any of these assumptions change and depending on the transaction and/or plan of reorganization ultimately approved by the Bankruptcy Court, the amount collected could be more or less than such reduced amount of the remaining receivable amounts recorded in our financial statements. There can be no assurance that recording an additional adjustment against those receivable amounts, in whole or in part, (together with a related statement of operations charge) will not be necessary in a future period or periods.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4" w:name="page55"/>
    <w:bookmarkEnd w:id="54"/>
    <w:p>
      <w:pPr>
        <w:ind w:left="20"/>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u w:val="single" w:color="auto"/>
          <w:color w:val="auto"/>
        </w:rPr>
        <w:t>Unregistered Sales of Equity Securities and Use of Proceeds</w:t>
      </w:r>
    </w:p>
    <w:p>
      <w:pPr>
        <w:spacing w:after="0" w:line="3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purchased 1,011,000 shares of its common stock, par value $ 1 per share, in the quarter ended September 30, 2020. On April 29, 2019, the Board of Directors authorized the repurchase of up to a total of $10 billion of Honeywell common stock, which included amounts remaining under, and replaced, the previously approved share repurchase program. As of September 30, 2020, $4.8 billion remained available for additional share repurchases. The following table summarizes Honeywell’s purchase of its common stock for the quarter ended September 30,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340" w:type="dxa"/>
            <w:vAlign w:val="bottom"/>
            <w:gridSpan w:val="2"/>
          </w:tcPr>
          <w:p>
            <w:pPr>
              <w:ind w:left="66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3340" w:type="dxa"/>
            <w:vAlign w:val="bottom"/>
            <w:gridSpan w:val="2"/>
          </w:tcPr>
          <w:p>
            <w:pPr>
              <w:jc w:val="center"/>
              <w:ind w:left="172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6"/>
                <w:szCs w:val="16"/>
                <w:color w:val="auto"/>
              </w:rPr>
            </w:pPr>
          </w:p>
        </w:tc>
        <w:tc>
          <w:tcPr>
            <w:tcW w:w="1220" w:type="dxa"/>
            <w:vAlign w:val="bottom"/>
          </w:tcPr>
          <w:p>
            <w:pPr>
              <w:jc w:val="center"/>
              <w:ind w:right="42"/>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22"/>
              <w:spacing w:after="0" w:line="148"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22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340" w:type="dxa"/>
            <w:vAlign w:val="bottom"/>
            <w:gridSpan w:val="2"/>
            <w:vMerge w:val="restart"/>
          </w:tcPr>
          <w:p>
            <w:pPr>
              <w:jc w:val="center"/>
              <w:ind w:left="172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1"/>
                <w:szCs w:val="11"/>
                <w:color w:val="auto"/>
              </w:rPr>
            </w:pPr>
          </w:p>
        </w:tc>
        <w:tc>
          <w:tcPr>
            <w:tcW w:w="12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Under Plans or</w:t>
            </w:r>
          </w:p>
        </w:tc>
        <w:tc>
          <w:tcPr>
            <w:tcW w:w="0" w:type="dxa"/>
            <w:vAlign w:val="bottom"/>
          </w:tcPr>
          <w:p>
            <w:pPr>
              <w:spacing w:after="0"/>
              <w:rPr>
                <w:sz w:val="1"/>
                <w:szCs w:val="1"/>
                <w:color w:val="auto"/>
              </w:rPr>
            </w:pPr>
          </w:p>
        </w:tc>
      </w:tr>
      <w:tr>
        <w:trPr>
          <w:trHeight w:val="135"/>
        </w:trPr>
        <w:tc>
          <w:tcPr>
            <w:tcW w:w="366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Period</w:t>
            </w:r>
          </w:p>
        </w:tc>
        <w:tc>
          <w:tcPr>
            <w:tcW w:w="33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Announced Plans</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Programs (Dollars</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auto"/>
            </w:tcBorders>
          </w:tcPr>
          <w:p>
            <w:pPr>
              <w:jc w:val="center"/>
              <w:ind w:left="182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2020</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August 2020</w:t>
            </w:r>
          </w:p>
        </w:tc>
        <w:tc>
          <w:tcPr>
            <w:tcW w:w="32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154.77</w:t>
            </w:r>
          </w:p>
        </w:tc>
        <w:tc>
          <w:tcPr>
            <w:tcW w:w="12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2020</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611,000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26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Other Information</w:t>
      </w:r>
    </w:p>
    <w:p>
      <w:pPr>
        <w:spacing w:after="0" w:line="3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July 28, 2020, the Company entered into an amendment to the indemnification and reimbursement agreement with Resideo, a copy of which is filed herewith as Exhibit 10.1.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such amendment.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5" w:name="page56"/>
    <w:bookmarkEnd w:id="55"/>
    <w:p>
      <w:pPr>
        <w:ind w:left="20"/>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Exhibits</w:t>
      </w:r>
    </w:p>
    <w:p>
      <w:pPr>
        <w:spacing w:after="0" w:line="311"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ind w:left="340"/>
        <w:spacing w:after="0"/>
        <w:tabs>
          <w:tab w:leader="none" w:pos="5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214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6" w:lineRule="exact"/>
        <w:rPr>
          <w:sz w:val="20"/>
          <w:szCs w:val="20"/>
          <w:color w:val="auto"/>
        </w:rPr>
      </w:pPr>
    </w:p>
    <w:p>
      <w:pPr>
        <w:jc w:val="center"/>
        <w:ind w:left="340" w:right="580"/>
        <w:spacing w:after="0" w:line="26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w:anchor="page58">
        <w:r>
          <w:rPr>
            <w:rFonts w:ascii="Arial" w:cs="Arial" w:eastAsia="Arial" w:hAnsi="Arial"/>
            <w:sz w:val="18"/>
            <w:szCs w:val="18"/>
            <w:u w:val="single" w:color="auto"/>
            <w:color w:val="0000FF"/>
          </w:rPr>
          <w:t>Second Amendment, dated July 28, 2020, to Indemnification and Reimbursement Agreement dated</w:t>
        </w:r>
      </w:hyperlink>
      <w:r>
        <w:rPr>
          <w:rFonts w:ascii="Arial" w:cs="Arial" w:eastAsia="Arial" w:hAnsi="Arial"/>
          <w:sz w:val="18"/>
          <w:szCs w:val="18"/>
          <w:color w:val="auto"/>
        </w:rPr>
        <w:t xml:space="preserve"> </w:t>
      </w:r>
      <w:hyperlink w:anchor="page58">
        <w:r>
          <w:rPr>
            <w:rFonts w:ascii="Arial" w:cs="Arial" w:eastAsia="Arial" w:hAnsi="Arial"/>
            <w:sz w:val="18"/>
            <w:szCs w:val="18"/>
            <w:u w:val="single" w:color="auto"/>
            <w:color w:val="0000FF"/>
          </w:rPr>
          <w:t>October 14, 2018 among Honeywell and Resideo Intermediate Holding Inc. (filed herewith)</w:t>
        </w:r>
      </w:hyperlink>
    </w:p>
    <w:p>
      <w:pPr>
        <w:spacing w:after="0" w:line="63" w:lineRule="exact"/>
        <w:rPr>
          <w:sz w:val="20"/>
          <w:szCs w:val="20"/>
          <w:color w:val="auto"/>
        </w:rPr>
      </w:pPr>
    </w:p>
    <w:p>
      <w:pPr>
        <w:jc w:val="center"/>
        <w:ind w:right="19"/>
        <w:spacing w:after="0"/>
        <w:tabs>
          <w:tab w:leader="none" w:pos="34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w:anchor="page61">
        <w:r>
          <w:rPr>
            <w:rFonts w:ascii="Arial" w:cs="Arial" w:eastAsia="Arial" w:hAnsi="Arial"/>
            <w:sz w:val="17"/>
            <w:szCs w:val="17"/>
            <w:u w:val="single" w:color="auto"/>
            <w:color w:val="0000FF"/>
          </w:rPr>
          <w:t>Amendment to 2016 Stock Incentive Plan of Honeywell International Inc. and its Affiliates (filed herewith)</w:t>
        </w:r>
      </w:hyperlink>
    </w:p>
    <w:p>
      <w:pPr>
        <w:spacing w:after="0" w:line="77" w:lineRule="exact"/>
        <w:rPr>
          <w:sz w:val="20"/>
          <w:szCs w:val="20"/>
          <w:color w:val="auto"/>
        </w:rPr>
      </w:pPr>
    </w:p>
    <w:p>
      <w:pPr>
        <w:ind w:left="1300" w:hanging="551"/>
        <w:spacing w:after="0"/>
        <w:tabs>
          <w:tab w:leader="none" w:pos="1300" w:val="left"/>
        </w:tabs>
        <w:numPr>
          <w:ilvl w:val="0"/>
          <w:numId w:val="21"/>
        </w:numPr>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Deloitte &amp; Touche LLP preferability letter related to the change in accounting principle for inventories</w:t>
        </w:r>
      </w:hyperlink>
    </w:p>
    <w:p>
      <w:pPr>
        <w:spacing w:after="0" w:line="77" w:lineRule="exact"/>
        <w:rPr>
          <w:sz w:val="20"/>
          <w:szCs w:val="20"/>
          <w:color w:val="auto"/>
        </w:rPr>
      </w:pPr>
    </w:p>
    <w:p>
      <w:pPr>
        <w:jc w:val="both"/>
        <w:ind w:left="1300" w:right="379" w:hanging="696"/>
        <w:spacing w:after="0" w:line="22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63">
        <w:r>
          <w:rPr>
            <w:rFonts w:ascii="Arial" w:cs="Arial" w:eastAsia="Arial" w:hAnsi="Arial"/>
            <w:sz w:val="18"/>
            <w:szCs w:val="18"/>
            <w:u w:val="single" w:color="auto"/>
            <w:color w:val="0000FF"/>
          </w:rPr>
          <w:t>Certification of Principal Executive Officer Pursuant to Section 302 of the Sarbanes-Oxley Act of 2002</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(filed herewith)</w:t>
        </w:r>
      </w:hyperlink>
    </w:p>
    <w:p>
      <w:pPr>
        <w:spacing w:after="0" w:line="67" w:lineRule="exact"/>
        <w:rPr>
          <w:sz w:val="20"/>
          <w:szCs w:val="20"/>
          <w:color w:val="auto"/>
        </w:rPr>
      </w:pPr>
    </w:p>
    <w:p>
      <w:pPr>
        <w:jc w:val="both"/>
        <w:ind w:left="1300" w:right="379" w:hanging="696"/>
        <w:spacing w:after="0" w:line="22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64">
        <w:r>
          <w:rPr>
            <w:rFonts w:ascii="Arial" w:cs="Arial" w:eastAsia="Arial" w:hAnsi="Arial"/>
            <w:sz w:val="18"/>
            <w:szCs w:val="18"/>
            <w:u w:val="single" w:color="auto"/>
            <w:color w:val="0000FF"/>
          </w:rPr>
          <w:t>Certification of Principal Financial Officer Pursuant to Section 302 of the Sarbanes-Oxley Act of 2002 (filed</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herewith)</w:t>
        </w:r>
      </w:hyperlink>
    </w:p>
    <w:p>
      <w:pPr>
        <w:spacing w:after="0" w:line="67" w:lineRule="exact"/>
        <w:rPr>
          <w:sz w:val="20"/>
          <w:szCs w:val="20"/>
          <w:color w:val="auto"/>
        </w:rPr>
      </w:pPr>
    </w:p>
    <w:p>
      <w:pPr>
        <w:jc w:val="both"/>
        <w:ind w:left="1300" w:right="379" w:hanging="696"/>
        <w:spacing w:after="0" w:line="219"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65">
        <w:r>
          <w:rPr>
            <w:rFonts w:ascii="Arial" w:cs="Arial" w:eastAsia="Arial" w:hAnsi="Arial"/>
            <w:sz w:val="18"/>
            <w:szCs w:val="18"/>
            <w:u w:val="single" w:color="auto"/>
            <w:color w:val="0000FF"/>
          </w:rPr>
          <w:t>Certification of Principal Executive Officer Pursuant to 18 U.S.C. Section 1350, as Adopted Pursuant to</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Section 906 of the Sarbanes-Oxley Act of 2002 (filed herewith) Executive Officer Pursuant to 18 U.S.C.</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Section 1350, as Adopted Pursuant to Section 906 of the Sarbanes-Oxley Act of 2002 (filed herewith)</w:t>
        </w:r>
      </w:hyperlink>
    </w:p>
    <w:p>
      <w:pPr>
        <w:spacing w:after="0" w:line="68" w:lineRule="exact"/>
        <w:rPr>
          <w:rFonts w:ascii="Arial" w:cs="Arial" w:eastAsia="Arial" w:hAnsi="Arial"/>
          <w:sz w:val="18"/>
          <w:szCs w:val="18"/>
          <w:u w:val="single" w:color="auto"/>
          <w:color w:val="0000FF"/>
        </w:rPr>
      </w:pPr>
    </w:p>
    <w:p>
      <w:pPr>
        <w:jc w:val="both"/>
        <w:ind w:left="1300" w:right="359" w:hanging="696"/>
        <w:spacing w:after="0" w:line="22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66">
        <w:r>
          <w:rPr>
            <w:rFonts w:ascii="Arial" w:cs="Arial" w:eastAsia="Arial" w:hAnsi="Arial"/>
            <w:sz w:val="18"/>
            <w:szCs w:val="18"/>
            <w:u w:val="single" w:color="auto"/>
            <w:color w:val="0000FF"/>
          </w:rPr>
          <w:t>Certification of Principal Financial Officer Pursuant to 18 U.S.C. Section 1350, as Adopted Pursuant to</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Section 906 of the Sarbanes-Oxley Act of 2002 (filed herewith)</w:t>
        </w:r>
      </w:hyperlink>
    </w:p>
    <w:p>
      <w:pPr>
        <w:spacing w:after="0" w:line="67" w:lineRule="exact"/>
        <w:rPr>
          <w:sz w:val="20"/>
          <w:szCs w:val="20"/>
          <w:color w:val="auto"/>
        </w:rPr>
      </w:pPr>
    </w:p>
    <w:p>
      <w:pPr>
        <w:ind w:left="1300" w:hanging="551"/>
        <w:spacing w:after="0"/>
        <w:tabs>
          <w:tab w:leader="none" w:pos="1300" w:val="left"/>
        </w:tabs>
        <w:numPr>
          <w:ilvl w:val="0"/>
          <w:numId w:val="22"/>
        </w:numPr>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Mine Safety Disclosures</w:t>
        </w:r>
      </w:hyperlink>
    </w:p>
    <w:p>
      <w:pPr>
        <w:spacing w:after="0" w:line="4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8660" w:type="dxa"/>
            <w:vAlign w:val="bottom"/>
          </w:tcPr>
          <w:p>
            <w:pPr>
              <w:ind w:left="180"/>
              <w:spacing w:after="0"/>
              <w:rPr>
                <w:sz w:val="20"/>
                <w:szCs w:val="20"/>
                <w:color w:val="auto"/>
              </w:rPr>
            </w:pPr>
            <w:r>
              <w:rPr>
                <w:rFonts w:ascii="Arial" w:cs="Arial" w:eastAsia="Arial" w:hAnsi="Arial"/>
                <w:sz w:val="18"/>
                <w:szCs w:val="18"/>
                <w:color w:val="auto"/>
              </w:rPr>
              <w:t>The following financial statements from the Company's Quarterly Report on Form 10-Q for the quarter and</w:t>
            </w:r>
          </w:p>
        </w:tc>
      </w:tr>
      <w:tr>
        <w:trPr>
          <w:trHeight w:val="175"/>
        </w:trPr>
        <w:tc>
          <w:tcPr>
            <w:tcW w:w="900" w:type="dxa"/>
            <w:vAlign w:val="bottom"/>
          </w:tcPr>
          <w:p>
            <w:pPr>
              <w:spacing w:after="0"/>
              <w:rPr>
                <w:sz w:val="15"/>
                <w:szCs w:val="15"/>
                <w:color w:val="auto"/>
              </w:rPr>
            </w:pPr>
          </w:p>
        </w:tc>
        <w:tc>
          <w:tcPr>
            <w:tcW w:w="8660" w:type="dxa"/>
            <w:vAlign w:val="bottom"/>
          </w:tcPr>
          <w:p>
            <w:pPr>
              <w:ind w:left="180"/>
              <w:spacing w:after="0" w:line="176" w:lineRule="exact"/>
              <w:rPr>
                <w:sz w:val="20"/>
                <w:szCs w:val="20"/>
                <w:color w:val="auto"/>
              </w:rPr>
            </w:pPr>
            <w:r>
              <w:rPr>
                <w:rFonts w:ascii="Arial" w:cs="Arial" w:eastAsia="Arial" w:hAnsi="Arial"/>
                <w:sz w:val="18"/>
                <w:szCs w:val="18"/>
                <w:color w:val="auto"/>
              </w:rPr>
              <w:t>nine months ended September 30, 2020, formatted in Inline XBRL: (i) Consolidated Statements of Cash</w:t>
            </w:r>
          </w:p>
        </w:tc>
      </w:tr>
      <w:tr>
        <w:trPr>
          <w:trHeight w:val="176"/>
        </w:trPr>
        <w:tc>
          <w:tcPr>
            <w:tcW w:w="900" w:type="dxa"/>
            <w:vAlign w:val="bottom"/>
          </w:tcPr>
          <w:p>
            <w:pPr>
              <w:spacing w:after="0"/>
              <w:rPr>
                <w:sz w:val="15"/>
                <w:szCs w:val="15"/>
                <w:color w:val="auto"/>
              </w:rPr>
            </w:pPr>
          </w:p>
        </w:tc>
        <w:tc>
          <w:tcPr>
            <w:tcW w:w="8660" w:type="dxa"/>
            <w:vAlign w:val="bottom"/>
          </w:tcPr>
          <w:p>
            <w:pPr>
              <w:ind w:left="180"/>
              <w:spacing w:after="0" w:line="176" w:lineRule="exact"/>
              <w:rPr>
                <w:sz w:val="20"/>
                <w:szCs w:val="20"/>
                <w:color w:val="auto"/>
              </w:rPr>
            </w:pPr>
            <w:r>
              <w:rPr>
                <w:rFonts w:ascii="Arial" w:cs="Arial" w:eastAsia="Arial" w:hAnsi="Arial"/>
                <w:sz w:val="18"/>
                <w:szCs w:val="18"/>
                <w:color w:val="auto"/>
              </w:rPr>
              <w:t>Flows, (ii) Consolidated Statements of Operations, (iii) Consolidated Statements of Comprehensive</w:t>
            </w:r>
          </w:p>
        </w:tc>
      </w:tr>
      <w:tr>
        <w:trPr>
          <w:trHeight w:val="176"/>
        </w:trPr>
        <w:tc>
          <w:tcPr>
            <w:tcW w:w="900" w:type="dxa"/>
            <w:vAlign w:val="bottom"/>
          </w:tcPr>
          <w:p>
            <w:pPr>
              <w:spacing w:after="0"/>
              <w:rPr>
                <w:sz w:val="15"/>
                <w:szCs w:val="15"/>
                <w:color w:val="auto"/>
              </w:rPr>
            </w:pPr>
          </w:p>
        </w:tc>
        <w:tc>
          <w:tcPr>
            <w:tcW w:w="8660" w:type="dxa"/>
            <w:vAlign w:val="bottom"/>
          </w:tcPr>
          <w:p>
            <w:pPr>
              <w:ind w:left="180"/>
              <w:spacing w:after="0" w:line="176" w:lineRule="exact"/>
              <w:rPr>
                <w:sz w:val="20"/>
                <w:szCs w:val="20"/>
                <w:color w:val="auto"/>
              </w:rPr>
            </w:pPr>
            <w:r>
              <w:rPr>
                <w:rFonts w:ascii="Arial" w:cs="Arial" w:eastAsia="Arial" w:hAnsi="Arial"/>
                <w:sz w:val="18"/>
                <w:szCs w:val="18"/>
                <w:color w:val="auto"/>
              </w:rPr>
              <w:t>Income, (iv) Consolidated Balance Sheet, and (v) Notes to Consolidated Financial Statements, tagged as</w:t>
            </w:r>
          </w:p>
        </w:tc>
      </w:tr>
      <w:tr>
        <w:trPr>
          <w:trHeight w:val="217"/>
        </w:trPr>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blocks of text and including detailed tags.</w:t>
            </w:r>
          </w:p>
        </w:tc>
      </w:tr>
      <w:tr>
        <w:trPr>
          <w:trHeight w:val="28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5"/>
              </w:rPr>
              <w:t>101.SCH</w:t>
            </w:r>
          </w:p>
        </w:tc>
        <w:tc>
          <w:tcPr>
            <w:tcW w:w="8660" w:type="dxa"/>
            <w:vAlign w:val="bottom"/>
          </w:tcPr>
          <w:p>
            <w:pPr>
              <w:ind w:left="180"/>
              <w:spacing w:after="0"/>
              <w:rPr>
                <w:sz w:val="20"/>
                <w:szCs w:val="20"/>
                <w:color w:val="auto"/>
              </w:rPr>
            </w:pPr>
            <w:r>
              <w:rPr>
                <w:rFonts w:ascii="Arial" w:cs="Arial" w:eastAsia="Arial" w:hAnsi="Arial"/>
                <w:sz w:val="18"/>
                <w:szCs w:val="18"/>
                <w:color w:val="auto"/>
              </w:rPr>
              <w:t>Inline XBRL Taxonomy Extension Schema (filed herewith)</w:t>
            </w:r>
          </w:p>
        </w:tc>
      </w:tr>
      <w:tr>
        <w:trPr>
          <w:trHeight w:val="28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9"/>
              </w:rPr>
              <w:t>101.CAL</w:t>
            </w:r>
          </w:p>
        </w:tc>
        <w:tc>
          <w:tcPr>
            <w:tcW w:w="866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84"/>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8"/>
              </w:rPr>
              <w:t>101.DEF</w:t>
            </w:r>
          </w:p>
        </w:tc>
        <w:tc>
          <w:tcPr>
            <w:tcW w:w="86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283"/>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86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284"/>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7"/>
              </w:rPr>
              <w:t>101.PRE</w:t>
            </w:r>
          </w:p>
        </w:tc>
        <w:tc>
          <w:tcPr>
            <w:tcW w:w="86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67" w:lineRule="exact"/>
        <w:rPr>
          <w:sz w:val="20"/>
          <w:szCs w:val="20"/>
          <w:color w:val="auto"/>
        </w:rPr>
      </w:pPr>
    </w:p>
    <w:p>
      <w:pPr>
        <w:ind w:left="1300" w:right="359" w:hanging="652"/>
        <w:spacing w:after="0" w:line="22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from the Company’s Quarterly Report on Form 10-Q for the quarter and nine months ended September 30, 2020, formatted in Inline XBRL (and contained in Exhibit 101)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212529"/>
        </w:rPr>
        <w:t>The Exhibits identified above with an asterisk (*) are management contracts or compensatory plans or arrangements.</w:t>
      </w:r>
    </w:p>
    <w:p>
      <w:pPr>
        <w:spacing w:after="0" w:line="200" w:lineRule="exact"/>
        <w:rPr>
          <w:sz w:val="20"/>
          <w:szCs w:val="20"/>
          <w:color w:val="auto"/>
        </w:rPr>
      </w:pP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Honeywell International Inc.</w:t>
      </w:r>
    </w:p>
    <w:p>
      <w:pPr>
        <w:spacing w:after="0" w:line="252" w:lineRule="exact"/>
        <w:rPr>
          <w:sz w:val="20"/>
          <w:szCs w:val="20"/>
          <w:color w:val="auto"/>
        </w:rPr>
      </w:pPr>
    </w:p>
    <w:p>
      <w:pPr>
        <w:ind w:left="20"/>
        <w:spacing w:after="0"/>
        <w:tabs>
          <w:tab w:leader="none" w:pos="6760" w:val="left"/>
          <w:tab w:leader="none" w:pos="728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6350</wp:posOffset>
            </wp:positionV>
            <wp:extent cx="24949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8"/>
          <w:szCs w:val="18"/>
          <w:color w:val="auto"/>
        </w:rPr>
        <w:t>Robert D. Mailloux</w:t>
      </w:r>
    </w:p>
    <w:p>
      <w:pPr>
        <w:ind w:left="7300"/>
        <w:spacing w:after="0" w:line="203" w:lineRule="auto"/>
        <w:rPr>
          <w:sz w:val="20"/>
          <w:szCs w:val="20"/>
          <w:color w:val="auto"/>
        </w:rPr>
      </w:pPr>
      <w:r>
        <w:rPr>
          <w:rFonts w:ascii="Arial" w:cs="Arial" w:eastAsia="Arial" w:hAnsi="Arial"/>
          <w:sz w:val="18"/>
          <w:szCs w:val="18"/>
          <w:color w:val="auto"/>
        </w:rPr>
        <w:t>Vice President and Controller</w:t>
      </w:r>
    </w:p>
    <w:p>
      <w:pPr>
        <w:ind w:left="7300"/>
        <w:spacing w:after="0" w:line="203" w:lineRule="auto"/>
        <w:rPr>
          <w:sz w:val="20"/>
          <w:szCs w:val="20"/>
          <w:color w:val="auto"/>
        </w:rPr>
      </w:pPr>
      <w:r>
        <w:rPr>
          <w:rFonts w:ascii="Arial" w:cs="Arial" w:eastAsia="Arial" w:hAnsi="Arial"/>
          <w:sz w:val="18"/>
          <w:szCs w:val="18"/>
          <w:color w:val="auto"/>
        </w:rPr>
        <w:t>(on behalf of the Registrant</w:t>
      </w:r>
    </w:p>
    <w:p>
      <w:pPr>
        <w:ind w:left="7300"/>
        <w:spacing w:after="0" w:line="204" w:lineRule="auto"/>
        <w:rPr>
          <w:sz w:val="20"/>
          <w:szCs w:val="20"/>
          <w:color w:val="auto"/>
        </w:rPr>
      </w:pPr>
      <w:r>
        <w:rPr>
          <w:rFonts w:ascii="Arial" w:cs="Arial" w:eastAsia="Arial" w:hAnsi="Arial"/>
          <w:sz w:val="18"/>
          <w:szCs w:val="18"/>
          <w:color w:val="auto"/>
        </w:rPr>
        <w:t>and as the Registrant’s</w:t>
      </w:r>
    </w:p>
    <w:p>
      <w:pPr>
        <w:ind w:left="73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INDEMNIFICATION AND REIMBURSEMENT AGREEMENT</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This Second Amendment to INDEMNIFICATION AND REIMBURSEMENT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dated as of July 28, 2020, by and between (i) Honeywell International Inc., a corporation organized under the Laws of the State of Delaware (“</w:t>
      </w:r>
      <w:r>
        <w:rPr>
          <w:rFonts w:ascii="Arial" w:cs="Arial" w:eastAsia="Arial" w:hAnsi="Arial"/>
          <w:sz w:val="17"/>
          <w:szCs w:val="17"/>
          <w:b w:val="1"/>
          <w:bCs w:val="1"/>
          <w:color w:val="auto"/>
        </w:rPr>
        <w:t>Indemnitee</w:t>
      </w:r>
      <w:r>
        <w:rPr>
          <w:rFonts w:ascii="Arial" w:cs="Arial" w:eastAsia="Arial" w:hAnsi="Arial"/>
          <w:sz w:val="17"/>
          <w:szCs w:val="17"/>
          <w:color w:val="auto"/>
        </w:rPr>
        <w:t>” or “</w:t>
      </w:r>
      <w:r>
        <w:rPr>
          <w:rFonts w:ascii="Arial" w:cs="Arial" w:eastAsia="Arial" w:hAnsi="Arial"/>
          <w:sz w:val="17"/>
          <w:szCs w:val="17"/>
          <w:b w:val="1"/>
          <w:bCs w:val="1"/>
          <w:color w:val="auto"/>
        </w:rPr>
        <w:t>Honeywell</w:t>
      </w:r>
      <w:r>
        <w:rPr>
          <w:rFonts w:ascii="Arial" w:cs="Arial" w:eastAsia="Arial" w:hAnsi="Arial"/>
          <w:sz w:val="17"/>
          <w:szCs w:val="17"/>
          <w:color w:val="auto"/>
        </w:rPr>
        <w:t>”), and (ii) Resideo Intermediate Holding Inc., a corporation organized under the Laws of the State of Delaware (“</w:t>
      </w:r>
      <w:r>
        <w:rPr>
          <w:rFonts w:ascii="Arial" w:cs="Arial" w:eastAsia="Arial" w:hAnsi="Arial"/>
          <w:sz w:val="17"/>
          <w:szCs w:val="17"/>
          <w:b w:val="1"/>
          <w:bCs w:val="1"/>
          <w:color w:val="auto"/>
        </w:rPr>
        <w:t>Indemnitor</w:t>
      </w:r>
      <w:r>
        <w:rPr>
          <w:rFonts w:ascii="Arial" w:cs="Arial" w:eastAsia="Arial" w:hAnsi="Arial"/>
          <w:sz w:val="17"/>
          <w:szCs w:val="17"/>
          <w:color w:val="auto"/>
        </w:rPr>
        <w:t>”), amends that certain Indemnification and Reimbursement Agreement, dated October 14, 2018, by and between (A) Honeywell and (B) New HAPI Inc., a corporation organized under the Laws of the State of Delaware (subsequently assigned to Indemnitor), as amended by the First Amendment thereto, dated as of April 21, 2020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(as so amended, the “</w:t>
      </w:r>
      <w:r>
        <w:rPr>
          <w:rFonts w:ascii="Arial" w:cs="Arial" w:eastAsia="Arial" w:hAnsi="Arial"/>
          <w:sz w:val="17"/>
          <w:szCs w:val="17"/>
          <w:b w:val="1"/>
          <w:bCs w:val="1"/>
          <w:color w:val="auto"/>
        </w:rPr>
        <w:t>Indemnification and Reimbursement Agreement</w:t>
      </w:r>
      <w:r>
        <w:rPr>
          <w:rFonts w:ascii="Arial" w:cs="Arial" w:eastAsia="Arial" w:hAnsi="Arial"/>
          <w:sz w:val="17"/>
          <w:szCs w:val="17"/>
          <w:color w:val="auto"/>
        </w:rPr>
        <w:t>”). Capitalized terms used herein but not otherwise defined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meanings assigned to such terms in the Indemnification and Reimbursement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WHEREAS, the amendments to the Indemnification and Reimbursement Agreement contemplated herein do not include any such amendment of the late payment fee set forth in Section 2.5(b) of the Indemnification and Reimbursement Agreement;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the Indemnification and Reimbursement Agreement in the manner set forth herein.</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NOW, THEREFORE, in accordance with Section 4.13 of the Indemnification and Reimbursement Agreement, the Parties agree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1.1 Notwithstanding anything contained in the Indemnification and Reimbursement Agreement to the contrary, (a) the Quarterly Payment that was originally due thirty (30) days following the start of the second Fiscal Quarter of 2020, which was previously deferred pursuant to the First Amendment until no later than July 30, 2020, shall not be paid by Indemnitor on July 30, 2020 pursuant to the Indemnification and Reimbursement Agreement (such Quarterly Payment, the “Deferred Payment”), and (b) subject to the terms and conditions set forth in the Indemnification and Reimbursement Agreement, the Deferred Payment shall be paid by Indemnitor to Indemnitee no later than October 30, 2020. For the avoidance of doubt, (i) no interest or late fees shall accrue or be payable in respect of the Deferred Payment as a result of Indemnitor’s failure to make the Deferred Payment on July 30, 2020, (ii) the Deferred Payment shall be (A) deemed a Quarterly Payment for all purposes of the Indemnification and Reimbursement Agreement and otherwise, with a Quarterly Payment Date of the earlier of (x) the date on which Indemnitor elects to make such Deferred Payment and (y) October 30, 2020, and (B) in addition to any other Quarterly Payment payable on such Quarterly Payment Date pursuant to the Indemnification and Reimbursement Agreement, and (iii) no breach of or Default under the Indemnification and Reimbursement Agreement shall arise or result from the failure to make the Deferred Payment on July 30, 2020. For the avoidance of doubt, Indemnitor shall pay to Indemnitee the Quarterly Payment that is due thirty (30) days following the start of the third Fiscal Quarter of 2020 no later than July 30, 2020.</w:t>
      </w:r>
    </w:p>
    <w:p>
      <w:pPr>
        <w:sectPr>
          <w:pgSz w:w="11900" w:h="16838" w:orient="portrait"/>
          <w:cols w:equalWidth="0" w:num="1">
            <w:col w:w="11240"/>
          </w:cols>
          <w:pgMar w:left="320" w:top="1417" w:right="339" w:bottom="1440" w:gutter="0" w:footer="0" w:header="0"/>
        </w:sectPr>
      </w:pPr>
    </w:p>
    <w:bookmarkStart w:id="58" w:name="page59"/>
    <w:bookmarkEnd w:id="58"/>
    <w:p>
      <w:pPr>
        <w:jc w:val="both"/>
        <w:ind w:firstLine="648"/>
        <w:spacing w:after="0" w:line="265" w:lineRule="auto"/>
        <w:rPr>
          <w:sz w:val="20"/>
          <w:szCs w:val="20"/>
          <w:color w:val="auto"/>
        </w:rPr>
      </w:pPr>
      <w:r>
        <w:rPr>
          <w:rFonts w:ascii="Arial" w:cs="Arial" w:eastAsia="Arial" w:hAnsi="Arial"/>
          <w:sz w:val="16"/>
          <w:szCs w:val="16"/>
          <w:color w:val="auto"/>
        </w:rPr>
        <w:t>1.2 Notwithstanding anything contained in this Amendment to the contrary, neither the execution of this Amendment nor anything herein contained (including in any exhibit, annex or schedule hereto) is intended to be, nor shall it be deemed to be, nor shall any Party assert it to be (or allow any Affiliate or Representative thereof to assert it to be) or use it for the purpose of (including in any litigation, arbitration, proceeding or other dispute related to the Indemnification and Reimbursement Agreement, any other contract or agreement between any of the Parties or any Affiliates thereof (collectively, the “</w:t>
      </w:r>
      <w:r>
        <w:rPr>
          <w:rFonts w:ascii="Arial" w:cs="Arial" w:eastAsia="Arial" w:hAnsi="Arial"/>
          <w:sz w:val="19"/>
          <w:szCs w:val="19"/>
          <w:b w:val="1"/>
          <w:bCs w:val="1"/>
          <w:color w:val="auto"/>
        </w:rPr>
        <w:t>Other Agreements</w:t>
      </w:r>
      <w:r>
        <w:rPr>
          <w:rFonts w:ascii="Arial" w:cs="Arial" w:eastAsia="Arial" w:hAnsi="Arial"/>
          <w:sz w:val="16"/>
          <w:szCs w:val="16"/>
          <w:color w:val="auto"/>
        </w:rPr>
        <w:t>”) or otherwise): (A) an admission or concession of any Default, breach or non-compliance under the Indemnification and Reimbursement Agreement or any Other Agreement, (B) an admission or concession as to any matters relating to the Indemnification and Reimbursement Agreement, any Other Agreement or any terms or provisions thereof, or (C) a waiver of any claims, rights, remedies, defenses, arguments, interpretations or obligations of the Parties or any of their Affiliates under or related to the Indemnification and Reimbursement Agreement or any Other Agreement; provided, that, any Party may use this Amendment to seek to enforce the terms of the Indemnification and Reimbursement Agreement (as amended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4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References</w:t>
      </w:r>
      <w:r>
        <w:rPr>
          <w:rFonts w:ascii="Arial" w:cs="Arial" w:eastAsia="Arial" w:hAnsi="Arial"/>
          <w:sz w:val="18"/>
          <w:szCs w:val="18"/>
          <w:color w:val="auto"/>
        </w:rPr>
        <w:t>. Each reference in the Indemnification and Reimbursement Agreement shall, unless the context otherwise requires, mean the Indemnification and Reimbursement Agreement as amended by this Amendment and the First Amendment.</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Other Amendments; Continuing Effect</w:t>
      </w:r>
      <w:r>
        <w:rPr>
          <w:rFonts w:ascii="Arial" w:cs="Arial" w:eastAsia="Arial" w:hAnsi="Arial"/>
          <w:sz w:val="18"/>
          <w:szCs w:val="18"/>
          <w:color w:val="auto"/>
        </w:rPr>
        <w:t>. The amendments set forth herein are limited precisely as written and will not be deemed to be an amendment to any other term or condition of the Indemnification and Reimbursement Agreement or any of the documents referred to therein. Except as expressly amended hereby and subject to the terms set forth in Section 1.2 hereof, the terms and conditions of the Indemnification and Reimbursement Agreement shall continue in full force and effect.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Representations and Warranties; No Defaults; No Waivers</w:t>
      </w:r>
      <w:r>
        <w:rPr>
          <w:rFonts w:ascii="Arial" w:cs="Arial" w:eastAsia="Arial" w:hAnsi="Arial"/>
          <w:sz w:val="17"/>
          <w:szCs w:val="17"/>
          <w:color w:val="auto"/>
        </w:rPr>
        <w:t>. The representations and warranties contained in Sections 4.2 (a), (b) and (c) of the Indemnification and Reimbursement Agreement are hereby restated by each Party and incorporated herein by reference. Indemnitor represents and warrants that as of the date hereof, after giving effect to this Amendment, no default or event of default has occurred and is continuing under any of the Indemnification and Reimbursement Agreement, the Current Credit Agreement (as amended by the First Amendment to the Credit Agreement) or any other Loan Document (as defined in the Current Credit Agreement), or any other Indebtedness (as defined in the Current Credit Agreement) of the Indemnitor or any of its subsidiaries. This Amendment is not a waiver of, or consent to, any default or event of default now existing or hereafter arising under the Indemnification and Reimbursement Agreement (as amended by this Amendment), the Current Credit Agreement (as amended by the First Amendment to the Credit Agreement), any other Loan Document (as defined in the Current Credit Agreement) or any other Indebtedness (as defined in the Current Credit Agreement) of the Indemnitor or any of its subsidiaries.</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Dispute Resolution; Governing Law; Jurisdiction; WAIVER OF JURY TRIAL; Interpretation, Etc</w:t>
      </w:r>
      <w:r>
        <w:rPr>
          <w:rFonts w:ascii="Arial" w:cs="Arial" w:eastAsia="Arial" w:hAnsi="Arial"/>
          <w:sz w:val="18"/>
          <w:szCs w:val="18"/>
          <w:color w:val="auto"/>
        </w:rPr>
        <w:t xml:space="preserve">. The provisions of Section 4.3 (“Dispute Resolution”), Section 4.4 (“Governing Law; Jurisdiction”), Section 4.5 (“Waiver of Jury Trial”), Section 4.6 (“Court-Ordered Interim Relief”) and Section 4.14 (“Interpretation”) of the Indemnification and Reimbursement Agreement are hereby incorporated herein by reference and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Successors</w:t>
      </w:r>
      <w:r>
        <w:rPr>
          <w:rFonts w:ascii="Arial" w:cs="Arial" w:eastAsia="Arial" w:hAnsi="Arial"/>
          <w:sz w:val="16"/>
          <w:szCs w:val="16"/>
          <w:color w:val="auto"/>
        </w:rPr>
        <w:t>. This Amendment shall be binding upon and shall inure to the benefit of the Parties and their respective successors and permitted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240"/>
          </w:cols>
          <w:pgMar w:left="320" w:top="1421"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HONEYWELL INTERNATIONAL INC.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Anne T. Madden</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Anne T. Madden</w:t>
      </w:r>
    </w:p>
    <w:p>
      <w:pPr>
        <w:ind w:left="3240"/>
        <w:spacing w:after="0"/>
        <w:rPr>
          <w:sz w:val="20"/>
          <w:szCs w:val="20"/>
          <w:color w:val="auto"/>
        </w:rPr>
      </w:pPr>
      <w:r>
        <w:rPr>
          <w:rFonts w:ascii="Arial" w:cs="Arial" w:eastAsia="Arial" w:hAnsi="Arial"/>
          <w:sz w:val="18"/>
          <w:szCs w:val="18"/>
          <w:color w:val="auto"/>
        </w:rPr>
        <w:t>Title: Senior Vice President and General Counsel</w:t>
      </w:r>
    </w:p>
    <w:p>
      <w:pPr>
        <w:spacing w:after="0" w:line="200" w:lineRule="exact"/>
        <w:rPr>
          <w:sz w:val="20"/>
          <w:szCs w:val="20"/>
          <w:color w:val="auto"/>
        </w:rPr>
      </w:pPr>
    </w:p>
    <w:p>
      <w:pPr>
        <w:spacing w:after="0" w:line="26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RESIDEO INTERMEDIATE HOLDING INC.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Jeannine Lane</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Jeannine Lane</w:t>
      </w:r>
    </w:p>
    <w:p>
      <w:pPr>
        <w:ind w:left="3240"/>
        <w:spacing w:after="0"/>
        <w:rPr>
          <w:sz w:val="20"/>
          <w:szCs w:val="20"/>
          <w:color w:val="auto"/>
        </w:rPr>
      </w:pPr>
      <w:r>
        <w:rPr>
          <w:rFonts w:ascii="Arial" w:cs="Arial" w:eastAsia="Arial" w:hAnsi="Arial"/>
          <w:sz w:val="18"/>
          <w:szCs w:val="18"/>
          <w:color w:val="auto"/>
        </w:rPr>
        <w:t>Title: EVP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Second Amendment to Indemnification and Reimbursement Agreement]</w:t>
      </w:r>
    </w:p>
    <w:p>
      <w:pPr>
        <w:sectPr>
          <w:pgSz w:w="11900" w:h="16838" w:orient="portrait"/>
          <w:cols w:equalWidth="0" w:num="1">
            <w:col w:w="10980"/>
          </w:cols>
          <w:pgMar w:left="320" w:top="1440" w:right="5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jc w:val="center"/>
        <w:spacing w:after="0"/>
        <w:rPr>
          <w:sz w:val="20"/>
          <w:szCs w:val="20"/>
          <w:color w:val="auto"/>
        </w:rPr>
      </w:pPr>
      <w:r>
        <w:rPr>
          <w:rFonts w:ascii="Arial" w:cs="Arial" w:eastAsia="Arial" w:hAnsi="Arial"/>
          <w:sz w:val="22"/>
          <w:szCs w:val="22"/>
          <w:b w:val="1"/>
          <w:bCs w:val="1"/>
          <w:color w:val="auto"/>
        </w:rPr>
        <w:t>AMENDMENT</w:t>
      </w:r>
    </w:p>
    <w:p>
      <w:pPr>
        <w:jc w:val="center"/>
        <w:spacing w:after="0" w:line="230" w:lineRule="auto"/>
        <w:rPr>
          <w:sz w:val="20"/>
          <w:szCs w:val="20"/>
          <w:color w:val="auto"/>
        </w:rPr>
      </w:pPr>
      <w:r>
        <w:rPr>
          <w:rFonts w:ascii="Arial" w:cs="Arial" w:eastAsia="Arial" w:hAnsi="Arial"/>
          <w:sz w:val="22"/>
          <w:szCs w:val="22"/>
          <w:b w:val="1"/>
          <w:bCs w:val="1"/>
          <w:color w:val="auto"/>
        </w:rPr>
        <w:t>TO THE</w:t>
      </w:r>
    </w:p>
    <w:p>
      <w:pPr>
        <w:jc w:val="center"/>
        <w:spacing w:after="0" w:line="231" w:lineRule="auto"/>
        <w:rPr>
          <w:sz w:val="20"/>
          <w:szCs w:val="20"/>
          <w:color w:val="auto"/>
        </w:rPr>
      </w:pPr>
      <w:r>
        <w:rPr>
          <w:rFonts w:ascii="Arial" w:cs="Arial" w:eastAsia="Arial" w:hAnsi="Arial"/>
          <w:sz w:val="22"/>
          <w:szCs w:val="22"/>
          <w:b w:val="1"/>
          <w:bCs w:val="1"/>
          <w:color w:val="auto"/>
        </w:rPr>
        <w:t>2016 STOCK INCENTIVE PLAN OF HONEYWELL INTERNATIONAL INC.</w:t>
      </w:r>
    </w:p>
    <w:p>
      <w:pPr>
        <w:jc w:val="center"/>
        <w:spacing w:after="0"/>
        <w:rPr>
          <w:sz w:val="20"/>
          <w:szCs w:val="20"/>
          <w:color w:val="auto"/>
        </w:rPr>
      </w:pPr>
      <w:r>
        <w:rPr>
          <w:rFonts w:ascii="Arial" w:cs="Arial" w:eastAsia="Arial" w:hAnsi="Arial"/>
          <w:sz w:val="22"/>
          <w:szCs w:val="22"/>
          <w:b w:val="1"/>
          <w:bCs w:val="1"/>
          <w:color w:val="auto"/>
        </w:rPr>
        <w:t>AND ITS AFFILIATES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authority granted to proper officers of Honeywell International Inc. by the Management Development and Compensation Committee of the Board of Directors on April 27, 2020 and September 25, 2020, the 2016 Stock Incentive Plan of Honeywell International Inc. and Its Affiliates (the “Stock Plan”) is hereby amended effective September 25, 2020 in the following particulars:</w:t>
      </w:r>
    </w:p>
    <w:p>
      <w:pPr>
        <w:spacing w:after="0" w:line="212" w:lineRule="exact"/>
        <w:rPr>
          <w:sz w:val="20"/>
          <w:szCs w:val="20"/>
          <w:color w:val="auto"/>
        </w:rPr>
      </w:pPr>
    </w:p>
    <w:p>
      <w:pPr>
        <w:ind w:firstLine="656"/>
        <w:spacing w:after="0" w:line="250" w:lineRule="auto"/>
        <w:tabs>
          <w:tab w:leader="none" w:pos="86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That the third and final paragraph of the definition of “Performance Measure” (Section 2.27) of the Stock Plan shall be, and hereby is, replaced in its entirety with the following paragraph:</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determining attainment of a Performance Measure, the Committee may exclude unusual or infrequently occurring items, extraordinary items and the cumulative effect of changes in accounting treatment, and, for Performance Cycles beginning on or after January 1, 2019, may determine to exclude other items, such as changes in foreign currency exchange rates, the impact of acquisitions or divestitures, discontinued operations, and charges for restructurings (employee severance liabilities, asset impairment costs, and exit costs), each determined in accordance with GAAP (to the extent applicable) and as identified in the financial statements, notes to the financial statements, or discussion and analysis of management.”</w:t>
      </w:r>
    </w:p>
    <w:p>
      <w:pPr>
        <w:spacing w:after="0" w:line="177"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Section 4.4(c)(i) of the Stock Plan shall be, and hereby is, replaced in its entirety with the following new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4.4(c)(i):</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Performance Cycles beginning on or after January 1, 2019, the Committee shall fix and establish, in writing (A) the Performance Measures that apply to a Performance Cycle; (B) with respect to Cash-Based Awards, the Target Amount payable to each Participant; (C) with respect to other Performance Awards, the Target Vesting Percentage, or Target Amount payable, for each Participant; and (D) subject to subsection 4.4(d), the criteria for computing the amount that shall be paid or shall vest with respect to each level of attained performance. The Committee shall also set forth the minimum level of performance, based on objective factors, that must be attained during the Performance Cycle before any Performance Award shall be paid or vest, and the percentage (not exceeding 200%) of the target Performance Award that shall vest upon attainment of various levels of performance that equal or exceed the minimum required level.”</w:t>
      </w: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HONEYWELL INTERNATIONAL INC.</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Karen Mattimore</w:t>
      </w:r>
    </w:p>
    <w:p>
      <w:pPr>
        <w:ind w:left="3900"/>
        <w:spacing w:after="0" w:line="238" w:lineRule="auto"/>
        <w:rPr>
          <w:sz w:val="20"/>
          <w:szCs w:val="20"/>
          <w:color w:val="auto"/>
        </w:rPr>
      </w:pPr>
      <w:r>
        <w:rPr>
          <w:rFonts w:ascii="Arial" w:cs="Arial" w:eastAsia="Arial" w:hAnsi="Arial"/>
          <w:sz w:val="22"/>
          <w:szCs w:val="22"/>
          <w:color w:val="auto"/>
        </w:rPr>
        <w:t>Karen Mattimore</w:t>
      </w:r>
    </w:p>
    <w:p>
      <w:pPr>
        <w:ind w:left="3900"/>
        <w:spacing w:after="0" w:line="230" w:lineRule="auto"/>
        <w:rPr>
          <w:sz w:val="20"/>
          <w:szCs w:val="20"/>
          <w:color w:val="auto"/>
        </w:rPr>
      </w:pPr>
      <w:r>
        <w:rPr>
          <w:rFonts w:ascii="Arial" w:cs="Arial" w:eastAsia="Arial" w:hAnsi="Arial"/>
          <w:sz w:val="22"/>
          <w:szCs w:val="22"/>
          <w:color w:val="auto"/>
        </w:rPr>
        <w:t>Senior Vice President &amp;</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Human Resources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October 7, 2020</w:t>
      </w:r>
    </w:p>
    <w:p>
      <w:pPr>
        <w:sectPr>
          <w:pgSz w:w="11900" w:h="16838" w:orient="portrait"/>
          <w:cols w:equalWidth="0" w:num="1">
            <w:col w:w="11240"/>
          </w:cols>
          <w:pgMar w:left="320" w:top="141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October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your request, we have read the description included in your Quarterly Report on Form 10-Q to the Securities and Exchange Commission for the quarter ended September 30, 2020, of the facts relating to the change in accounting principle for inventory from the last in, first-out method (“LIFO”) to the first-in, first-out method (“FIFO”) for certain inventories that were previously accounted for under the LIFO method. We believe, on the basis of the facts so set forth and other information furnished to us by appropriate officials of Honeywell International Inc., that the accounting change described in your Form 10-Q is to an alternative accounting principle that is preferable under the circumstances.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audited any consolidated financial statements of Honeywell International Inc. and its subsidiaries as of any date or for any period subsequent to December 31, 2019. Therefore, we are unable to express, and we do not express, an opinion on the facts set forth in the above-mentioned Form 10-Q, on the related information furnished to us by officials of Honeywell International Inc., or on the financial position, results of operations, or cash flows of Honeywell International Inc. and its subsidiaries as of any date or for any period subsequent to December 31, 2019.</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ectPr>
          <w:pgSz w:w="11900" w:h="16838" w:orient="portrait"/>
          <w:cols w:equalWidth="0" w:num="1">
            <w:col w:w="11240"/>
          </w:cols>
          <w:pgMar w:left="320" w:top="141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2020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Date: October 30, 2020</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23"/>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29"/>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8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2020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Date: October 30, 2020</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23"/>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29"/>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8"/>
          <w:szCs w:val="18"/>
          <w:color w:val="auto"/>
        </w:rPr>
        <w:t>During the quarter ended September 30, 2020,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In addition, during the quarter ended September 30, 2020,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3"/>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upp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upperLetter"/>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8"/>
    </w:lvl>
  </w:abstractNum>
  <w:abstractNum w:abstractNumId="21">
    <w:nsid w:val="4353D0CD"/>
    <w:multiLevelType w:val="hybridMultilevel"/>
    <w:lvl w:ilvl="0">
      <w:lvlJc w:val="left"/>
      <w:lvlText w:val="%1"/>
      <w:numFmt w:val="decimal"/>
      <w:start w:val="95"/>
    </w:lvl>
  </w:abstractNum>
  <w:abstractNum w:abstractNumId="22">
    <w:nsid w:val="B03E0C6"/>
    <w:multiLevelType w:val="hybridMultilevel"/>
    <w:lvl w:ilvl="0">
      <w:lvlJc w:val="left"/>
      <w:lvlText w:val="%1"/>
      <w:numFmt w:val="decimal"/>
      <w:start w:val="10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2020-10-30T08:06:35Z</dcterms:created>
  <dcterms:modified xsi:type="dcterms:W3CDTF">2020-10-30T08:06:35Z</dcterms:modified>
</cp:coreProperties>
</file>